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B367C" w14:textId="77777777" w:rsidR="00D77996" w:rsidRPr="00617CA3" w:rsidRDefault="00D77996" w:rsidP="005B1A16">
      <w:pPr>
        <w:spacing w:line="360" w:lineRule="auto"/>
        <w:jc w:val="both"/>
        <w:rPr>
          <w:rFonts w:ascii="Book Antiqua" w:hAnsi="Book Antiqua"/>
          <w:b/>
          <w:i/>
          <w:color w:val="000000" w:themeColor="text1"/>
        </w:rPr>
      </w:pPr>
      <w:r w:rsidRPr="00617CA3">
        <w:rPr>
          <w:rFonts w:ascii="Book Antiqua" w:hAnsi="Book Antiqua"/>
          <w:b/>
          <w:color w:val="000000" w:themeColor="text1"/>
        </w:rPr>
        <w:t xml:space="preserve">Name of Journal: </w:t>
      </w:r>
      <w:r w:rsidRPr="00617CA3">
        <w:rPr>
          <w:rFonts w:ascii="Book Antiqua" w:hAnsi="Book Antiqua"/>
          <w:b/>
          <w:i/>
          <w:color w:val="000000" w:themeColor="text1"/>
        </w:rPr>
        <w:t>World Journal of Gastroenterology</w:t>
      </w:r>
    </w:p>
    <w:p w14:paraId="32B63858" w14:textId="170F7191" w:rsidR="00D77996" w:rsidRPr="00617CA3" w:rsidRDefault="006D0689" w:rsidP="005B1A16">
      <w:pPr>
        <w:spacing w:line="360" w:lineRule="auto"/>
        <w:jc w:val="both"/>
        <w:rPr>
          <w:rFonts w:ascii="Book Antiqua" w:eastAsia="SimSun" w:hAnsi="Book Antiqua"/>
          <w:b/>
          <w:color w:val="000000" w:themeColor="text1"/>
          <w:lang w:val="en-US" w:eastAsia="zh-CN"/>
        </w:rPr>
      </w:pPr>
      <w:r w:rsidRPr="00617CA3">
        <w:rPr>
          <w:rFonts w:ascii="Book Antiqua" w:hAnsi="Book Antiqua"/>
          <w:b/>
          <w:color w:val="000000" w:themeColor="text1"/>
          <w:lang w:val="en-US"/>
        </w:rPr>
        <w:t xml:space="preserve">Number </w:t>
      </w:r>
      <w:r w:rsidR="00D74510" w:rsidRPr="00617CA3">
        <w:rPr>
          <w:rFonts w:ascii="Book Antiqua" w:eastAsia="SimSun" w:hAnsi="Book Antiqua"/>
          <w:b/>
          <w:color w:val="000000" w:themeColor="text1"/>
          <w:lang w:val="en-US" w:eastAsia="zh-CN"/>
        </w:rPr>
        <w:t>N</w:t>
      </w:r>
      <w:r w:rsidR="0007793B" w:rsidRPr="00617CA3">
        <w:rPr>
          <w:rFonts w:ascii="Book Antiqua" w:eastAsia="SimSun" w:hAnsi="Book Antiqua"/>
          <w:b/>
          <w:color w:val="000000" w:themeColor="text1"/>
          <w:lang w:val="en-US" w:eastAsia="zh-CN"/>
        </w:rPr>
        <w:t>O</w:t>
      </w:r>
      <w:r w:rsidRPr="00617CA3">
        <w:rPr>
          <w:rFonts w:ascii="Book Antiqua" w:hAnsi="Book Antiqua"/>
          <w:b/>
          <w:color w:val="000000" w:themeColor="text1"/>
          <w:lang w:val="en-US"/>
        </w:rPr>
        <w:t xml:space="preserve">: </w:t>
      </w:r>
      <w:r w:rsidR="0007793B" w:rsidRPr="00617CA3">
        <w:rPr>
          <w:rFonts w:ascii="Book Antiqua" w:eastAsia="SimSun" w:hAnsi="Book Antiqua"/>
          <w:b/>
          <w:color w:val="000000" w:themeColor="text1"/>
          <w:lang w:val="en-US" w:eastAsia="zh-CN"/>
        </w:rPr>
        <w:t>39087</w:t>
      </w:r>
    </w:p>
    <w:p w14:paraId="139C6735" w14:textId="77777777" w:rsidR="00D77996" w:rsidRPr="00617CA3" w:rsidRDefault="00D77996" w:rsidP="005B1A16">
      <w:pPr>
        <w:spacing w:line="360" w:lineRule="auto"/>
        <w:jc w:val="both"/>
        <w:rPr>
          <w:rFonts w:ascii="Book Antiqua" w:hAnsi="Book Antiqua"/>
          <w:b/>
          <w:color w:val="000000" w:themeColor="text1"/>
        </w:rPr>
      </w:pPr>
      <w:r w:rsidRPr="00617CA3">
        <w:rPr>
          <w:rFonts w:ascii="Book Antiqua" w:hAnsi="Book Antiqua"/>
          <w:b/>
          <w:color w:val="000000" w:themeColor="text1"/>
        </w:rPr>
        <w:t>Manuscript type: REVIEW</w:t>
      </w:r>
    </w:p>
    <w:p w14:paraId="442B65C0" w14:textId="77777777" w:rsidR="00D77996" w:rsidRPr="005B1A16" w:rsidRDefault="00D77996" w:rsidP="005B1A16">
      <w:pPr>
        <w:spacing w:line="360" w:lineRule="auto"/>
        <w:jc w:val="both"/>
        <w:rPr>
          <w:rFonts w:ascii="Book Antiqua" w:hAnsi="Book Antiqua"/>
          <w:color w:val="000000" w:themeColor="text1"/>
        </w:rPr>
      </w:pPr>
    </w:p>
    <w:p w14:paraId="0564B54D" w14:textId="06649A49" w:rsidR="00B564E7" w:rsidRPr="005B1A16" w:rsidRDefault="00C708BD" w:rsidP="005B1A16">
      <w:pPr>
        <w:spacing w:line="360" w:lineRule="auto"/>
        <w:jc w:val="both"/>
        <w:rPr>
          <w:rFonts w:ascii="Book Antiqua" w:eastAsia="SimSun" w:hAnsi="Book Antiqua"/>
          <w:b/>
          <w:color w:val="000000" w:themeColor="text1"/>
          <w:lang w:eastAsia="zh-CN"/>
        </w:rPr>
      </w:pPr>
      <w:r w:rsidRPr="005B1A16">
        <w:rPr>
          <w:rFonts w:ascii="Book Antiqua" w:hAnsi="Book Antiqua"/>
          <w:b/>
          <w:color w:val="000000" w:themeColor="text1"/>
        </w:rPr>
        <w:t>Positioning of old and new</w:t>
      </w:r>
      <w:r w:rsidR="00DC7011" w:rsidRPr="005B1A16">
        <w:rPr>
          <w:rFonts w:ascii="Book Antiqua" w:hAnsi="Book Antiqua"/>
          <w:b/>
          <w:color w:val="000000" w:themeColor="text1"/>
        </w:rPr>
        <w:t xml:space="preserve"> biologicals and small molecules in the treatment of inflammatory bowel diseases</w:t>
      </w:r>
    </w:p>
    <w:p w14:paraId="0A5D0A9A" w14:textId="77777777" w:rsidR="000D6256" w:rsidRPr="005B1A16" w:rsidRDefault="000D6256" w:rsidP="005B1A16">
      <w:pPr>
        <w:spacing w:line="360" w:lineRule="auto"/>
        <w:jc w:val="both"/>
        <w:rPr>
          <w:rFonts w:ascii="Book Antiqua" w:eastAsia="SimSun" w:hAnsi="Book Antiqua"/>
          <w:b/>
          <w:color w:val="000000" w:themeColor="text1"/>
          <w:lang w:eastAsia="zh-CN"/>
        </w:rPr>
      </w:pPr>
    </w:p>
    <w:p w14:paraId="038C026C" w14:textId="185E5C65" w:rsidR="00DC7011" w:rsidRPr="005B1A16" w:rsidRDefault="000D6256" w:rsidP="005B1A16">
      <w:pPr>
        <w:spacing w:line="360" w:lineRule="auto"/>
        <w:jc w:val="both"/>
        <w:rPr>
          <w:rFonts w:ascii="Book Antiqua" w:eastAsia="SimSun" w:hAnsi="Book Antiqua"/>
          <w:color w:val="000000" w:themeColor="text1"/>
          <w:lang w:eastAsia="zh-CN"/>
        </w:rPr>
      </w:pPr>
      <w:r w:rsidRPr="005B1A16">
        <w:rPr>
          <w:rFonts w:ascii="Book Antiqua" w:hAnsi="Book Antiqua" w:cs="Arial"/>
          <w:color w:val="000000" w:themeColor="text1"/>
        </w:rPr>
        <w:t xml:space="preserve">Reinglas </w:t>
      </w:r>
      <w:r w:rsidRPr="005B1A16">
        <w:rPr>
          <w:rFonts w:ascii="Book Antiqua" w:eastAsia="SimSun" w:hAnsi="Book Antiqua" w:cs="Arial"/>
          <w:color w:val="000000" w:themeColor="text1"/>
          <w:lang w:eastAsia="zh-CN"/>
        </w:rPr>
        <w:t xml:space="preserve">J </w:t>
      </w:r>
      <w:r w:rsidRPr="005B1A16">
        <w:rPr>
          <w:rFonts w:ascii="Book Antiqua" w:eastAsia="SimSun" w:hAnsi="Book Antiqua" w:cs="Arial"/>
          <w:i/>
          <w:color w:val="000000" w:themeColor="text1"/>
          <w:lang w:eastAsia="zh-CN"/>
        </w:rPr>
        <w:t>et a</w:t>
      </w:r>
      <w:r w:rsidRPr="005B1A16">
        <w:rPr>
          <w:rFonts w:ascii="Book Antiqua" w:eastAsia="SimSun" w:hAnsi="Book Antiqua" w:cs="Arial"/>
          <w:color w:val="000000" w:themeColor="text1"/>
          <w:lang w:eastAsia="zh-CN"/>
        </w:rPr>
        <w:t xml:space="preserve">l. </w:t>
      </w:r>
      <w:r w:rsidRPr="005B1A16">
        <w:rPr>
          <w:rFonts w:ascii="Book Antiqua" w:hAnsi="Book Antiqua"/>
          <w:color w:val="000000" w:themeColor="text1"/>
        </w:rPr>
        <w:t>Biologicals and small molecules</w:t>
      </w:r>
      <w:r w:rsidRPr="005B1A16">
        <w:rPr>
          <w:rFonts w:ascii="Book Antiqua" w:eastAsia="SimSun" w:hAnsi="Book Antiqua"/>
          <w:color w:val="000000" w:themeColor="text1"/>
          <w:lang w:eastAsia="zh-CN"/>
        </w:rPr>
        <w:t xml:space="preserve"> in IBD</w:t>
      </w:r>
    </w:p>
    <w:p w14:paraId="770B5F89" w14:textId="77777777" w:rsidR="000D6256" w:rsidRPr="005B1A16" w:rsidRDefault="000D6256" w:rsidP="005B1A16">
      <w:pPr>
        <w:spacing w:line="360" w:lineRule="auto"/>
        <w:jc w:val="both"/>
        <w:rPr>
          <w:rFonts w:ascii="Book Antiqua" w:eastAsia="SimSun" w:hAnsi="Book Antiqua"/>
          <w:color w:val="000000" w:themeColor="text1"/>
          <w:lang w:eastAsia="zh-CN"/>
        </w:rPr>
      </w:pPr>
    </w:p>
    <w:p w14:paraId="3FA2D912" w14:textId="7FC8A9C9" w:rsidR="00D736BB" w:rsidRPr="005B1A16" w:rsidRDefault="00741B2A" w:rsidP="005B1A16">
      <w:pPr>
        <w:spacing w:line="360" w:lineRule="auto"/>
        <w:jc w:val="both"/>
        <w:rPr>
          <w:rFonts w:ascii="Book Antiqua" w:hAnsi="Book Antiqua"/>
          <w:color w:val="000000" w:themeColor="text1"/>
        </w:rPr>
      </w:pPr>
      <w:r w:rsidRPr="005B1A16">
        <w:rPr>
          <w:rFonts w:ascii="Book Antiqua" w:hAnsi="Book Antiqua" w:cs="Arial"/>
          <w:color w:val="000000" w:themeColor="text1"/>
        </w:rPr>
        <w:t>Jason Reingla</w:t>
      </w:r>
      <w:r w:rsidR="00D736BB" w:rsidRPr="005B1A16">
        <w:rPr>
          <w:rFonts w:ascii="Book Antiqua" w:hAnsi="Book Antiqua" w:cs="Arial"/>
          <w:color w:val="000000" w:themeColor="text1"/>
        </w:rPr>
        <w:t>s</w:t>
      </w:r>
      <w:r w:rsidR="000D6256" w:rsidRPr="005B1A16">
        <w:rPr>
          <w:rFonts w:ascii="Book Antiqua" w:eastAsia="SimSun" w:hAnsi="Book Antiqua" w:cs="Arial"/>
          <w:color w:val="000000" w:themeColor="text1"/>
          <w:lang w:eastAsia="zh-CN"/>
        </w:rPr>
        <w:t>,</w:t>
      </w:r>
      <w:r w:rsidR="000723E3" w:rsidRPr="005B1A16">
        <w:rPr>
          <w:rFonts w:ascii="Book Antiqua" w:hAnsi="Book Antiqua" w:cs="Arial"/>
          <w:color w:val="000000" w:themeColor="text1"/>
        </w:rPr>
        <w:t xml:space="preserve"> </w:t>
      </w:r>
      <w:r w:rsidR="00A0742D" w:rsidRPr="005B1A16">
        <w:rPr>
          <w:rFonts w:ascii="Book Antiqua" w:hAnsi="Book Antiqua" w:cs="Arial"/>
          <w:bCs/>
          <w:color w:val="000000" w:themeColor="text1"/>
          <w:lang w:val="en-GB"/>
        </w:rPr>
        <w:t xml:space="preserve">Lorant Gonczi, </w:t>
      </w:r>
      <w:r w:rsidR="00D736BB" w:rsidRPr="005B1A16">
        <w:rPr>
          <w:rFonts w:ascii="Book Antiqua" w:hAnsi="Book Antiqua" w:cs="Arial"/>
          <w:bCs/>
          <w:color w:val="000000" w:themeColor="text1"/>
          <w:lang w:val="en-GB"/>
        </w:rPr>
        <w:t>Zsuzsanna Kurt, Talat Bessissow,</w:t>
      </w:r>
      <w:r w:rsidR="00D736BB" w:rsidRPr="005B1A16">
        <w:rPr>
          <w:rFonts w:ascii="Book Antiqua" w:hAnsi="Book Antiqua" w:cs="Arial"/>
          <w:bCs/>
          <w:color w:val="000000" w:themeColor="text1"/>
          <w:vertAlign w:val="superscript"/>
          <w:lang w:val="en-GB"/>
        </w:rPr>
        <w:t xml:space="preserve"> </w:t>
      </w:r>
      <w:r w:rsidR="00D736BB" w:rsidRPr="005B1A16">
        <w:rPr>
          <w:rFonts w:ascii="Book Antiqua" w:hAnsi="Book Antiqua" w:cs="Arial"/>
          <w:color w:val="000000" w:themeColor="text1"/>
          <w:shd w:val="clear" w:color="auto" w:fill="FFFFFF"/>
        </w:rPr>
        <w:t>Peter L Lakatos</w:t>
      </w:r>
    </w:p>
    <w:p w14:paraId="656E5D2E" w14:textId="77777777" w:rsidR="00D736BB" w:rsidRPr="005B1A16" w:rsidRDefault="00D736BB" w:rsidP="005B1A16">
      <w:pPr>
        <w:widowControl w:val="0"/>
        <w:autoSpaceDE w:val="0"/>
        <w:autoSpaceDN w:val="0"/>
        <w:adjustRightInd w:val="0"/>
        <w:spacing w:line="360" w:lineRule="auto"/>
        <w:jc w:val="both"/>
        <w:rPr>
          <w:rFonts w:ascii="Book Antiqua" w:hAnsi="Book Antiqua" w:cs="Arial"/>
          <w:color w:val="000000" w:themeColor="text1"/>
        </w:rPr>
      </w:pPr>
    </w:p>
    <w:p w14:paraId="55F99F27" w14:textId="43B19194" w:rsidR="00D736BB" w:rsidRPr="005B1A16" w:rsidRDefault="000723E3" w:rsidP="005B1A16">
      <w:pPr>
        <w:widowControl w:val="0"/>
        <w:autoSpaceDE w:val="0"/>
        <w:autoSpaceDN w:val="0"/>
        <w:adjustRightInd w:val="0"/>
        <w:spacing w:line="360" w:lineRule="auto"/>
        <w:jc w:val="both"/>
        <w:rPr>
          <w:rFonts w:ascii="Book Antiqua" w:eastAsia="SimSun" w:hAnsi="Book Antiqua" w:cs="Arial"/>
          <w:color w:val="000000" w:themeColor="text1"/>
          <w:lang w:eastAsia="zh-CN"/>
        </w:rPr>
      </w:pPr>
      <w:r w:rsidRPr="005B1A16">
        <w:rPr>
          <w:rFonts w:ascii="Book Antiqua" w:hAnsi="Book Antiqua" w:cs="Arial"/>
          <w:b/>
          <w:color w:val="000000" w:themeColor="text1"/>
        </w:rPr>
        <w:t>Jason Reinglas</w:t>
      </w:r>
      <w:r w:rsidR="00D736BB" w:rsidRPr="005B1A16">
        <w:rPr>
          <w:rFonts w:ascii="Book Antiqua" w:hAnsi="Book Antiqua" w:cs="Arial"/>
          <w:b/>
          <w:color w:val="000000" w:themeColor="text1"/>
        </w:rPr>
        <w:t>,</w:t>
      </w:r>
      <w:r w:rsidR="00D736BB" w:rsidRPr="005B1A16">
        <w:rPr>
          <w:rFonts w:ascii="Book Antiqua" w:hAnsi="Book Antiqua" w:cs="Arial"/>
          <w:color w:val="000000" w:themeColor="text1"/>
        </w:rPr>
        <w:t xml:space="preserve"> </w:t>
      </w:r>
      <w:r w:rsidR="006964CE" w:rsidRPr="005B1A16">
        <w:rPr>
          <w:rFonts w:ascii="Book Antiqua" w:hAnsi="Book Antiqua" w:cs="Arial"/>
          <w:b/>
          <w:bCs/>
          <w:color w:val="000000" w:themeColor="text1"/>
          <w:lang w:val="en-GB"/>
        </w:rPr>
        <w:t>Talat Bessissow,</w:t>
      </w:r>
      <w:r w:rsidR="006964CE" w:rsidRPr="005B1A16">
        <w:rPr>
          <w:rFonts w:ascii="Book Antiqua" w:hAnsi="Book Antiqua" w:cs="Arial"/>
          <w:bCs/>
          <w:color w:val="000000" w:themeColor="text1"/>
          <w:lang w:val="en-GB"/>
        </w:rPr>
        <w:t xml:space="preserve"> </w:t>
      </w:r>
      <w:r w:rsidR="006964CE" w:rsidRPr="005B1A16">
        <w:rPr>
          <w:rFonts w:ascii="Book Antiqua" w:hAnsi="Book Antiqua" w:cs="Arial"/>
          <w:b/>
          <w:bCs/>
          <w:color w:val="000000" w:themeColor="text1"/>
          <w:lang w:val="en-GB"/>
        </w:rPr>
        <w:t xml:space="preserve">Peter L Lakatos, </w:t>
      </w:r>
      <w:r w:rsidR="00D736BB" w:rsidRPr="005B1A16">
        <w:rPr>
          <w:rFonts w:ascii="Book Antiqua" w:hAnsi="Book Antiqua" w:cs="Arial"/>
          <w:color w:val="000000" w:themeColor="text1"/>
        </w:rPr>
        <w:t xml:space="preserve">Department of </w:t>
      </w:r>
      <w:r w:rsidR="00D736BB" w:rsidRPr="005B1A16">
        <w:rPr>
          <w:rFonts w:ascii="Book Antiqua" w:hAnsi="Book Antiqua" w:cs="Arial"/>
          <w:bCs/>
          <w:color w:val="000000" w:themeColor="text1"/>
          <w:lang w:val="en-GB"/>
        </w:rPr>
        <w:t>Gastroenterology</w:t>
      </w:r>
      <w:r w:rsidR="00D736BB" w:rsidRPr="005B1A16">
        <w:rPr>
          <w:rFonts w:ascii="Book Antiqua" w:hAnsi="Book Antiqua" w:cs="Arial"/>
          <w:color w:val="000000" w:themeColor="text1"/>
        </w:rPr>
        <w:t xml:space="preserve">, McGill University </w:t>
      </w:r>
      <w:r w:rsidR="000D6256" w:rsidRPr="005B1A16">
        <w:rPr>
          <w:rFonts w:ascii="Book Antiqua" w:hAnsi="Book Antiqua" w:cs="Arial"/>
          <w:color w:val="000000" w:themeColor="text1"/>
        </w:rPr>
        <w:t>Health Center, Montreal, Québec</w:t>
      </w:r>
      <w:r w:rsidR="00D736BB" w:rsidRPr="005B1A16">
        <w:rPr>
          <w:rFonts w:ascii="Book Antiqua" w:hAnsi="Book Antiqua" w:cs="Arial"/>
          <w:color w:val="000000" w:themeColor="text1"/>
        </w:rPr>
        <w:t xml:space="preserve"> H4A 3J1, Canada</w:t>
      </w:r>
    </w:p>
    <w:p w14:paraId="50268A37" w14:textId="77777777" w:rsidR="000D6256" w:rsidRPr="005B1A16" w:rsidRDefault="000D6256" w:rsidP="005B1A16">
      <w:pPr>
        <w:widowControl w:val="0"/>
        <w:autoSpaceDE w:val="0"/>
        <w:autoSpaceDN w:val="0"/>
        <w:adjustRightInd w:val="0"/>
        <w:spacing w:line="360" w:lineRule="auto"/>
        <w:jc w:val="both"/>
        <w:rPr>
          <w:rFonts w:ascii="Book Antiqua" w:eastAsia="SimSun" w:hAnsi="Book Antiqua" w:cs="Arial"/>
          <w:color w:val="000000" w:themeColor="text1"/>
          <w:lang w:eastAsia="zh-CN"/>
        </w:rPr>
      </w:pPr>
    </w:p>
    <w:p w14:paraId="645B7528" w14:textId="6579140A" w:rsidR="00D736BB" w:rsidRPr="005B1A16" w:rsidRDefault="00D736BB" w:rsidP="005B1A16">
      <w:pPr>
        <w:widowControl w:val="0"/>
        <w:autoSpaceDE w:val="0"/>
        <w:autoSpaceDN w:val="0"/>
        <w:adjustRightInd w:val="0"/>
        <w:spacing w:line="360" w:lineRule="auto"/>
        <w:jc w:val="both"/>
        <w:rPr>
          <w:rFonts w:ascii="Book Antiqua" w:eastAsia="SimSun" w:hAnsi="Book Antiqua"/>
          <w:color w:val="000000" w:themeColor="text1"/>
          <w:lang w:eastAsia="zh-CN"/>
        </w:rPr>
      </w:pPr>
      <w:r w:rsidRPr="005B1A16">
        <w:rPr>
          <w:rFonts w:ascii="Book Antiqua" w:hAnsi="Book Antiqua"/>
          <w:b/>
          <w:color w:val="000000" w:themeColor="text1"/>
        </w:rPr>
        <w:t>Lorant Gonczi</w:t>
      </w:r>
      <w:r w:rsidRPr="005B1A16">
        <w:rPr>
          <w:rFonts w:ascii="Book Antiqua" w:hAnsi="Book Antiqua"/>
          <w:color w:val="000000" w:themeColor="text1"/>
        </w:rPr>
        <w:t>,</w:t>
      </w:r>
      <w:r w:rsidR="006964CE" w:rsidRPr="005B1A16">
        <w:rPr>
          <w:rFonts w:ascii="Book Antiqua" w:hAnsi="Book Antiqua"/>
          <w:b/>
          <w:color w:val="000000" w:themeColor="text1"/>
        </w:rPr>
        <w:t xml:space="preserve"> Zsuzsanna Kurti,</w:t>
      </w:r>
      <w:r w:rsidR="006964CE" w:rsidRPr="005B1A16">
        <w:rPr>
          <w:rFonts w:ascii="Book Antiqua" w:hAnsi="Book Antiqua"/>
          <w:color w:val="000000" w:themeColor="text1"/>
        </w:rPr>
        <w:t xml:space="preserve"> </w:t>
      </w:r>
      <w:r w:rsidR="006964CE" w:rsidRPr="005B1A16">
        <w:rPr>
          <w:rFonts w:ascii="Book Antiqua" w:hAnsi="Book Antiqua" w:cs="Arial"/>
          <w:b/>
          <w:bCs/>
          <w:color w:val="000000" w:themeColor="text1"/>
          <w:lang w:val="en-GB"/>
        </w:rPr>
        <w:t xml:space="preserve">Peter L Lakatos, </w:t>
      </w:r>
      <w:r w:rsidRPr="005B1A16">
        <w:rPr>
          <w:rFonts w:ascii="Book Antiqua" w:hAnsi="Book Antiqua"/>
          <w:color w:val="000000" w:themeColor="text1"/>
        </w:rPr>
        <w:t>First Department of Medicine, Semmelweis University, H-1083, Budapest, Koranyi S. 2A, Hungary</w:t>
      </w:r>
    </w:p>
    <w:p w14:paraId="39945212" w14:textId="77777777" w:rsidR="00D736BB" w:rsidRPr="005B1A16" w:rsidRDefault="00D736BB" w:rsidP="005B1A16">
      <w:pPr>
        <w:spacing w:line="360" w:lineRule="auto"/>
        <w:jc w:val="both"/>
        <w:rPr>
          <w:rFonts w:ascii="Book Antiqua" w:eastAsia="SimSun" w:hAnsi="Book Antiqua"/>
          <w:b/>
          <w:color w:val="000000" w:themeColor="text1"/>
          <w:lang w:eastAsia="zh-CN"/>
        </w:rPr>
      </w:pPr>
      <w:bookmarkStart w:id="0" w:name="OLE_LINK231"/>
      <w:bookmarkStart w:id="1" w:name="OLE_LINK234"/>
      <w:bookmarkStart w:id="2" w:name="OLE_LINK342"/>
      <w:bookmarkStart w:id="3" w:name="OLE_LINK473"/>
    </w:p>
    <w:p w14:paraId="0A1D45AC" w14:textId="1A0901B9" w:rsidR="00D736BB" w:rsidRPr="005B1A16" w:rsidRDefault="00D736BB" w:rsidP="005B1A16">
      <w:pPr>
        <w:spacing w:line="360" w:lineRule="auto"/>
        <w:jc w:val="both"/>
        <w:outlineLvl w:val="0"/>
        <w:rPr>
          <w:rFonts w:ascii="Book Antiqua" w:eastAsia="SimSun" w:hAnsi="Book Antiqua"/>
          <w:color w:val="000000" w:themeColor="text1"/>
          <w:lang w:eastAsia="zh-CN"/>
        </w:rPr>
      </w:pPr>
      <w:r w:rsidRPr="005B1A16">
        <w:rPr>
          <w:rFonts w:ascii="Book Antiqua" w:hAnsi="Book Antiqua"/>
          <w:b/>
          <w:color w:val="000000" w:themeColor="text1"/>
          <w:lang w:eastAsia="ja-JP"/>
        </w:rPr>
        <w:t>ORCID number</w:t>
      </w:r>
      <w:bookmarkEnd w:id="0"/>
      <w:bookmarkEnd w:id="1"/>
      <w:bookmarkEnd w:id="2"/>
      <w:bookmarkEnd w:id="3"/>
      <w:r w:rsidR="00BB7ECB" w:rsidRPr="005B1A16">
        <w:rPr>
          <w:rFonts w:ascii="Book Antiqua" w:hAnsi="Book Antiqua"/>
          <w:b/>
          <w:color w:val="000000" w:themeColor="text1"/>
          <w:lang w:eastAsia="ja-JP"/>
        </w:rPr>
        <w:t xml:space="preserve">: </w:t>
      </w:r>
      <w:r w:rsidR="00D77996" w:rsidRPr="005B1A16">
        <w:rPr>
          <w:rFonts w:ascii="Book Antiqua" w:hAnsi="Book Antiqua"/>
          <w:color w:val="000000" w:themeColor="text1"/>
          <w:lang w:eastAsia="ja-JP"/>
        </w:rPr>
        <w:t xml:space="preserve">Jason Reinglas (0000-0001-5455-260X); </w:t>
      </w:r>
      <w:r w:rsidR="00D77996" w:rsidRPr="005B1A16">
        <w:rPr>
          <w:rFonts w:ascii="Book Antiqua" w:hAnsi="Book Antiqua"/>
          <w:color w:val="000000" w:themeColor="text1"/>
          <w:shd w:val="clear" w:color="auto" w:fill="FFFFFF"/>
        </w:rPr>
        <w:t>Lorant Gonczi (0000-0002-8819-6460);</w:t>
      </w:r>
      <w:r w:rsidR="00D77996" w:rsidRPr="005B1A16">
        <w:rPr>
          <w:rFonts w:ascii="Book Antiqua" w:hAnsi="Book Antiqua"/>
          <w:color w:val="000000" w:themeColor="text1"/>
        </w:rPr>
        <w:t xml:space="preserve"> </w:t>
      </w:r>
      <w:r w:rsidR="00D77996" w:rsidRPr="005B1A16">
        <w:rPr>
          <w:rFonts w:ascii="Book Antiqua" w:hAnsi="Book Antiqua"/>
          <w:color w:val="000000" w:themeColor="text1"/>
          <w:shd w:val="clear" w:color="auto" w:fill="FFFFFF"/>
        </w:rPr>
        <w:t>Zsuzsanna Kurti (0000-0001-8671-6576); Talat Bessissow (0000-0003-2610-1910)</w:t>
      </w:r>
      <w:r w:rsidR="004D52D5" w:rsidRPr="005B1A16">
        <w:rPr>
          <w:rFonts w:ascii="Book Antiqua" w:hAnsi="Book Antiqua"/>
          <w:color w:val="000000" w:themeColor="text1"/>
          <w:lang w:eastAsia="ja-JP"/>
        </w:rPr>
        <w:t>; Peter L</w:t>
      </w:r>
      <w:r w:rsidR="00D77996" w:rsidRPr="005B1A16">
        <w:rPr>
          <w:rFonts w:ascii="Book Antiqua" w:hAnsi="Book Antiqua"/>
          <w:color w:val="000000" w:themeColor="text1"/>
          <w:lang w:eastAsia="ja-JP"/>
        </w:rPr>
        <w:t xml:space="preserve"> Lakatos (</w:t>
      </w:r>
      <w:r w:rsidR="00D77996" w:rsidRPr="005B1A16">
        <w:rPr>
          <w:rFonts w:ascii="Book Antiqua" w:hAnsi="Book Antiqua"/>
          <w:color w:val="000000" w:themeColor="text1"/>
        </w:rPr>
        <w:t>0000-0002-3948-6488)</w:t>
      </w:r>
      <w:r w:rsidR="004D52D5" w:rsidRPr="005B1A16">
        <w:rPr>
          <w:rFonts w:ascii="Book Antiqua" w:eastAsia="SimSun" w:hAnsi="Book Antiqua"/>
          <w:color w:val="000000" w:themeColor="text1"/>
          <w:lang w:eastAsia="zh-CN"/>
        </w:rPr>
        <w:t>.</w:t>
      </w:r>
    </w:p>
    <w:p w14:paraId="6546FD43" w14:textId="77777777" w:rsidR="00E31E8E" w:rsidRPr="005B1A16" w:rsidRDefault="00E31E8E" w:rsidP="005B1A16">
      <w:pPr>
        <w:spacing w:line="360" w:lineRule="auto"/>
        <w:jc w:val="both"/>
        <w:outlineLvl w:val="0"/>
        <w:rPr>
          <w:rFonts w:ascii="Book Antiqua" w:eastAsia="SimSun" w:hAnsi="Book Antiqua"/>
          <w:color w:val="000000" w:themeColor="text1"/>
          <w:lang w:eastAsia="zh-CN"/>
        </w:rPr>
      </w:pPr>
    </w:p>
    <w:p w14:paraId="0DE9063E" w14:textId="2ADEEF30" w:rsidR="00BE6AF8" w:rsidRPr="005B1A16" w:rsidRDefault="00E31E8E" w:rsidP="005B1A16">
      <w:pPr>
        <w:spacing w:line="360" w:lineRule="auto"/>
        <w:jc w:val="both"/>
        <w:outlineLvl w:val="0"/>
        <w:rPr>
          <w:rFonts w:ascii="Book Antiqua" w:eastAsia="SimSun" w:hAnsi="Book Antiqua"/>
          <w:color w:val="000000" w:themeColor="text1"/>
          <w:lang w:eastAsia="zh-CN"/>
        </w:rPr>
      </w:pPr>
      <w:r w:rsidRPr="005B1A16">
        <w:rPr>
          <w:rFonts w:ascii="Book Antiqua" w:hAnsi="Book Antiqua"/>
          <w:b/>
          <w:color w:val="000000" w:themeColor="text1"/>
        </w:rPr>
        <w:t>Author contributions:</w:t>
      </w:r>
      <w:r w:rsidRPr="005B1A16">
        <w:rPr>
          <w:rFonts w:ascii="Book Antiqua" w:hAnsi="Book Antiqua"/>
          <w:b/>
          <w:color w:val="000000" w:themeColor="text1"/>
          <w:lang w:eastAsia="zh-CN"/>
        </w:rPr>
        <w:t xml:space="preserve"> </w:t>
      </w:r>
      <w:r w:rsidRPr="005B1A16">
        <w:rPr>
          <w:rFonts w:ascii="Book Antiqua" w:eastAsia="SimSun" w:hAnsi="Book Antiqua"/>
          <w:color w:val="000000" w:themeColor="text1"/>
          <w:lang w:val="en-US" w:eastAsia="zh-CN"/>
        </w:rPr>
        <w:t>All the authors contributed to the writing of the manuscript.</w:t>
      </w:r>
    </w:p>
    <w:p w14:paraId="6F6ECE86" w14:textId="77777777" w:rsidR="00E31E8E" w:rsidRPr="005B1A16" w:rsidRDefault="00E31E8E" w:rsidP="005B1A16">
      <w:pPr>
        <w:autoSpaceDE w:val="0"/>
        <w:autoSpaceDN w:val="0"/>
        <w:adjustRightInd w:val="0"/>
        <w:spacing w:line="360" w:lineRule="auto"/>
        <w:jc w:val="both"/>
        <w:outlineLvl w:val="0"/>
        <w:rPr>
          <w:rFonts w:ascii="Book Antiqua" w:eastAsia="SimSun" w:hAnsi="Book Antiqua" w:cs="TimesNewRomanPS-BoldItalicMT"/>
          <w:b/>
          <w:bCs/>
          <w:iCs/>
          <w:color w:val="000000" w:themeColor="text1"/>
          <w:lang w:eastAsia="zh-CN"/>
        </w:rPr>
      </w:pPr>
      <w:bookmarkStart w:id="4" w:name="OLE_LINK379"/>
      <w:bookmarkStart w:id="5" w:name="OLE_LINK380"/>
      <w:bookmarkStart w:id="6" w:name="OLE_LINK534"/>
      <w:bookmarkStart w:id="7" w:name="OLE_LINK91"/>
      <w:bookmarkStart w:id="8" w:name="OLE_LINK526"/>
      <w:bookmarkStart w:id="9" w:name="OLE_LINK527"/>
      <w:bookmarkStart w:id="10" w:name="OLE_LINK498"/>
      <w:bookmarkStart w:id="11" w:name="OLE_LINK499"/>
      <w:bookmarkStart w:id="12" w:name="OLE_LINK513"/>
      <w:bookmarkStart w:id="13" w:name="OLE_LINK521"/>
      <w:bookmarkStart w:id="14" w:name="OLE_LINK20"/>
      <w:bookmarkStart w:id="15" w:name="OLE_LINK21"/>
      <w:bookmarkStart w:id="16" w:name="OLE_LINK208"/>
      <w:bookmarkStart w:id="17" w:name="OLE_LINK209"/>
    </w:p>
    <w:p w14:paraId="37ABBE6B" w14:textId="335AAC16" w:rsidR="00D736BB" w:rsidRPr="005B1A16" w:rsidRDefault="003A488C" w:rsidP="005B1A16">
      <w:pPr>
        <w:autoSpaceDE w:val="0"/>
        <w:autoSpaceDN w:val="0"/>
        <w:adjustRightInd w:val="0"/>
        <w:spacing w:line="360" w:lineRule="auto"/>
        <w:jc w:val="both"/>
        <w:outlineLvl w:val="0"/>
        <w:rPr>
          <w:rFonts w:ascii="Book Antiqua" w:eastAsia="SimSun" w:hAnsi="Book Antiqua" w:cs="TimesNewRomanPS-BoldItalicMT"/>
          <w:bCs/>
          <w:iCs/>
          <w:color w:val="000000" w:themeColor="text1"/>
          <w:lang w:eastAsia="zh-CN"/>
        </w:rPr>
      </w:pPr>
      <w:r w:rsidRPr="005B1A16">
        <w:rPr>
          <w:rFonts w:ascii="Book Antiqua" w:hAnsi="Book Antiqua"/>
          <w:b/>
          <w:color w:val="000000" w:themeColor="text1"/>
          <w:lang w:val="en-US"/>
        </w:rPr>
        <w:t>Conflict of interest statement:</w:t>
      </w:r>
      <w:r w:rsidRPr="005B1A16">
        <w:rPr>
          <w:rFonts w:ascii="Book Antiqua" w:hAnsi="Book Antiqua"/>
          <w:color w:val="000000" w:themeColor="text1"/>
          <w:lang w:val="en-US"/>
        </w:rPr>
        <w:t xml:space="preserve"> </w:t>
      </w:r>
      <w:r w:rsidR="00B4033F" w:rsidRPr="005B1A16">
        <w:rPr>
          <w:rFonts w:ascii="Book Antiqua" w:hAnsi="Book Antiqua" w:cs="Arial"/>
          <w:bCs/>
          <w:color w:val="000000" w:themeColor="text1"/>
          <w:lang w:val="en-GB"/>
        </w:rPr>
        <w:t>Bessissow</w:t>
      </w:r>
      <w:r w:rsidR="00B4033F" w:rsidRPr="005B1A16">
        <w:rPr>
          <w:rFonts w:ascii="Book Antiqua" w:hAnsi="Book Antiqua" w:cs="TimesNewRomanPS-BoldItalicMT"/>
          <w:bCs/>
          <w:iCs/>
          <w:color w:val="000000" w:themeColor="text1"/>
        </w:rPr>
        <w:t xml:space="preserve"> T</w:t>
      </w:r>
      <w:r w:rsidR="009D3F3F" w:rsidRPr="005B1A16">
        <w:rPr>
          <w:rFonts w:ascii="Book Antiqua" w:hAnsi="Book Antiqua" w:cs="TimesNewRomanPS-BoldItalicMT"/>
          <w:bCs/>
          <w:iCs/>
          <w:color w:val="000000" w:themeColor="text1"/>
        </w:rPr>
        <w:t xml:space="preserve"> has been a speaker and/or advisory board member for: AbbVie, Janssen, Takeda, Pfizer, Merck, Shire, Ferring and Pendopharm and has received unrestricted research grant from: AbbVie, Janssen, Pentax and Echosense</w:t>
      </w:r>
      <w:r w:rsidR="00B4033F" w:rsidRPr="005B1A16">
        <w:rPr>
          <w:rFonts w:ascii="Book Antiqua" w:eastAsia="SimSun" w:hAnsi="Book Antiqua" w:cs="TimesNewRomanPS-BoldItalicMT"/>
          <w:bCs/>
          <w:iCs/>
          <w:color w:val="000000" w:themeColor="text1"/>
          <w:lang w:eastAsia="zh-CN"/>
        </w:rPr>
        <w:t>;</w:t>
      </w:r>
      <w:r w:rsidR="009D3F3F" w:rsidRPr="005B1A16">
        <w:rPr>
          <w:rFonts w:ascii="Book Antiqua" w:hAnsi="Book Antiqua" w:cs="TimesNewRomanPS-BoldItalicMT"/>
          <w:bCs/>
          <w:iCs/>
          <w:color w:val="000000" w:themeColor="text1"/>
        </w:rPr>
        <w:t xml:space="preserve"> </w:t>
      </w:r>
      <w:r w:rsidR="00B4033F" w:rsidRPr="005B1A16">
        <w:rPr>
          <w:rFonts w:ascii="Book Antiqua" w:hAnsi="Book Antiqua" w:cs="Arial"/>
          <w:bCs/>
          <w:color w:val="000000" w:themeColor="text1"/>
          <w:lang w:val="en-GB"/>
        </w:rPr>
        <w:t>Lakatos</w:t>
      </w:r>
      <w:r w:rsidR="00B4033F" w:rsidRPr="005B1A16">
        <w:rPr>
          <w:rFonts w:ascii="Book Antiqua" w:hAnsi="Book Antiqua"/>
          <w:color w:val="000000" w:themeColor="text1"/>
        </w:rPr>
        <w:t xml:space="preserve"> PL</w:t>
      </w:r>
      <w:r w:rsidR="00A0742D" w:rsidRPr="005B1A16">
        <w:rPr>
          <w:rFonts w:ascii="Book Antiqua" w:hAnsi="Book Antiqua"/>
          <w:color w:val="000000" w:themeColor="text1"/>
        </w:rPr>
        <w:t xml:space="preserve"> has been a speaker and/or advisory board member</w:t>
      </w:r>
      <w:r w:rsidR="00A0742D" w:rsidRPr="005B1A16">
        <w:rPr>
          <w:rFonts w:ascii="Book Antiqua" w:hAnsi="Book Antiqua"/>
          <w:color w:val="000000" w:themeColor="text1"/>
          <w:lang w:val="hu-HU"/>
        </w:rPr>
        <w:t xml:space="preserve">: </w:t>
      </w:r>
      <w:r w:rsidR="00A0742D" w:rsidRPr="005B1A16">
        <w:rPr>
          <w:rFonts w:ascii="Book Antiqua" w:hAnsi="Book Antiqua"/>
          <w:color w:val="000000" w:themeColor="text1"/>
        </w:rPr>
        <w:t xml:space="preserve">AbbVie, Celltrion, Falk Pharma GmbH, Ferring, </w:t>
      </w:r>
      <w:r w:rsidR="00A0742D" w:rsidRPr="005B1A16">
        <w:rPr>
          <w:rFonts w:ascii="Book Antiqua" w:hAnsi="Book Antiqua"/>
          <w:color w:val="000000" w:themeColor="text1"/>
          <w:lang w:val="hu-HU"/>
        </w:rPr>
        <w:t xml:space="preserve">Genetech, Jansen, </w:t>
      </w:r>
      <w:r w:rsidR="00A0742D" w:rsidRPr="005B1A16">
        <w:rPr>
          <w:rFonts w:ascii="Book Antiqua" w:hAnsi="Book Antiqua"/>
          <w:color w:val="000000" w:themeColor="text1"/>
        </w:rPr>
        <w:t xml:space="preserve">Kyowa Hakko Kirin Pharma, Mitsubishi Tanabe Pharma Corporation, MSD, </w:t>
      </w:r>
      <w:r w:rsidR="00A0742D" w:rsidRPr="005B1A16">
        <w:rPr>
          <w:rFonts w:ascii="Book Antiqua" w:hAnsi="Book Antiqua"/>
          <w:color w:val="000000" w:themeColor="text1"/>
          <w:lang w:val="hu-HU"/>
        </w:rPr>
        <w:t xml:space="preserve">Otsuka Pharma, </w:t>
      </w:r>
      <w:r w:rsidR="00A0742D" w:rsidRPr="005B1A16">
        <w:rPr>
          <w:rFonts w:ascii="Book Antiqua" w:hAnsi="Book Antiqua"/>
          <w:color w:val="000000" w:themeColor="text1"/>
        </w:rPr>
        <w:t>Pharmacosmos,</w:t>
      </w:r>
      <w:r w:rsidR="00A0742D" w:rsidRPr="005B1A16">
        <w:rPr>
          <w:rFonts w:ascii="Book Antiqua" w:hAnsi="Book Antiqua"/>
          <w:color w:val="000000" w:themeColor="text1"/>
          <w:lang w:val="hu-HU"/>
        </w:rPr>
        <w:t xml:space="preserve"> Pfizer,</w:t>
      </w:r>
      <w:r w:rsidR="00A0742D" w:rsidRPr="005B1A16">
        <w:rPr>
          <w:rFonts w:ascii="Book Antiqua" w:hAnsi="Book Antiqua"/>
          <w:color w:val="000000" w:themeColor="text1"/>
        </w:rPr>
        <w:t xml:space="preserve"> </w:t>
      </w:r>
      <w:r w:rsidR="00A0742D" w:rsidRPr="005B1A16">
        <w:rPr>
          <w:rFonts w:ascii="Book Antiqua" w:hAnsi="Book Antiqua"/>
          <w:color w:val="000000" w:themeColor="text1"/>
        </w:rPr>
        <w:lastRenderedPageBreak/>
        <w:t>Roche, Shire and Takeda and has received unrestricted research grant</w:t>
      </w:r>
      <w:r w:rsidR="00A0742D" w:rsidRPr="005B1A16">
        <w:rPr>
          <w:rFonts w:ascii="Book Antiqua" w:hAnsi="Book Antiqua"/>
          <w:color w:val="000000" w:themeColor="text1"/>
          <w:lang w:val="hu-HU"/>
        </w:rPr>
        <w:t>:</w:t>
      </w:r>
      <w:r w:rsidR="00A0742D" w:rsidRPr="005B1A16">
        <w:rPr>
          <w:rFonts w:ascii="Book Antiqua" w:hAnsi="Book Antiqua"/>
          <w:color w:val="000000" w:themeColor="text1"/>
        </w:rPr>
        <w:t xml:space="preserve"> AbbVie, MSD and </w:t>
      </w:r>
      <w:r w:rsidR="00A0742D" w:rsidRPr="005B1A16">
        <w:rPr>
          <w:rFonts w:ascii="Book Antiqua" w:hAnsi="Book Antiqua"/>
          <w:color w:val="000000" w:themeColor="text1"/>
          <w:lang w:val="hu-HU"/>
        </w:rPr>
        <w:t>Pfizer.</w:t>
      </w:r>
      <w:r w:rsidR="00B4033F" w:rsidRPr="005B1A16">
        <w:rPr>
          <w:rFonts w:ascii="Book Antiqua" w:eastAsia="SimSun" w:hAnsi="Book Antiqua"/>
          <w:color w:val="000000" w:themeColor="text1"/>
          <w:lang w:eastAsia="zh-CN"/>
        </w:rPr>
        <w:t xml:space="preserve"> </w:t>
      </w:r>
      <w:r w:rsidR="00D736BB" w:rsidRPr="005B1A16">
        <w:rPr>
          <w:rFonts w:ascii="Book Antiqua" w:hAnsi="Book Antiqua" w:cs="TimesNewRomanPS-BoldItalicMT"/>
          <w:bCs/>
          <w:iCs/>
          <w:color w:val="000000" w:themeColor="text1"/>
        </w:rPr>
        <w:t>There are no conflicts of interest to report</w:t>
      </w:r>
      <w:bookmarkEnd w:id="4"/>
      <w:bookmarkEnd w:id="5"/>
      <w:bookmarkEnd w:id="6"/>
      <w:bookmarkEnd w:id="7"/>
      <w:bookmarkEnd w:id="8"/>
      <w:bookmarkEnd w:id="9"/>
      <w:r w:rsidR="00A0742D" w:rsidRPr="005B1A16">
        <w:rPr>
          <w:rFonts w:ascii="Book Antiqua" w:hAnsi="Book Antiqua" w:cs="TimesNewRomanPS-BoldItalicMT"/>
          <w:bCs/>
          <w:iCs/>
          <w:color w:val="000000" w:themeColor="text1"/>
        </w:rPr>
        <w:t xml:space="preserve"> from other authors</w:t>
      </w:r>
      <w:r w:rsidR="00D736BB" w:rsidRPr="005B1A16">
        <w:rPr>
          <w:rFonts w:ascii="Book Antiqua" w:hAnsi="Book Antiqua" w:cs="TimesNewRomanPS-BoldItalicMT"/>
          <w:bCs/>
          <w:iCs/>
          <w:color w:val="000000" w:themeColor="text1"/>
        </w:rPr>
        <w:t xml:space="preserve"> </w:t>
      </w:r>
    </w:p>
    <w:p w14:paraId="54A02C69" w14:textId="77777777" w:rsidR="00B4033F" w:rsidRPr="005B1A16" w:rsidRDefault="00B4033F" w:rsidP="005B1A16">
      <w:pPr>
        <w:autoSpaceDE w:val="0"/>
        <w:autoSpaceDN w:val="0"/>
        <w:adjustRightInd w:val="0"/>
        <w:spacing w:line="360" w:lineRule="auto"/>
        <w:jc w:val="both"/>
        <w:outlineLvl w:val="0"/>
        <w:rPr>
          <w:rFonts w:ascii="Book Antiqua" w:eastAsia="SimSun" w:hAnsi="Book Antiqua"/>
          <w:color w:val="000000" w:themeColor="text1"/>
          <w:lang w:eastAsia="zh-CN"/>
        </w:rPr>
      </w:pPr>
    </w:p>
    <w:p w14:paraId="76DD5075" w14:textId="73E449CC" w:rsidR="00B4033F" w:rsidRPr="005B1A16" w:rsidRDefault="00B4033F" w:rsidP="005B1A16">
      <w:pPr>
        <w:spacing w:line="360" w:lineRule="auto"/>
        <w:jc w:val="both"/>
        <w:rPr>
          <w:rFonts w:ascii="Book Antiqua" w:hAnsi="Book Antiqua"/>
          <w:color w:val="000000" w:themeColor="text1"/>
        </w:rPr>
      </w:pPr>
      <w:bookmarkStart w:id="18" w:name="OLE_LINK507"/>
      <w:bookmarkStart w:id="19" w:name="OLE_LINK506"/>
      <w:bookmarkStart w:id="20" w:name="OLE_LINK496"/>
      <w:bookmarkStart w:id="21" w:name="OLE_LINK479"/>
      <w:bookmarkStart w:id="22" w:name="OLE_LINK535"/>
      <w:bookmarkStart w:id="23" w:name="OLE_LINK536"/>
      <w:bookmarkEnd w:id="10"/>
      <w:bookmarkEnd w:id="11"/>
      <w:bookmarkEnd w:id="12"/>
      <w:bookmarkEnd w:id="13"/>
      <w:bookmarkEnd w:id="14"/>
      <w:bookmarkEnd w:id="15"/>
      <w:bookmarkEnd w:id="16"/>
      <w:bookmarkEnd w:id="17"/>
      <w:r w:rsidRPr="005B1A16">
        <w:rPr>
          <w:rFonts w:ascii="Book Antiqua" w:hAnsi="Book Antiqua"/>
          <w:b/>
          <w:color w:val="000000" w:themeColor="text1"/>
        </w:rPr>
        <w:t xml:space="preserve">Open-Access: </w:t>
      </w:r>
      <w:r w:rsidRPr="005B1A16">
        <w:rPr>
          <w:rFonts w:ascii="Book Antiqua" w:hAnsi="Book Antiqua"/>
          <w:color w:val="000000" w:themeColor="text1"/>
        </w:rPr>
        <w:t>This article is an open-access article which was selected by</w:t>
      </w:r>
      <w:r w:rsidRPr="005B1A16">
        <w:rPr>
          <w:rFonts w:ascii="Book Antiqua" w:eastAsia="SimSun" w:hAnsi="Book Antiqua"/>
          <w:color w:val="000000" w:themeColor="text1"/>
          <w:lang w:eastAsia="zh-CN"/>
        </w:rPr>
        <w:t xml:space="preserve"> </w:t>
      </w:r>
      <w:r w:rsidRPr="005B1A16">
        <w:rPr>
          <w:rFonts w:ascii="Book Antiqua" w:hAnsi="Book Antiqua"/>
          <w:color w:val="000000" w:themeColor="text1"/>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bookmarkEnd w:id="21"/>
    </w:p>
    <w:p w14:paraId="23649C88" w14:textId="77777777" w:rsidR="00B4033F" w:rsidRPr="005B1A16" w:rsidRDefault="00B4033F" w:rsidP="005B1A16">
      <w:pPr>
        <w:spacing w:line="360" w:lineRule="auto"/>
        <w:jc w:val="both"/>
        <w:rPr>
          <w:rFonts w:ascii="Book Antiqua" w:hAnsi="Book Antiqua"/>
          <w:b/>
          <w:color w:val="000000" w:themeColor="text1"/>
          <w:lang w:eastAsia="zh-CN"/>
        </w:rPr>
      </w:pPr>
    </w:p>
    <w:p w14:paraId="65D5C2D4" w14:textId="77777777" w:rsidR="00B4033F" w:rsidRPr="005B1A16" w:rsidRDefault="00B4033F" w:rsidP="005B1A16">
      <w:pPr>
        <w:spacing w:line="360" w:lineRule="auto"/>
        <w:jc w:val="both"/>
        <w:rPr>
          <w:rFonts w:ascii="Book Antiqua" w:hAnsi="Book Antiqua"/>
          <w:b/>
          <w:color w:val="000000" w:themeColor="text1"/>
          <w:lang w:val="en-US" w:eastAsia="zh-CN"/>
        </w:rPr>
      </w:pPr>
      <w:r w:rsidRPr="005B1A16">
        <w:rPr>
          <w:rFonts w:ascii="Book Antiqua" w:hAnsi="Book Antiqua"/>
          <w:b/>
          <w:color w:val="000000" w:themeColor="text1"/>
          <w:lang w:val="en-US"/>
        </w:rPr>
        <w:t>Manuscript source:</w:t>
      </w:r>
      <w:r w:rsidRPr="005B1A16">
        <w:rPr>
          <w:rFonts w:ascii="Book Antiqua" w:hAnsi="Book Antiqua"/>
          <w:color w:val="000000" w:themeColor="text1"/>
        </w:rPr>
        <w:t xml:space="preserve"> </w:t>
      </w:r>
      <w:r w:rsidRPr="005B1A16">
        <w:rPr>
          <w:rFonts w:ascii="Book Antiqua" w:hAnsi="Book Antiqua"/>
          <w:color w:val="000000" w:themeColor="text1"/>
          <w:lang w:val="en-US"/>
        </w:rPr>
        <w:t>Invited manuscript</w:t>
      </w:r>
    </w:p>
    <w:p w14:paraId="3C448341" w14:textId="77777777" w:rsidR="004242CB" w:rsidRPr="005B1A16" w:rsidRDefault="004242CB" w:rsidP="005B1A16">
      <w:pPr>
        <w:spacing w:line="360" w:lineRule="auto"/>
        <w:jc w:val="both"/>
        <w:outlineLvl w:val="0"/>
        <w:rPr>
          <w:rFonts w:ascii="Book Antiqua" w:eastAsia="SimSun" w:hAnsi="Book Antiqua" w:cs="Arial"/>
          <w:color w:val="000000" w:themeColor="text1"/>
          <w:lang w:eastAsia="zh-CN"/>
        </w:rPr>
      </w:pPr>
    </w:p>
    <w:p w14:paraId="31510ABE" w14:textId="0D15E6B4" w:rsidR="00EE5A54" w:rsidRPr="005B1A16" w:rsidRDefault="00D736BB" w:rsidP="005B1A16">
      <w:pPr>
        <w:widowControl w:val="0"/>
        <w:autoSpaceDE w:val="0"/>
        <w:autoSpaceDN w:val="0"/>
        <w:adjustRightInd w:val="0"/>
        <w:spacing w:line="360" w:lineRule="auto"/>
        <w:jc w:val="both"/>
        <w:rPr>
          <w:rFonts w:ascii="Book Antiqua" w:eastAsiaTheme="minorEastAsia" w:hAnsi="Book Antiqua" w:cs="Arial"/>
          <w:color w:val="000000" w:themeColor="text1"/>
        </w:rPr>
      </w:pPr>
      <w:r w:rsidRPr="005B1A16">
        <w:rPr>
          <w:rFonts w:ascii="Book Antiqua" w:hAnsi="Book Antiqua"/>
          <w:b/>
          <w:color w:val="000000" w:themeColor="text1"/>
        </w:rPr>
        <w:t>Correspondence to:</w:t>
      </w:r>
      <w:bookmarkEnd w:id="22"/>
      <w:bookmarkEnd w:id="23"/>
      <w:r w:rsidRPr="005B1A16">
        <w:rPr>
          <w:rFonts w:ascii="Book Antiqua" w:eastAsia="SimSun" w:hAnsi="Book Antiqua"/>
          <w:b/>
          <w:color w:val="000000" w:themeColor="text1"/>
          <w:lang w:eastAsia="zh-CN"/>
        </w:rPr>
        <w:t xml:space="preserve"> </w:t>
      </w:r>
      <w:r w:rsidRPr="005B1A16">
        <w:rPr>
          <w:rFonts w:ascii="Book Antiqua" w:eastAsiaTheme="minorEastAsia" w:hAnsi="Book Antiqua" w:cs="Arial"/>
          <w:b/>
          <w:color w:val="000000" w:themeColor="text1"/>
        </w:rPr>
        <w:t>Peter L Lakatos,</w:t>
      </w:r>
      <w:r w:rsidRPr="005B1A16">
        <w:rPr>
          <w:rFonts w:ascii="Book Antiqua" w:eastAsia="SimSun" w:hAnsi="Book Antiqua"/>
          <w:b/>
          <w:color w:val="000000" w:themeColor="text1"/>
          <w:lang w:eastAsia="zh-CN"/>
        </w:rPr>
        <w:t xml:space="preserve"> </w:t>
      </w:r>
      <w:r w:rsidR="00B71F79" w:rsidRPr="005B1A16">
        <w:rPr>
          <w:rFonts w:ascii="Book Antiqua" w:eastAsia="SimSun" w:hAnsi="Book Antiqua"/>
          <w:b/>
          <w:color w:val="000000" w:themeColor="text1"/>
          <w:lang w:eastAsia="zh-CN"/>
        </w:rPr>
        <w:t xml:space="preserve">DSc, FRCP (C), MD, MSc, PhD, Assistant Professor, Associate Professor, Staff Physician, </w:t>
      </w:r>
      <w:r w:rsidRPr="005B1A16">
        <w:rPr>
          <w:rFonts w:ascii="Book Antiqua" w:eastAsiaTheme="minorEastAsia" w:hAnsi="Book Antiqua" w:cs="Arial"/>
          <w:color w:val="000000" w:themeColor="text1"/>
        </w:rPr>
        <w:t>Division of Gastroenterology</w:t>
      </w:r>
      <w:r w:rsidRPr="005B1A16">
        <w:rPr>
          <w:rFonts w:ascii="Book Antiqua" w:eastAsia="SimSun" w:hAnsi="Book Antiqua"/>
          <w:b/>
          <w:color w:val="000000" w:themeColor="text1"/>
          <w:lang w:eastAsia="zh-CN"/>
        </w:rPr>
        <w:t xml:space="preserve">, </w:t>
      </w:r>
      <w:r w:rsidRPr="005B1A16">
        <w:rPr>
          <w:rFonts w:ascii="Book Antiqua" w:eastAsiaTheme="minorEastAsia" w:hAnsi="Book Antiqua" w:cs="Arial"/>
          <w:color w:val="000000" w:themeColor="text1"/>
        </w:rPr>
        <w:t>Montreal General Hospital C7-200</w:t>
      </w:r>
      <w:r w:rsidRPr="005B1A16">
        <w:rPr>
          <w:rFonts w:ascii="Book Antiqua" w:eastAsia="SimSun" w:hAnsi="Book Antiqua"/>
          <w:b/>
          <w:color w:val="000000" w:themeColor="text1"/>
          <w:lang w:eastAsia="zh-CN"/>
        </w:rPr>
        <w:t xml:space="preserve">, </w:t>
      </w:r>
      <w:r w:rsidRPr="005B1A16">
        <w:rPr>
          <w:rFonts w:ascii="Book Antiqua" w:eastAsiaTheme="minorEastAsia" w:hAnsi="Book Antiqua" w:cs="Arial"/>
          <w:color w:val="000000" w:themeColor="text1"/>
        </w:rPr>
        <w:t>McGill University Health Center</w:t>
      </w:r>
      <w:r w:rsidRPr="005B1A16">
        <w:rPr>
          <w:rFonts w:ascii="Book Antiqua" w:eastAsia="SimSun" w:hAnsi="Book Antiqua"/>
          <w:b/>
          <w:color w:val="000000" w:themeColor="text1"/>
          <w:lang w:eastAsia="zh-CN"/>
        </w:rPr>
        <w:t xml:space="preserve">, </w:t>
      </w:r>
      <w:r w:rsidRPr="005B1A16">
        <w:rPr>
          <w:rFonts w:ascii="Book Antiqua" w:eastAsiaTheme="minorEastAsia" w:hAnsi="Book Antiqua" w:cs="Arial"/>
          <w:color w:val="000000" w:themeColor="text1"/>
        </w:rPr>
        <w:t>1650 Cedar</w:t>
      </w:r>
      <w:r w:rsidR="00BF2098" w:rsidRPr="005B1A16">
        <w:rPr>
          <w:rFonts w:ascii="Book Antiqua" w:eastAsiaTheme="minorEastAsia" w:hAnsi="Book Antiqua" w:cs="Arial"/>
          <w:color w:val="000000" w:themeColor="text1"/>
        </w:rPr>
        <w:t xml:space="preserve"> Avenue</w:t>
      </w:r>
      <w:r w:rsidR="00B44783" w:rsidRPr="005B1A16">
        <w:rPr>
          <w:rFonts w:ascii="Book Antiqua" w:eastAsia="SimSun" w:hAnsi="Book Antiqua" w:cs="Arial"/>
          <w:color w:val="000000" w:themeColor="text1"/>
          <w:lang w:eastAsia="zh-CN"/>
        </w:rPr>
        <w:t>,</w:t>
      </w:r>
      <w:r w:rsidR="00B44783" w:rsidRPr="005B1A16">
        <w:rPr>
          <w:rFonts w:ascii="Book Antiqua" w:eastAsia="SimSun" w:hAnsi="Book Antiqua"/>
          <w:b/>
          <w:color w:val="000000" w:themeColor="text1"/>
          <w:lang w:eastAsia="zh-CN"/>
        </w:rPr>
        <w:t xml:space="preserve"> </w:t>
      </w:r>
      <w:r w:rsidR="00B44783" w:rsidRPr="005B1A16">
        <w:rPr>
          <w:rFonts w:ascii="Book Antiqua" w:eastAsiaTheme="minorEastAsia" w:hAnsi="Book Antiqua" w:cs="Arial"/>
          <w:color w:val="000000" w:themeColor="text1"/>
        </w:rPr>
        <w:t xml:space="preserve">Montreal, Quebec </w:t>
      </w:r>
      <w:r w:rsidRPr="005B1A16">
        <w:rPr>
          <w:rFonts w:ascii="Book Antiqua" w:eastAsiaTheme="minorEastAsia" w:hAnsi="Book Antiqua" w:cs="Arial"/>
          <w:color w:val="000000" w:themeColor="text1"/>
        </w:rPr>
        <w:t>H3G 1A4</w:t>
      </w:r>
      <w:r w:rsidR="00B44783" w:rsidRPr="005B1A16">
        <w:rPr>
          <w:rFonts w:ascii="Book Antiqua" w:eastAsia="SimSun" w:hAnsi="Book Antiqua" w:cs="Arial"/>
          <w:color w:val="000000" w:themeColor="text1"/>
          <w:lang w:eastAsia="zh-CN"/>
        </w:rPr>
        <w:t xml:space="preserve">, </w:t>
      </w:r>
      <w:r w:rsidR="00B44783" w:rsidRPr="005B1A16">
        <w:rPr>
          <w:rFonts w:ascii="Book Antiqua" w:eastAsiaTheme="minorEastAsia" w:hAnsi="Book Antiqua" w:cs="Arial"/>
          <w:color w:val="000000" w:themeColor="text1"/>
        </w:rPr>
        <w:t>Canada</w:t>
      </w:r>
      <w:r w:rsidR="00EE5A54" w:rsidRPr="005B1A16">
        <w:rPr>
          <w:rFonts w:ascii="Book Antiqua" w:eastAsia="SimSun" w:hAnsi="Book Antiqua" w:cs="Arial"/>
          <w:color w:val="000000" w:themeColor="text1"/>
          <w:lang w:eastAsia="zh-CN"/>
        </w:rPr>
        <w:t>.</w:t>
      </w:r>
      <w:r w:rsidR="00EE5A54" w:rsidRPr="005B1A16">
        <w:rPr>
          <w:rFonts w:ascii="Book Antiqua" w:hAnsi="Book Antiqua"/>
          <w:color w:val="000000" w:themeColor="text1"/>
        </w:rPr>
        <w:t xml:space="preserve"> </w:t>
      </w:r>
      <w:hyperlink r:id="rId8" w:history="1">
        <w:r w:rsidR="00EE5A54" w:rsidRPr="005B1A16">
          <w:rPr>
            <w:rStyle w:val="Hyperlink"/>
            <w:rFonts w:ascii="Book Antiqua" w:eastAsiaTheme="minorEastAsia" w:hAnsi="Book Antiqua" w:cs="Arial"/>
            <w:color w:val="000000" w:themeColor="text1"/>
          </w:rPr>
          <w:t>kislakpet99@gmail.com</w:t>
        </w:r>
      </w:hyperlink>
    </w:p>
    <w:p w14:paraId="47105196" w14:textId="77777777" w:rsidR="00EE5A54" w:rsidRPr="005B1A16" w:rsidRDefault="00EE5A54" w:rsidP="005B1A16">
      <w:pPr>
        <w:adjustRightInd w:val="0"/>
        <w:snapToGrid w:val="0"/>
        <w:spacing w:line="360" w:lineRule="auto"/>
        <w:jc w:val="both"/>
        <w:rPr>
          <w:rFonts w:ascii="Book Antiqua" w:eastAsia="SimSun" w:hAnsi="Book Antiqua"/>
          <w:color w:val="000000" w:themeColor="text1"/>
          <w:lang w:eastAsia="zh-CN"/>
        </w:rPr>
      </w:pPr>
      <w:r w:rsidRPr="005B1A16">
        <w:rPr>
          <w:rFonts w:ascii="Book Antiqua" w:hAnsi="Book Antiqua"/>
          <w:b/>
          <w:color w:val="000000" w:themeColor="text1"/>
        </w:rPr>
        <w:t>Telephone:</w:t>
      </w:r>
      <w:r w:rsidRPr="005B1A16">
        <w:rPr>
          <w:rFonts w:ascii="Book Antiqua" w:eastAsia="SimSun" w:hAnsi="Book Antiqua"/>
          <w:b/>
          <w:color w:val="000000" w:themeColor="text1"/>
          <w:lang w:eastAsia="zh-CN"/>
        </w:rPr>
        <w:t xml:space="preserve"> </w:t>
      </w:r>
      <w:r w:rsidRPr="005B1A16">
        <w:rPr>
          <w:rFonts w:ascii="Book Antiqua" w:eastAsia="SimSun" w:hAnsi="Book Antiqua"/>
          <w:color w:val="000000" w:themeColor="text1"/>
          <w:lang w:eastAsia="zh-CN"/>
        </w:rPr>
        <w:t>+36-1-2100278</w:t>
      </w:r>
    </w:p>
    <w:p w14:paraId="5816C17B" w14:textId="77777777" w:rsidR="00EE5A54" w:rsidRPr="005B1A16" w:rsidRDefault="00EE5A54" w:rsidP="005B1A16">
      <w:pPr>
        <w:adjustRightInd w:val="0"/>
        <w:snapToGrid w:val="0"/>
        <w:spacing w:line="360" w:lineRule="auto"/>
        <w:jc w:val="both"/>
        <w:rPr>
          <w:rFonts w:ascii="Book Antiqua" w:eastAsia="SimSun" w:hAnsi="Book Antiqua"/>
          <w:color w:val="000000" w:themeColor="text1"/>
          <w:lang w:eastAsia="zh-CN"/>
        </w:rPr>
      </w:pPr>
      <w:r w:rsidRPr="005B1A16">
        <w:rPr>
          <w:rFonts w:ascii="Book Antiqua" w:hAnsi="Book Antiqua"/>
          <w:b/>
          <w:color w:val="000000" w:themeColor="text1"/>
        </w:rPr>
        <w:t>Fax:</w:t>
      </w:r>
      <w:r w:rsidRPr="005B1A16">
        <w:rPr>
          <w:rFonts w:ascii="Book Antiqua" w:hAnsi="Book Antiqua"/>
          <w:color w:val="000000" w:themeColor="text1"/>
        </w:rPr>
        <w:t xml:space="preserve"> +36-1-3130250</w:t>
      </w:r>
    </w:p>
    <w:p w14:paraId="01771D32" w14:textId="77777777" w:rsidR="00383E6A" w:rsidRPr="005B1A16" w:rsidRDefault="00383E6A" w:rsidP="005B1A16">
      <w:pPr>
        <w:adjustRightInd w:val="0"/>
        <w:snapToGrid w:val="0"/>
        <w:spacing w:line="360" w:lineRule="auto"/>
        <w:jc w:val="both"/>
        <w:rPr>
          <w:rFonts w:ascii="Book Antiqua" w:eastAsia="SimSun" w:hAnsi="Book Antiqua"/>
          <w:color w:val="000000" w:themeColor="text1"/>
          <w:lang w:eastAsia="zh-CN"/>
        </w:rPr>
      </w:pPr>
    </w:p>
    <w:p w14:paraId="06531206" w14:textId="355055DC" w:rsidR="00383E6A" w:rsidRPr="005B1A16" w:rsidRDefault="00383E6A" w:rsidP="005B1A16">
      <w:pPr>
        <w:spacing w:line="360" w:lineRule="auto"/>
        <w:jc w:val="both"/>
        <w:rPr>
          <w:rFonts w:ascii="Book Antiqua" w:eastAsia="SimSun" w:hAnsi="Book Antiqua"/>
          <w:b/>
          <w:color w:val="000000" w:themeColor="text1"/>
          <w:lang w:eastAsia="zh-CN"/>
        </w:rPr>
      </w:pPr>
      <w:bookmarkStart w:id="24" w:name="OLE_LINK476"/>
      <w:bookmarkStart w:id="25" w:name="OLE_LINK477"/>
      <w:bookmarkStart w:id="26" w:name="OLE_LINK117"/>
      <w:bookmarkStart w:id="27" w:name="OLE_LINK528"/>
      <w:bookmarkStart w:id="28" w:name="OLE_LINK557"/>
      <w:r w:rsidRPr="005B1A16">
        <w:rPr>
          <w:rFonts w:ascii="Book Antiqua" w:hAnsi="Book Antiqua"/>
          <w:b/>
          <w:color w:val="000000" w:themeColor="text1"/>
        </w:rPr>
        <w:t>Received:</w:t>
      </w:r>
      <w:r w:rsidRPr="005B1A16">
        <w:rPr>
          <w:rFonts w:ascii="Book Antiqua" w:eastAsia="SimSun" w:hAnsi="Book Antiqua"/>
          <w:b/>
          <w:color w:val="000000" w:themeColor="text1"/>
          <w:lang w:eastAsia="zh-CN"/>
        </w:rPr>
        <w:t xml:space="preserve"> </w:t>
      </w:r>
      <w:r w:rsidRPr="005B1A16">
        <w:rPr>
          <w:rFonts w:ascii="Book Antiqua" w:eastAsia="SimSun" w:hAnsi="Book Antiqua"/>
          <w:color w:val="000000" w:themeColor="text1"/>
          <w:lang w:eastAsia="zh-CN"/>
        </w:rPr>
        <w:t>March 29, 2018</w:t>
      </w:r>
    </w:p>
    <w:p w14:paraId="3BE71100" w14:textId="5DDE3080" w:rsidR="00383E6A" w:rsidRPr="005B1A16" w:rsidRDefault="00383E6A"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Peer-review started:</w:t>
      </w:r>
      <w:r w:rsidRPr="005B1A16">
        <w:rPr>
          <w:rFonts w:ascii="Book Antiqua" w:eastAsia="SimSun" w:hAnsi="Book Antiqua"/>
          <w:color w:val="000000" w:themeColor="text1"/>
          <w:lang w:eastAsia="zh-CN"/>
        </w:rPr>
        <w:t xml:space="preserve"> March 29, 2018</w:t>
      </w:r>
    </w:p>
    <w:p w14:paraId="2A83F5E8" w14:textId="285A5BA6" w:rsidR="00383E6A" w:rsidRPr="005B1A16" w:rsidRDefault="00383E6A" w:rsidP="005B1A16">
      <w:pPr>
        <w:spacing w:line="360" w:lineRule="auto"/>
        <w:jc w:val="both"/>
        <w:rPr>
          <w:rFonts w:ascii="Book Antiqua" w:eastAsia="SimSun" w:hAnsi="Book Antiqua"/>
          <w:b/>
          <w:color w:val="000000" w:themeColor="text1"/>
          <w:lang w:eastAsia="zh-CN"/>
        </w:rPr>
      </w:pPr>
      <w:r w:rsidRPr="005B1A16">
        <w:rPr>
          <w:rFonts w:ascii="Book Antiqua" w:hAnsi="Book Antiqua"/>
          <w:b/>
          <w:color w:val="000000" w:themeColor="text1"/>
        </w:rPr>
        <w:t>First decision:</w:t>
      </w:r>
      <w:r w:rsidRPr="005B1A16">
        <w:rPr>
          <w:rFonts w:ascii="Book Antiqua" w:eastAsia="SimSun" w:hAnsi="Book Antiqua"/>
          <w:b/>
          <w:color w:val="000000" w:themeColor="text1"/>
          <w:lang w:eastAsia="zh-CN"/>
        </w:rPr>
        <w:t xml:space="preserve"> </w:t>
      </w:r>
      <w:r w:rsidRPr="005B1A16">
        <w:rPr>
          <w:rFonts w:ascii="Book Antiqua" w:eastAsia="SimSun" w:hAnsi="Book Antiqua"/>
          <w:color w:val="000000" w:themeColor="text1"/>
          <w:lang w:eastAsia="zh-CN"/>
        </w:rPr>
        <w:t>April 26, 2018</w:t>
      </w:r>
    </w:p>
    <w:p w14:paraId="237D9502" w14:textId="543E02B6" w:rsidR="00383E6A" w:rsidRPr="005B1A16" w:rsidRDefault="00383E6A" w:rsidP="005B1A16">
      <w:pPr>
        <w:spacing w:line="360" w:lineRule="auto"/>
        <w:jc w:val="both"/>
        <w:rPr>
          <w:rFonts w:ascii="Book Antiqua" w:eastAsia="SimSun" w:hAnsi="Book Antiqua"/>
          <w:b/>
          <w:color w:val="000000" w:themeColor="text1"/>
          <w:lang w:eastAsia="zh-CN"/>
        </w:rPr>
      </w:pPr>
      <w:r w:rsidRPr="005B1A16">
        <w:rPr>
          <w:rFonts w:ascii="Book Antiqua" w:hAnsi="Book Antiqua"/>
          <w:b/>
          <w:color w:val="000000" w:themeColor="text1"/>
        </w:rPr>
        <w:t>Revised:</w:t>
      </w:r>
      <w:r w:rsidRPr="005B1A16">
        <w:rPr>
          <w:rFonts w:ascii="Book Antiqua" w:eastAsia="SimSun" w:hAnsi="Book Antiqua"/>
          <w:b/>
          <w:color w:val="000000" w:themeColor="text1"/>
          <w:lang w:eastAsia="zh-CN"/>
        </w:rPr>
        <w:t xml:space="preserve"> </w:t>
      </w:r>
      <w:r w:rsidRPr="005B1A16">
        <w:rPr>
          <w:rFonts w:ascii="Book Antiqua" w:eastAsia="SimSun" w:hAnsi="Book Antiqua"/>
          <w:color w:val="000000" w:themeColor="text1"/>
          <w:lang w:eastAsia="zh-CN"/>
        </w:rPr>
        <w:t>May 9, 2018</w:t>
      </w:r>
    </w:p>
    <w:p w14:paraId="23CA2B65" w14:textId="5BE855A7" w:rsidR="00383E6A" w:rsidRPr="005B1A16" w:rsidRDefault="00383E6A"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Accepted:</w:t>
      </w:r>
      <w:r w:rsidR="00B46148" w:rsidRPr="00B46148">
        <w:t xml:space="preserve"> </w:t>
      </w:r>
      <w:r w:rsidR="00B46148" w:rsidRPr="00B46148">
        <w:rPr>
          <w:rFonts w:ascii="Book Antiqua" w:hAnsi="Book Antiqua"/>
          <w:color w:val="000000" w:themeColor="text1"/>
        </w:rPr>
        <w:t>June 25, 2018</w:t>
      </w:r>
      <w:r w:rsidR="006D2854" w:rsidRPr="005B1A16">
        <w:rPr>
          <w:rFonts w:ascii="Book Antiqua" w:hAnsi="Book Antiqua"/>
          <w:b/>
          <w:color w:val="000000" w:themeColor="text1"/>
        </w:rPr>
        <w:t xml:space="preserve"> </w:t>
      </w:r>
    </w:p>
    <w:p w14:paraId="1DEF87FA" w14:textId="77777777" w:rsidR="00383E6A" w:rsidRPr="005B1A16" w:rsidRDefault="00383E6A"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Article in press:</w:t>
      </w:r>
    </w:p>
    <w:p w14:paraId="59201941" w14:textId="0468D934" w:rsidR="00BE6AF8" w:rsidRPr="005B1A16" w:rsidRDefault="00383E6A"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Published online:</w:t>
      </w:r>
      <w:bookmarkEnd w:id="24"/>
      <w:bookmarkEnd w:id="25"/>
      <w:bookmarkEnd w:id="26"/>
      <w:bookmarkEnd w:id="27"/>
      <w:bookmarkEnd w:id="28"/>
    </w:p>
    <w:p w14:paraId="232E8FBE" w14:textId="4C4D2CD6" w:rsidR="00BE6AF8" w:rsidRPr="005B1A16" w:rsidRDefault="00BE6AF8" w:rsidP="005B1A16">
      <w:pPr>
        <w:spacing w:line="360" w:lineRule="auto"/>
        <w:jc w:val="both"/>
        <w:rPr>
          <w:rFonts w:ascii="Book Antiqua" w:hAnsi="Book Antiqua"/>
          <w:b/>
          <w:color w:val="000000" w:themeColor="text1"/>
        </w:rPr>
      </w:pPr>
    </w:p>
    <w:p w14:paraId="3EF6A648" w14:textId="77777777" w:rsidR="00444CE5" w:rsidRPr="005B1A16" w:rsidRDefault="00444CE5"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br w:type="page"/>
      </w:r>
      <w:bookmarkStart w:id="29" w:name="_GoBack"/>
      <w:bookmarkEnd w:id="29"/>
    </w:p>
    <w:p w14:paraId="140C183A" w14:textId="5468B561" w:rsidR="00437E2F" w:rsidRPr="005B1A16" w:rsidRDefault="00444CE5" w:rsidP="005B1A16">
      <w:pPr>
        <w:spacing w:line="360" w:lineRule="auto"/>
        <w:jc w:val="both"/>
        <w:outlineLvl w:val="0"/>
        <w:rPr>
          <w:rFonts w:ascii="Book Antiqua" w:eastAsia="SimSun" w:hAnsi="Book Antiqua"/>
          <w:b/>
          <w:color w:val="000000" w:themeColor="text1"/>
          <w:lang w:eastAsia="zh-CN"/>
        </w:rPr>
      </w:pPr>
      <w:r w:rsidRPr="005B1A16">
        <w:rPr>
          <w:rFonts w:ascii="Book Antiqua" w:hAnsi="Book Antiqua"/>
          <w:b/>
          <w:color w:val="000000" w:themeColor="text1"/>
        </w:rPr>
        <w:lastRenderedPageBreak/>
        <w:t>Abstract</w:t>
      </w:r>
    </w:p>
    <w:p w14:paraId="5E83EF68" w14:textId="74AE5204" w:rsidR="00A83AF3" w:rsidRPr="005B1A16" w:rsidRDefault="00437E2F" w:rsidP="005B1A16">
      <w:pPr>
        <w:spacing w:line="360" w:lineRule="auto"/>
        <w:jc w:val="both"/>
        <w:rPr>
          <w:rFonts w:ascii="Book Antiqua" w:hAnsi="Book Antiqua"/>
          <w:color w:val="000000" w:themeColor="text1"/>
        </w:rPr>
      </w:pPr>
      <w:r w:rsidRPr="005B1A16">
        <w:rPr>
          <w:rFonts w:ascii="Book Antiqua" w:hAnsi="Book Antiqua"/>
          <w:color w:val="000000" w:themeColor="text1"/>
        </w:rPr>
        <w:t xml:space="preserve">The past decade has brought substantial advances in the management of inflammatory bowel diseases (IBD). The introduction of </w:t>
      </w:r>
      <w:r w:rsidR="00FD29BC" w:rsidRPr="005B1A16">
        <w:rPr>
          <w:rFonts w:ascii="Book Antiqua" w:hAnsi="Book Antiqua"/>
          <w:color w:val="000000" w:themeColor="text1"/>
        </w:rPr>
        <w:t xml:space="preserve">tumor necrosis factor </w:t>
      </w:r>
      <w:r w:rsidR="00FD29BC" w:rsidRPr="005B1A16">
        <w:rPr>
          <w:rFonts w:ascii="Book Antiqua" w:eastAsia="SimSun" w:hAnsi="Book Antiqua"/>
          <w:color w:val="000000" w:themeColor="text1"/>
          <w:lang w:eastAsia="zh-CN"/>
        </w:rPr>
        <w:t>(</w:t>
      </w:r>
      <w:r w:rsidRPr="005B1A16">
        <w:rPr>
          <w:rFonts w:ascii="Book Antiqua" w:hAnsi="Book Antiqua"/>
          <w:color w:val="000000" w:themeColor="text1"/>
        </w:rPr>
        <w:t>TNF</w:t>
      </w:r>
      <w:r w:rsidR="00FD29BC" w:rsidRPr="005B1A16">
        <w:rPr>
          <w:rFonts w:ascii="Book Antiqua" w:eastAsia="SimSun" w:hAnsi="Book Antiqua"/>
          <w:color w:val="000000" w:themeColor="text1"/>
          <w:lang w:eastAsia="zh-CN"/>
        </w:rPr>
        <w:t>)</w:t>
      </w:r>
      <w:r w:rsidRPr="005B1A16">
        <w:rPr>
          <w:rFonts w:ascii="Book Antiqua" w:hAnsi="Book Antiqua"/>
          <w:color w:val="000000" w:themeColor="text1"/>
        </w:rPr>
        <w:t xml:space="preserve"> antagonists, evidence for the value of combination therapy, the recognition of targeting lymphocyte trafficking and activation as a viable treatment, and the need for early treatment of high-risk patients are all fundamental concepts for current mo</w:t>
      </w:r>
      <w:bookmarkStart w:id="30" w:name="_Hlk507543470"/>
      <w:r w:rsidR="00444CE5" w:rsidRPr="005B1A16">
        <w:rPr>
          <w:rFonts w:ascii="Book Antiqua" w:hAnsi="Book Antiqua"/>
          <w:color w:val="000000" w:themeColor="text1"/>
        </w:rPr>
        <w:t xml:space="preserve">dern IBD treatment algorithms. </w:t>
      </w:r>
      <w:r w:rsidRPr="005B1A16">
        <w:rPr>
          <w:rFonts w:ascii="Book Antiqua" w:hAnsi="Book Antiqua"/>
          <w:color w:val="000000" w:themeColor="text1"/>
        </w:rPr>
        <w:t xml:space="preserve">In this article, authors review </w:t>
      </w:r>
      <w:r w:rsidR="002D0E8B" w:rsidRPr="005B1A16">
        <w:rPr>
          <w:rFonts w:ascii="Book Antiqua" w:hAnsi="Book Antiqua"/>
          <w:color w:val="000000" w:themeColor="text1"/>
        </w:rPr>
        <w:t xml:space="preserve">the </w:t>
      </w:r>
      <w:r w:rsidRPr="005B1A16">
        <w:rPr>
          <w:rFonts w:ascii="Book Antiqua" w:hAnsi="Book Antiqua"/>
          <w:color w:val="000000" w:themeColor="text1"/>
        </w:rPr>
        <w:t xml:space="preserve">existing data on </w:t>
      </w:r>
      <w:r w:rsidR="00A0742D" w:rsidRPr="005B1A16">
        <w:rPr>
          <w:rFonts w:ascii="Book Antiqua" w:hAnsi="Book Antiqua"/>
          <w:color w:val="000000" w:themeColor="text1"/>
        </w:rPr>
        <w:t>approved</w:t>
      </w:r>
      <w:r w:rsidRPr="005B1A16">
        <w:rPr>
          <w:rFonts w:ascii="Book Antiqua" w:hAnsi="Book Antiqua"/>
          <w:color w:val="000000" w:themeColor="text1"/>
        </w:rPr>
        <w:t xml:space="preserve"> biologicals and small molecules </w:t>
      </w:r>
      <w:r w:rsidR="002D0E8B" w:rsidRPr="005B1A16">
        <w:rPr>
          <w:rFonts w:ascii="Book Antiqua" w:hAnsi="Book Antiqua"/>
          <w:color w:val="000000" w:themeColor="text1"/>
        </w:rPr>
        <w:t>as well as provide insight</w:t>
      </w:r>
      <w:r w:rsidRPr="005B1A16">
        <w:rPr>
          <w:rFonts w:ascii="Book Antiqua" w:hAnsi="Book Antiqua"/>
          <w:color w:val="000000" w:themeColor="text1"/>
        </w:rPr>
        <w:t xml:space="preserve"> on </w:t>
      </w:r>
      <w:r w:rsidR="002D0E8B" w:rsidRPr="005B1A16">
        <w:rPr>
          <w:rFonts w:ascii="Book Antiqua" w:hAnsi="Book Antiqua"/>
          <w:color w:val="000000" w:themeColor="text1"/>
        </w:rPr>
        <w:t xml:space="preserve">the </w:t>
      </w:r>
      <w:r w:rsidRPr="005B1A16">
        <w:rPr>
          <w:rFonts w:ascii="Book Antiqua" w:hAnsi="Book Antiqua"/>
          <w:color w:val="000000" w:themeColor="text1"/>
        </w:rPr>
        <w:t>current positioning of approved therapies</w:t>
      </w:r>
      <w:bookmarkEnd w:id="30"/>
      <w:r w:rsidR="002D0E8B" w:rsidRPr="005B1A16">
        <w:rPr>
          <w:rFonts w:ascii="Book Antiqua" w:hAnsi="Book Antiqua"/>
          <w:color w:val="000000" w:themeColor="text1"/>
        </w:rPr>
        <w:t xml:space="preserve">. </w:t>
      </w:r>
      <w:r w:rsidR="00A83AF3" w:rsidRPr="005B1A16">
        <w:rPr>
          <w:rFonts w:ascii="Book Antiqua" w:hAnsi="Book Antiqua"/>
          <w:color w:val="000000" w:themeColor="text1"/>
        </w:rPr>
        <w:t xml:space="preserve">Patient stratification for </w:t>
      </w:r>
      <w:r w:rsidR="007639F0" w:rsidRPr="005B1A16">
        <w:rPr>
          <w:rFonts w:ascii="Book Antiqua" w:hAnsi="Book Antiqua"/>
          <w:color w:val="000000" w:themeColor="text1"/>
        </w:rPr>
        <w:t xml:space="preserve">the </w:t>
      </w:r>
      <w:r w:rsidR="00A83AF3" w:rsidRPr="005B1A16">
        <w:rPr>
          <w:rFonts w:ascii="Book Antiqua" w:hAnsi="Book Antiqua"/>
          <w:color w:val="000000" w:themeColor="text1"/>
        </w:rPr>
        <w:t>selection of specific therapies, t</w:t>
      </w:r>
      <w:r w:rsidR="002D0E8B" w:rsidRPr="005B1A16">
        <w:rPr>
          <w:rFonts w:ascii="Book Antiqua" w:hAnsi="Book Antiqua"/>
          <w:color w:val="000000" w:themeColor="text1"/>
        </w:rPr>
        <w:t xml:space="preserve">herapeutic targets and patient monitoring </w:t>
      </w:r>
      <w:r w:rsidR="00A83AF3" w:rsidRPr="005B1A16">
        <w:rPr>
          <w:rFonts w:ascii="Book Antiqua" w:hAnsi="Book Antiqua"/>
          <w:color w:val="000000" w:themeColor="text1"/>
        </w:rPr>
        <w:t xml:space="preserve">will be discussed as well. The therapeutic armamentarium for IBD is expanding as </w:t>
      </w:r>
      <w:r w:rsidR="007639F0" w:rsidRPr="005B1A16">
        <w:rPr>
          <w:rFonts w:ascii="Book Antiqua" w:hAnsi="Book Antiqua"/>
          <w:color w:val="000000" w:themeColor="text1"/>
        </w:rPr>
        <w:t>novel</w:t>
      </w:r>
      <w:r w:rsidR="00A83AF3" w:rsidRPr="005B1A16">
        <w:rPr>
          <w:rFonts w:ascii="Book Antiqua" w:hAnsi="Book Antiqua"/>
          <w:color w:val="000000" w:themeColor="text1"/>
        </w:rPr>
        <w:t xml:space="preserve"> </w:t>
      </w:r>
      <w:r w:rsidR="007639F0" w:rsidRPr="005B1A16">
        <w:rPr>
          <w:rFonts w:ascii="Book Antiqua" w:hAnsi="Book Antiqua"/>
          <w:color w:val="000000" w:themeColor="text1"/>
        </w:rPr>
        <w:t xml:space="preserve">and more </w:t>
      </w:r>
      <w:r w:rsidR="00A83AF3" w:rsidRPr="005B1A16">
        <w:rPr>
          <w:rFonts w:ascii="Book Antiqua" w:hAnsi="Book Antiqua"/>
          <w:color w:val="000000" w:themeColor="text1"/>
        </w:rPr>
        <w:t xml:space="preserve">targeted </w:t>
      </w:r>
      <w:r w:rsidR="007639F0" w:rsidRPr="005B1A16">
        <w:rPr>
          <w:rFonts w:ascii="Book Antiqua" w:hAnsi="Book Antiqua"/>
          <w:color w:val="000000" w:themeColor="text1"/>
        </w:rPr>
        <w:t>therapies</w:t>
      </w:r>
      <w:r w:rsidR="00A83AF3" w:rsidRPr="005B1A16">
        <w:rPr>
          <w:rFonts w:ascii="Book Antiqua" w:hAnsi="Book Antiqua"/>
          <w:color w:val="000000" w:themeColor="text1"/>
        </w:rPr>
        <w:t xml:space="preserve"> become available. In the absence of comparative trials, positioning these agents </w:t>
      </w:r>
      <w:r w:rsidR="00394746" w:rsidRPr="005B1A16">
        <w:rPr>
          <w:rFonts w:ascii="Book Antiqua" w:hAnsi="Book Antiqua"/>
          <w:color w:val="000000" w:themeColor="text1"/>
        </w:rPr>
        <w:t>is</w:t>
      </w:r>
      <w:r w:rsidR="00A83AF3" w:rsidRPr="005B1A16">
        <w:rPr>
          <w:rFonts w:ascii="Book Antiqua" w:hAnsi="Book Antiqua"/>
          <w:color w:val="000000" w:themeColor="text1"/>
        </w:rPr>
        <w:t xml:space="preserve"> becoming difficult. Emerging concepts for the future will include an emphasis on the development of algorithms which will facilitate a greater understanding of the positioning of novel biological drugs and small molecules in order to best tailor therapy to the patient. </w:t>
      </w:r>
      <w:r w:rsidR="007B7AAF" w:rsidRPr="005B1A16">
        <w:rPr>
          <w:rFonts w:ascii="Book Antiqua" w:hAnsi="Book Antiqua"/>
          <w:color w:val="000000" w:themeColor="text1"/>
        </w:rPr>
        <w:t xml:space="preserve">In the interim, anti-TNF therapy remains </w:t>
      </w:r>
      <w:r w:rsidR="00563395" w:rsidRPr="005B1A16">
        <w:rPr>
          <w:rFonts w:ascii="Book Antiqua" w:hAnsi="Book Antiqua"/>
          <w:color w:val="000000" w:themeColor="text1"/>
        </w:rPr>
        <w:t>an important component of IBD therapy with the most real-life evidence and should be considered as</w:t>
      </w:r>
      <w:r w:rsidR="007B7AAF" w:rsidRPr="005B1A16">
        <w:rPr>
          <w:rFonts w:ascii="Book Antiqua" w:hAnsi="Book Antiqua"/>
          <w:color w:val="000000" w:themeColor="text1"/>
        </w:rPr>
        <w:t xml:space="preserve"> first-line therapy in patients with complicated </w:t>
      </w:r>
      <w:r w:rsidR="003524A5" w:rsidRPr="005B1A16">
        <w:rPr>
          <w:rFonts w:ascii="Book Antiqua" w:hAnsi="Book Antiqua"/>
          <w:color w:val="000000" w:themeColor="text1"/>
        </w:rPr>
        <w:t xml:space="preserve">Crohn’s disease </w:t>
      </w:r>
      <w:r w:rsidR="007B7AAF" w:rsidRPr="005B1A16">
        <w:rPr>
          <w:rFonts w:ascii="Book Antiqua" w:hAnsi="Book Antiqua"/>
          <w:color w:val="000000" w:themeColor="text1"/>
        </w:rPr>
        <w:t xml:space="preserve">and in acute-severe </w:t>
      </w:r>
      <w:r w:rsidR="003524A5" w:rsidRPr="005B1A16">
        <w:rPr>
          <w:rFonts w:ascii="Book Antiqua" w:hAnsi="Book Antiqua"/>
          <w:color w:val="000000" w:themeColor="text1"/>
        </w:rPr>
        <w:t>ulcerative colitis</w:t>
      </w:r>
      <w:r w:rsidR="007B7AAF" w:rsidRPr="005B1A16">
        <w:rPr>
          <w:rFonts w:ascii="Book Antiqua" w:hAnsi="Book Antiqua"/>
          <w:color w:val="000000" w:themeColor="text1"/>
        </w:rPr>
        <w:t xml:space="preserve">. The safety and efficacy of these ‘older’ anti-TNF therapies can be optimized by adhering to therapeutic algorithms which combine clinical and objective markers of disease severity and response to therapy. </w:t>
      </w:r>
    </w:p>
    <w:p w14:paraId="50EC8393" w14:textId="14B713EB" w:rsidR="00437E2F" w:rsidRPr="005B1A16" w:rsidRDefault="00437E2F" w:rsidP="005B1A16">
      <w:pPr>
        <w:spacing w:line="360" w:lineRule="auto"/>
        <w:jc w:val="both"/>
        <w:rPr>
          <w:rFonts w:ascii="Book Antiqua" w:hAnsi="Book Antiqua"/>
          <w:b/>
          <w:color w:val="000000" w:themeColor="text1"/>
        </w:rPr>
      </w:pPr>
    </w:p>
    <w:p w14:paraId="3469AF8C" w14:textId="5B072918" w:rsidR="003524A5" w:rsidRPr="005B1A16" w:rsidRDefault="003524A5" w:rsidP="005B1A16">
      <w:pPr>
        <w:spacing w:line="360" w:lineRule="auto"/>
        <w:jc w:val="both"/>
        <w:rPr>
          <w:rFonts w:ascii="Book Antiqua" w:eastAsia="SimSun" w:hAnsi="Book Antiqua"/>
          <w:color w:val="000000" w:themeColor="text1"/>
          <w:lang w:eastAsia="zh-CN"/>
        </w:rPr>
      </w:pPr>
      <w:r w:rsidRPr="005B1A16">
        <w:rPr>
          <w:rFonts w:ascii="Book Antiqua" w:hAnsi="Book Antiqua"/>
          <w:b/>
          <w:color w:val="000000" w:themeColor="text1"/>
        </w:rPr>
        <w:t>Key words</w:t>
      </w:r>
      <w:r w:rsidRPr="005B1A16">
        <w:rPr>
          <w:rFonts w:ascii="Book Antiqua" w:eastAsia="SimSun" w:hAnsi="Book Antiqua"/>
          <w:b/>
          <w:color w:val="000000" w:themeColor="text1"/>
          <w:lang w:eastAsia="zh-CN"/>
        </w:rPr>
        <w:t xml:space="preserve">: </w:t>
      </w:r>
      <w:r w:rsidRPr="005B1A16">
        <w:rPr>
          <w:rFonts w:ascii="Book Antiqua" w:hAnsi="Book Antiqua"/>
          <w:color w:val="000000" w:themeColor="text1"/>
        </w:rPr>
        <w:t>Inflammatory bowel disease</w:t>
      </w:r>
      <w:r w:rsidRPr="005B1A16">
        <w:rPr>
          <w:rFonts w:ascii="Book Antiqua" w:eastAsia="SimSun" w:hAnsi="Book Antiqua"/>
          <w:color w:val="000000" w:themeColor="text1"/>
          <w:lang w:eastAsia="zh-CN"/>
        </w:rPr>
        <w:t>;</w:t>
      </w:r>
      <w:r w:rsidRPr="005B1A16">
        <w:rPr>
          <w:rFonts w:ascii="Book Antiqua" w:hAnsi="Book Antiqua"/>
          <w:color w:val="000000" w:themeColor="text1"/>
        </w:rPr>
        <w:t xml:space="preserve"> Positioning</w:t>
      </w:r>
      <w:r w:rsidRPr="005B1A16">
        <w:rPr>
          <w:rFonts w:ascii="Book Antiqua" w:eastAsia="SimSun" w:hAnsi="Book Antiqua"/>
          <w:color w:val="000000" w:themeColor="text1"/>
          <w:lang w:eastAsia="zh-CN"/>
        </w:rPr>
        <w:t>;</w:t>
      </w:r>
      <w:r w:rsidRPr="005B1A16">
        <w:rPr>
          <w:rFonts w:ascii="Book Antiqua" w:hAnsi="Book Antiqua"/>
          <w:color w:val="000000" w:themeColor="text1"/>
        </w:rPr>
        <w:t xml:space="preserve"> Biologic</w:t>
      </w:r>
      <w:r w:rsidRPr="005B1A16">
        <w:rPr>
          <w:rFonts w:ascii="Book Antiqua" w:eastAsia="SimSun" w:hAnsi="Book Antiqua"/>
          <w:color w:val="000000" w:themeColor="text1"/>
          <w:lang w:eastAsia="zh-CN"/>
        </w:rPr>
        <w:t>;</w:t>
      </w:r>
      <w:r w:rsidRPr="005B1A16">
        <w:rPr>
          <w:rFonts w:ascii="Book Antiqua" w:hAnsi="Book Antiqua"/>
          <w:color w:val="000000" w:themeColor="text1"/>
        </w:rPr>
        <w:t xml:space="preserve"> Small molecule</w:t>
      </w:r>
      <w:r w:rsidRPr="005B1A16">
        <w:rPr>
          <w:rFonts w:ascii="Book Antiqua" w:eastAsia="SimSun" w:hAnsi="Book Antiqua"/>
          <w:color w:val="000000" w:themeColor="text1"/>
          <w:lang w:eastAsia="zh-CN"/>
        </w:rPr>
        <w:t>;</w:t>
      </w:r>
      <w:r w:rsidRPr="005B1A16">
        <w:rPr>
          <w:rFonts w:ascii="Book Antiqua" w:hAnsi="Book Antiqua"/>
          <w:color w:val="000000" w:themeColor="text1"/>
        </w:rPr>
        <w:t xml:space="preserve"> Therapeutic</w:t>
      </w:r>
    </w:p>
    <w:p w14:paraId="7C47B65E" w14:textId="77777777" w:rsidR="003524A5" w:rsidRPr="005B1A16" w:rsidRDefault="003524A5" w:rsidP="005B1A16">
      <w:pPr>
        <w:spacing w:line="360" w:lineRule="auto"/>
        <w:jc w:val="both"/>
        <w:rPr>
          <w:rFonts w:ascii="Book Antiqua" w:eastAsia="SimSun" w:hAnsi="Book Antiqua"/>
          <w:color w:val="000000" w:themeColor="text1"/>
          <w:lang w:eastAsia="zh-CN"/>
        </w:rPr>
      </w:pPr>
    </w:p>
    <w:p w14:paraId="39C95828" w14:textId="77777777" w:rsidR="003524A5" w:rsidRPr="005B1A16" w:rsidRDefault="003524A5" w:rsidP="005B1A16">
      <w:pPr>
        <w:spacing w:line="360" w:lineRule="auto"/>
        <w:jc w:val="both"/>
        <w:rPr>
          <w:rFonts w:ascii="Book Antiqua" w:eastAsia="SimSun" w:hAnsi="Book Antiqua" w:cs="Arial"/>
          <w:color w:val="000000" w:themeColor="text1"/>
          <w:lang w:eastAsia="zh-CN"/>
        </w:rPr>
      </w:pPr>
      <w:bookmarkStart w:id="31" w:name="OLE_LINK55"/>
      <w:bookmarkStart w:id="32" w:name="OLE_LINK56"/>
      <w:r w:rsidRPr="005B1A16">
        <w:rPr>
          <w:rFonts w:ascii="Book Antiqua" w:hAnsi="Book Antiqua"/>
          <w:b/>
          <w:color w:val="000000" w:themeColor="text1"/>
        </w:rPr>
        <w:t>©</w:t>
      </w:r>
      <w:bookmarkEnd w:id="31"/>
      <w:bookmarkEnd w:id="32"/>
      <w:r w:rsidRPr="005B1A16">
        <w:rPr>
          <w:rFonts w:ascii="Book Antiqua" w:hAnsi="Book Antiqua"/>
          <w:b/>
          <w:color w:val="000000" w:themeColor="text1"/>
        </w:rPr>
        <w:t xml:space="preserve"> </w:t>
      </w:r>
      <w:r w:rsidRPr="005B1A16">
        <w:rPr>
          <w:rFonts w:ascii="Book Antiqua" w:hAnsi="Book Antiqua" w:cs="Arial"/>
          <w:b/>
          <w:color w:val="000000" w:themeColor="text1"/>
        </w:rPr>
        <w:t xml:space="preserve">The Author(s) </w:t>
      </w:r>
      <w:r w:rsidRPr="005B1A16">
        <w:rPr>
          <w:rFonts w:ascii="Book Antiqua" w:eastAsia="SimSun" w:hAnsi="Book Antiqua" w:cs="Arial"/>
          <w:b/>
          <w:color w:val="000000" w:themeColor="text1"/>
          <w:lang w:eastAsia="zh-CN"/>
        </w:rPr>
        <w:t>2018</w:t>
      </w:r>
      <w:r w:rsidRPr="005B1A16">
        <w:rPr>
          <w:rFonts w:ascii="Book Antiqua" w:hAnsi="Book Antiqua" w:cs="Arial"/>
          <w:b/>
          <w:color w:val="000000" w:themeColor="text1"/>
        </w:rPr>
        <w:t xml:space="preserve">. </w:t>
      </w:r>
      <w:r w:rsidRPr="005B1A16">
        <w:rPr>
          <w:rFonts w:ascii="Book Antiqua" w:hAnsi="Book Antiqua" w:cs="Arial"/>
          <w:color w:val="000000" w:themeColor="text1"/>
        </w:rPr>
        <w:t>Published by Baishideng Publishing Group Inc. All rights reserved.</w:t>
      </w:r>
    </w:p>
    <w:p w14:paraId="3CC05C5B" w14:textId="77777777" w:rsidR="003524A5" w:rsidRPr="005B1A16" w:rsidRDefault="003524A5" w:rsidP="005B1A16">
      <w:pPr>
        <w:spacing w:line="360" w:lineRule="auto"/>
        <w:jc w:val="both"/>
        <w:rPr>
          <w:rFonts w:ascii="Book Antiqua" w:eastAsia="SimSun" w:hAnsi="Book Antiqua"/>
          <w:b/>
          <w:color w:val="000000" w:themeColor="text1"/>
          <w:lang w:eastAsia="zh-CN"/>
        </w:rPr>
      </w:pPr>
    </w:p>
    <w:p w14:paraId="2F8A3833" w14:textId="5FAA8AC5" w:rsidR="00587249" w:rsidRPr="005B1A16" w:rsidRDefault="00437E2F" w:rsidP="005B1A16">
      <w:pPr>
        <w:spacing w:line="360" w:lineRule="auto"/>
        <w:jc w:val="both"/>
        <w:outlineLvl w:val="0"/>
        <w:rPr>
          <w:rFonts w:ascii="Book Antiqua" w:hAnsi="Book Antiqua"/>
          <w:color w:val="000000" w:themeColor="text1"/>
        </w:rPr>
      </w:pPr>
      <w:r w:rsidRPr="005B1A16">
        <w:rPr>
          <w:rFonts w:ascii="Book Antiqua" w:hAnsi="Book Antiqua"/>
          <w:b/>
          <w:color w:val="000000" w:themeColor="text1"/>
        </w:rPr>
        <w:t>Core tip</w:t>
      </w:r>
      <w:r w:rsidR="005408F3" w:rsidRPr="005B1A16">
        <w:rPr>
          <w:rFonts w:ascii="Book Antiqua" w:hAnsi="Book Antiqua"/>
          <w:b/>
          <w:color w:val="000000" w:themeColor="text1"/>
        </w:rPr>
        <w:t>:</w:t>
      </w:r>
      <w:r w:rsidR="003524A5" w:rsidRPr="005B1A16">
        <w:rPr>
          <w:rFonts w:ascii="Book Antiqua" w:eastAsia="SimSun" w:hAnsi="Book Antiqua"/>
          <w:b/>
          <w:color w:val="000000" w:themeColor="text1"/>
          <w:lang w:eastAsia="zh-CN"/>
        </w:rPr>
        <w:t xml:space="preserve"> </w:t>
      </w:r>
      <w:r w:rsidR="00563395" w:rsidRPr="005B1A16">
        <w:rPr>
          <w:rFonts w:ascii="Book Antiqua" w:hAnsi="Book Antiqua"/>
          <w:color w:val="000000" w:themeColor="text1"/>
        </w:rPr>
        <w:t>Anti-</w:t>
      </w:r>
      <w:r w:rsidR="000D26A8" w:rsidRPr="005B1A16">
        <w:rPr>
          <w:rFonts w:ascii="Book Antiqua" w:hAnsi="Book Antiqua"/>
          <w:color w:val="000000" w:themeColor="text1"/>
        </w:rPr>
        <w:t xml:space="preserve"> tumor necrosis factor </w:t>
      </w:r>
      <w:r w:rsidR="00563395" w:rsidRPr="005B1A16">
        <w:rPr>
          <w:rFonts w:ascii="Book Antiqua" w:hAnsi="Book Antiqua"/>
          <w:color w:val="000000" w:themeColor="text1"/>
        </w:rPr>
        <w:t xml:space="preserve">therapy should be considered as first-line therapy in patients with complicated </w:t>
      </w:r>
      <w:r w:rsidR="008A7325" w:rsidRPr="005B1A16">
        <w:rPr>
          <w:rFonts w:ascii="Book Antiqua" w:hAnsi="Book Antiqua"/>
          <w:color w:val="000000" w:themeColor="text1"/>
        </w:rPr>
        <w:t xml:space="preserve">Crohn’s disease </w:t>
      </w:r>
      <w:r w:rsidR="00563395" w:rsidRPr="005B1A16">
        <w:rPr>
          <w:rFonts w:ascii="Book Antiqua" w:hAnsi="Book Antiqua"/>
          <w:color w:val="000000" w:themeColor="text1"/>
        </w:rPr>
        <w:t xml:space="preserve">and in acute-severe </w:t>
      </w:r>
      <w:r w:rsidR="008A7325" w:rsidRPr="005B1A16">
        <w:rPr>
          <w:rFonts w:ascii="Book Antiqua" w:hAnsi="Book Antiqua"/>
          <w:color w:val="000000" w:themeColor="text1"/>
        </w:rPr>
        <w:t>ulcerative colitis</w:t>
      </w:r>
      <w:r w:rsidR="00563395" w:rsidRPr="005B1A16">
        <w:rPr>
          <w:rFonts w:ascii="Book Antiqua" w:hAnsi="Book Antiqua"/>
          <w:color w:val="000000" w:themeColor="text1"/>
        </w:rPr>
        <w:t xml:space="preserve">. </w:t>
      </w:r>
      <w:r w:rsidR="00587249" w:rsidRPr="005B1A16">
        <w:rPr>
          <w:rFonts w:ascii="Book Antiqua" w:hAnsi="Book Antiqua"/>
          <w:color w:val="000000" w:themeColor="text1"/>
        </w:rPr>
        <w:lastRenderedPageBreak/>
        <w:t xml:space="preserve">Beyond these specific circumstances, the positioning of novel biologics and small molecules depends on the patient’s medical history, preference and disease phenotype. The efficacy and safety of using immunomodulatory therapy can be enhanced by adhering to therapeutic algorithms and using a ‘treat-to-target’ approach. </w:t>
      </w:r>
      <w:r w:rsidR="00890387" w:rsidRPr="005B1A16">
        <w:rPr>
          <w:rFonts w:ascii="Book Antiqua" w:hAnsi="Book Antiqua"/>
          <w:color w:val="000000" w:themeColor="text1"/>
        </w:rPr>
        <w:t xml:space="preserve">The </w:t>
      </w:r>
      <w:r w:rsidR="00F33D04" w:rsidRPr="005B1A16">
        <w:rPr>
          <w:rFonts w:ascii="Book Antiqua" w:hAnsi="Book Antiqua"/>
          <w:color w:val="000000" w:themeColor="text1"/>
        </w:rPr>
        <w:t>risks for</w:t>
      </w:r>
      <w:r w:rsidR="00F33D04" w:rsidRPr="005B1A16">
        <w:rPr>
          <w:rFonts w:ascii="Book Antiqua" w:eastAsia="SimSun" w:hAnsi="Book Antiqua"/>
          <w:color w:val="000000" w:themeColor="text1"/>
          <w:lang w:eastAsia="zh-CN"/>
        </w:rPr>
        <w:t xml:space="preserve"> </w:t>
      </w:r>
      <w:r w:rsidR="00F33D04" w:rsidRPr="005B1A16">
        <w:rPr>
          <w:rFonts w:ascii="Book Antiqua" w:hAnsi="Book Antiqua"/>
          <w:color w:val="000000" w:themeColor="text1"/>
        </w:rPr>
        <w:t>adverse events due to poor disease control outweigh</w:t>
      </w:r>
      <w:r w:rsidR="00890387" w:rsidRPr="005B1A16">
        <w:rPr>
          <w:rFonts w:ascii="Book Antiqua" w:hAnsi="Book Antiqua"/>
          <w:color w:val="000000" w:themeColor="text1"/>
        </w:rPr>
        <w:t xml:space="preserve"> the risks associated with early aggressive therapy. In the setting of clinical and biochemical remission, following at least 6 </w:t>
      </w:r>
      <w:r w:rsidR="0008431C" w:rsidRPr="005B1A16">
        <w:rPr>
          <w:rFonts w:ascii="Book Antiqua" w:eastAsia="SimSun" w:hAnsi="Book Antiqua"/>
          <w:color w:val="000000" w:themeColor="text1"/>
          <w:lang w:eastAsia="zh-CN"/>
        </w:rPr>
        <w:t>mo</w:t>
      </w:r>
      <w:r w:rsidR="00890387" w:rsidRPr="005B1A16">
        <w:rPr>
          <w:rFonts w:ascii="Book Antiqua" w:hAnsi="Book Antiqua"/>
          <w:color w:val="000000" w:themeColor="text1"/>
        </w:rPr>
        <w:t xml:space="preserve"> of combined immunosuppressive therapy, consideration can be made to withdrawing thiopurine therapy in the correct patient with close follow-up. </w:t>
      </w:r>
    </w:p>
    <w:p w14:paraId="1C21CEBA" w14:textId="77777777" w:rsidR="00113C08" w:rsidRPr="005B1A16" w:rsidRDefault="00113C08" w:rsidP="005B1A16">
      <w:pPr>
        <w:spacing w:line="360" w:lineRule="auto"/>
        <w:jc w:val="both"/>
        <w:rPr>
          <w:rFonts w:ascii="Book Antiqua" w:hAnsi="Book Antiqua"/>
          <w:b/>
          <w:color w:val="000000" w:themeColor="text1"/>
        </w:rPr>
      </w:pPr>
    </w:p>
    <w:p w14:paraId="009EB2B8" w14:textId="39282048" w:rsidR="00DF2B5C" w:rsidRPr="005B1A16" w:rsidRDefault="00DF2B5C" w:rsidP="005B1A16">
      <w:pPr>
        <w:spacing w:line="360" w:lineRule="auto"/>
        <w:jc w:val="both"/>
        <w:rPr>
          <w:rFonts w:ascii="Book Antiqua" w:eastAsia="SimSun" w:hAnsi="Book Antiqua"/>
          <w:color w:val="000000" w:themeColor="text1"/>
          <w:lang w:eastAsia="zh-CN"/>
        </w:rPr>
      </w:pPr>
      <w:r w:rsidRPr="005B1A16">
        <w:rPr>
          <w:rFonts w:ascii="Book Antiqua" w:hAnsi="Book Antiqua" w:cs="Arial"/>
          <w:color w:val="000000" w:themeColor="text1"/>
        </w:rPr>
        <w:t>Reinglas</w:t>
      </w:r>
      <w:r w:rsidRPr="005B1A16">
        <w:rPr>
          <w:rFonts w:ascii="Book Antiqua" w:eastAsia="SimSun" w:hAnsi="Book Antiqua" w:cs="Arial"/>
          <w:color w:val="000000" w:themeColor="text1"/>
          <w:lang w:eastAsia="zh-CN"/>
        </w:rPr>
        <w:t xml:space="preserve"> J,</w:t>
      </w:r>
      <w:r w:rsidRPr="005B1A16">
        <w:rPr>
          <w:rFonts w:ascii="Book Antiqua" w:hAnsi="Book Antiqua" w:cs="Arial"/>
          <w:color w:val="000000" w:themeColor="text1"/>
        </w:rPr>
        <w:t xml:space="preserve"> </w:t>
      </w:r>
      <w:r w:rsidRPr="005B1A16">
        <w:rPr>
          <w:rFonts w:ascii="Book Antiqua" w:hAnsi="Book Antiqua" w:cs="Arial"/>
          <w:bCs/>
          <w:color w:val="000000" w:themeColor="text1"/>
          <w:lang w:val="en-GB"/>
        </w:rPr>
        <w:t>Gonczi</w:t>
      </w:r>
      <w:r w:rsidRPr="005B1A16">
        <w:rPr>
          <w:rFonts w:ascii="Book Antiqua" w:eastAsia="SimSun" w:hAnsi="Book Antiqua" w:cs="Arial"/>
          <w:bCs/>
          <w:color w:val="000000" w:themeColor="text1"/>
          <w:lang w:val="en-GB" w:eastAsia="zh-CN"/>
        </w:rPr>
        <w:t xml:space="preserve"> L</w:t>
      </w:r>
      <w:r w:rsidRPr="005B1A16">
        <w:rPr>
          <w:rFonts w:ascii="Book Antiqua" w:hAnsi="Book Antiqua" w:cs="Arial"/>
          <w:bCs/>
          <w:color w:val="000000" w:themeColor="text1"/>
          <w:lang w:val="en-GB"/>
        </w:rPr>
        <w:t>, Kurt</w:t>
      </w:r>
      <w:r w:rsidRPr="005B1A16">
        <w:rPr>
          <w:rFonts w:ascii="Book Antiqua" w:eastAsia="SimSun" w:hAnsi="Book Antiqua" w:cs="Arial"/>
          <w:bCs/>
          <w:color w:val="000000" w:themeColor="text1"/>
          <w:lang w:val="en-GB" w:eastAsia="zh-CN"/>
        </w:rPr>
        <w:t xml:space="preserve"> Z</w:t>
      </w:r>
      <w:r w:rsidRPr="005B1A16">
        <w:rPr>
          <w:rFonts w:ascii="Book Antiqua" w:hAnsi="Book Antiqua" w:cs="Arial"/>
          <w:bCs/>
          <w:color w:val="000000" w:themeColor="text1"/>
          <w:lang w:val="en-GB"/>
        </w:rPr>
        <w:t>, Bessissow</w:t>
      </w:r>
      <w:r w:rsidRPr="005B1A16">
        <w:rPr>
          <w:rFonts w:ascii="Book Antiqua" w:eastAsia="SimSun" w:hAnsi="Book Antiqua" w:cs="Arial"/>
          <w:bCs/>
          <w:color w:val="000000" w:themeColor="text1"/>
          <w:lang w:val="en-GB" w:eastAsia="zh-CN"/>
        </w:rPr>
        <w:t xml:space="preserve"> T</w:t>
      </w:r>
      <w:r w:rsidRPr="005B1A16">
        <w:rPr>
          <w:rFonts w:ascii="Book Antiqua" w:hAnsi="Book Antiqua" w:cs="Arial"/>
          <w:bCs/>
          <w:color w:val="000000" w:themeColor="text1"/>
          <w:lang w:val="en-GB"/>
        </w:rPr>
        <w:t>,</w:t>
      </w:r>
      <w:r w:rsidRPr="005B1A16">
        <w:rPr>
          <w:rFonts w:ascii="Book Antiqua" w:eastAsia="SimSun" w:hAnsi="Book Antiqua" w:cs="Arial"/>
          <w:bCs/>
          <w:color w:val="000000" w:themeColor="text1"/>
          <w:lang w:val="en-GB" w:eastAsia="zh-CN"/>
        </w:rPr>
        <w:t xml:space="preserve"> </w:t>
      </w:r>
      <w:r w:rsidRPr="005B1A16">
        <w:rPr>
          <w:rFonts w:ascii="Book Antiqua" w:hAnsi="Book Antiqua" w:cs="Arial"/>
          <w:color w:val="000000" w:themeColor="text1"/>
          <w:shd w:val="clear" w:color="auto" w:fill="FFFFFF"/>
        </w:rPr>
        <w:t>Lakatos</w:t>
      </w:r>
      <w:r w:rsidRPr="005B1A16">
        <w:rPr>
          <w:rFonts w:ascii="Book Antiqua" w:eastAsia="SimSun" w:hAnsi="Book Antiqua" w:cs="Arial"/>
          <w:color w:val="000000" w:themeColor="text1"/>
          <w:shd w:val="clear" w:color="auto" w:fill="FFFFFF"/>
          <w:lang w:eastAsia="zh-CN"/>
        </w:rPr>
        <w:t xml:space="preserve"> PL.</w:t>
      </w:r>
      <w:r w:rsidRPr="005B1A16">
        <w:rPr>
          <w:rFonts w:ascii="Book Antiqua" w:eastAsia="SimSun" w:hAnsi="Book Antiqua"/>
          <w:color w:val="000000" w:themeColor="text1"/>
          <w:lang w:eastAsia="zh-CN"/>
        </w:rPr>
        <w:t xml:space="preserve"> </w:t>
      </w:r>
      <w:r w:rsidRPr="005B1A16">
        <w:rPr>
          <w:rFonts w:ascii="Book Antiqua" w:hAnsi="Book Antiqua"/>
          <w:color w:val="000000" w:themeColor="text1"/>
        </w:rPr>
        <w:t>Positioning of old and new biologicals and small molecules in the treatment of inflammatory bowel diseases</w:t>
      </w:r>
      <w:r w:rsidRPr="005B1A16">
        <w:rPr>
          <w:rFonts w:ascii="Book Antiqua" w:eastAsia="SimSun" w:hAnsi="Book Antiqua"/>
          <w:color w:val="000000" w:themeColor="text1"/>
          <w:lang w:eastAsia="zh-CN"/>
        </w:rPr>
        <w:t>.</w:t>
      </w:r>
      <w:r w:rsidR="00C3423C" w:rsidRPr="005B1A16">
        <w:rPr>
          <w:rFonts w:ascii="Book Antiqua" w:hAnsi="Book Antiqua"/>
          <w:i/>
          <w:color w:val="000000" w:themeColor="text1"/>
        </w:rPr>
        <w:t xml:space="preserve"> World J Gastroenterol</w:t>
      </w:r>
      <w:r w:rsidR="00C3423C" w:rsidRPr="005B1A16">
        <w:rPr>
          <w:rFonts w:ascii="Book Antiqua" w:hAnsi="Book Antiqua"/>
          <w:color w:val="000000" w:themeColor="text1"/>
        </w:rPr>
        <w:t xml:space="preserve"> 2018; In press</w:t>
      </w:r>
    </w:p>
    <w:p w14:paraId="480D6B4E" w14:textId="2EB1B0E4" w:rsidR="005408F3" w:rsidRPr="005B1A16" w:rsidRDefault="005408F3" w:rsidP="005B1A16">
      <w:pPr>
        <w:spacing w:line="360" w:lineRule="auto"/>
        <w:jc w:val="both"/>
        <w:outlineLvl w:val="0"/>
        <w:rPr>
          <w:rFonts w:ascii="Book Antiqua" w:hAnsi="Book Antiqua"/>
          <w:b/>
          <w:color w:val="000000" w:themeColor="text1"/>
        </w:rPr>
      </w:pPr>
    </w:p>
    <w:p w14:paraId="548B0B88" w14:textId="754650F2" w:rsidR="00F66E7E" w:rsidRPr="005B1A16" w:rsidRDefault="00F66E7E" w:rsidP="005B1A16">
      <w:pPr>
        <w:spacing w:line="360" w:lineRule="auto"/>
        <w:jc w:val="both"/>
        <w:outlineLvl w:val="0"/>
        <w:rPr>
          <w:rFonts w:ascii="Book Antiqua" w:hAnsi="Book Antiqua"/>
          <w:b/>
          <w:color w:val="000000" w:themeColor="text1"/>
        </w:rPr>
      </w:pPr>
    </w:p>
    <w:p w14:paraId="008D16CB" w14:textId="700F7A02" w:rsidR="005408F3" w:rsidRPr="005B1A16" w:rsidRDefault="005408F3" w:rsidP="005B1A16">
      <w:pPr>
        <w:spacing w:line="360" w:lineRule="auto"/>
        <w:jc w:val="both"/>
        <w:outlineLvl w:val="0"/>
        <w:rPr>
          <w:rFonts w:ascii="Book Antiqua" w:hAnsi="Book Antiqua"/>
          <w:b/>
          <w:color w:val="000000" w:themeColor="text1"/>
        </w:rPr>
      </w:pPr>
    </w:p>
    <w:p w14:paraId="218771E7" w14:textId="77777777" w:rsidR="00810002" w:rsidRPr="005B1A16" w:rsidRDefault="00810002"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br w:type="page"/>
      </w:r>
    </w:p>
    <w:p w14:paraId="0B77D0E1" w14:textId="23E5E58B" w:rsidR="00437E2F" w:rsidRPr="005B1A16" w:rsidRDefault="00810002" w:rsidP="005B1A16">
      <w:pPr>
        <w:spacing w:line="360" w:lineRule="auto"/>
        <w:jc w:val="both"/>
        <w:outlineLvl w:val="0"/>
        <w:rPr>
          <w:rFonts w:ascii="Book Antiqua" w:hAnsi="Book Antiqua"/>
          <w:b/>
          <w:color w:val="000000" w:themeColor="text1"/>
        </w:rPr>
      </w:pPr>
      <w:r w:rsidRPr="005B1A16">
        <w:rPr>
          <w:rFonts w:ascii="Book Antiqua" w:hAnsi="Book Antiqua"/>
          <w:b/>
          <w:color w:val="000000" w:themeColor="text1"/>
        </w:rPr>
        <w:lastRenderedPageBreak/>
        <w:t>INTRODUCTION</w:t>
      </w:r>
    </w:p>
    <w:p w14:paraId="39D2D303" w14:textId="1D5527DD" w:rsidR="00A14545" w:rsidRPr="005B1A16" w:rsidRDefault="00A14545" w:rsidP="005B1A16">
      <w:pPr>
        <w:spacing w:line="360" w:lineRule="auto"/>
        <w:jc w:val="both"/>
        <w:rPr>
          <w:rFonts w:ascii="Book Antiqua" w:eastAsia="SimSun" w:hAnsi="Book Antiqua"/>
          <w:color w:val="000000" w:themeColor="text1"/>
          <w:lang w:eastAsia="zh-CN"/>
        </w:rPr>
      </w:pPr>
      <w:r w:rsidRPr="005B1A16">
        <w:rPr>
          <w:rFonts w:ascii="Book Antiqua" w:hAnsi="Book Antiqua"/>
          <w:color w:val="000000" w:themeColor="text1"/>
        </w:rPr>
        <w:t xml:space="preserve">Therapeutic trials for </w:t>
      </w:r>
      <w:r w:rsidR="00F714EA" w:rsidRPr="005B1A16">
        <w:rPr>
          <w:rFonts w:ascii="Book Antiqua" w:hAnsi="Book Antiqua"/>
          <w:color w:val="000000" w:themeColor="text1"/>
        </w:rPr>
        <w:t xml:space="preserve">inflammatory bowel disease </w:t>
      </w:r>
      <w:r w:rsidR="00F714EA" w:rsidRPr="005B1A16">
        <w:rPr>
          <w:rFonts w:ascii="Book Antiqua" w:eastAsia="SimSun" w:hAnsi="Book Antiqua"/>
          <w:color w:val="000000" w:themeColor="text1"/>
          <w:lang w:eastAsia="zh-CN"/>
        </w:rPr>
        <w:t>(</w:t>
      </w:r>
      <w:r w:rsidRPr="005B1A16">
        <w:rPr>
          <w:rFonts w:ascii="Book Antiqua" w:hAnsi="Book Antiqua"/>
          <w:color w:val="000000" w:themeColor="text1"/>
        </w:rPr>
        <w:t>IBD</w:t>
      </w:r>
      <w:r w:rsidR="00F714EA" w:rsidRPr="005B1A16">
        <w:rPr>
          <w:rFonts w:ascii="Book Antiqua" w:eastAsia="SimSun" w:hAnsi="Book Antiqua"/>
          <w:color w:val="000000" w:themeColor="text1"/>
          <w:lang w:eastAsia="zh-CN"/>
        </w:rPr>
        <w:t>)</w:t>
      </w:r>
      <w:r w:rsidRPr="005B1A16">
        <w:rPr>
          <w:rFonts w:ascii="Book Antiqua" w:hAnsi="Book Antiqua"/>
          <w:color w:val="000000" w:themeColor="text1"/>
        </w:rPr>
        <w:t xml:space="preserve"> began nearly 100 years after the first case report of IBD was published by Sir Samuel Wilks in 1859 who used the term “ulcerative colitis (UC)” to describe a condition similar to wha</w:t>
      </w:r>
      <w:r w:rsidR="0046728B" w:rsidRPr="005B1A16">
        <w:rPr>
          <w:rFonts w:ascii="Book Antiqua" w:hAnsi="Book Antiqua"/>
          <w:color w:val="000000" w:themeColor="text1"/>
        </w:rPr>
        <w:t>t is understood as UC today</w:t>
      </w:r>
      <w:r w:rsidR="001E5845" w:rsidRPr="005B1A16">
        <w:rPr>
          <w:rFonts w:ascii="Book Antiqua" w:hAnsi="Book Antiqua"/>
          <w:color w:val="000000" w:themeColor="text1"/>
        </w:rPr>
        <w:fldChar w:fldCharType="begin"/>
      </w:r>
      <w:r w:rsidR="00667F6C" w:rsidRPr="005B1A16">
        <w:rPr>
          <w:rFonts w:ascii="Book Antiqua" w:hAnsi="Book Antiqua"/>
          <w:color w:val="000000" w:themeColor="text1"/>
        </w:rPr>
        <w:instrText xml:space="preserve"> ADDIN ZOTERO_ITEM CSL_CITATION {"citationID":"cXDh0TO2","properties":{"formattedCitation":"\\super [1]\\nosupersub{}","plainCitation":"[1]","noteIndex":0},"citationItems":[{"id":9,"uris":["http://zotero.org/users/4672422/items/TVGLKNRM"],"uri":["http://zotero.org/users/4672422/items/TVGLKNRM"],"itemData":{"id":9,"type":"article-journal","title":"Morbid appearances in the intestines of Miss Bankes","page":"264-265","volume":"2","journalAbbreviation":"Lond Med Gaz","author":[{"family":"Wilks","given":"S"}],"issued":{"date-parts":[["1859"]]}}}],"schema":"https://github.com/citation-style-language/schema/raw/master/csl-citation.json"} </w:instrText>
      </w:r>
      <w:r w:rsidR="001E5845" w:rsidRPr="005B1A16">
        <w:rPr>
          <w:rFonts w:ascii="Book Antiqua" w:hAnsi="Book Antiqua"/>
          <w:color w:val="000000" w:themeColor="text1"/>
        </w:rPr>
        <w:fldChar w:fldCharType="separate"/>
      </w:r>
      <w:r w:rsidR="00667F6C" w:rsidRPr="005B1A16">
        <w:rPr>
          <w:rFonts w:ascii="Book Antiqua" w:hAnsi="Book Antiqua"/>
          <w:color w:val="000000" w:themeColor="text1"/>
          <w:vertAlign w:val="superscript"/>
          <w:lang w:val="en-US"/>
        </w:rPr>
        <w:t>[1]</w:t>
      </w:r>
      <w:r w:rsidR="001E5845" w:rsidRPr="005B1A16">
        <w:rPr>
          <w:rFonts w:ascii="Book Antiqua" w:hAnsi="Book Antiqua"/>
          <w:color w:val="000000" w:themeColor="text1"/>
        </w:rPr>
        <w:fldChar w:fldCharType="end"/>
      </w:r>
      <w:r w:rsidRPr="005B1A16">
        <w:rPr>
          <w:rFonts w:ascii="Book Antiqua" w:hAnsi="Book Antiqua"/>
          <w:color w:val="000000" w:themeColor="text1"/>
        </w:rPr>
        <w:t xml:space="preserve">. Approximately 10 years following </w:t>
      </w:r>
      <w:r w:rsidR="00A0742D" w:rsidRPr="005B1A16">
        <w:rPr>
          <w:rFonts w:ascii="Book Antiqua" w:hAnsi="Book Antiqua"/>
          <w:color w:val="000000" w:themeColor="text1"/>
        </w:rPr>
        <w:t xml:space="preserve">the </w:t>
      </w:r>
      <w:r w:rsidRPr="005B1A16">
        <w:rPr>
          <w:rFonts w:ascii="Book Antiqua" w:hAnsi="Book Antiqua"/>
          <w:color w:val="000000" w:themeColor="text1"/>
        </w:rPr>
        <w:t xml:space="preserve">original study by </w:t>
      </w:r>
      <w:r w:rsidRPr="005B1A16">
        <w:rPr>
          <w:rFonts w:ascii="Book Antiqua" w:hAnsi="Book Antiqua"/>
          <w:color w:val="000000" w:themeColor="text1"/>
          <w:lang w:val="en-US"/>
        </w:rPr>
        <w:t xml:space="preserve">Sir Sidney Truelove </w:t>
      </w:r>
      <w:r w:rsidRPr="005B1A16">
        <w:rPr>
          <w:rFonts w:ascii="Book Antiqua" w:hAnsi="Book Antiqua"/>
          <w:color w:val="000000" w:themeColor="text1"/>
        </w:rPr>
        <w:t xml:space="preserve">which revealed the efficacy of corticosteroid therapy in UC, the first clinical trial evaluating steroids in </w:t>
      </w:r>
      <w:r w:rsidR="003524A5" w:rsidRPr="005B1A16">
        <w:rPr>
          <w:rFonts w:ascii="Book Antiqua" w:hAnsi="Book Antiqua"/>
          <w:color w:val="000000" w:themeColor="text1"/>
        </w:rPr>
        <w:t xml:space="preserve">Crohn’s </w:t>
      </w:r>
      <w:r w:rsidRPr="005B1A16">
        <w:rPr>
          <w:rFonts w:ascii="Book Antiqua" w:hAnsi="Book Antiqua"/>
          <w:color w:val="000000" w:themeColor="text1"/>
        </w:rPr>
        <w:t xml:space="preserve">disease (CD) was conducted in 1966 by Jones and </w:t>
      </w:r>
      <w:r w:rsidRPr="005B1A16">
        <w:rPr>
          <w:rFonts w:ascii="Book Antiqua" w:hAnsi="Book Antiqua"/>
          <w:color w:val="000000" w:themeColor="text1"/>
          <w:lang w:val="en-US"/>
        </w:rPr>
        <w:t>Lennard-Jones</w:t>
      </w:r>
      <w:r w:rsidR="001E5845" w:rsidRPr="005B1A16">
        <w:rPr>
          <w:rFonts w:ascii="Book Antiqua" w:hAnsi="Book Antiqua"/>
          <w:color w:val="000000" w:themeColor="text1"/>
          <w:lang w:val="en-US"/>
        </w:rPr>
        <w:fldChar w:fldCharType="begin"/>
      </w:r>
      <w:r w:rsidR="00667F6C" w:rsidRPr="005B1A16">
        <w:rPr>
          <w:rFonts w:ascii="Book Antiqua" w:hAnsi="Book Antiqua"/>
          <w:color w:val="000000" w:themeColor="text1"/>
          <w:lang w:val="en-US"/>
        </w:rPr>
        <w:instrText xml:space="preserve"> ADDIN ZOTERO_ITEM CSL_CITATION {"citationID":"QbptCiHZ","properties":{"formattedCitation":"\\super [2]\\nosupersub{}","plainCitation":"[2]","noteIndex":0},"citationItems":[{"id":3,"uris":["http://zotero.org/users/4672422/items/GVCJH93X"],"uri":["http://zotero.org/users/4672422/items/GVCJH93X"],"itemData":{"id":3,"type":"article-journal","title":"Corticosteroids and corticotrophin in the treatment of Crohn's disease","container-title":"Gut","page":"181-187","volume":"7","issue":"2","ISSN":"0017-5749","note":"PMID: 4286707\nPMCID: PMC1552340","journalAbbreviation":"Gut","language":"eng","author":[{"family":"Jones","given":"J. H."},{"family":"Lennard-Jones","given":"J. E."}],"issued":{"date-parts":[["1966",4]]}}}],"schema":"https://github.com/citation-style-language/schema/raw/master/csl-citation.json"} </w:instrText>
      </w:r>
      <w:r w:rsidR="001E5845" w:rsidRPr="005B1A16">
        <w:rPr>
          <w:rFonts w:ascii="Book Antiqua" w:hAnsi="Book Antiqua"/>
          <w:color w:val="000000" w:themeColor="text1"/>
          <w:lang w:val="en-US"/>
        </w:rPr>
        <w:fldChar w:fldCharType="separate"/>
      </w:r>
      <w:r w:rsidR="00667F6C" w:rsidRPr="005B1A16">
        <w:rPr>
          <w:rFonts w:ascii="Book Antiqua" w:hAnsi="Book Antiqua"/>
          <w:color w:val="000000" w:themeColor="text1"/>
          <w:vertAlign w:val="superscript"/>
          <w:lang w:val="en-US"/>
        </w:rPr>
        <w:t>[2]</w:t>
      </w:r>
      <w:r w:rsidR="001E5845" w:rsidRPr="005B1A16">
        <w:rPr>
          <w:rFonts w:ascii="Book Antiqua" w:hAnsi="Book Antiqua"/>
          <w:color w:val="000000" w:themeColor="text1"/>
          <w:lang w:val="en-US"/>
        </w:rPr>
        <w:fldChar w:fldCharType="end"/>
      </w:r>
      <w:r w:rsidRPr="005B1A16">
        <w:rPr>
          <w:rFonts w:ascii="Book Antiqua" w:hAnsi="Book Antiqua"/>
          <w:color w:val="000000" w:themeColor="text1"/>
          <w:lang w:val="en-US"/>
        </w:rPr>
        <w:t xml:space="preserve">. Prior to these landmark trials, the treatment of IBD was </w:t>
      </w:r>
      <w:r w:rsidRPr="005B1A16">
        <w:rPr>
          <w:rFonts w:ascii="Book Antiqua" w:hAnsi="Book Antiqua"/>
          <w:color w:val="000000" w:themeColor="text1"/>
        </w:rPr>
        <w:t>limited to supportive c</w:t>
      </w:r>
      <w:r w:rsidR="00810002" w:rsidRPr="005B1A16">
        <w:rPr>
          <w:rFonts w:ascii="Book Antiqua" w:hAnsi="Book Antiqua"/>
          <w:color w:val="000000" w:themeColor="text1"/>
        </w:rPr>
        <w:t xml:space="preserve">are and surgical intervention. </w:t>
      </w:r>
    </w:p>
    <w:p w14:paraId="0015F34C" w14:textId="66280F37" w:rsidR="00B01DD0" w:rsidRPr="005B1A16" w:rsidRDefault="00A93F01" w:rsidP="005B1A16">
      <w:pPr>
        <w:spacing w:line="360" w:lineRule="auto"/>
        <w:ind w:firstLineChars="100" w:firstLine="240"/>
        <w:jc w:val="both"/>
        <w:rPr>
          <w:rFonts w:ascii="Book Antiqua" w:eastAsia="SimSun" w:hAnsi="Book Antiqua"/>
          <w:color w:val="000000" w:themeColor="text1"/>
          <w:lang w:eastAsia="zh-CN"/>
        </w:rPr>
      </w:pPr>
      <w:r w:rsidRPr="005B1A16">
        <w:rPr>
          <w:rFonts w:ascii="Book Antiqua" w:hAnsi="Book Antiqua"/>
          <w:color w:val="000000" w:themeColor="text1"/>
        </w:rPr>
        <w:t>Knowledge regarding t</w:t>
      </w:r>
      <w:r w:rsidR="00A14545" w:rsidRPr="005B1A16">
        <w:rPr>
          <w:rFonts w:ascii="Book Antiqua" w:hAnsi="Book Antiqua"/>
          <w:color w:val="000000" w:themeColor="text1"/>
        </w:rPr>
        <w:t>he adverse effects of chronic steroid therapy in UC ultimately led to t</w:t>
      </w:r>
      <w:r w:rsidR="00A14545" w:rsidRPr="005B1A16">
        <w:rPr>
          <w:rFonts w:ascii="Book Antiqua" w:hAnsi="Book Antiqua"/>
          <w:color w:val="000000" w:themeColor="text1"/>
          <w:lang w:val="en-US"/>
        </w:rPr>
        <w:t xml:space="preserve">he first positive double blind </w:t>
      </w:r>
      <w:r w:rsidR="00A14545" w:rsidRPr="005B1A16">
        <w:rPr>
          <w:rFonts w:ascii="Book Antiqua" w:hAnsi="Book Antiqua"/>
          <w:color w:val="000000" w:themeColor="text1"/>
        </w:rPr>
        <w:t xml:space="preserve">randomized controlled trial (RCT) </w:t>
      </w:r>
      <w:r w:rsidR="00A14545" w:rsidRPr="005B1A16">
        <w:rPr>
          <w:rFonts w:ascii="Book Antiqua" w:hAnsi="Book Antiqua"/>
          <w:color w:val="000000" w:themeColor="text1"/>
          <w:lang w:val="en-US"/>
        </w:rPr>
        <w:t>evaluating the efficacy of sulfasalazine</w:t>
      </w:r>
      <w:r w:rsidR="00A14545" w:rsidRPr="005B1A16">
        <w:rPr>
          <w:rFonts w:ascii="Book Antiqua" w:hAnsi="Book Antiqua"/>
          <w:color w:val="000000" w:themeColor="text1"/>
        </w:rPr>
        <w:t xml:space="preserve"> in 1962</w:t>
      </w:r>
      <w:r w:rsidR="00810EF2" w:rsidRPr="005B1A16">
        <w:rPr>
          <w:rFonts w:ascii="Book Antiqua" w:hAnsi="Book Antiqua"/>
          <w:color w:val="000000" w:themeColor="text1"/>
        </w:rPr>
        <w:fldChar w:fldCharType="begin"/>
      </w:r>
      <w:r w:rsidR="00A61C93" w:rsidRPr="005B1A16">
        <w:rPr>
          <w:rFonts w:ascii="Book Antiqua" w:hAnsi="Book Antiqua"/>
          <w:color w:val="000000" w:themeColor="text1"/>
        </w:rPr>
        <w:instrText xml:space="preserve"> ADDIN ZOTERO_ITEM CSL_CITATION {"citationID":"f3nbNVjo","properties":{"formattedCitation":"\\super [3,4]\\nosupersub{}","plainCitation":"[3,4]","noteIndex":0},"citationItems":[{"id":17,"uris":["http://zotero.org/users/4672422/items/4832YV44"],"uri":["http://zotero.org/users/4672422/items/4832YV44"],"itemData":{"id":17,"type":"article-journal","title":"Ulcerative colitis: definition, historical background, aetiology, diagnosis, naturel history and local complications","container-title":"Postgraduate Medical Journal","page":"684-692","volume":"44","issue":"515","source":"PubMed","ISSN":"0032-5473","note":"PMID: 5705372\nPMCID: PMC2466707","shortTitle":"Ulcerative colitis","journalAbbreviation":"Postgrad Med J","language":"eng","author":[{"family":"De Dombal","given":"F. T."}],"issued":{"date-parts":[["1968",9]]}}},{"id":15,"uris":["http://zotero.org/users/4672422/items/N5C37DRD"],"uri":["http://zotero.org/users/4672422/items/N5C37DRD"],"itemData":{"id":15,"type":"article-journal","title":"Sulphasalazine and salicylazosulphadimidine in ulcerative colitis","container-title":"Lancet (London, England)","page":"1094-1096","volume":"1","issue":"7239","source":"PubMed","ISSN":"0140-6736","note":"PMID: 13865153","journalAbbreviation":"Lancet","language":"eng","author":[{"family":"Baron","given":"J. H."},{"family":"Connell","given":"A. M."},{"family":"Lennard-Jones","given":"J. E."},{"family":"Jones","given":"F. A."}],"issued":{"date-parts":[["1962",5,26]]}}}],"schema":"https://github.com/citation-style-language/schema/raw/master/csl-citation.json"} </w:instrText>
      </w:r>
      <w:r w:rsidR="00810EF2" w:rsidRPr="005B1A16">
        <w:rPr>
          <w:rFonts w:ascii="Book Antiqua" w:hAnsi="Book Antiqua"/>
          <w:color w:val="000000" w:themeColor="text1"/>
        </w:rPr>
        <w:fldChar w:fldCharType="separate"/>
      </w:r>
      <w:r w:rsidR="00A61C93" w:rsidRPr="005B1A16">
        <w:rPr>
          <w:rFonts w:ascii="Book Antiqua" w:hAnsi="Book Antiqua"/>
          <w:color w:val="000000" w:themeColor="text1"/>
          <w:vertAlign w:val="superscript"/>
          <w:lang w:val="en-US"/>
        </w:rPr>
        <w:t>[3,4]</w:t>
      </w:r>
      <w:r w:rsidR="00810EF2" w:rsidRPr="005B1A16">
        <w:rPr>
          <w:rFonts w:ascii="Book Antiqua" w:hAnsi="Book Antiqua"/>
          <w:color w:val="000000" w:themeColor="text1"/>
        </w:rPr>
        <w:fldChar w:fldCharType="end"/>
      </w:r>
      <w:r w:rsidR="00A14545" w:rsidRPr="005B1A16">
        <w:rPr>
          <w:rFonts w:ascii="Book Antiqua" w:hAnsi="Book Antiqua"/>
          <w:color w:val="000000" w:themeColor="text1"/>
        </w:rPr>
        <w:t>.</w:t>
      </w:r>
      <w:r w:rsidR="006D2854" w:rsidRPr="005B1A16">
        <w:rPr>
          <w:rFonts w:ascii="Book Antiqua" w:hAnsi="Book Antiqua"/>
          <w:color w:val="000000" w:themeColor="text1"/>
        </w:rPr>
        <w:t xml:space="preserve"> </w:t>
      </w:r>
      <w:r w:rsidR="008B387A" w:rsidRPr="005B1A16">
        <w:rPr>
          <w:rFonts w:ascii="Book Antiqua" w:hAnsi="Book Antiqua"/>
          <w:color w:val="000000" w:themeColor="text1"/>
        </w:rPr>
        <w:t>Unfortunately, many patients were unable to tolerate the side-effects from sulfasalazine</w:t>
      </w:r>
      <w:r w:rsidR="00CC3B3F" w:rsidRPr="005B1A16">
        <w:rPr>
          <w:rFonts w:ascii="Book Antiqua" w:hAnsi="Book Antiqua"/>
          <w:color w:val="000000" w:themeColor="text1"/>
        </w:rPr>
        <w:t xml:space="preserve"> </w:t>
      </w:r>
      <w:r w:rsidR="002F24A8" w:rsidRPr="005B1A16">
        <w:rPr>
          <w:rFonts w:ascii="Book Antiqua" w:hAnsi="Book Antiqua"/>
          <w:color w:val="000000" w:themeColor="text1"/>
        </w:rPr>
        <w:t>which prompted additional studies to uncover the active ingredient, 5ASA</w:t>
      </w:r>
      <w:r w:rsidR="00A61C93" w:rsidRPr="005B1A16">
        <w:rPr>
          <w:rFonts w:ascii="Book Antiqua" w:hAnsi="Book Antiqua"/>
          <w:color w:val="000000" w:themeColor="text1"/>
        </w:rPr>
        <w:fldChar w:fldCharType="begin"/>
      </w:r>
      <w:r w:rsidR="00A61C93" w:rsidRPr="005B1A16">
        <w:rPr>
          <w:rFonts w:ascii="Book Antiqua" w:hAnsi="Book Antiqua"/>
          <w:color w:val="000000" w:themeColor="text1"/>
        </w:rPr>
        <w:instrText xml:space="preserve"> ADDIN ZOTERO_ITEM CSL_CITATION {"citationID":"6R8LIjkk","properties":{"formattedCitation":"\\super [5]\\nosupersub{}","plainCitation":"[5]","noteIndex":0},"citationItems":[{"id":239,"uris":["http://zotero.org/users/4672422/items/EPYRN5J9"],"uri":["http://zotero.org/users/4672422/items/EPYRN5J9"],"itemData":{"id":239,"type":"article-journal","title":"An experiment to determine the active therapeutic moiety of sulphasalazine","container-title":"Lancet (London, England)","page":"892-895","volume":"2","issue":"8044","source":"PubMed","abstract":"Sulphasalazine (S.A.S.P.) is of proven value in the treatment of ulcerative colitis, but its mode of action is unknown. When it is taken by mouth, nearly all the dose reaches the colon intact, where it is split by bacteria into sulphapyridine (S.P.) and 5-aminosalicylic acid (5-A.S.A.). An experiment was devised to determine whether the therapeutic property of S.A.S.P. is a function of the parent molecule or of these two principal metabolites. Retention enemas of S.A.S.P., S.P., and 5-A.S.A. were administered to volunteer patients with sigmoidoscopic evidence of active ulcerative colitis. The experiment was conducted as a blind controlled therapeutic trial, each patient having one of the test enemas daily for two weeks. Pronounced histological improvement was observed in approximately 30% of the patients receiving S.A.S.P. or 5-A.S.A., and in only 5% of those receiving S.P. It is concluded that the active therapeutic moiety of S.A.S.P. IS 5-A.S.A. and that the S.P. functions as a carrier ensuring that the 5-A.S.A. is liberated within the colon.","ISSN":"0140-6736","note":"PMID: 72239","journalAbbreviation":"Lancet","language":"eng","author":[{"family":"Azad Khan","given":"A. K."},{"family":"Piris","given":"J."},{"family":"Truelove","given":"S. C."}],"issued":{"date-parts":[["1977",10,29]]}}}],"schema":"https://github.com/citation-style-language/schema/raw/master/csl-citation.json"} </w:instrText>
      </w:r>
      <w:r w:rsidR="00A61C93" w:rsidRPr="005B1A16">
        <w:rPr>
          <w:rFonts w:ascii="Book Antiqua" w:hAnsi="Book Antiqua"/>
          <w:color w:val="000000" w:themeColor="text1"/>
        </w:rPr>
        <w:fldChar w:fldCharType="separate"/>
      </w:r>
      <w:r w:rsidR="00A61C93" w:rsidRPr="005B1A16">
        <w:rPr>
          <w:rFonts w:ascii="Book Antiqua" w:hAnsi="Book Antiqua"/>
          <w:color w:val="000000" w:themeColor="text1"/>
          <w:vertAlign w:val="superscript"/>
          <w:lang w:val="en-US"/>
        </w:rPr>
        <w:t>[5]</w:t>
      </w:r>
      <w:r w:rsidR="00A61C93" w:rsidRPr="005B1A16">
        <w:rPr>
          <w:rFonts w:ascii="Book Antiqua" w:hAnsi="Book Antiqua"/>
          <w:color w:val="000000" w:themeColor="text1"/>
        </w:rPr>
        <w:fldChar w:fldCharType="end"/>
      </w:r>
      <w:r w:rsidR="002F24A8" w:rsidRPr="005B1A16">
        <w:rPr>
          <w:rFonts w:ascii="Book Antiqua" w:hAnsi="Book Antiqua"/>
          <w:color w:val="000000" w:themeColor="text1"/>
        </w:rPr>
        <w:t xml:space="preserve">. </w:t>
      </w:r>
      <w:r w:rsidR="007A0C78" w:rsidRPr="005B1A16">
        <w:rPr>
          <w:rFonts w:ascii="Book Antiqua" w:hAnsi="Book Antiqua"/>
          <w:color w:val="000000" w:themeColor="text1"/>
        </w:rPr>
        <w:t>Since, 5ASA has repeatedly demonstrated its efficacy and improved safety profile as compared to sulfasalazine in mild to moderate UC</w:t>
      </w:r>
      <w:r w:rsidR="00D30406" w:rsidRPr="005B1A16">
        <w:rPr>
          <w:rFonts w:ascii="Book Antiqua" w:hAnsi="Book Antiqua"/>
          <w:color w:val="000000" w:themeColor="text1"/>
        </w:rPr>
        <w:fldChar w:fldCharType="begin"/>
      </w:r>
      <w:r w:rsidR="00D30406" w:rsidRPr="005B1A16">
        <w:rPr>
          <w:rFonts w:ascii="Book Antiqua" w:hAnsi="Book Antiqua"/>
          <w:color w:val="000000" w:themeColor="text1"/>
        </w:rPr>
        <w:instrText xml:space="preserve"> ADDIN ZOTERO_ITEM CSL_CITATION {"citationID":"I8GYXoYz","properties":{"formattedCitation":"\\super [6\\uc0\\u8211{}8]\\nosupersub{}","plainCitation":"[6–8]","noteIndex":0},"citationItems":[{"id":19,"uris":["http://zotero.org/users/4672422/items/AHLFPL9H"],"uri":["http://zotero.org/users/4672422/items/AHLFPL9H"],"itemData":{"id":19,"type":"chapter","title":"Oral 5-aminosalicylic acid for induction of remission in ulcerative colitis","container-title":"Cochrane Database of Systematic Reviews","publisher":"John Wiley &amp; Sons, Ltd","publisher-place":"Chichester, UK","source":"CrossRef","event-place":"Chichester, UK","URL":"http://doi.wiley.com/10.1002/14651858.CD000543.pub3","note":"DOI: 10.1002/14651858.CD000543.pub3","language":"en","editor":[{"literal":"The Cochrane Collaboration"}],"author":[{"family":"Feagan","given":"Brian G"},{"family":"MacDonald","given":"John K"}],"issued":{"date-parts":[["2012",10,17]]},"accessed":{"date-parts":[["2018",3,27]]}}},{"id":20,"uris":["http://zotero.org/users/4672422/items/BMYRWLK2"],"uri":["http://zotero.org/users/4672422/items/BMYRWLK2"],"itemData":{"id":20,"type":"article-journal","title":"Oral 5-aminosalicylic acid for maintenance of remission in ulcerative colitis","container-title":"Cochrane Database of Systematic Reviews","source":"CrossRef","URL":"http://doi.wiley.com/10.1002/14651858.CD000544.pub4","DOI":"10.1002/14651858.CD000544.pub4","ISSN":"14651858","language":"en","author":[{"family":"Wang","given":"Yongjun"},{"family":"Parker","given":"Claire E"},{"family":"Feagan","given":"Brian G"},{"family":"MacDonald","given":"John K"}],"editor":[{"literal":"Cochrane IBD Group"}],"issued":{"date-parts":[["2016",5,9]]},"accessed":{"date-parts":[["2018",3,27]]}}},{"id":21,"uris":["http://zotero.org/users/4672422/items/FQWTM5VA"],"uri":["http://zotero.org/users/4672422/items/FQWTM5VA"],"itemData":{"id":21,"type":"article-journal","title":"Rectal 5-aminosalicylic acid for induction of remission in ulcerative colitis","container-title":"Cochrane Database of Systematic Reviews","source":"CrossRef","URL":"http://doi.wiley.com/10.1002/14651858.CD004115.pub2","DOI":"10.1002/14651858.CD004115.pub2","ISSN":"14651858","language":"en","author":[{"family":"Marshall","given":"John K"},{"family":"Thabane","given":"Marroon"},{"family":"Steinhart","given":"A Hillary"},{"family":"Newman","given":"Jamie R"},{"family":"Anand","given":"Anju"},{"family":"Irvine","given":"E Jan"}],"editor":[{"literal":"Cochrane IBD Group"}],"issued":{"date-parts":[["2010",1,20]]},"accessed":{"date-parts":[["2018",3,27]]}}}],"schema":"https://github.com/citation-style-language/schema/raw/master/csl-citation.json"} </w:instrText>
      </w:r>
      <w:r w:rsidR="00D30406" w:rsidRPr="005B1A16">
        <w:rPr>
          <w:rFonts w:ascii="Book Antiqua" w:hAnsi="Book Antiqua"/>
          <w:color w:val="000000" w:themeColor="text1"/>
        </w:rPr>
        <w:fldChar w:fldCharType="separate"/>
      </w:r>
      <w:r w:rsidR="00D30406" w:rsidRPr="005B1A16">
        <w:rPr>
          <w:rFonts w:ascii="Book Antiqua" w:hAnsi="Book Antiqua"/>
          <w:color w:val="000000" w:themeColor="text1"/>
          <w:vertAlign w:val="superscript"/>
          <w:lang w:val="en-US"/>
        </w:rPr>
        <w:t>[6–8]</w:t>
      </w:r>
      <w:r w:rsidR="00D30406" w:rsidRPr="005B1A16">
        <w:rPr>
          <w:rFonts w:ascii="Book Antiqua" w:hAnsi="Book Antiqua"/>
          <w:color w:val="000000" w:themeColor="text1"/>
        </w:rPr>
        <w:fldChar w:fldCharType="end"/>
      </w:r>
      <w:r w:rsidR="009E7FE8" w:rsidRPr="005B1A16">
        <w:rPr>
          <w:rFonts w:ascii="Book Antiqua" w:hAnsi="Book Antiqua"/>
          <w:color w:val="000000" w:themeColor="text1"/>
          <w:lang w:val="en-US"/>
        </w:rPr>
        <w:t>.</w:t>
      </w:r>
      <w:r w:rsidR="006F1A0F" w:rsidRPr="005B1A16">
        <w:rPr>
          <w:rFonts w:ascii="Book Antiqua" w:hAnsi="Book Antiqua"/>
          <w:color w:val="000000" w:themeColor="text1"/>
          <w:lang w:val="en-US"/>
        </w:rPr>
        <w:t xml:space="preserve"> In contrast, </w:t>
      </w:r>
      <w:r w:rsidR="006001F8" w:rsidRPr="005B1A16">
        <w:rPr>
          <w:rFonts w:ascii="Book Antiqua" w:hAnsi="Book Antiqua"/>
          <w:color w:val="000000" w:themeColor="text1"/>
          <w:lang w:val="en-US"/>
        </w:rPr>
        <w:t xml:space="preserve">5ASA therapy </w:t>
      </w:r>
      <w:r w:rsidR="00AA4B56" w:rsidRPr="005B1A16">
        <w:rPr>
          <w:rFonts w:ascii="Book Antiqua" w:hAnsi="Book Antiqua"/>
          <w:color w:val="000000" w:themeColor="text1"/>
          <w:lang w:val="en-US"/>
        </w:rPr>
        <w:t>has been abandoned in CD due to its inability to prevent quiescent disease relapse</w:t>
      </w:r>
      <w:r w:rsidR="00D30406" w:rsidRPr="005B1A16">
        <w:rPr>
          <w:rFonts w:ascii="Book Antiqua" w:hAnsi="Book Antiqua"/>
          <w:color w:val="000000" w:themeColor="text1"/>
          <w:lang w:val="en-US"/>
        </w:rPr>
        <w:fldChar w:fldCharType="begin"/>
      </w:r>
      <w:r w:rsidR="00D30406" w:rsidRPr="005B1A16">
        <w:rPr>
          <w:rFonts w:ascii="Book Antiqua" w:hAnsi="Book Antiqua"/>
          <w:color w:val="000000" w:themeColor="text1"/>
          <w:lang w:val="en-US"/>
        </w:rPr>
        <w:instrText xml:space="preserve"> ADDIN ZOTERO_ITEM CSL_CITATION {"citationID":"3xgYlHct","properties":{"formattedCitation":"\\super [9]\\nosupersub{}","plainCitation":"[9]","noteIndex":0},"citationItems":[{"id":237,"uris":["http://zotero.org/users/4672422/items/F5UL34V6"],"uri":["http://zotero.org/users/4672422/items/F5UL34V6"],"itemData":{"id":237,"type":"article-journal","title":"Efficacy of 5-Aminosalicylates in Crohn's Disease: Systematic Review and Meta-Analysis","container-title":"The American Journal of Gastroenterology","page":"617-629","volume":"106","issue":"4","source":"Crossref","URL":"http://www.nature.com/articles/ajg201171","DOI":"10.1038/ajg.2011.71","ISSN":"0002-9270, 1572-0241","shortTitle":"Efficacy of 5-Aminosalicylates in Crohn's Disease","language":"en","author":[{"family":"Ford","given":"Alexander C"},{"family":"Kane","given":"Sunanda V"},{"family":"Khan","given":"Khurram J"},{"family":"Achkar","given":"Jean-Paul"},{"family":"Talley","given":"Nicholas J"},{"family":"Marshall","given":"John K"},{"family":"Moayyedi","given":"Paul"}],"issued":{"date-parts":[["2011",4]]},"accessed":{"date-parts":[["2018",4,29]]}}}],"schema":"https://github.com/citation-style-language/schema/raw/master/csl-citation.json"} </w:instrText>
      </w:r>
      <w:r w:rsidR="00D30406" w:rsidRPr="005B1A16">
        <w:rPr>
          <w:rFonts w:ascii="Book Antiqua" w:hAnsi="Book Antiqua"/>
          <w:color w:val="000000" w:themeColor="text1"/>
          <w:lang w:val="en-US"/>
        </w:rPr>
        <w:fldChar w:fldCharType="separate"/>
      </w:r>
      <w:r w:rsidR="00D30406" w:rsidRPr="005B1A16">
        <w:rPr>
          <w:rFonts w:ascii="Book Antiqua" w:hAnsi="Book Antiqua"/>
          <w:color w:val="000000" w:themeColor="text1"/>
          <w:vertAlign w:val="superscript"/>
          <w:lang w:val="en-US"/>
        </w:rPr>
        <w:t>[9]</w:t>
      </w:r>
      <w:r w:rsidR="00D30406" w:rsidRPr="005B1A16">
        <w:rPr>
          <w:rFonts w:ascii="Book Antiqua" w:hAnsi="Book Antiqua"/>
          <w:color w:val="000000" w:themeColor="text1"/>
          <w:lang w:val="en-US"/>
        </w:rPr>
        <w:fldChar w:fldCharType="end"/>
      </w:r>
      <w:r w:rsidR="0085333E" w:rsidRPr="005B1A16">
        <w:rPr>
          <w:rFonts w:ascii="Book Antiqua" w:hAnsi="Book Antiqua"/>
          <w:color w:val="000000" w:themeColor="text1"/>
          <w:lang w:val="en-US"/>
        </w:rPr>
        <w:t>.</w:t>
      </w:r>
      <w:r w:rsidR="00AA4B56" w:rsidRPr="005B1A16">
        <w:rPr>
          <w:rFonts w:ascii="Book Antiqua" w:hAnsi="Book Antiqua"/>
          <w:color w:val="000000" w:themeColor="text1"/>
          <w:lang w:val="en-US"/>
        </w:rPr>
        <w:t xml:space="preserve"> </w:t>
      </w:r>
      <w:r w:rsidR="00A14545" w:rsidRPr="005B1A16">
        <w:rPr>
          <w:rFonts w:ascii="Book Antiqua" w:hAnsi="Book Antiqua"/>
          <w:color w:val="000000" w:themeColor="text1"/>
          <w:lang w:val="en-US"/>
        </w:rPr>
        <w:t xml:space="preserve">As steroid-refractory </w:t>
      </w:r>
      <w:r w:rsidR="0085333E" w:rsidRPr="005B1A16">
        <w:rPr>
          <w:rFonts w:ascii="Book Antiqua" w:hAnsi="Book Antiqua"/>
          <w:color w:val="000000" w:themeColor="text1"/>
          <w:lang w:val="en-US"/>
        </w:rPr>
        <w:t xml:space="preserve">disease </w:t>
      </w:r>
      <w:r w:rsidR="00A14545" w:rsidRPr="005B1A16">
        <w:rPr>
          <w:rFonts w:ascii="Book Antiqua" w:hAnsi="Book Antiqua"/>
          <w:color w:val="000000" w:themeColor="text1"/>
          <w:lang w:val="en-US"/>
        </w:rPr>
        <w:t xml:space="preserve">became more prevalent, reports on the use of ciclosporin began appearing and the first successful </w:t>
      </w:r>
      <w:r w:rsidR="004E4BE4" w:rsidRPr="005B1A16">
        <w:rPr>
          <w:rFonts w:ascii="Book Antiqua" w:hAnsi="Book Antiqua"/>
          <w:color w:val="000000" w:themeColor="text1"/>
          <w:lang w:val="en-US"/>
        </w:rPr>
        <w:t>trial</w:t>
      </w:r>
      <w:r w:rsidR="00E36B79" w:rsidRPr="005B1A16">
        <w:rPr>
          <w:rFonts w:ascii="Book Antiqua" w:hAnsi="Book Antiqua"/>
          <w:color w:val="000000" w:themeColor="text1"/>
          <w:lang w:val="en-US"/>
        </w:rPr>
        <w:t>s</w:t>
      </w:r>
      <w:r w:rsidR="004E4BE4" w:rsidRPr="005B1A16">
        <w:rPr>
          <w:rFonts w:ascii="Book Antiqua" w:hAnsi="Book Antiqua"/>
          <w:color w:val="000000" w:themeColor="text1"/>
          <w:lang w:val="en-US"/>
        </w:rPr>
        <w:t xml:space="preserve"> w</w:t>
      </w:r>
      <w:r w:rsidR="00F11420" w:rsidRPr="005B1A16">
        <w:rPr>
          <w:rFonts w:ascii="Book Antiqua" w:hAnsi="Book Antiqua"/>
          <w:color w:val="000000" w:themeColor="text1"/>
          <w:lang w:val="en-US"/>
        </w:rPr>
        <w:t>ere</w:t>
      </w:r>
      <w:r w:rsidR="004E4BE4" w:rsidRPr="005B1A16">
        <w:rPr>
          <w:rFonts w:ascii="Book Antiqua" w:hAnsi="Book Antiqua"/>
          <w:color w:val="000000" w:themeColor="text1"/>
          <w:lang w:val="en-US"/>
        </w:rPr>
        <w:t xml:space="preserve"> conducted in </w:t>
      </w:r>
      <w:r w:rsidR="00F11420" w:rsidRPr="005B1A16">
        <w:rPr>
          <w:rFonts w:ascii="Book Antiqua" w:hAnsi="Book Antiqua"/>
          <w:color w:val="000000" w:themeColor="text1"/>
          <w:lang w:val="en-US"/>
        </w:rPr>
        <w:t xml:space="preserve">1989 and </w:t>
      </w:r>
      <w:r w:rsidR="004E4BE4" w:rsidRPr="005B1A16">
        <w:rPr>
          <w:rFonts w:ascii="Book Antiqua" w:hAnsi="Book Antiqua"/>
          <w:color w:val="000000" w:themeColor="text1"/>
          <w:lang w:val="en-US"/>
        </w:rPr>
        <w:t>1994</w:t>
      </w:r>
      <w:r w:rsidR="00F11420" w:rsidRPr="005B1A16">
        <w:rPr>
          <w:rFonts w:ascii="Book Antiqua" w:hAnsi="Book Antiqua"/>
          <w:color w:val="000000" w:themeColor="text1"/>
          <w:lang w:val="en-US"/>
        </w:rPr>
        <w:t xml:space="preserve"> for steroid resistant severe CD and UC, respectively</w:t>
      </w:r>
      <w:r w:rsidR="009F02AD" w:rsidRPr="005B1A16">
        <w:rPr>
          <w:rFonts w:ascii="Book Antiqua" w:hAnsi="Book Antiqua"/>
          <w:color w:val="000000" w:themeColor="text1"/>
          <w:highlight w:val="yellow"/>
          <w:lang w:val="en-US"/>
        </w:rPr>
        <w:fldChar w:fldCharType="begin"/>
      </w:r>
      <w:r w:rsidR="00A126EB" w:rsidRPr="005B1A16">
        <w:rPr>
          <w:rFonts w:ascii="Book Antiqua" w:hAnsi="Book Antiqua"/>
          <w:color w:val="000000" w:themeColor="text1"/>
          <w:highlight w:val="yellow"/>
          <w:lang w:val="en-US"/>
        </w:rPr>
        <w:instrText xml:space="preserve"> ADDIN ZOTERO_ITEM CSL_CITATION {"citationID":"jvhdppQO","properties":{"formattedCitation":"\\super [10,11]\\nosupersub{}","plainCitation":"[10,11]","noteIndex":0},"citationItems":[{"id":24,"uris":["http://zotero.org/users/4672422/items/B3NU628P"],"uri":["http://zotero.org/users/4672422/items/B3NU628P"],"itemData":{"id":24,"type":"article-journal","title":"Cyclosporine in Severe Ulcerative Colitis Refractory to Steroid Therapy","container-title":"New England Journal of Medicine","page":"1841-1845","volume":"330","issue":"26","source":"CrossRef","URL":"http://www.nejm.org/doi/abs/10.1056/NEJM199406303302601","DOI":"10.1056/NEJM199406303302601","ISSN":"0028-4793, 1533-4406","language":"en","author":[{"family":"Lichtiger","given":"Simon"},{"family":"Present","given":"Daniel H."},{"family":"Kornbluth","given":"Asher"},{"family":"Gelernt","given":"Irwin"},{"family":"Bauer","given":"Joel"},{"family":"Galler","given":"Greg"},{"family":"Michelassi","given":"Fabrizio"},{"family":"Hanauer","given":"Stephen"}],"issued":{"date-parts":[["1994",6,30]]},"accessed":{"date-parts":[["2018",3,27]]}}},{"id":38,"uris":["http://zotero.org/users/4672422/items/LNCZVVIJ"],"uri":["http://zotero.org/users/4672422/items/LNCZVVIJ"],"itemData":{"id":38,"type":"article-journal","title":"A placebo-controlled, double-blind, randomized trial of cyclosporine therapy in active chronic Crohn's disease","container-title":"The New England Journal of Medicine","page":"845-850","volume":"321","issue":"13","source":"PubMed","abstract":"We randomly assigned 71 patients with active chronic Crohn's disease who were resistant to or intolerant of corticosteroids to treatment with oral cyclosporine (5 to 7.5 mg per kilogram of body weight per day) or placebo for three months. Disease activity was assessed on a clinical grading scale without knowledge of the treatment given. At the end of the treatment period, 22 of the 37 cyclosporine-treated patients (59 percent) had improvement, as compared with 11 of the 34 placebo-treated patients (32 percent) (P = 0.032). During cyclosporine treatment, there was significant improvement in plasma orosomucoid levels (P = 0.0025) and the Crohn's Disease Activity Index (P = 0.00012). The effect of treatment became evident after two weeks. In the subsequent three months, during which the patients were gradually withdrawn from treatment, the improvement continued in 14 of the 37 patients (38 percent) in the cyclosporine group and in 5 of the 34 (15 percent) in the placebo group (P = 0.034). No serious adverse events were observed. We conclude that cyclosporine has a beneficial therapeutic effect in patients with active chronic Crohn's disease and resistance to or intolerance of corticosteroids.","DOI":"10.1056/NEJM198909283211301","ISSN":"0028-4793","note":"PMID: 2671739","journalAbbreviation":"N. Engl. J. Med.","language":"eng","author":[{"family":"Brynskov","given":"J."},{"family":"Freund","given":"L."},{"family":"Rasmussen","given":"S. N."},{"family":"Lauritsen","given":"K."},{"family":"Muckadell","given":"O. S.","non-dropping-particle":"de"},{"family":"Williams","given":"N."},{"family":"MacDonald","given":"A. S."},{"family":"Tanton","given":"R."},{"family":"Molina","given":"F."},{"family":"Campanini","given":"M. C."}],"issued":{"date-parts":[["1989",9,28]]}}}],"schema":"https://github.com/citation-style-language/schema/raw/master/csl-citation.json"} </w:instrText>
      </w:r>
      <w:r w:rsidR="009F02AD" w:rsidRPr="005B1A16">
        <w:rPr>
          <w:rFonts w:ascii="Book Antiqua" w:hAnsi="Book Antiqua"/>
          <w:color w:val="000000" w:themeColor="text1"/>
          <w:highlight w:val="yellow"/>
          <w:lang w:val="en-US"/>
        </w:rPr>
        <w:fldChar w:fldCharType="separate"/>
      </w:r>
      <w:r w:rsidR="00A126EB" w:rsidRPr="005B1A16">
        <w:rPr>
          <w:rFonts w:ascii="Book Antiqua" w:hAnsi="Book Antiqua"/>
          <w:color w:val="000000" w:themeColor="text1"/>
          <w:vertAlign w:val="superscript"/>
          <w:lang w:val="en-US"/>
        </w:rPr>
        <w:t>[10,11]</w:t>
      </w:r>
      <w:r w:rsidR="009F02AD" w:rsidRPr="005B1A16">
        <w:rPr>
          <w:rFonts w:ascii="Book Antiqua" w:hAnsi="Book Antiqua"/>
          <w:color w:val="000000" w:themeColor="text1"/>
          <w:highlight w:val="yellow"/>
          <w:lang w:val="en-US"/>
        </w:rPr>
        <w:fldChar w:fldCharType="end"/>
      </w:r>
      <w:r w:rsidR="0049576A" w:rsidRPr="005B1A16">
        <w:rPr>
          <w:rFonts w:ascii="Book Antiqua" w:hAnsi="Book Antiqua"/>
          <w:color w:val="000000" w:themeColor="text1"/>
          <w:lang w:val="en-US"/>
        </w:rPr>
        <w:t xml:space="preserve">. </w:t>
      </w:r>
      <w:r w:rsidR="00A14545" w:rsidRPr="005B1A16">
        <w:rPr>
          <w:rFonts w:ascii="Book Antiqua" w:hAnsi="Book Antiqua"/>
          <w:color w:val="000000" w:themeColor="text1"/>
        </w:rPr>
        <w:t xml:space="preserve">Due to ciclosporin’s narrow therapeutic window, alternative steroid-sparing agents such as thiopurines were investigated. Although they have </w:t>
      </w:r>
      <w:r w:rsidR="00490022" w:rsidRPr="005B1A16">
        <w:rPr>
          <w:rFonts w:ascii="Book Antiqua" w:hAnsi="Book Antiqua"/>
          <w:color w:val="000000" w:themeColor="text1"/>
        </w:rPr>
        <w:t>demonstrated fair efficacy in IBD</w:t>
      </w:r>
      <w:r w:rsidR="00A14545" w:rsidRPr="005B1A16">
        <w:rPr>
          <w:rFonts w:ascii="Book Antiqua" w:hAnsi="Book Antiqua"/>
          <w:color w:val="000000" w:themeColor="text1"/>
        </w:rPr>
        <w:t xml:space="preserve">, it may take up to 3-6 </w:t>
      </w:r>
      <w:r w:rsidR="00C05793" w:rsidRPr="005B1A16">
        <w:rPr>
          <w:rFonts w:ascii="Book Antiqua" w:eastAsia="SimSun" w:hAnsi="Book Antiqua"/>
          <w:color w:val="000000" w:themeColor="text1"/>
          <w:lang w:eastAsia="zh-CN"/>
        </w:rPr>
        <w:t>mo</w:t>
      </w:r>
      <w:r w:rsidR="00A14545" w:rsidRPr="005B1A16">
        <w:rPr>
          <w:rFonts w:ascii="Book Antiqua" w:hAnsi="Book Antiqua"/>
          <w:color w:val="000000" w:themeColor="text1"/>
        </w:rPr>
        <w:t xml:space="preserve"> for them to reach their full therapeutic effect</w:t>
      </w:r>
      <w:r w:rsidR="00B97923" w:rsidRPr="005B1A16">
        <w:rPr>
          <w:rFonts w:ascii="Book Antiqua" w:hAnsi="Book Antiqua"/>
          <w:color w:val="000000" w:themeColor="text1"/>
        </w:rPr>
        <w:t xml:space="preserve"> thereby limiting their potential as a strong induction agent</w:t>
      </w:r>
      <w:r w:rsidR="00017649" w:rsidRPr="005B1A16">
        <w:rPr>
          <w:rFonts w:ascii="Book Antiqua" w:hAnsi="Book Antiqua"/>
          <w:color w:val="000000" w:themeColor="text1"/>
        </w:rPr>
        <w:fldChar w:fldCharType="begin"/>
      </w:r>
      <w:r w:rsidR="00017649" w:rsidRPr="005B1A16">
        <w:rPr>
          <w:rFonts w:ascii="Book Antiqua" w:hAnsi="Book Antiqua"/>
          <w:color w:val="000000" w:themeColor="text1"/>
        </w:rPr>
        <w:instrText xml:space="preserve"> ADDIN ZOTERO_ITEM CSL_CITATION {"citationID":"6IntrxgY","properties":{"formattedCitation":"\\super [12]\\nosupersub{}","plainCitation":"[12]","noteIndex":0},"citationItems":[{"id":26,"uris":["http://zotero.org/users/4672422/items/7IN2R2NS"],"uri":["http://zotero.org/users/4672422/items/7IN2R2NS"],"itemData":{"id":26,"type":"article-journal","title":"Thiopurines and inflammatory bowel disease: Current evidence and a historical perspective","container-title":"World Journal of Gastroenterology","page":"10103","volume":"22","issue":"46","source":"CrossRef","URL":"http://www.wjgnet.com/1007-9327/full/v22/i46/10103.htm","DOI":"10.3748/wjg.v22.i46.10103","ISSN":"1007-9327","shortTitle":"Thiopurines and inflammatory bowel disease","language":"en","author":[{"family":"Axelrad","given":"Jordan E"},{"family":"Roy","given":"Abhik"},{"family":"Lawlor","given":"Garrett"},{"family":"Korelitz","given":"Burton"},{"family":"Lichtiger","given":"Simon"}],"issued":{"date-parts":[["2016"]]},"accessed":{"date-parts":[["2018",3,27]]}}}],"schema":"https://github.com/citation-style-language/schema/raw/master/csl-citation.json"} </w:instrText>
      </w:r>
      <w:r w:rsidR="00017649" w:rsidRPr="005B1A16">
        <w:rPr>
          <w:rFonts w:ascii="Book Antiqua" w:hAnsi="Book Antiqua"/>
          <w:color w:val="000000" w:themeColor="text1"/>
        </w:rPr>
        <w:fldChar w:fldCharType="separate"/>
      </w:r>
      <w:r w:rsidR="00017649" w:rsidRPr="005B1A16">
        <w:rPr>
          <w:rFonts w:ascii="Book Antiqua" w:hAnsi="Book Antiqua"/>
          <w:color w:val="000000" w:themeColor="text1"/>
          <w:vertAlign w:val="superscript"/>
          <w:lang w:val="en-US"/>
        </w:rPr>
        <w:t>[12]</w:t>
      </w:r>
      <w:r w:rsidR="00017649" w:rsidRPr="005B1A16">
        <w:rPr>
          <w:rFonts w:ascii="Book Antiqua" w:hAnsi="Book Antiqua"/>
          <w:color w:val="000000" w:themeColor="text1"/>
        </w:rPr>
        <w:fldChar w:fldCharType="end"/>
      </w:r>
      <w:r w:rsidR="00303EF2" w:rsidRPr="005B1A16">
        <w:rPr>
          <w:rFonts w:ascii="Book Antiqua" w:hAnsi="Book Antiqua"/>
          <w:color w:val="000000" w:themeColor="text1"/>
        </w:rPr>
        <w:t>.</w:t>
      </w:r>
      <w:r w:rsidR="00A14545" w:rsidRPr="005B1A16">
        <w:rPr>
          <w:rFonts w:ascii="Book Antiqua" w:hAnsi="Book Antiqua"/>
          <w:color w:val="000000" w:themeColor="text1"/>
        </w:rPr>
        <w:t xml:space="preserve"> </w:t>
      </w:r>
      <w:r w:rsidR="00303EF2" w:rsidRPr="005B1A16">
        <w:rPr>
          <w:rFonts w:ascii="Book Antiqua" w:hAnsi="Book Antiqua"/>
          <w:color w:val="000000" w:themeColor="text1"/>
        </w:rPr>
        <w:t xml:space="preserve">Despite their slow onset of action and </w:t>
      </w:r>
      <w:r w:rsidR="00E06DBA" w:rsidRPr="005B1A16">
        <w:rPr>
          <w:rFonts w:ascii="Book Antiqua" w:hAnsi="Book Antiqua"/>
          <w:color w:val="000000" w:themeColor="text1"/>
        </w:rPr>
        <w:t xml:space="preserve">risks, thiopurines may </w:t>
      </w:r>
      <w:r w:rsidR="00B97923" w:rsidRPr="005B1A16">
        <w:rPr>
          <w:rFonts w:ascii="Book Antiqua" w:hAnsi="Book Antiqua"/>
          <w:color w:val="000000" w:themeColor="text1"/>
        </w:rPr>
        <w:t>be used strategically</w:t>
      </w:r>
      <w:r w:rsidR="00607CB5" w:rsidRPr="005B1A16">
        <w:rPr>
          <w:rFonts w:ascii="Book Antiqua" w:hAnsi="Book Antiqua"/>
          <w:color w:val="000000" w:themeColor="text1"/>
        </w:rPr>
        <w:t xml:space="preserve"> </w:t>
      </w:r>
      <w:r w:rsidR="00E06DBA" w:rsidRPr="005B1A16">
        <w:rPr>
          <w:rFonts w:ascii="Book Antiqua" w:hAnsi="Book Antiqua"/>
          <w:color w:val="000000" w:themeColor="text1"/>
        </w:rPr>
        <w:t>to reduce immunogenicity associated with biologic therapy and</w:t>
      </w:r>
      <w:r w:rsidR="00E55AAE" w:rsidRPr="005B1A16">
        <w:rPr>
          <w:rFonts w:ascii="Book Antiqua" w:hAnsi="Book Antiqua"/>
          <w:color w:val="000000" w:themeColor="text1"/>
        </w:rPr>
        <w:t xml:space="preserve"> augment the rate of remission</w:t>
      </w:r>
      <w:r w:rsidR="00E55AAE" w:rsidRPr="005B1A16">
        <w:rPr>
          <w:rFonts w:ascii="Book Antiqua" w:hAnsi="Book Antiqua"/>
          <w:color w:val="000000" w:themeColor="text1"/>
        </w:rPr>
        <w:fldChar w:fldCharType="begin"/>
      </w:r>
      <w:r w:rsidR="00114C9A" w:rsidRPr="005B1A16">
        <w:rPr>
          <w:rFonts w:ascii="Book Antiqua" w:hAnsi="Book Antiqua"/>
          <w:color w:val="000000" w:themeColor="text1"/>
        </w:rPr>
        <w:instrText xml:space="preserve"> ADDIN ZOTERO_ITEM CSL_CITATION {"citationID":"plKFUeoP","properties":{"formattedCitation":"\\super [13,14]\\nosupersub{}","plainCitation":"[13,14]","noteIndex":0},"citationItems":[{"id":51,"uris":["http://zotero.org/users/4672422/items/GERETYXE"],"uri":["http://zotero.org/users/4672422/items/GERETYXE"],"itemData":{"id":51,"type":"article-journal","title":"Infliximab plus azathioprine for steroid-dependent Crohn's disease patients: a randomized placebo-controlled trial","container-title":"Gastroenterology","page":"1054-1061","volume":"130","issue":"4","source":"PubMed","abstract":"BACKGROUND &amp; AIMS: The aim of this study was to evaluate the usefulness of short-term infliximab combined with azathioprine (AZA) or 6-mercaptopurine (6-MP) in steroid-dependent Crohn's disease patients.\nMETHODS: Patients with active disease despite prednisone given for more than 6 months were eligible and were stratified as follows: the failure stratum consisted of patients receiving AZA/6-MP at a stable dose for more than 6 months, and the naive stratum consisted of patients not treated previously with AZA/6-MP. Patients were randomized to infliximab 5 mg/kg or placebo at weeks 0, 2, and 6. All patients were treated with AZA/6-MP maintained at a stable dose throughout the 52 weeks of the study. The primary end point was remission off steroids at week 24.\nRESULTS: Among the 113 enrolled patients (55 in the failure stratum), 57 were assigned to infliximab. At week 24, the success rate (intent-to-treat analysis) was higher in the infliximab group than in the placebo group (57% vs 29%; P = .003); at weeks 12 and 52, the corresponding rates were 75% vs 38% (P &lt; .001) and 40% vs 22% (P = .04), respectively. In each stratum, the success rate was significantly higher in the infliximab group at weeks 12 and 24, and a trend was found at week 52. In the failure stratum, only 27% of the patients in the infliximab group were still in remission off steroids, compared with 52% in the naive stratum. Steroid resistance was less common and the cumulative dose of prednisone was lower in the infliximab group.\nCONCLUSIONS: Infliximab plus AZA/6-MP is more effective than AZA/6-MP alone in steroid-dependent Crohn's disease patients.","DOI":"10.1053/j.gastro.2006.02.014","ISSN":"0016-5085","note":"PMID: 16618399","shortTitle":"Infliximab plus azathioprine for steroid-dependent Crohn's disease patients","journalAbbreviation":"Gastroenterology","language":"eng","author":[{"family":"Lémann","given":"Marc"},{"family":"Mary","given":"Jean-Yves"},{"family":"Duclos","given":"Bernard"},{"family":"Veyrac","given":"Michel"},{"family":"Dupas","given":"Jean-Louis"},{"family":"Delchier","given":"Jean Charles"},{"family":"Laharie","given":"David"},{"family":"Moreau","given":"Jacques"},{"family":"Cadiot","given":"Guillaume"},{"family":"Picon","given":"Laurence"},{"family":"Bourreille","given":"Arnaud"},{"family":"Sobahni","given":"Iradj"},{"family":"Colombel","given":"Jean-Frederic"},{"literal":"Groupe d'Etude Therapeutique des Affections Inflammatoires du Tube Digestif (GETAID)"}],"issued":{"date-parts":[["2006",4]]}}},{"id":57,"uris":["http://zotero.org/users/4672422/items/NCTKCCP5"],"uri":["http://zotero.org/users/4672422/items/NCTKCCP5"],"itemData":{"id":57,"type":"article-journal","title":"Infliximab, Azathioprine, or Combination Therapy for Crohn's Disease","container-title":"New England Journal of Medicine","page":"1383-1395","volume":"362","issue":"15","source":"CrossRef","URL":"http://www.nejm.org/doi/abs/10.1056/NEJMoa0904492","DOI":"10.1056/NEJMoa0904492","ISSN":"0028-4793, 1533-4406","language":"en","author":[{"family":"Colombel","given":"Jean Frédéric"},{"family":"Sandborn","given":"William J."},{"family":"Reinisch","given":"Walter"},{"family":"Mantzaris","given":"Gerassimos J."},{"family":"Kornbluth","given":"Asher"},{"family":"Rachmilewitz","given":"Daniel"},{"family":"Lichtiger","given":"Simon"},{"family":"D'Haens","given":"Geert"},{"family":"Diamond","given":"Robert H."},{"family":"Broussard","given":"Delma L."},{"family":"Tang","given":"Kezhen L."},{"family":"Woude","given":"C. Janneke","non-dropping-particle":"van der"},{"family":"Rutgeerts","given":"Paul"}],"issued":{"date-parts":[["2010",4,15]]},"accessed":{"date-parts":[["2018",3,27]]}}}],"schema":"https://github.com/citation-style-language/schema/raw/master/csl-citation.json"} </w:instrText>
      </w:r>
      <w:r w:rsidR="00E55AAE" w:rsidRPr="005B1A16">
        <w:rPr>
          <w:rFonts w:ascii="Book Antiqua" w:hAnsi="Book Antiqua"/>
          <w:color w:val="000000" w:themeColor="text1"/>
        </w:rPr>
        <w:fldChar w:fldCharType="separate"/>
      </w:r>
      <w:r w:rsidR="00114C9A" w:rsidRPr="005B1A16">
        <w:rPr>
          <w:rFonts w:ascii="Book Antiqua" w:hAnsi="Book Antiqua"/>
          <w:color w:val="000000" w:themeColor="text1"/>
          <w:vertAlign w:val="superscript"/>
          <w:lang w:val="en-US"/>
        </w:rPr>
        <w:t>[13,14]</w:t>
      </w:r>
      <w:r w:rsidR="00E55AAE" w:rsidRPr="005B1A16">
        <w:rPr>
          <w:rFonts w:ascii="Book Antiqua" w:hAnsi="Book Antiqua"/>
          <w:color w:val="000000" w:themeColor="text1"/>
        </w:rPr>
        <w:fldChar w:fldCharType="end"/>
      </w:r>
      <w:r w:rsidR="00B97923" w:rsidRPr="005B1A16">
        <w:rPr>
          <w:rFonts w:ascii="Book Antiqua" w:hAnsi="Book Antiqua"/>
          <w:color w:val="000000" w:themeColor="text1"/>
        </w:rPr>
        <w:t xml:space="preserve"> Budesonide, a corticosteroid which undergoes significant first-pass metabolism in the liver resulting in low systemic exposure, has also established its position in the therapeutic armamentarium </w:t>
      </w:r>
      <w:r w:rsidR="00BD792D" w:rsidRPr="005B1A16">
        <w:rPr>
          <w:rFonts w:ascii="Book Antiqua" w:hAnsi="Book Antiqua"/>
          <w:color w:val="000000" w:themeColor="text1"/>
        </w:rPr>
        <w:t xml:space="preserve">since Rutgeert </w:t>
      </w:r>
      <w:r w:rsidR="00BD792D" w:rsidRPr="005B1A16">
        <w:rPr>
          <w:rFonts w:ascii="Book Antiqua" w:hAnsi="Book Antiqua"/>
          <w:i/>
          <w:color w:val="000000" w:themeColor="text1"/>
        </w:rPr>
        <w:t>et al</w:t>
      </w:r>
      <w:r w:rsidR="00F413BB" w:rsidRPr="005B1A16">
        <w:rPr>
          <w:rFonts w:ascii="Book Antiqua" w:hAnsi="Book Antiqua"/>
          <w:color w:val="000000" w:themeColor="text1"/>
        </w:rPr>
        <w:fldChar w:fldCharType="begin"/>
      </w:r>
      <w:r w:rsidR="00F413BB" w:rsidRPr="005B1A16">
        <w:rPr>
          <w:rFonts w:ascii="Book Antiqua" w:hAnsi="Book Antiqua"/>
          <w:color w:val="000000" w:themeColor="text1"/>
        </w:rPr>
        <w:instrText xml:space="preserve"> ADDIN ZOTERO_ITEM CSL_CITATION {"citationID":"3jO0xHVV","properties":{"formattedCitation":"\\super [15]\\nosupersub{}","plainCitation":"[15]","noteIndex":0},"citationItems":[{"id":36,"uris":["http://zotero.org/users/4672422/items/LMVDHASN"],"uri":["http://zotero.org/users/4672422/items/LMVDHASN"],"itemData":{"id":36,"type":"article-journal","title":"A Comparison of Budesonide with Prednisolone for Active Crohn's Disease","container-title":"New England Journal of Medicine","page":"842-845","volume":"331","issue":"13","source":"CrossRef","URL":"http://www.nejm.org/doi/abs/10.1056/NEJM199409293311304","DOI":"10.1056/NEJM199409293311304","ISSN":"0028-4793, 1533-4406","language":"en","author":[{"family":"Rutgeerts","given":"Paul"},{"family":"Lofberg","given":"Robert"},{"family":"Malchow","given":"Helmut"},{"family":"Lamers","given":"Cornelis"},{"family":"Olaison","given":"Gunnar"},{"family":"Jewell","given":"Derek"},{"family":"Danielsson","given":"Ake"},{"family":"Goebell","given":"Harald"},{"family":"Thomsen","given":"Ole Ostergaard"},{"family":"Lorenz-Meyer","given":"Hertwig"},{"family":"Hodgson","given":"Humphrey"},{"family":"Persson","given":"Tore"},{"family":"Seidegard","given":"Cecilia"}],"issued":{"date-parts":[["1994",9,29]]},"accessed":{"date-parts":[["2018",3,27]]}}}],"schema":"https://github.com/citation-style-language/schema/raw/master/csl-citation.json"} </w:instrText>
      </w:r>
      <w:r w:rsidR="00F413BB" w:rsidRPr="005B1A16">
        <w:rPr>
          <w:rFonts w:ascii="Book Antiqua" w:hAnsi="Book Antiqua"/>
          <w:color w:val="000000" w:themeColor="text1"/>
        </w:rPr>
        <w:fldChar w:fldCharType="separate"/>
      </w:r>
      <w:r w:rsidR="00F413BB" w:rsidRPr="005B1A16">
        <w:rPr>
          <w:rFonts w:ascii="Book Antiqua" w:hAnsi="Book Antiqua"/>
          <w:color w:val="000000" w:themeColor="text1"/>
          <w:vertAlign w:val="superscript"/>
          <w:lang w:val="en-US"/>
        </w:rPr>
        <w:t>[15]</w:t>
      </w:r>
      <w:r w:rsidR="00F413BB" w:rsidRPr="005B1A16">
        <w:rPr>
          <w:rFonts w:ascii="Book Antiqua" w:hAnsi="Book Antiqua"/>
          <w:color w:val="000000" w:themeColor="text1"/>
        </w:rPr>
        <w:fldChar w:fldCharType="end"/>
      </w:r>
      <w:r w:rsidR="00BD792D" w:rsidRPr="005B1A16">
        <w:rPr>
          <w:rFonts w:ascii="Book Antiqua" w:hAnsi="Book Antiqua"/>
          <w:color w:val="000000" w:themeColor="text1"/>
        </w:rPr>
        <w:t>’s original study demonstrating its non-inferi</w:t>
      </w:r>
      <w:r w:rsidR="00114C9A" w:rsidRPr="005B1A16">
        <w:rPr>
          <w:rFonts w:ascii="Book Antiqua" w:hAnsi="Book Antiqua"/>
          <w:color w:val="000000" w:themeColor="text1"/>
        </w:rPr>
        <w:t>ority to prednisolone therapy for CD patients in 1994.</w:t>
      </w:r>
      <w:r w:rsidR="00BD792D" w:rsidRPr="005B1A16">
        <w:rPr>
          <w:rFonts w:ascii="Book Antiqua" w:hAnsi="Book Antiqua"/>
          <w:color w:val="000000" w:themeColor="text1"/>
        </w:rPr>
        <w:t xml:space="preserve"> </w:t>
      </w:r>
      <w:r w:rsidR="00BD792D" w:rsidRPr="005B1A16">
        <w:rPr>
          <w:rFonts w:ascii="Book Antiqua" w:hAnsi="Book Antiqua"/>
          <w:color w:val="000000" w:themeColor="text1"/>
        </w:rPr>
        <w:lastRenderedPageBreak/>
        <w:t xml:space="preserve">Budesonide has since repeatedly demonstrated its efficacy and safety making it the preferred means of </w:t>
      </w:r>
      <w:r w:rsidR="005019C8" w:rsidRPr="005B1A16">
        <w:rPr>
          <w:rFonts w:ascii="Book Antiqua" w:hAnsi="Book Antiqua"/>
          <w:color w:val="000000" w:themeColor="text1"/>
        </w:rPr>
        <w:t xml:space="preserve">inducing remission in patients with </w:t>
      </w:r>
      <w:r w:rsidR="00BD792D" w:rsidRPr="005B1A16">
        <w:rPr>
          <w:rFonts w:ascii="Book Antiqua" w:hAnsi="Book Antiqua"/>
          <w:color w:val="000000" w:themeColor="text1"/>
        </w:rPr>
        <w:t xml:space="preserve">mild </w:t>
      </w:r>
      <w:r w:rsidR="0001613B" w:rsidRPr="005B1A16">
        <w:rPr>
          <w:rFonts w:ascii="Book Antiqua" w:hAnsi="Book Antiqua"/>
          <w:color w:val="000000" w:themeColor="text1"/>
        </w:rPr>
        <w:t>C</w:t>
      </w:r>
      <w:r w:rsidR="00BD792D" w:rsidRPr="005B1A16">
        <w:rPr>
          <w:rFonts w:ascii="Book Antiqua" w:hAnsi="Book Antiqua"/>
          <w:color w:val="000000" w:themeColor="text1"/>
        </w:rPr>
        <w:t>rohn’s ileitis</w:t>
      </w:r>
      <w:r w:rsidR="00114C9A" w:rsidRPr="005B1A16">
        <w:rPr>
          <w:rFonts w:ascii="Book Antiqua" w:hAnsi="Book Antiqua"/>
          <w:color w:val="000000" w:themeColor="text1"/>
        </w:rPr>
        <w:fldChar w:fldCharType="begin"/>
      </w:r>
      <w:r w:rsidR="00114C9A" w:rsidRPr="005B1A16">
        <w:rPr>
          <w:rFonts w:ascii="Book Antiqua" w:hAnsi="Book Antiqua"/>
          <w:color w:val="000000" w:themeColor="text1"/>
        </w:rPr>
        <w:instrText xml:space="preserve"> ADDIN ZOTERO_ITEM CSL_CITATION {"citationID":"3jqVKrLU","properties":{"formattedCitation":"\\super [16]\\nosupersub{}","plainCitation":"[16]","noteIndex":0},"citationItems":[{"id":176,"uris":["http://zotero.org/users/4672422/items/M5JPZAIL"],"uri":["http://zotero.org/users/4672422/items/M5JPZAIL"],"itemData":{"id":176,"type":"article-journal","title":"3rd European Evidence-based Consensus on the Diagnosis and Management of Crohn’s Disease 2016: Part 1: Diagnosis and Medical Management","container-title":"Journal of Crohn's and Colitis","page":"3-25","volume":"11","issue":"1","source":"CrossRef","URL":"https://academic.oup.com/ecco-jcc/article-lookup/doi/10.1093/ecco-jcc/jjw168","DOI":"10.1093/ecco-jcc/jjw168","ISSN":"1873-9946, 1876-4479","shortTitle":"3rd European Evidence-based Consensus on the Diagnosis and Management of Crohn’s Disease 2016","language":"en","author":[{"family":"Gomollón","given":"Fernando"},{"family":"Dignass","given":"Axel"},{"family":"Annese","given":"Vito"},{"family":"Tilg","given":"Herbert"},{"family":"Van Assche","given":"Gert"},{"family":"Lindsay","given":"James O."},{"family":"Peyrin-Biroulet","given":"Laurent"},{"family":"Cullen","given":"Garret J."},{"family":"Daperno","given":"Marco"},{"family":"Kucharzik","given":"Torsten"},{"family":"Rieder","given":"Florian"},{"family":"Almer","given":"Sven"},{"family":"Armuzzi","given":"Alessandro"},{"family":"Harbord","given":"Marcus"},{"family":"Langhorst","given":"Jost"},{"family":"Sans","given":"Miquel"},{"family":"Chowers","given":"Yehuda"},{"family":"Fiorino","given":"Gionata"},{"family":"Juillerat","given":"Pascal"},{"family":"Mantzaris","given":"Gerassimos J."},{"family":"Rizzello","given":"Fernando"},{"family":"Vavricka","given":"Stephan"},{"family":"Gionchetti","given":"Paolo"},{"literal":"on behalf of ECCO"}],"issued":{"date-parts":[["2017",1]]},"accessed":{"date-parts":[["2018",3,28]]}}}],"schema":"https://github.com/citation-style-language/schema/raw/master/csl-citation.json"} </w:instrText>
      </w:r>
      <w:r w:rsidR="00114C9A" w:rsidRPr="005B1A16">
        <w:rPr>
          <w:rFonts w:ascii="Book Antiqua" w:hAnsi="Book Antiqua"/>
          <w:color w:val="000000" w:themeColor="text1"/>
        </w:rPr>
        <w:fldChar w:fldCharType="separate"/>
      </w:r>
      <w:r w:rsidR="00114C9A" w:rsidRPr="005B1A16">
        <w:rPr>
          <w:rFonts w:ascii="Book Antiqua" w:hAnsi="Book Antiqua"/>
          <w:color w:val="000000" w:themeColor="text1"/>
          <w:vertAlign w:val="superscript"/>
          <w:lang w:val="en-US"/>
        </w:rPr>
        <w:t>[16]</w:t>
      </w:r>
      <w:r w:rsidR="00114C9A" w:rsidRPr="005B1A16">
        <w:rPr>
          <w:rFonts w:ascii="Book Antiqua" w:hAnsi="Book Antiqua"/>
          <w:color w:val="000000" w:themeColor="text1"/>
        </w:rPr>
        <w:fldChar w:fldCharType="end"/>
      </w:r>
      <w:r w:rsidR="005019C8" w:rsidRPr="005B1A16">
        <w:rPr>
          <w:rFonts w:ascii="Book Antiqua" w:hAnsi="Book Antiqua"/>
          <w:color w:val="000000" w:themeColor="text1"/>
        </w:rPr>
        <w:t>. A newer formulation with a delayed release (</w:t>
      </w:r>
      <w:r w:rsidR="00596AD6" w:rsidRPr="005B1A16">
        <w:rPr>
          <w:rFonts w:ascii="Book Antiqua" w:hAnsi="Book Antiqua"/>
          <w:color w:val="000000" w:themeColor="text1"/>
        </w:rPr>
        <w:t>budesonide-MMX</w:t>
      </w:r>
      <w:r w:rsidR="005019C8" w:rsidRPr="005B1A16">
        <w:rPr>
          <w:rFonts w:ascii="Book Antiqua" w:hAnsi="Book Antiqua"/>
          <w:color w:val="000000" w:themeColor="text1"/>
          <w:vertAlign w:val="superscript"/>
        </w:rPr>
        <w:sym w:font="Symbol" w:char="F0D3"/>
      </w:r>
      <w:r w:rsidR="005019C8" w:rsidRPr="005B1A16">
        <w:rPr>
          <w:rFonts w:ascii="Book Antiqua" w:hAnsi="Book Antiqua"/>
          <w:color w:val="000000" w:themeColor="text1"/>
        </w:rPr>
        <w:t>) can be efficacious in moderate UC</w:t>
      </w:r>
      <w:r w:rsidR="00BD792D" w:rsidRPr="005B1A16">
        <w:rPr>
          <w:rFonts w:ascii="Book Antiqua" w:hAnsi="Book Antiqua"/>
          <w:color w:val="000000" w:themeColor="text1"/>
        </w:rPr>
        <w:t xml:space="preserve"> </w:t>
      </w:r>
      <w:r w:rsidR="005019C8" w:rsidRPr="005B1A16">
        <w:rPr>
          <w:rFonts w:ascii="Book Antiqua" w:hAnsi="Book Antiqua"/>
          <w:color w:val="000000" w:themeColor="text1"/>
        </w:rPr>
        <w:t>as well</w:t>
      </w:r>
      <w:r w:rsidR="00B71AF0"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{"citationID":"79VC4PUX","properties":{"formattedCitation":"\\super [17]\\nosupersub{}","plainCitation":"[17]","noteIndex":0},"citationItems":[{"id":242,"uris":["http://zotero.org/users/4672422/items/ELBF5V6D"],"uri":["http://zotero.org/users/4672422/items/ELBF5V6D"],"itemData":{"id":242,"type":"article-journal","title":"Budesonide for the treatment of ulcerative colitis","container-title":"Expert Opinion on Pharmacotherapy","page":"1549-1559","volume":"17","issue":"11","source":"Crossref","URL":"https://www.tandfonline.com/doi/full/10.1080/14656566.2016.1183648","DOI":"10.1080/14656566.2016.1183648","ISSN":"1465-6566, 1744-7666","language":"en","author":[{"family":"Abdalla","given":"Maisa I."},{"family":"Herfarth","given":"Hans"}],"issued":{"date-parts":[["2016",7,23]]},"accessed":{"date-parts":[["2018",5,9]]}}}],"schema":"https://github.com/citation-style-language/schema/raw/master/csl-citation.json"} </w:instrText>
      </w:r>
      <w:r w:rsidR="00B71AF0"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[17]</w:t>
      </w:r>
      <w:r w:rsidR="00B71AF0" w:rsidRPr="005B1A16">
        <w:rPr>
          <w:rFonts w:ascii="Book Antiqua" w:hAnsi="Book Antiqua"/>
          <w:color w:val="000000" w:themeColor="text1"/>
        </w:rPr>
        <w:fldChar w:fldCharType="end"/>
      </w:r>
      <w:r w:rsidR="005019C8" w:rsidRPr="005B1A16">
        <w:rPr>
          <w:rFonts w:ascii="Book Antiqua" w:hAnsi="Book Antiqua"/>
          <w:color w:val="000000" w:themeColor="text1"/>
        </w:rPr>
        <w:t xml:space="preserve">. </w:t>
      </w:r>
    </w:p>
    <w:p w14:paraId="2F80699F" w14:textId="597AA37E" w:rsidR="008120BB" w:rsidRPr="005B1A16" w:rsidRDefault="00B54810" w:rsidP="005B1A16">
      <w:pPr>
        <w:spacing w:line="360" w:lineRule="auto"/>
        <w:ind w:firstLineChars="100" w:firstLine="240"/>
        <w:jc w:val="both"/>
        <w:rPr>
          <w:rFonts w:ascii="Book Antiqua" w:hAnsi="Book Antiqua"/>
          <w:color w:val="000000" w:themeColor="text1"/>
        </w:rPr>
      </w:pPr>
      <w:r w:rsidRPr="005B1A16">
        <w:rPr>
          <w:rFonts w:ascii="Book Antiqua" w:hAnsi="Book Antiqua"/>
          <w:color w:val="000000" w:themeColor="text1"/>
        </w:rPr>
        <w:t xml:space="preserve">Alongside the advent of new biological therapies, the therapeutic approach has evolved over the past decade to </w:t>
      </w:r>
      <w:r w:rsidR="008120BB" w:rsidRPr="005B1A16">
        <w:rPr>
          <w:rFonts w:ascii="Book Antiqua" w:hAnsi="Book Antiqua"/>
          <w:color w:val="000000" w:themeColor="text1"/>
        </w:rPr>
        <w:t>include</w:t>
      </w:r>
      <w:r w:rsidRPr="005B1A16">
        <w:rPr>
          <w:rFonts w:ascii="Book Antiqua" w:hAnsi="Book Antiqua"/>
          <w:color w:val="000000" w:themeColor="text1"/>
        </w:rPr>
        <w:t xml:space="preserve"> </w:t>
      </w:r>
      <w:r w:rsidR="003105AF" w:rsidRPr="005B1A16">
        <w:rPr>
          <w:rFonts w:ascii="Book Antiqua" w:hAnsi="Book Antiqua"/>
          <w:color w:val="000000" w:themeColor="text1"/>
        </w:rPr>
        <w:t>the use of</w:t>
      </w:r>
      <w:r w:rsidR="008120BB" w:rsidRPr="005B1A16">
        <w:rPr>
          <w:rFonts w:ascii="Book Antiqua" w:hAnsi="Book Antiqua"/>
          <w:color w:val="000000" w:themeColor="text1"/>
        </w:rPr>
        <w:t xml:space="preserve"> </w:t>
      </w:r>
      <w:r w:rsidRPr="005B1A16">
        <w:rPr>
          <w:rFonts w:ascii="Book Antiqua" w:hAnsi="Book Antiqua"/>
          <w:color w:val="000000" w:themeColor="text1"/>
        </w:rPr>
        <w:t xml:space="preserve">objective markers </w:t>
      </w:r>
      <w:r w:rsidR="008120BB" w:rsidRPr="005B1A16">
        <w:rPr>
          <w:rFonts w:ascii="Book Antiqua" w:hAnsi="Book Antiqua"/>
          <w:color w:val="000000" w:themeColor="text1"/>
        </w:rPr>
        <w:t xml:space="preserve">of </w:t>
      </w:r>
      <w:r w:rsidRPr="005B1A16">
        <w:rPr>
          <w:rFonts w:ascii="Book Antiqua" w:hAnsi="Book Antiqua"/>
          <w:color w:val="000000" w:themeColor="text1"/>
        </w:rPr>
        <w:t>disease severity and response to therapy</w:t>
      </w:r>
      <w:r w:rsidR="008120BB" w:rsidRPr="005B1A16">
        <w:rPr>
          <w:rFonts w:ascii="Book Antiqua" w:hAnsi="Book Antiqua"/>
          <w:color w:val="000000" w:themeColor="text1"/>
        </w:rPr>
        <w:t xml:space="preserve"> in tandem with the historical clinical scores</w:t>
      </w:r>
      <w:r w:rsidR="00A35CC2"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{"citationID":"a11f0ch57hu","properties":{"formattedCitation":"\\super [18,19]\\nosupersub{}","plainCitation":"[18,19]","noteIndex":0},"citationItems":[{"id":44,"uris":["http://zotero.org/users/4672422/items/FRUGFNZL"],"uri":["http://zotero.org/users/4672422/items/FRUGFNZL"],"itemData":{"id":44,"type":"article-journal","title":"Effect of tight control management on Crohn's disease (CALM): a multicentre, randomised, controlled phase 3 trial","container-title":"The Lancet","page":"2779-2789","volume":"390","issue":"10114","source":"CrossRef","URL":"http://linkinghub.elsevier.com/retrieve/pii/S0140673617326417","DOI":"10.1016/S0140-6736(17)32641-7","ISSN":"01406736","shortTitle":"Effect of tight control management on Crohn's disease (CALM)","language":"en","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2017",12]]},"accessed":{"date-parts":[["2018",3,27]]}}},{"id":40,"uris":["http://zotero.org/users/4672422/items/TS32XL45"],"uri":["http://zotero.org/users/4672422/items/TS32XL45"],"itemData":{"id":40,"type":"article-journal","title":"Selecting Therapeutic Targets in Inflammatory Bowel Disease (STRIDE): Determining Therapeutic Goals for Treat-to-Target","container-title":"The American Journal of Gastroenterology","page":"1324-1338","volume":"110","issue":"9","source":"PubMed","abstract":"OBJECTIVES: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\"treat-to-target\" clinical management strategy using an evidence-based expert consensus process.\nMETHODS: A Steering Committee of 28 IBD specialists developed recommendations based on a systematic literature review and expert opinion. Consensus was gained if ≥75% of participants scored the recommendation as 7-10 on a 10-point rating scale (where 10=agree completely).\nRESULTS: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target.\nCONCLUSIONS: Evidence- and consensus-based recommendations for selecting the goals for treat-to-target strategies in patients with IBD are made available. Prospective studies are needed to determine how these targets will change disease course and patients' quality of life.","DOI":"10.1038/ajg.2015.233","ISSN":"1572-0241","note":"PMID: 26303131","shortTitle":"Selecting Therapeutic Targets in Inflammatory Bowel Disease (STRIDE)","journalAbbreviation":"Am. J. Gastroenterol.","language":"eng","author":[{"family":"Peyrin-Biroulet","given":"L."},{"family":"Sandborn","given":"W."},{"family":"Sands","given":"B.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F."}],"issued":{"date-parts":[["2015",9]]}}}],"schema":"https://github.com/citation-style-language/schema/raw/master/csl-citation.json"} </w:instrText>
      </w:r>
      <w:r w:rsidR="00A35CC2"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[18,19]</w:t>
      </w:r>
      <w:r w:rsidR="00A35CC2" w:rsidRPr="005B1A16">
        <w:rPr>
          <w:rFonts w:ascii="Book Antiqua" w:hAnsi="Book Antiqua"/>
          <w:color w:val="000000" w:themeColor="text1"/>
        </w:rPr>
        <w:fldChar w:fldCharType="end"/>
      </w:r>
      <w:r w:rsidR="008120BB" w:rsidRPr="005B1A16">
        <w:rPr>
          <w:rFonts w:ascii="Book Antiqua" w:hAnsi="Book Antiqua"/>
          <w:color w:val="000000" w:themeColor="text1"/>
        </w:rPr>
        <w:t xml:space="preserve">. </w:t>
      </w:r>
      <w:r w:rsidR="00994DFE" w:rsidRPr="005B1A16">
        <w:rPr>
          <w:rFonts w:ascii="Book Antiqua" w:hAnsi="Book Antiqua"/>
          <w:color w:val="000000" w:themeColor="text1"/>
        </w:rPr>
        <w:t xml:space="preserve">In this article, </w:t>
      </w:r>
      <w:r w:rsidR="007732F8" w:rsidRPr="005B1A16">
        <w:rPr>
          <w:rFonts w:ascii="Book Antiqua" w:hAnsi="Book Antiqua"/>
          <w:color w:val="000000" w:themeColor="text1"/>
        </w:rPr>
        <w:t>authors review the existing data and provide a rationale for the positioning of the ‘old’ and ‘new’ biologicals and small molecules. Strategies for the use of available therapies based on recent gui</w:t>
      </w:r>
      <w:r w:rsidR="00114C9A" w:rsidRPr="005B1A16">
        <w:rPr>
          <w:rFonts w:ascii="Book Antiqua" w:hAnsi="Book Antiqua"/>
          <w:color w:val="000000" w:themeColor="text1"/>
        </w:rPr>
        <w:t>delines will be reviewed</w:t>
      </w:r>
      <w:r w:rsidR="007732F8" w:rsidRPr="005B1A16">
        <w:rPr>
          <w:rFonts w:ascii="Book Antiqua" w:hAnsi="Book Antiqua"/>
          <w:color w:val="000000" w:themeColor="text1"/>
        </w:rPr>
        <w:t xml:space="preserve">. </w:t>
      </w:r>
    </w:p>
    <w:p w14:paraId="18F3C8D2" w14:textId="5B6BEAD7" w:rsidR="005F0BFD" w:rsidRPr="005B1A16" w:rsidRDefault="005F0BFD" w:rsidP="005B1A16">
      <w:pPr>
        <w:spacing w:line="360" w:lineRule="auto"/>
        <w:jc w:val="both"/>
        <w:rPr>
          <w:rFonts w:ascii="Book Antiqua" w:hAnsi="Book Antiqua"/>
          <w:color w:val="000000" w:themeColor="text1"/>
        </w:rPr>
      </w:pPr>
    </w:p>
    <w:p w14:paraId="2D45AC99" w14:textId="7523632E" w:rsidR="00DC7011" w:rsidRPr="005B1A16" w:rsidRDefault="0001613B" w:rsidP="005B1A16">
      <w:pPr>
        <w:spacing w:line="360" w:lineRule="auto"/>
        <w:jc w:val="both"/>
        <w:outlineLvl w:val="0"/>
        <w:rPr>
          <w:rFonts w:ascii="Book Antiqua" w:hAnsi="Book Antiqua"/>
          <w:b/>
          <w:color w:val="000000" w:themeColor="text1"/>
        </w:rPr>
      </w:pPr>
      <w:r w:rsidRPr="005B1A16">
        <w:rPr>
          <w:rFonts w:ascii="Book Antiqua" w:hAnsi="Book Antiqua"/>
          <w:b/>
          <w:color w:val="000000" w:themeColor="text1"/>
        </w:rPr>
        <w:t>CROHN’S DISEASE</w:t>
      </w:r>
    </w:p>
    <w:p w14:paraId="35C0D30C" w14:textId="2BBBCE11" w:rsidR="002E74CA" w:rsidRPr="005B1A16" w:rsidRDefault="002E74CA" w:rsidP="005B1A16">
      <w:pPr>
        <w:spacing w:line="360" w:lineRule="auto"/>
        <w:jc w:val="both"/>
        <w:outlineLvl w:val="0"/>
        <w:rPr>
          <w:rFonts w:ascii="Book Antiqua" w:hAnsi="Book Antiqua"/>
          <w:b/>
          <w:i/>
          <w:color w:val="000000" w:themeColor="text1"/>
        </w:rPr>
      </w:pPr>
      <w:r w:rsidRPr="005B1A16">
        <w:rPr>
          <w:rFonts w:ascii="Book Antiqua" w:hAnsi="Book Antiqua"/>
          <w:b/>
          <w:i/>
          <w:color w:val="000000" w:themeColor="text1"/>
        </w:rPr>
        <w:t>Anti-</w:t>
      </w:r>
      <w:r w:rsidR="000D26A8" w:rsidRPr="005B1A16">
        <w:rPr>
          <w:rFonts w:ascii="Book Antiqua" w:hAnsi="Book Antiqua"/>
          <w:b/>
          <w:i/>
          <w:color w:val="000000" w:themeColor="text1"/>
        </w:rPr>
        <w:t>tumor necrosis factor</w:t>
      </w:r>
    </w:p>
    <w:p w14:paraId="45F649E2" w14:textId="52702FCD" w:rsidR="00CB6268" w:rsidRPr="005B1A16" w:rsidRDefault="007A6333" w:rsidP="005B1A16">
      <w:pPr>
        <w:spacing w:line="360" w:lineRule="auto"/>
        <w:jc w:val="both"/>
        <w:outlineLvl w:val="0"/>
        <w:rPr>
          <w:rFonts w:ascii="Book Antiqua" w:hAnsi="Book Antiqua"/>
          <w:i/>
          <w:color w:val="000000" w:themeColor="text1"/>
        </w:rPr>
      </w:pPr>
      <w:r w:rsidRPr="005B1A16">
        <w:rPr>
          <w:rFonts w:ascii="Book Antiqua" w:hAnsi="Book Antiqua"/>
          <w:b/>
          <w:color w:val="000000" w:themeColor="text1"/>
        </w:rPr>
        <w:t>Infliximab</w:t>
      </w:r>
      <w:r w:rsidR="0001613B" w:rsidRPr="005B1A16">
        <w:rPr>
          <w:rFonts w:ascii="Book Antiqua" w:eastAsia="SimSun" w:hAnsi="Book Antiqua"/>
          <w:b/>
          <w:color w:val="000000" w:themeColor="text1"/>
          <w:lang w:eastAsia="zh-CN"/>
        </w:rPr>
        <w:t>:</w:t>
      </w:r>
      <w:r w:rsidR="0001613B" w:rsidRPr="005B1A16">
        <w:rPr>
          <w:rFonts w:ascii="Book Antiqua" w:eastAsia="SimSun" w:hAnsi="Book Antiqua"/>
          <w:i/>
          <w:color w:val="000000" w:themeColor="text1"/>
          <w:lang w:eastAsia="zh-CN"/>
        </w:rPr>
        <w:t xml:space="preserve"> </w:t>
      </w:r>
      <w:r w:rsidR="004126A6" w:rsidRPr="005B1A16">
        <w:rPr>
          <w:rFonts w:ascii="Book Antiqua" w:hAnsi="Book Antiqua"/>
          <w:color w:val="000000" w:themeColor="text1"/>
        </w:rPr>
        <w:t xml:space="preserve">Four years after the FDA approved the use of infliximab in CD, the first large </w:t>
      </w:r>
      <w:r w:rsidR="00AF677C" w:rsidRPr="005B1A16">
        <w:rPr>
          <w:rFonts w:ascii="Book Antiqua" w:hAnsi="Book Antiqua"/>
          <w:color w:val="000000" w:themeColor="text1"/>
        </w:rPr>
        <w:t>RCT</w:t>
      </w:r>
      <w:r w:rsidR="008C197E" w:rsidRPr="005B1A16">
        <w:rPr>
          <w:rFonts w:ascii="Book Antiqua" w:hAnsi="Book Antiqua"/>
          <w:color w:val="000000" w:themeColor="text1"/>
        </w:rPr>
        <w:t>;</w:t>
      </w:r>
      <w:r w:rsidR="004126A6" w:rsidRPr="005B1A16">
        <w:rPr>
          <w:rFonts w:ascii="Book Antiqua" w:hAnsi="Book Antiqua"/>
          <w:color w:val="000000" w:themeColor="text1"/>
        </w:rPr>
        <w:t xml:space="preserve"> ACCENT I, was published in 2002</w:t>
      </w:r>
      <w:r w:rsidR="00B9658B" w:rsidRPr="005B1A16">
        <w:rPr>
          <w:rFonts w:ascii="Book Antiqua" w:hAnsi="Book Antiqua"/>
          <w:color w:val="000000" w:themeColor="text1"/>
        </w:rPr>
        <w:t xml:space="preserve"> which evaluated infliximab maintenance therapy in </w:t>
      </w:r>
      <w:r w:rsidR="00DF5CD6" w:rsidRPr="005B1A16">
        <w:rPr>
          <w:rFonts w:ascii="Book Antiqua" w:hAnsi="Book Antiqua"/>
          <w:color w:val="000000" w:themeColor="text1"/>
        </w:rPr>
        <w:t xml:space="preserve">573 </w:t>
      </w:r>
      <w:r w:rsidR="00B9658B" w:rsidRPr="005B1A16">
        <w:rPr>
          <w:rFonts w:ascii="Book Antiqua" w:hAnsi="Book Antiqua"/>
          <w:color w:val="000000" w:themeColor="text1"/>
        </w:rPr>
        <w:t xml:space="preserve">patients </w:t>
      </w:r>
      <w:r w:rsidR="00403068" w:rsidRPr="005B1A16">
        <w:rPr>
          <w:rFonts w:ascii="Book Antiqua" w:hAnsi="Book Antiqua"/>
          <w:color w:val="000000" w:themeColor="text1"/>
        </w:rPr>
        <w:t xml:space="preserve">with a CDAI of at least 220 </w:t>
      </w:r>
      <w:r w:rsidR="00B9658B" w:rsidRPr="005B1A16">
        <w:rPr>
          <w:rFonts w:ascii="Book Antiqua" w:hAnsi="Book Antiqua"/>
          <w:color w:val="000000" w:themeColor="text1"/>
        </w:rPr>
        <w:t>whom had responded well to an initial infusion of infliximab</w:t>
      </w:r>
      <w:r w:rsidR="001F01E8"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{"citationID":"a3haop2j2d","properties":{"formattedCitation":"\\super [20]\\nosupersub{}","plainCitation":"[20]","noteIndex":0},"citationItems":[{"id":45,"uris":["http://zotero.org/users/4672422/items/73JL7GQ6"],"uri":["http://zotero.org/users/4672422/items/73JL7GQ6"],"itemData":{"id":45,"type":"article-journal","title":"Maintenance infliximab for Crohn's disease: the ACCENT I randomised trial","container-title":"Lancet (London, England)","page":"1541-1549","volume":"359","issue":"9317","source":"PubMed","abstract":"BACKGROUND: We did a randomised controlled trial to assess the benefit of maintenance infliximab therapy in patients with active Crohn's disease who respond to a single infusion of infliximab.\nMETHODS: 573 patients with a score of at least 220 on the Crohn's disease activity index (CDAI) received a 5 mg/kg intravenous infusion of infliximab at week 0. After assessment of response at week 2, patients were randomly assigned repeat infusions of placebo at weeks 2 and 6 and then every 8 weeks thereafter until week 46 (group I), repeat infusions of 5 mg/kg infliximab at the same timepoints (group II), or 5 mg/kg infliximab at weeks 2 and 6 followed by 10 mg/kg (group III). The prespecified co-primary endpoints were the proportion of patients who responded at week 2 and were in remission (CDAI &lt;150) at week 30 and the time to loss of response up to week 54 in patients who responded. Analyses of the co-primary endpoints were by intention to treat.\nFINDINGS: 335 (58%) patients responded to a single infusion of infliximab within 2 weeks. At week 30, 23 of 110 (21%) group I patients were in remission, compared with 44 of 113 (39%) group II (p=0.003) and 50 of 112 (45%) group III (p=0.0002) patients. Thus, patients in groups II and III combined were more likely to sustain clinical remission than patients in group I (odds ratio 2.7, 95% CI 1.6-4.6). Throughout the 54-week trial, the median time to loss of response was 38 weeks (IQR 15 to &gt;54) and more than 54 weeks (21 to &gt;54) for groups II and III, respectively, compared with 19 weeks (10-45) for group I (p=0.002 and p=0.0002, respectively). Infliximab safety was consistent with that seen in other trials of infliximab in Crohn's disease and rheumatoid arthritis. In particular, the incidence of serious infections was similar across treatment groups.\nINTERPRETATION: Patients with Crohn's disease who respond to an initial dose of infliximab are more likely to be in remission at weeks 30 and 54, to discontinue corticosteroids, and to maintain their response for a longer period of time, if infliximab treatment is maintained every 8 weeks.","DOI":"10.1016/S0140-6736(02)08512-4","ISSN":"0140-6736","note":"PMID: 12047962","shortTitle":"Maintenance infliximab for Crohn's disease","journalAbbreviation":"Lancet","language":"eng","author":[{"family":"Hanauer","given":"Stephen B."},{"family":"Feagan","given":"Brian G."},{"family":"Lichtenstein","given":"Gary R."},{"family":"Mayer","given":"Lloyd F."},{"family":"Schreiber","given":"S."},{"family":"Colombel","given":"Jean Frederic"},{"family":"Rachmilewitz","given":"Daniel"},{"family":"Wolf","given":"Douglas C."},{"family":"Olson","given":"Allan"},{"family":"Bao","given":"Weihang"},{"family":"Rutgeerts","given":"Paul"},{"literal":"ACCENT I Study Group"}],"issued":{"date-parts":[["2002",5,4]]}}}],"schema":"https://github.com/citation-style-language/schema/raw/master/csl-citation.json"} </w:instrText>
      </w:r>
      <w:r w:rsidR="001F01E8"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[20]</w:t>
      </w:r>
      <w:r w:rsidR="001F01E8" w:rsidRPr="005B1A16">
        <w:rPr>
          <w:rFonts w:ascii="Book Antiqua" w:hAnsi="Book Antiqua"/>
          <w:color w:val="000000" w:themeColor="text1"/>
        </w:rPr>
        <w:fldChar w:fldCharType="end"/>
      </w:r>
      <w:r w:rsidR="004126A6" w:rsidRPr="005B1A16">
        <w:rPr>
          <w:rFonts w:ascii="Book Antiqua" w:hAnsi="Book Antiqua"/>
          <w:color w:val="000000" w:themeColor="text1"/>
        </w:rPr>
        <w:t xml:space="preserve">. </w:t>
      </w:r>
      <w:r w:rsidR="00D71D6D" w:rsidRPr="005B1A16">
        <w:rPr>
          <w:rFonts w:ascii="Book Antiqua" w:hAnsi="Book Antiqua"/>
          <w:color w:val="000000" w:themeColor="text1"/>
        </w:rPr>
        <w:t xml:space="preserve">At the 30 and 54 </w:t>
      </w:r>
      <w:r w:rsidR="00AF74AF" w:rsidRPr="005B1A16">
        <w:rPr>
          <w:rFonts w:ascii="Book Antiqua" w:eastAsia="SimSun" w:hAnsi="Book Antiqua"/>
          <w:color w:val="000000" w:themeColor="text1"/>
          <w:lang w:eastAsia="zh-CN"/>
        </w:rPr>
        <w:t>wk</w:t>
      </w:r>
      <w:r w:rsidR="00D71D6D" w:rsidRPr="005B1A16">
        <w:rPr>
          <w:rFonts w:ascii="Book Antiqua" w:hAnsi="Book Antiqua"/>
          <w:color w:val="000000" w:themeColor="text1"/>
        </w:rPr>
        <w:t xml:space="preserve"> follow-up, patients receiving infliximab maintenance therapy were more likely to be in remission </w:t>
      </w:r>
      <w:r w:rsidR="008C197E" w:rsidRPr="005B1A16">
        <w:rPr>
          <w:rFonts w:ascii="Book Antiqua" w:hAnsi="Book Antiqua"/>
          <w:color w:val="000000" w:themeColor="text1"/>
        </w:rPr>
        <w:t>(CDAI &lt;</w:t>
      </w:r>
      <w:r w:rsidR="00AF74AF" w:rsidRPr="005B1A16">
        <w:rPr>
          <w:rFonts w:ascii="Book Antiqua" w:eastAsia="SimSun" w:hAnsi="Book Antiqua"/>
          <w:color w:val="000000" w:themeColor="text1"/>
          <w:lang w:eastAsia="zh-CN"/>
        </w:rPr>
        <w:t xml:space="preserve"> </w:t>
      </w:r>
      <w:r w:rsidR="008C197E" w:rsidRPr="005B1A16">
        <w:rPr>
          <w:rFonts w:ascii="Book Antiqua" w:hAnsi="Book Antiqua"/>
          <w:color w:val="000000" w:themeColor="text1"/>
        </w:rPr>
        <w:t xml:space="preserve">150) </w:t>
      </w:r>
      <w:r w:rsidR="00D71D6D" w:rsidRPr="005B1A16">
        <w:rPr>
          <w:rFonts w:ascii="Book Antiqua" w:hAnsi="Book Antiqua"/>
          <w:color w:val="000000" w:themeColor="text1"/>
        </w:rPr>
        <w:t>as compared to those without maintenanc</w:t>
      </w:r>
      <w:r w:rsidR="00AF74AF" w:rsidRPr="005B1A16">
        <w:rPr>
          <w:rFonts w:ascii="Book Antiqua" w:hAnsi="Book Antiqua"/>
          <w:color w:val="000000" w:themeColor="text1"/>
        </w:rPr>
        <w:t xml:space="preserve">e therapy (30 </w:t>
      </w:r>
      <w:r w:rsidR="00AF74AF" w:rsidRPr="005B1A16">
        <w:rPr>
          <w:rFonts w:ascii="Book Antiqua" w:eastAsia="SimSun" w:hAnsi="Book Antiqua"/>
          <w:color w:val="000000" w:themeColor="text1"/>
          <w:lang w:eastAsia="zh-CN"/>
        </w:rPr>
        <w:t>wk</w:t>
      </w:r>
      <w:r w:rsidR="00AF74AF" w:rsidRPr="005B1A16">
        <w:rPr>
          <w:rFonts w:ascii="Book Antiqua" w:hAnsi="Book Antiqua"/>
          <w:color w:val="000000" w:themeColor="text1"/>
        </w:rPr>
        <w:t>: OR</w:t>
      </w:r>
      <w:r w:rsidR="00AF74AF" w:rsidRPr="005B1A16">
        <w:rPr>
          <w:rFonts w:ascii="Book Antiqua" w:eastAsia="SimSun" w:hAnsi="Book Antiqua"/>
          <w:color w:val="000000" w:themeColor="text1"/>
          <w:lang w:eastAsia="zh-CN"/>
        </w:rPr>
        <w:t xml:space="preserve"> = </w:t>
      </w:r>
      <w:r w:rsidR="00AF74AF" w:rsidRPr="005B1A16">
        <w:rPr>
          <w:rFonts w:ascii="Book Antiqua" w:hAnsi="Book Antiqua"/>
          <w:color w:val="000000" w:themeColor="text1"/>
        </w:rPr>
        <w:t>2.7, 95%</w:t>
      </w:r>
      <w:r w:rsidR="00D71D6D" w:rsidRPr="005B1A16">
        <w:rPr>
          <w:rFonts w:ascii="Book Antiqua" w:hAnsi="Book Antiqua"/>
          <w:color w:val="000000" w:themeColor="text1"/>
        </w:rPr>
        <w:t>CI</w:t>
      </w:r>
      <w:r w:rsidR="00AF74AF" w:rsidRPr="005B1A16">
        <w:rPr>
          <w:rFonts w:ascii="Book Antiqua" w:eastAsia="SimSun" w:hAnsi="Book Antiqua"/>
          <w:color w:val="000000" w:themeColor="text1"/>
          <w:lang w:eastAsia="zh-CN"/>
        </w:rPr>
        <w:t>:</w:t>
      </w:r>
      <w:r w:rsidR="00D71D6D" w:rsidRPr="005B1A16">
        <w:rPr>
          <w:rFonts w:ascii="Book Antiqua" w:hAnsi="Book Antiqua"/>
          <w:color w:val="000000" w:themeColor="text1"/>
        </w:rPr>
        <w:t xml:space="preserve"> 1.6-4.6)</w:t>
      </w:r>
      <w:r w:rsidR="0080655F" w:rsidRPr="005B1A16">
        <w:rPr>
          <w:rFonts w:ascii="Book Antiqua" w:hAnsi="Book Antiqua"/>
          <w:color w:val="000000" w:themeColor="text1"/>
        </w:rPr>
        <w:t xml:space="preserve"> with a similar incidence of infection </w:t>
      </w:r>
      <w:r w:rsidR="004956AB" w:rsidRPr="005B1A16">
        <w:rPr>
          <w:rFonts w:ascii="Book Antiqua" w:hAnsi="Book Antiqua"/>
          <w:color w:val="000000" w:themeColor="text1"/>
        </w:rPr>
        <w:t>across all groups</w:t>
      </w:r>
      <w:r w:rsidR="001F01E8"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{"citationID":"a15lsm9ils5","properties":{"formattedCitation":"\\super [20]\\nosupersub{}","plainCitation":"[20]","noteIndex":0},"citationItems":[{"id":45,"uris":["http://zotero.org/users/4672422/items/73JL7GQ6"],"uri":["http://zotero.org/users/4672422/items/73JL7GQ6"],"itemData":{"id":45,"type":"article-journal","title":"Maintenance infliximab for Crohn's disease: the ACCENT I randomised trial","container-title":"Lancet (London, England)","page":"1541-1549","volume":"359","issue":"9317","source":"PubMed","abstract":"BACKGROUND: We did a randomised controlled trial to assess the benefit of maintenance infliximab therapy in patients with active Crohn's disease who respond to a single infusion of infliximab.\nMETHODS: 573 patients with a score of at least 220 on the Crohn's disease activity index (CDAI) received a 5 mg/kg intravenous infusion of infliximab at week 0. After assessment of response at week 2, patients were randomly assigned repeat infusions of placebo at weeks 2 and 6 and then every 8 weeks thereafter until week 46 (group I), repeat infusions of 5 mg/kg infliximab at the same timepoints (group II), or 5 mg/kg infliximab at weeks 2 and 6 followed by 10 mg/kg (group III). The prespecified co-primary endpoints were the proportion of patients who responded at week 2 and were in remission (CDAI &lt;150) at week 30 and the time to loss of response up to week 54 in patients who responded. Analyses of the co-primary endpoints were by intention to treat.\nFINDINGS: 335 (58%) patients responded to a single infusion of infliximab within 2 weeks. At week 30, 23 of 110 (21%) group I patients were in remission, compared with 44 of 113 (39%) group II (p=0.003) and 50 of 112 (45%) group III (p=0.0002) patients. Thus, patients in groups II and III combined were more likely to sustain clinical remission than patients in group I (odds ratio 2.7, 95% CI 1.6-4.6). Throughout the 54-week trial, the median time to loss of response was 38 weeks (IQR 15 to &gt;54) and more than 54 weeks (21 to &gt;54) for groups II and III, respectively, compared with 19 weeks (10-45) for group I (p=0.002 and p=0.0002, respectively). Infliximab safety was consistent with that seen in other trials of infliximab in Crohn's disease and rheumatoid arthritis. In particular, the incidence of serious infections was similar across treatment groups.\nINTERPRETATION: Patients with Crohn's disease who respond to an initial dose of infliximab are more likely to be in remission at weeks 30 and 54, to discontinue corticosteroids, and to maintain their response for a longer period of time, if infliximab treatment is maintained every 8 weeks.","DOI":"10.1016/S0140-6736(02)08512-4","ISSN":"0140-6736","note":"PMID: 12047962","shortTitle":"Maintenance infliximab for Crohn's disease","journalAbbreviation":"Lancet","language":"eng","author":[{"family":"Hanauer","given":"Stephen B."},{"family":"Feagan","given":"Brian G."},{"family":"Lichtenstein","given":"Gary R."},{"family":"Mayer","given":"Lloyd F."},{"family":"Schreiber","given":"S."},{"family":"Colombel","given":"Jean Frederic"},{"family":"Rachmilewitz","given":"Daniel"},{"family":"Wolf","given":"Douglas C."},{"family":"Olson","given":"Allan"},{"family":"Bao","given":"Weihang"},{"family":"Rutgeerts","given":"Paul"},{"literal":"ACCENT I Study Group"}],"issued":{"date-parts":[["2002",5,4]]}}}],"schema":"https://github.com/citation-style-language/schema/raw/master/csl-citation.json"} </w:instrText>
      </w:r>
      <w:r w:rsidR="001F01E8"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[20]</w:t>
      </w:r>
      <w:r w:rsidR="001F01E8" w:rsidRPr="005B1A16">
        <w:rPr>
          <w:rFonts w:ascii="Book Antiqua" w:hAnsi="Book Antiqua"/>
          <w:color w:val="000000" w:themeColor="text1"/>
        </w:rPr>
        <w:fldChar w:fldCharType="end"/>
      </w:r>
      <w:r w:rsidR="00D71D6D" w:rsidRPr="005B1A16">
        <w:rPr>
          <w:rFonts w:ascii="Book Antiqua" w:hAnsi="Book Antiqua"/>
          <w:color w:val="000000" w:themeColor="text1"/>
        </w:rPr>
        <w:t>.</w:t>
      </w:r>
      <w:r w:rsidR="00866A90" w:rsidRPr="005B1A16">
        <w:rPr>
          <w:rFonts w:ascii="Book Antiqua" w:hAnsi="Book Antiqua"/>
          <w:color w:val="000000" w:themeColor="text1"/>
        </w:rPr>
        <w:t xml:space="preserve"> </w:t>
      </w:r>
      <w:r w:rsidR="00296613" w:rsidRPr="005B1A16">
        <w:rPr>
          <w:rFonts w:ascii="Book Antiqua" w:hAnsi="Book Antiqua"/>
          <w:color w:val="000000" w:themeColor="text1"/>
        </w:rPr>
        <w:t xml:space="preserve">Besides demonstrating infliximab’s efficacy, this study </w:t>
      </w:r>
      <w:r w:rsidR="00DF6B8D" w:rsidRPr="005B1A16">
        <w:rPr>
          <w:rFonts w:ascii="Book Antiqua" w:hAnsi="Book Antiqua"/>
          <w:color w:val="000000" w:themeColor="text1"/>
        </w:rPr>
        <w:t xml:space="preserve">also </w:t>
      </w:r>
      <w:r w:rsidR="00296613" w:rsidRPr="005B1A16">
        <w:rPr>
          <w:rFonts w:ascii="Book Antiqua" w:hAnsi="Book Antiqua"/>
          <w:color w:val="000000" w:themeColor="text1"/>
        </w:rPr>
        <w:t>provided a rationale for dose escalation in pati</w:t>
      </w:r>
      <w:r w:rsidR="005D53ED" w:rsidRPr="005B1A16">
        <w:rPr>
          <w:rFonts w:ascii="Book Antiqua" w:hAnsi="Book Antiqua"/>
          <w:color w:val="000000" w:themeColor="text1"/>
        </w:rPr>
        <w:t>ents losing response to therapy</w:t>
      </w:r>
      <w:r w:rsidR="005D53ED"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{"citationID":"a143k8flbh5","properties":{"formattedCitation":"\\super [21]\\nosupersub{}","plainCitation":"[21]","noteIndex":0},"citationItems":[{"id":47,"uris":["http://zotero.org/users/4672422/items/2MQTNJAX"],"uri":["http://zotero.org/users/4672422/items/2MQTNJAX"],"itemData":{"id":47,"type":"article-journal","title":"Comparison of scheduled and episodic treatment strategies of infliximab in Crohn’s disease","container-title":"Gastroenterology","page":"402-413","volume":"126","issue":"2","source":"CrossRef","URL":"http://linkinghub.elsevier.com/retrieve/pii/S0016508503017955","DOI":"10.1053/j.gastro.2003.11.014","ISSN":"00165085","language":"en","author":[{"family":"Rutgeerts","given":"Paul"},{"family":"Feagan","given":"Brian G."},{"family":"Lichtenstein","given":"Gary R."},{"family":"Mayer","given":"Lloyd F."},{"family":"Schreiber","given":"Stefan"},{"family":"Colombel","given":"Jean Frederic"},{"family":"Rachmilewitz","given":"Daniel"},{"family":"Wolf","given":"Douglas C."},{"family":"Olson","given":"Allan"},{"family":"Bao","given":"Weihang"},{"family":"Hanauer","given":"Stephen B."}],"issued":{"date-parts":[["2004",2]]},"accessed":{"date-parts":[["2018",3,27]]}}}],"schema":"https://github.com/citation-style-language/schema/raw/master/csl-citation.json"} </w:instrText>
      </w:r>
      <w:r w:rsidR="005D53ED"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[21]</w:t>
      </w:r>
      <w:r w:rsidR="005D53ED" w:rsidRPr="005B1A16">
        <w:rPr>
          <w:rFonts w:ascii="Book Antiqua" w:hAnsi="Book Antiqua"/>
          <w:color w:val="000000" w:themeColor="text1"/>
        </w:rPr>
        <w:fldChar w:fldCharType="end"/>
      </w:r>
      <w:r w:rsidR="006C4391" w:rsidRPr="005B1A16">
        <w:rPr>
          <w:rFonts w:ascii="Book Antiqua" w:hAnsi="Book Antiqua"/>
          <w:color w:val="000000" w:themeColor="text1"/>
        </w:rPr>
        <w:t>.</w:t>
      </w:r>
      <w:r w:rsidR="00A22AE5" w:rsidRPr="005B1A16">
        <w:rPr>
          <w:rFonts w:ascii="Book Antiqua" w:hAnsi="Book Antiqua"/>
          <w:color w:val="000000" w:themeColor="text1"/>
        </w:rPr>
        <w:t xml:space="preserve"> </w:t>
      </w:r>
      <w:r w:rsidR="006D2D67" w:rsidRPr="005B1A16">
        <w:rPr>
          <w:rFonts w:ascii="Book Antiqua" w:hAnsi="Book Antiqua"/>
          <w:color w:val="000000" w:themeColor="text1"/>
        </w:rPr>
        <w:t xml:space="preserve">Although effective for luminal disease, it was unclear </w:t>
      </w:r>
      <w:r w:rsidR="008604A8" w:rsidRPr="005B1A16">
        <w:rPr>
          <w:rFonts w:ascii="Book Antiqua" w:hAnsi="Book Antiqua"/>
          <w:color w:val="000000" w:themeColor="text1"/>
        </w:rPr>
        <w:t>if infliximab would also be effective for fistulising disease, thus the ACCENT II trial was published 2 years later</w:t>
      </w:r>
      <w:r w:rsidR="00403068" w:rsidRPr="005B1A16">
        <w:rPr>
          <w:rFonts w:ascii="Book Antiqua" w:hAnsi="Book Antiqua"/>
          <w:color w:val="000000" w:themeColor="text1"/>
        </w:rPr>
        <w:t xml:space="preserve"> which included 306 patients with one or more draining abdominal or perianal fistulas of at least 3 </w:t>
      </w:r>
      <w:r w:rsidR="00614FDC" w:rsidRPr="005B1A16">
        <w:rPr>
          <w:rFonts w:ascii="Book Antiqua" w:eastAsia="SimSun" w:hAnsi="Book Antiqua"/>
          <w:color w:val="000000" w:themeColor="text1"/>
          <w:lang w:eastAsia="zh-CN"/>
        </w:rPr>
        <w:t>mo</w:t>
      </w:r>
      <w:r w:rsidR="00403068" w:rsidRPr="005B1A16">
        <w:rPr>
          <w:rFonts w:ascii="Book Antiqua" w:hAnsi="Book Antiqua"/>
          <w:color w:val="000000" w:themeColor="text1"/>
        </w:rPr>
        <w:t xml:space="preserve"> duration</w:t>
      </w:r>
      <w:r w:rsidR="005D53ED"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{"citationID":"a1b82ajl11r","properties":{"formattedCitation":"\\super [22]\\nosupersub{}","plainCitation":"[22]","noteIndex":0},"citationItems":[{"id":48,"uris":["http://zotero.org/users/4672422/items/6P3V79CJ"],"uri":["http://zotero.org/users/4672422/items/6P3V79CJ"],"itemData":{"id":48,"type":"article-journal","title":"Infliximab Maintenance Therapy for Fistulizing Crohn's Disease","container-title":"New England Journal of Medicine","page":"876-885","volume":"350","issue":"9","source":"CrossRef","URL":"http://www.nejm.org/doi/abs/10.1056/NEJMoa030815","DOI":"10.1056/NEJMoa030815","ISSN":"0028-4793, 1533-4406","language":"en","author":[{"family":"Sands","given":"Bruce E."},{"family":"Anderson","given":"Frank H."},{"family":"Bernstein","given":"Charles N."},{"family":"Chey","given":"William Y."},{"family":"Feagan","given":"Brian G."},{"family":"Fedorak","given":"Richard N."},{"family":"Kamm","given":"Michael A."},{"family":"Korzenik","given":"Joshua R."},{"family":"Lashner","given":"Bret A."},{"family":"Onken","given":"Jane E."},{"family":"Rachmilewitz","given":"Daniel"},{"family":"Rutgeerts","given":"Paul"},{"family":"Wild","given":"Gary"},{"family":"Wolf","given":"Douglas C."},{"family":"Marsters","given":"Paul A."},{"family":"Travers","given":"Suzanne B."},{"family":"Blank","given":"Marion A."},{"family":"Deventer","given":"Sander J.","non-dropping-particle":"van"}],"issued":{"date-parts":[["2004",2,26]]},"accessed":{"date-parts":[["2018",3,27]]}}}],"schema":"https://github.com/citation-style-language/schema/raw/master/csl-citation.json"} </w:instrText>
      </w:r>
      <w:r w:rsidR="005D53ED"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[22]</w:t>
      </w:r>
      <w:r w:rsidR="005D53ED" w:rsidRPr="005B1A16">
        <w:rPr>
          <w:rFonts w:ascii="Book Antiqua" w:hAnsi="Book Antiqua"/>
          <w:color w:val="000000" w:themeColor="text1"/>
        </w:rPr>
        <w:fldChar w:fldCharType="end"/>
      </w:r>
      <w:r w:rsidR="008604A8" w:rsidRPr="005B1A16">
        <w:rPr>
          <w:rFonts w:ascii="Book Antiqua" w:hAnsi="Book Antiqua"/>
          <w:color w:val="000000" w:themeColor="text1"/>
        </w:rPr>
        <w:t>. In this trial, the patients who were undergoing infliximab maintenance therapy demonstrated a significant fistula response wherein 36% (</w:t>
      </w:r>
      <w:r w:rsidR="008604A8" w:rsidRPr="005B1A16">
        <w:rPr>
          <w:rFonts w:ascii="Book Antiqua" w:hAnsi="Book Antiqua"/>
          <w:i/>
          <w:color w:val="000000" w:themeColor="text1"/>
        </w:rPr>
        <w:t>vs</w:t>
      </w:r>
      <w:r w:rsidR="008604A8" w:rsidRPr="005B1A16">
        <w:rPr>
          <w:rFonts w:ascii="Book Antiqua" w:hAnsi="Book Antiqua"/>
          <w:color w:val="000000" w:themeColor="text1"/>
        </w:rPr>
        <w:t xml:space="preserve"> 23%, </w:t>
      </w:r>
      <w:r w:rsidR="008604A8" w:rsidRPr="005B1A16">
        <w:rPr>
          <w:rFonts w:ascii="Book Antiqua" w:hAnsi="Book Antiqua"/>
          <w:i/>
          <w:color w:val="000000" w:themeColor="text1"/>
        </w:rPr>
        <w:t>P</w:t>
      </w:r>
      <w:r w:rsidR="008604A8" w:rsidRPr="005B1A16">
        <w:rPr>
          <w:rFonts w:ascii="Book Antiqua" w:hAnsi="Book Antiqua"/>
          <w:color w:val="000000" w:themeColor="text1"/>
        </w:rPr>
        <w:t xml:space="preserve"> = 0.009) had complete resolution of fistula draining</w:t>
      </w:r>
      <w:r w:rsidR="005D53ED" w:rsidRPr="005B1A16">
        <w:rPr>
          <w:rFonts w:ascii="Book Antiqua" w:hAnsi="Book Antiqua"/>
          <w:color w:val="000000" w:themeColor="text1"/>
        </w:rPr>
        <w:t xml:space="preserve"> at 54 </w:t>
      </w:r>
      <w:r w:rsidR="00B06874" w:rsidRPr="005B1A16">
        <w:rPr>
          <w:rFonts w:ascii="Book Antiqua" w:eastAsia="SimSun" w:hAnsi="Book Antiqua"/>
          <w:color w:val="000000" w:themeColor="text1"/>
          <w:lang w:eastAsia="zh-CN"/>
        </w:rPr>
        <w:t>wk</w:t>
      </w:r>
      <w:r w:rsidR="005D53ED"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{"citationID":"aeo7oigmjo","properties":{"formattedCitation":"\\super [22]\\nosupersub{}","plainCitation":"[22]","noteIndex":0},"citationItems":[{"id":48,"uris":["http://zotero.org/users/4672422/items/6P3V79CJ"],"uri":["http://zotero.org/users/4672422/items/6P3V79CJ"],"itemData":{"id":48,"type":"article-journal","title":"Infliximab Maintenance Therapy for Fistulizing Crohn's Disease","container-title":"New England Journal of Medicine","page":"876-885","volume":"350","issue":"9","source":"CrossRef","URL":"http://www.nejm.org/doi/abs/10.1056/NEJMoa030815","DOI":"10.1056/NEJMoa030815","ISSN":"0028-4793, 1533-4406","language":"en","author":[{"family":"Sands","given":"Bruce E."},{"family":"Anderson","given":"Frank H."},{"family":"Bernstein","given":"Charles N."},{"family":"Chey","given":"William Y."},{"family":"Feagan","given":"Brian G."},{"family":"Fedorak","given":"Richard N."},{"family":"Kamm","given":"Michael A."},{"family":"Korzenik","given":"Joshua R."},{"family":"Lashner","given":"Bret A."},{"family":"Onken","given":"Jane E."},{"family":"Rachmilewitz","given":"Daniel"},{"family":"Rutgeerts","given":"Paul"},{"family":"Wild","given":"Gary"},{"family":"Wolf","given":"Douglas C."},{"family":"Marsters","given":"Paul A."},{"family":"Travers","given":"Suzanne B."},{"family":"Blank","given":"Marion A."},{"family":"Deventer","given":"Sander J.","non-dropping-particle":"van"}],"issued":{"date-parts":[["2004",2,26]]},"accessed":{"date-parts":[["2018",3,27]]}}}],"schema":"https://github.com/citation-style-language/schema/raw/master/csl-citation.json"} </w:instrText>
      </w:r>
      <w:r w:rsidR="005D53ED"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[22]</w:t>
      </w:r>
      <w:r w:rsidR="005D53ED" w:rsidRPr="005B1A16">
        <w:rPr>
          <w:rFonts w:ascii="Book Antiqua" w:hAnsi="Book Antiqua"/>
          <w:color w:val="000000" w:themeColor="text1"/>
        </w:rPr>
        <w:fldChar w:fldCharType="end"/>
      </w:r>
      <w:r w:rsidR="008604A8" w:rsidRPr="005B1A16">
        <w:rPr>
          <w:rFonts w:ascii="Book Antiqua" w:hAnsi="Book Antiqua"/>
          <w:color w:val="000000" w:themeColor="text1"/>
        </w:rPr>
        <w:t>.</w:t>
      </w:r>
      <w:r w:rsidR="00BE722E" w:rsidRPr="005B1A16">
        <w:rPr>
          <w:rFonts w:ascii="Book Antiqua" w:hAnsi="Book Antiqua"/>
          <w:color w:val="000000" w:themeColor="text1"/>
        </w:rPr>
        <w:t xml:space="preserve"> Additionally, ACCENT II demonstrated a significant reduction in the requirement for </w:t>
      </w:r>
      <w:r w:rsidR="00072772" w:rsidRPr="005B1A16">
        <w:rPr>
          <w:rFonts w:ascii="Book Antiqua" w:hAnsi="Book Antiqua"/>
          <w:color w:val="000000" w:themeColor="text1"/>
        </w:rPr>
        <w:t>hospitalization</w:t>
      </w:r>
      <w:r w:rsidR="00BE722E" w:rsidRPr="005B1A16">
        <w:rPr>
          <w:rFonts w:ascii="Book Antiqua" w:hAnsi="Book Antiqua"/>
          <w:color w:val="000000" w:themeColor="text1"/>
        </w:rPr>
        <w:t xml:space="preserve"> and surgery due to fistulising disea</w:t>
      </w:r>
      <w:r w:rsidR="005D53ED" w:rsidRPr="005B1A16">
        <w:rPr>
          <w:rFonts w:ascii="Book Antiqua" w:hAnsi="Book Antiqua"/>
          <w:color w:val="000000" w:themeColor="text1"/>
        </w:rPr>
        <w:t xml:space="preserve">se (8.6% </w:t>
      </w:r>
      <w:r w:rsidR="005D53ED" w:rsidRPr="005B1A16">
        <w:rPr>
          <w:rFonts w:ascii="Book Antiqua" w:hAnsi="Book Antiqua"/>
          <w:i/>
          <w:color w:val="000000" w:themeColor="text1"/>
        </w:rPr>
        <w:t>vs</w:t>
      </w:r>
      <w:r w:rsidR="005D53ED" w:rsidRPr="005B1A16">
        <w:rPr>
          <w:rFonts w:ascii="Book Antiqua" w:hAnsi="Book Antiqua"/>
          <w:color w:val="000000" w:themeColor="text1"/>
        </w:rPr>
        <w:t xml:space="preserve"> 18.9%,</w:t>
      </w:r>
      <w:r w:rsidR="00B06874" w:rsidRPr="005B1A16">
        <w:rPr>
          <w:rFonts w:ascii="Book Antiqua" w:hAnsi="Book Antiqua"/>
          <w:i/>
          <w:color w:val="000000" w:themeColor="text1"/>
        </w:rPr>
        <w:t xml:space="preserve"> P</w:t>
      </w:r>
      <w:r w:rsidR="005D53ED" w:rsidRPr="005B1A16">
        <w:rPr>
          <w:rFonts w:ascii="Book Antiqua" w:hAnsi="Book Antiqua"/>
          <w:color w:val="000000" w:themeColor="text1"/>
        </w:rPr>
        <w:t xml:space="preserve"> </w:t>
      </w:r>
      <w:r w:rsidR="005D53ED" w:rsidRPr="005B1A16">
        <w:rPr>
          <w:rFonts w:ascii="Book Antiqua" w:hAnsi="Book Antiqua"/>
          <w:color w:val="000000" w:themeColor="text1"/>
        </w:rPr>
        <w:lastRenderedPageBreak/>
        <w:t>&lt;</w:t>
      </w:r>
      <w:r w:rsidR="00B06874" w:rsidRPr="005B1A16">
        <w:rPr>
          <w:rFonts w:ascii="Book Antiqua" w:eastAsia="SimSun" w:hAnsi="Book Antiqua"/>
          <w:color w:val="000000" w:themeColor="text1"/>
          <w:lang w:eastAsia="zh-CN"/>
        </w:rPr>
        <w:t xml:space="preserve"> </w:t>
      </w:r>
      <w:r w:rsidR="005D53ED" w:rsidRPr="005B1A16">
        <w:rPr>
          <w:rFonts w:ascii="Book Antiqua" w:hAnsi="Book Antiqua"/>
          <w:color w:val="000000" w:themeColor="text1"/>
        </w:rPr>
        <w:t>0.05)</w:t>
      </w:r>
      <w:r w:rsidR="005D53ED"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{"citationID":"a2p0opjt2om","properties":{"formattedCitation":"\\super [23]\\nosupersub{}","plainCitation":"[23]","noteIndex":0},"citationItems":[{"id":49,"uris":["http://zotero.org/users/4672422/items/FVEXE8CI"],"uri":["http://zotero.org/users/4672422/items/FVEXE8CI"],"itemData":{"id":49,"type":"article-journal","title":"Infliximab maintenance treatment reduces hospitalizations, surgeries, and procedures in fistulizing Crohn's disease","container-title":"Gastroenterology","page":"862-869","volume":"128","issue":"4","source":"PubMed","abstract":"BACKGROUND &amp; AIMS: Infliximab is effective in closing fistulas in patients with Crohn's disease. We examined the effect of infliximab maintenance treatment on hospitalizations, surgeries, and procedures in patients with fistulizing Crohn's disease enrolled in the ACCENT II study.\nMETHODS: After 5 mg/kg infliximab at weeks 0, 2, and 6, a total of 282 patients were separately randomized at week 14 as responders (at least a 50% reduction from baseline in the number of draining fistulas at both weeks 10 and 14) or nonresponders to receive placebo or 5 mg/kg infliximab maintenance every 8 weeks. At week 22 and later, patients who lost response could be treated with a maintenance dose 5 mg/kg higher. Data on Crohn's disease-related hospitalizations, surgeries, and procedures were compared between the treatment groups for responders and all randomized patients.\nRESULTS: A total of 282 patients were randomized at week 14, of whom 195 were randomized as responders. Among patients randomized as responders, those who received infliximab maintenance had significantly fewer mean hospitalization days (0.5 vs. 2.5 days; P &lt; .05), mean numbers (per 100 patients) of hospitalizations (11 vs. 31; P &lt; .05), all surgeries and procedures (65 vs. 126; P &lt; .05), inpatient surgeries and procedures (7 vs. 41; P &lt; .01), and major surgeries (2 vs. 11; P &lt; .05), compared with those who received placebo maintenance.\nCONCLUSIONS: In patients with fistulizing Crohn's disease, infliximab 5 mg/kg every 8 weeks significantly reduced hospitalizations, surgeries, and procedures compared with placebo.","ISSN":"0016-5085","note":"PMID: 15825070","journalAbbreviation":"Gastroenterology","language":"eng","author":[{"family":"Lichtenstein","given":"Gary R."},{"family":"Yan","given":"Songkai"},{"family":"Bala","given":"Mohan"},{"family":"Blank","given":"Marion"},{"family":"Sands","given":"Bruce E."}],"issued":{"date-parts":[["2005",4]]}}}],"schema":"https://github.com/citation-style-language/schema/raw/master/csl-citation.json"} </w:instrText>
      </w:r>
      <w:r w:rsidR="005D53ED"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[23]</w:t>
      </w:r>
      <w:r w:rsidR="005D53ED" w:rsidRPr="005B1A16">
        <w:rPr>
          <w:rFonts w:ascii="Book Antiqua" w:hAnsi="Book Antiqua"/>
          <w:color w:val="000000" w:themeColor="text1"/>
        </w:rPr>
        <w:fldChar w:fldCharType="end"/>
      </w:r>
      <w:r w:rsidR="00BE722E" w:rsidRPr="005B1A16">
        <w:rPr>
          <w:rFonts w:ascii="Book Antiqua" w:hAnsi="Book Antiqua"/>
          <w:color w:val="000000" w:themeColor="text1"/>
        </w:rPr>
        <w:t>.</w:t>
      </w:r>
      <w:r w:rsidR="005E3307" w:rsidRPr="005B1A16">
        <w:rPr>
          <w:rFonts w:ascii="Book Antiqua" w:hAnsi="Book Antiqua"/>
          <w:color w:val="000000" w:themeColor="text1"/>
        </w:rPr>
        <w:t xml:space="preserve"> </w:t>
      </w:r>
      <w:r w:rsidR="00DF6B8D" w:rsidRPr="005B1A16">
        <w:rPr>
          <w:rFonts w:ascii="Book Antiqua" w:hAnsi="Book Antiqua"/>
          <w:color w:val="000000" w:themeColor="text1"/>
        </w:rPr>
        <w:t xml:space="preserve">Early initiation of infliximab was </w:t>
      </w:r>
      <w:r w:rsidR="00DE600E" w:rsidRPr="005B1A16">
        <w:rPr>
          <w:rFonts w:ascii="Book Antiqua" w:hAnsi="Book Antiqua"/>
          <w:color w:val="000000" w:themeColor="text1"/>
        </w:rPr>
        <w:t xml:space="preserve">further supported </w:t>
      </w:r>
      <w:r w:rsidR="00DF6B8D" w:rsidRPr="005B1A16">
        <w:rPr>
          <w:rFonts w:ascii="Book Antiqua" w:hAnsi="Book Antiqua"/>
          <w:color w:val="000000" w:themeColor="text1"/>
        </w:rPr>
        <w:t xml:space="preserve">in </w:t>
      </w:r>
      <w:r w:rsidR="00E66BAC" w:rsidRPr="005B1A16">
        <w:rPr>
          <w:rFonts w:ascii="Book Antiqua" w:hAnsi="Book Antiqua"/>
          <w:color w:val="000000" w:themeColor="text1"/>
        </w:rPr>
        <w:t>a large study conducted by the</w:t>
      </w:r>
      <w:r w:rsidR="00DF6B8D" w:rsidRPr="005B1A16">
        <w:rPr>
          <w:rFonts w:ascii="Book Antiqua" w:hAnsi="Book Antiqua"/>
          <w:color w:val="000000" w:themeColor="text1"/>
        </w:rPr>
        <w:t xml:space="preserve"> GETAID </w:t>
      </w:r>
      <w:r w:rsidR="00E66BAC" w:rsidRPr="005B1A16">
        <w:rPr>
          <w:rFonts w:ascii="Book Antiqua" w:hAnsi="Book Antiqua"/>
          <w:color w:val="000000" w:themeColor="text1"/>
        </w:rPr>
        <w:t>group</w:t>
      </w:r>
      <w:r w:rsidR="00DF6B8D" w:rsidRPr="005B1A16">
        <w:rPr>
          <w:rFonts w:ascii="Book Antiqua" w:hAnsi="Book Antiqua"/>
          <w:color w:val="000000" w:themeColor="text1"/>
        </w:rPr>
        <w:t xml:space="preserve"> which evaluated the use of dual therapy vs monotherapy over 52 </w:t>
      </w:r>
      <w:r w:rsidR="00B90CE1" w:rsidRPr="005B1A16">
        <w:rPr>
          <w:rFonts w:ascii="Book Antiqua" w:eastAsia="SimSun" w:hAnsi="Book Antiqua"/>
          <w:color w:val="000000" w:themeColor="text1"/>
          <w:lang w:eastAsia="zh-CN"/>
        </w:rPr>
        <w:t>wk</w:t>
      </w:r>
      <w:r w:rsidR="00DF6B8D" w:rsidRPr="005B1A16">
        <w:rPr>
          <w:rFonts w:ascii="Book Antiqua" w:hAnsi="Book Antiqua"/>
          <w:color w:val="000000" w:themeColor="text1"/>
        </w:rPr>
        <w:t xml:space="preserve"> in 113 steroid-dependant CD patients</w:t>
      </w:r>
      <w:r w:rsidR="00E54A69" w:rsidRPr="005B1A16">
        <w:rPr>
          <w:rFonts w:ascii="Book Antiqua" w:hAnsi="Book Antiqua"/>
          <w:color w:val="000000" w:themeColor="text1"/>
        </w:rPr>
        <w:fldChar w:fldCharType="begin"/>
      </w:r>
      <w:r w:rsidR="00832F54" w:rsidRPr="005B1A16">
        <w:rPr>
          <w:rFonts w:ascii="Book Antiqua" w:hAnsi="Book Antiqua"/>
          <w:color w:val="000000" w:themeColor="text1"/>
        </w:rPr>
        <w:instrText xml:space="preserve"> ADDIN ZOTERO_ITEM CSL_CITATION {"citationID":"augorhckh1","properties":{"formattedCitation":"\\super [13]\\nosupersub{}","plainCitation":"[13]","noteIndex":0},"citationItems":[{"id":51,"uris":["http://zotero.org/users/4672422/items/GERETYXE"],"uri":["http://zotero.org/users/4672422/items/GERETYXE"],"itemData":{"id":51,"type":"article-journal","title":"Infliximab plus azathioprine for steroid-dependent Crohn's disease patients: a randomized placebo-controlled trial","container-title":"Gastroenterology","page":"1054-1061","volume":"130","issue":"4","source":"PubMed","abstract":"BACKGROUND &amp; AIMS: The aim of this study was to evaluate the usefulness of short-term infliximab combined with azathioprine (AZA) or 6-mercaptopurine (6-MP) in steroid-dependent Crohn's disease patients.\nMETHODS: Patients with active disease despite prednisone given for more than 6 months were eligible and were stratified as follows: the failure stratum consisted of patients receiving AZA/6-MP at a stable dose for more than 6 months, and the naive stratum consisted of patients not treated previously with AZA/6-MP. Patients were randomized to infliximab 5 mg/kg or placebo at weeks 0, 2, and 6. All patients were treated with AZA/6-MP maintained at a stable dose throughout the 52 weeks of the study. The primary end point was remission off steroids at week 24.\nRESULTS: Among the 113 enrolled patients (55 in the failure stratum), 57 were assigned to infliximab. At week 24, the success rate (intent-to-treat analysis) was higher in the infliximab group than in the placebo group (57% vs 29%; P = .003); at weeks 12 and 52, the corresponding rates were 75% vs 38% (P &lt; .001) and 40% vs 22% (P = .04), respectively. In each stratum, the success rate was significantly higher in the infliximab group at weeks 12 and 24, and a trend was found at week 52. In the failure stratum, only 27% of the patients in the infliximab group were still in remission off steroids, compared with 52% in the naive stratum. Steroid resistance was less common and the cumulative dose of prednisone was lower in the infliximab group.\nCONCLUSIONS: Infliximab plus AZA/6-MP is more effective than AZA/6-MP alone in steroid-dependent Crohn's disease patients.","DOI":"10.1053/j.gastro.2006.02.014","ISSN":"0016-5085","note":"PMID: 16618399","shortTitle":"Infliximab plus azathioprine for steroid-dependent Crohn's disease patients","journalAbbreviation":"Gastroenterology","language":"eng","author":[{"family":"Lémann","given":"Marc"},{"family":"Mary","given":"Jean-Yves"},{"family":"Duclos","given":"Bernard"},{"family":"Veyrac","given":"Michel"},{"family":"Dupas","given":"Jean-Louis"},{"family":"Delchier","given":"Jean Charles"},{"family":"Laharie","given":"David"},{"family":"Moreau","given":"Jacques"},{"family":"Cadiot","given":"Guillaume"},{"family":"Picon","given":"Laurence"},{"family":"Bourreille","given":"Arnaud"},{"family":"Sobahni","given":"Iradj"},{"family":"Colombel","given":"Jean-Frederic"},{"literal":"Groupe d'Etude Therapeutique des Affections Inflammatoires du Tube Digestif (GETAID)"}],"issued":{"date-parts":[["2006",4]]}}}],"schema":"https://github.com/citation-style-language/schema/raw/master/csl-citation.json"} </w:instrText>
      </w:r>
      <w:r w:rsidR="00E54A69" w:rsidRPr="005B1A16">
        <w:rPr>
          <w:rFonts w:ascii="Book Antiqua" w:hAnsi="Book Antiqua"/>
          <w:color w:val="000000" w:themeColor="text1"/>
        </w:rPr>
        <w:fldChar w:fldCharType="separate"/>
      </w:r>
      <w:r w:rsidR="00832F54" w:rsidRPr="005B1A16">
        <w:rPr>
          <w:rFonts w:ascii="Book Antiqua" w:hAnsi="Book Antiqua"/>
          <w:color w:val="000000" w:themeColor="text1"/>
          <w:vertAlign w:val="superscript"/>
          <w:lang w:val="en-US"/>
        </w:rPr>
        <w:t>[13]</w:t>
      </w:r>
      <w:r w:rsidR="00E54A69" w:rsidRPr="005B1A16">
        <w:rPr>
          <w:rFonts w:ascii="Book Antiqua" w:hAnsi="Book Antiqua"/>
          <w:color w:val="000000" w:themeColor="text1"/>
        </w:rPr>
        <w:fldChar w:fldCharType="end"/>
      </w:r>
      <w:r w:rsidR="00DF6B8D" w:rsidRPr="005B1A16">
        <w:rPr>
          <w:rFonts w:ascii="Book Antiqua" w:hAnsi="Book Antiqua"/>
          <w:color w:val="000000" w:themeColor="text1"/>
        </w:rPr>
        <w:t>.</w:t>
      </w:r>
      <w:r w:rsidR="004A2FA6" w:rsidRPr="005B1A16">
        <w:rPr>
          <w:rFonts w:ascii="Book Antiqua" w:hAnsi="Book Antiqua"/>
          <w:color w:val="000000" w:themeColor="text1"/>
        </w:rPr>
        <w:t xml:space="preserve"> </w:t>
      </w:r>
      <w:r w:rsidR="00E30D4D" w:rsidRPr="005B1A16">
        <w:rPr>
          <w:rFonts w:ascii="Book Antiqua" w:hAnsi="Book Antiqua"/>
          <w:color w:val="000000" w:themeColor="text1"/>
        </w:rPr>
        <w:t>Both</w:t>
      </w:r>
      <w:r w:rsidR="002C2AF7" w:rsidRPr="005B1A16">
        <w:rPr>
          <w:rFonts w:ascii="Book Antiqua" w:hAnsi="Book Antiqua"/>
          <w:color w:val="000000" w:themeColor="text1"/>
        </w:rPr>
        <w:t xml:space="preserve"> GETAID and ACCENT-I studies</w:t>
      </w:r>
      <w:r w:rsidR="00E30D4D" w:rsidRPr="005B1A16">
        <w:rPr>
          <w:rFonts w:ascii="Book Antiqua" w:hAnsi="Book Antiqua"/>
          <w:color w:val="000000" w:themeColor="text1"/>
        </w:rPr>
        <w:t xml:space="preserve"> ide</w:t>
      </w:r>
      <w:r w:rsidR="002138D2" w:rsidRPr="005B1A16">
        <w:rPr>
          <w:rFonts w:ascii="Book Antiqua" w:hAnsi="Book Antiqua"/>
          <w:color w:val="000000" w:themeColor="text1"/>
        </w:rPr>
        <w:t>ntified in</w:t>
      </w:r>
      <w:r w:rsidR="00E30D4D" w:rsidRPr="005B1A16">
        <w:rPr>
          <w:rFonts w:ascii="Book Antiqua" w:hAnsi="Book Antiqua"/>
          <w:color w:val="000000" w:themeColor="text1"/>
        </w:rPr>
        <w:t>congruence amongst endoscopy and clinical</w:t>
      </w:r>
      <w:r w:rsidR="00911C0D" w:rsidRPr="005B1A16">
        <w:rPr>
          <w:rFonts w:ascii="Book Antiqua" w:hAnsi="Book Antiqua"/>
          <w:color w:val="000000" w:themeColor="text1"/>
        </w:rPr>
        <w:t xml:space="preserve"> scores, </w:t>
      </w:r>
      <w:r w:rsidR="00E30D4D" w:rsidRPr="005B1A16">
        <w:rPr>
          <w:rFonts w:ascii="Book Antiqua" w:hAnsi="Book Antiqua"/>
          <w:color w:val="000000" w:themeColor="text1"/>
        </w:rPr>
        <w:t xml:space="preserve">such as the CDAI. </w:t>
      </w:r>
      <w:r w:rsidR="00911C0D" w:rsidRPr="005B1A16">
        <w:rPr>
          <w:rFonts w:ascii="Book Antiqua" w:hAnsi="Book Antiqua"/>
          <w:color w:val="000000" w:themeColor="text1"/>
        </w:rPr>
        <w:t>I</w:t>
      </w:r>
      <w:r w:rsidR="00E30D4D" w:rsidRPr="005B1A16">
        <w:rPr>
          <w:rFonts w:ascii="Book Antiqua" w:hAnsi="Book Antiqua"/>
          <w:color w:val="000000" w:themeColor="text1"/>
        </w:rPr>
        <w:t>n a sub-study of ACCENT-I, 18% of moderate to severe CD patients as determined by the CDAI score had no active CD on endoscopy</w:t>
      </w:r>
      <w:r w:rsidR="007F58ED"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{"citationID":"apcseoos6b","properties":{"formattedCitation":"\\super [24]\\nosupersub{}","plainCitation":"[24]","noteIndex":0},"citationItems":[{"id":55,"uris":["http://zotero.org/users/4672422/items/M8TTLXUX"],"uri":["http://zotero.org/users/4672422/items/M8TTLXUX"],"itemData":{"id":55,"type":"article-journal","title":"Scheduled maintenance treatment with infliximab is superior to episodic treatment for the healing of mucosal ulceration associated with Crohn's disease","container-title":"Gastrointestinal Endoscopy","page":"433-442; quiz 464","volume":"63","issue":"3","source":"PubMed","abstract":"BACKGROUND: The endoscopic substudy of the ACCENT I (A Crohn's Disease Clinical Trial Evaluating Infliximab in a New Long-term Treatment Regimen) Crohn's disease trial examined the effects of infliximab on mucosal inflammation and mucosal healing, and assessed their impact on outcomes.\nDESIGN: ACCENT I was a randomized, double-blind, parallel group study.\nSETTING: This study took place at multiple centers in North America, Europe, and Israel.\nMAIN OUTCOME MEASUREMENTS: Ileocolonoscopic examinations were performed at weeks 0, 10, and 54. Complete mucosal healing was defined as the absence of all mucosal ulcerations. The end point of principal interest was the proportion of patients randomized as responders with mucosal healing at week 10. The proportion of responders who demonstrated mucosal healing at week 54 or at both weeks 10 and 54 is also summarized. Changes in Crohn's disease endoscopic index of severity (CDEIS) scores from baseline to week 10 and 54 were calculated for all patients in this substudy.\nRESULTS: Complete mucosal healing by week 10 occurred in significantly more week 2 responders who had received 3 doses of infliximab compared with a single dose (31% vs. 0%, p = 0.010). A significantly higher proportion of week 2 responders in the combined scheduled maintenance group had complete mucosal healing at week 54 compared with the episodic group (50% vs. 7%, p = 0.007). The results for all patients are consistent with those for week 2 responders only. Significantly greater improvement in the CDEIS occurred with scheduled maintenance compared with episodic treatment at week 10 (p &lt;/= 0.001) and week 54 (p = 0.026). Notably, no strong relationship between clinical remission and complete mucosal healing was found. Overall, mucosal healing appeared to correlate with fewer hospitalizations, although these results were not statistically significant.\nCONCLUSIONS: Scheduled infliximab maintenance therapy resulted in more improvement in mucosal ulceration and in higher rates of mucosal healing. There was a numerical trend for patients with better mucosal healing to have a lower rate of Crohn's disease-related hospitalizations.","DOI":"10.1016/j.gie.2005.08.011","ISSN":"0016-5107","note":"PMID: 16500392","journalAbbreviation":"Gastrointest. Endosc.","language":"eng","author":[{"family":"Rutgeerts","given":"Paul"},{"family":"Diamond","given":"Robert H."},{"family":"Bala","given":"Mohan"},{"family":"Olson","given":"Allan"},{"family":"Lichtenstein","given":"Gary R."},{"family":"Bao","given":"Weihang"},{"family":"Patel","given":"Kamlesh"},{"family":"Wolf","given":"Douglas C."},{"family":"Safdi","given":"Michael"},{"family":"Colombel","given":"Jean Frederic"},{"family":"Lashner","given":"Bret"},{"family":"Hanauer","given":"Stephen B."}],"issued":{"date-parts":[["2006",3]]}}}],"schema":"https://github.com/citation-style-language/schema/raw/master/csl-citation.json"} </w:instrText>
      </w:r>
      <w:r w:rsidR="007F58ED"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[24]</w:t>
      </w:r>
      <w:r w:rsidR="007F58ED" w:rsidRPr="005B1A16">
        <w:rPr>
          <w:rFonts w:ascii="Book Antiqua" w:hAnsi="Book Antiqua"/>
          <w:color w:val="000000" w:themeColor="text1"/>
        </w:rPr>
        <w:fldChar w:fldCharType="end"/>
      </w:r>
      <w:r w:rsidR="00E30D4D" w:rsidRPr="005B1A16">
        <w:rPr>
          <w:rFonts w:ascii="Book Antiqua" w:hAnsi="Book Antiqua"/>
          <w:color w:val="000000" w:themeColor="text1"/>
        </w:rPr>
        <w:t xml:space="preserve">. </w:t>
      </w:r>
      <w:r w:rsidR="00020395" w:rsidRPr="005B1A16">
        <w:rPr>
          <w:rFonts w:ascii="Book Antiqua" w:hAnsi="Book Antiqua"/>
          <w:color w:val="000000" w:themeColor="text1"/>
        </w:rPr>
        <w:t xml:space="preserve">This prompted a rationale to include </w:t>
      </w:r>
      <w:r w:rsidR="00911C0D" w:rsidRPr="005B1A16">
        <w:rPr>
          <w:rFonts w:ascii="Book Antiqua" w:hAnsi="Book Antiqua"/>
          <w:color w:val="000000" w:themeColor="text1"/>
        </w:rPr>
        <w:t xml:space="preserve">more objective </w:t>
      </w:r>
      <w:r w:rsidR="00DE5892" w:rsidRPr="005B1A16">
        <w:rPr>
          <w:rFonts w:ascii="Book Antiqua" w:hAnsi="Book Antiqua"/>
          <w:color w:val="000000" w:themeColor="text1"/>
        </w:rPr>
        <w:t xml:space="preserve">end points and </w:t>
      </w:r>
      <w:r w:rsidR="00911C0D" w:rsidRPr="005B1A16">
        <w:rPr>
          <w:rFonts w:ascii="Book Antiqua" w:hAnsi="Book Antiqua"/>
          <w:color w:val="000000" w:themeColor="text1"/>
        </w:rPr>
        <w:t>markers of disease severity</w:t>
      </w:r>
      <w:r w:rsidR="00A67CD3" w:rsidRPr="005B1A16">
        <w:rPr>
          <w:rFonts w:ascii="Book Antiqua" w:hAnsi="Book Antiqua"/>
          <w:color w:val="000000" w:themeColor="text1"/>
        </w:rPr>
        <w:t xml:space="preserve"> (</w:t>
      </w:r>
      <w:r w:rsidR="00A67CD3" w:rsidRPr="005B1A16">
        <w:rPr>
          <w:rFonts w:ascii="Book Antiqua" w:hAnsi="Book Antiqua"/>
          <w:i/>
          <w:color w:val="000000" w:themeColor="text1"/>
        </w:rPr>
        <w:t>e.g.</w:t>
      </w:r>
      <w:r w:rsidR="00B06874" w:rsidRPr="005B1A16">
        <w:rPr>
          <w:rFonts w:ascii="Book Antiqua" w:eastAsia="SimSun" w:hAnsi="Book Antiqua"/>
          <w:color w:val="000000" w:themeColor="text1"/>
          <w:lang w:eastAsia="zh-CN"/>
        </w:rPr>
        <w:t>,</w:t>
      </w:r>
      <w:r w:rsidR="00A67CD3" w:rsidRPr="005B1A16">
        <w:rPr>
          <w:rFonts w:ascii="Book Antiqua" w:hAnsi="Book Antiqua"/>
          <w:color w:val="000000" w:themeColor="text1"/>
        </w:rPr>
        <w:t xml:space="preserve"> CRP and mucosal healing)</w:t>
      </w:r>
      <w:r w:rsidR="00020395" w:rsidRPr="005B1A16">
        <w:rPr>
          <w:rFonts w:ascii="Book Antiqua" w:hAnsi="Book Antiqua"/>
          <w:color w:val="000000" w:themeColor="text1"/>
        </w:rPr>
        <w:t xml:space="preserve"> in future studies</w:t>
      </w:r>
      <w:r w:rsidR="00911C0D" w:rsidRPr="005B1A16">
        <w:rPr>
          <w:rFonts w:ascii="Book Antiqua" w:hAnsi="Book Antiqua"/>
          <w:color w:val="000000" w:themeColor="text1"/>
        </w:rPr>
        <w:t xml:space="preserve">, as </w:t>
      </w:r>
      <w:r w:rsidR="00020395" w:rsidRPr="005B1A16">
        <w:rPr>
          <w:rFonts w:ascii="Book Antiqua" w:hAnsi="Book Antiqua"/>
          <w:color w:val="000000" w:themeColor="text1"/>
        </w:rPr>
        <w:t xml:space="preserve">was included in </w:t>
      </w:r>
      <w:r w:rsidR="00911C0D" w:rsidRPr="005B1A16">
        <w:rPr>
          <w:rFonts w:ascii="Book Antiqua" w:hAnsi="Book Antiqua"/>
          <w:color w:val="000000" w:themeColor="text1"/>
        </w:rPr>
        <w:t>t</w:t>
      </w:r>
      <w:r w:rsidR="00CB6268" w:rsidRPr="005B1A16">
        <w:rPr>
          <w:rFonts w:ascii="Book Antiqua" w:hAnsi="Book Antiqua"/>
          <w:color w:val="000000" w:themeColor="text1"/>
        </w:rPr>
        <w:t>he Study of Biologic and Immunomodulator Naive Patients in Crohn's Disease </w:t>
      </w:r>
      <w:r w:rsidR="00911C0D" w:rsidRPr="005B1A16">
        <w:rPr>
          <w:rFonts w:ascii="Book Antiqua" w:hAnsi="Book Antiqua"/>
          <w:color w:val="000000" w:themeColor="text1"/>
        </w:rPr>
        <w:t>(SONIC) conducted in 2010</w:t>
      </w:r>
      <w:r w:rsidR="007F58ED" w:rsidRPr="005B1A16">
        <w:rPr>
          <w:rFonts w:ascii="Book Antiqua" w:hAnsi="Book Antiqua"/>
          <w:color w:val="000000" w:themeColor="text1"/>
        </w:rPr>
        <w:fldChar w:fldCharType="begin"/>
      </w:r>
      <w:r w:rsidR="00832F54" w:rsidRPr="005B1A16">
        <w:rPr>
          <w:rFonts w:ascii="Book Antiqua" w:hAnsi="Book Antiqua"/>
          <w:color w:val="000000" w:themeColor="text1"/>
        </w:rPr>
        <w:instrText xml:space="preserve"> ADDIN ZOTERO_ITEM CSL_CITATION {"citationID":"a19qdk7sjsv","properties":{"formattedCitation":"\\super [14]\\nosupersub{}","plainCitation":"[14]","noteIndex":0},"citationItems":[{"id":57,"uris":["http://zotero.org/users/4672422/items/NCTKCCP5"],"uri":["http://zotero.org/users/4672422/items/NCTKCCP5"],"itemData":{"id":57,"type":"article-journal","title":"Infliximab, Azathioprine, or Combination Therapy for Crohn's Disease","container-title":"New England Journal of Medicine","page":"1383-1395","volume":"362","issue":"15","source":"CrossRef","URL":"http://www.nejm.org/doi/abs/10.1056/NEJMoa0904492","DOI":"10.1056/NEJMoa0904492","ISSN":"0028-4793, 1533-4406","language":"en","author":[{"family":"Colombel","given":"Jean Frédéric"},{"family":"Sandborn","given":"William J."},{"family":"Reinisch","given":"Walter"},{"family":"Mantzaris","given":"Gerassimos J."},{"family":"Kornbluth","given":"Asher"},{"family":"Rachmilewitz","given":"Daniel"},{"family":"Lichtiger","given":"Simon"},{"family":"D'Haens","given":"Geert"},{"family":"Diamond","given":"Robert H."},{"family":"Broussard","given":"Delma L."},{"family":"Tang","given":"Kezhen L."},{"family":"Woude","given":"C. Janneke","non-dropping-particle":"van der"},{"family":"Rutgeerts","given":"Paul"}],"issued":{"date-parts":[["2010",4,15]]},"accessed":{"date-parts":[["2018",3,27]]}}}],"schema":"https://github.com/citation-style-language/schema/raw/master/csl-citation.json"} </w:instrText>
      </w:r>
      <w:r w:rsidR="007F58ED" w:rsidRPr="005B1A16">
        <w:rPr>
          <w:rFonts w:ascii="Book Antiqua" w:hAnsi="Book Antiqua"/>
          <w:color w:val="000000" w:themeColor="text1"/>
        </w:rPr>
        <w:fldChar w:fldCharType="separate"/>
      </w:r>
      <w:r w:rsidR="00832F54" w:rsidRPr="005B1A16">
        <w:rPr>
          <w:rFonts w:ascii="Book Antiqua" w:hAnsi="Book Antiqua"/>
          <w:color w:val="000000" w:themeColor="text1"/>
          <w:vertAlign w:val="superscript"/>
          <w:lang w:val="en-US"/>
        </w:rPr>
        <w:t>[14]</w:t>
      </w:r>
      <w:r w:rsidR="007F58ED" w:rsidRPr="005B1A16">
        <w:rPr>
          <w:rFonts w:ascii="Book Antiqua" w:hAnsi="Book Antiqua"/>
          <w:color w:val="000000" w:themeColor="text1"/>
        </w:rPr>
        <w:fldChar w:fldCharType="end"/>
      </w:r>
      <w:r w:rsidR="00434312" w:rsidRPr="005B1A16">
        <w:rPr>
          <w:rFonts w:ascii="Book Antiqua" w:hAnsi="Book Antiqua"/>
          <w:color w:val="000000" w:themeColor="text1"/>
        </w:rPr>
        <w:t>.</w:t>
      </w:r>
      <w:r w:rsidR="00986DB7" w:rsidRPr="005B1A16">
        <w:rPr>
          <w:rFonts w:ascii="Book Antiqua" w:hAnsi="Book Antiqua"/>
          <w:color w:val="000000" w:themeColor="text1"/>
        </w:rPr>
        <w:t xml:space="preserve"> </w:t>
      </w:r>
      <w:r w:rsidR="00A94DDA" w:rsidRPr="005B1A16">
        <w:rPr>
          <w:rFonts w:ascii="Book Antiqua" w:hAnsi="Book Antiqua"/>
          <w:color w:val="000000" w:themeColor="text1"/>
        </w:rPr>
        <w:t xml:space="preserve">In this </w:t>
      </w:r>
      <w:r w:rsidR="00600113" w:rsidRPr="005B1A16">
        <w:rPr>
          <w:rFonts w:ascii="Book Antiqua" w:hAnsi="Book Antiqua"/>
          <w:color w:val="000000" w:themeColor="text1"/>
        </w:rPr>
        <w:t xml:space="preserve">landmark </w:t>
      </w:r>
      <w:r w:rsidR="00A94DDA" w:rsidRPr="005B1A16">
        <w:rPr>
          <w:rFonts w:ascii="Book Antiqua" w:hAnsi="Book Antiqua"/>
          <w:color w:val="000000" w:themeColor="text1"/>
        </w:rPr>
        <w:t>RCT involving 508 biologic- and immunosuppressive-naïve patients</w:t>
      </w:r>
      <w:r w:rsidR="00035D36" w:rsidRPr="005B1A16">
        <w:rPr>
          <w:rFonts w:ascii="Book Antiqua" w:hAnsi="Book Antiqua"/>
          <w:color w:val="000000" w:themeColor="text1"/>
        </w:rPr>
        <w:t>,</w:t>
      </w:r>
      <w:r w:rsidR="00A94DDA" w:rsidRPr="005B1A16">
        <w:rPr>
          <w:rFonts w:ascii="Book Antiqua" w:hAnsi="Book Antiqua"/>
          <w:color w:val="000000" w:themeColor="text1"/>
        </w:rPr>
        <w:t xml:space="preserve"> </w:t>
      </w:r>
      <w:r w:rsidR="00A67CD3" w:rsidRPr="005B1A16">
        <w:rPr>
          <w:rFonts w:ascii="Book Antiqua" w:hAnsi="Book Antiqua"/>
          <w:color w:val="000000" w:themeColor="text1"/>
        </w:rPr>
        <w:t xml:space="preserve">the superiority of infliximab over azathioprine </w:t>
      </w:r>
      <w:r w:rsidR="00FF07A9" w:rsidRPr="005B1A16">
        <w:rPr>
          <w:rFonts w:ascii="Book Antiqua" w:hAnsi="Book Antiqua"/>
          <w:color w:val="000000" w:themeColor="text1"/>
        </w:rPr>
        <w:t>as well as the therapeutic advantage of combining therapies over monotherapy with either infliximab or azathioprine alone at the 30 and 50 week follow-up</w:t>
      </w:r>
      <w:r w:rsidR="00600113" w:rsidRPr="005B1A16">
        <w:rPr>
          <w:rFonts w:ascii="Book Antiqua" w:hAnsi="Book Antiqua"/>
          <w:color w:val="000000" w:themeColor="text1"/>
        </w:rPr>
        <w:t>s was demonstrated.</w:t>
      </w:r>
      <w:r w:rsidR="007F58ED" w:rsidRPr="005B1A16">
        <w:rPr>
          <w:rFonts w:ascii="Book Antiqua" w:hAnsi="Book Antiqua"/>
          <w:color w:val="000000" w:themeColor="text1"/>
        </w:rPr>
        <w:fldChar w:fldCharType="begin"/>
      </w:r>
      <w:r w:rsidR="00832F54" w:rsidRPr="005B1A16">
        <w:rPr>
          <w:rFonts w:ascii="Book Antiqua" w:hAnsi="Book Antiqua"/>
          <w:color w:val="000000" w:themeColor="text1"/>
        </w:rPr>
        <w:instrText xml:space="preserve"> ADDIN ZOTERO_ITEM CSL_CITATION {"citationID":"a1o9qsliunu","properties":{"formattedCitation":"\\super [14]\\nosupersub{}","plainCitation":"[14]","noteIndex":0},"citationItems":[{"id":57,"uris":["http://zotero.org/users/4672422/items/NCTKCCP5"],"uri":["http://zotero.org/users/4672422/items/NCTKCCP5"],"itemData":{"id":57,"type":"article-journal","title":"Infliximab, Azathioprine, or Combination Therapy for Crohn's Disease","container-title":"New England Journal of Medicine","page":"1383-1395","volume":"362","issue":"15","source":"CrossRef","URL":"http://www.nejm.org/doi/abs/10.1056/NEJMoa0904492","DOI":"10.1056/NEJMoa0904492","ISSN":"0028-4793, 1533-4406","language":"en","author":[{"family":"Colombel","given":"Jean Frédéric"},{"family":"Sandborn","given":"William J."},{"family":"Reinisch","given":"Walter"},{"family":"Mantzaris","given":"Gerassimos J."},{"family":"Kornbluth","given":"Asher"},{"family":"Rachmilewitz","given":"Daniel"},{"family":"Lichtiger","given":"Simon"},{"family":"D'Haens","given":"Geert"},{"family":"Diamond","given":"Robert H."},{"family":"Broussard","given":"Delma L."},{"family":"Tang","given":"Kezhen L."},{"family":"Woude","given":"C. Janneke","non-dropping-particle":"van der"},{"family":"Rutgeerts","given":"Paul"}],"issued":{"date-parts":[["2010",4,15]]},"accessed":{"date-parts":[["2018",3,27]]}}}],"schema":"https://github.com/citation-style-language/schema/raw/master/csl-citation.json"} </w:instrText>
      </w:r>
      <w:r w:rsidR="007F58ED" w:rsidRPr="005B1A16">
        <w:rPr>
          <w:rFonts w:ascii="Book Antiqua" w:hAnsi="Book Antiqua"/>
          <w:color w:val="000000" w:themeColor="text1"/>
        </w:rPr>
        <w:fldChar w:fldCharType="separate"/>
      </w:r>
      <w:r w:rsidR="00832F54" w:rsidRPr="005B1A16">
        <w:rPr>
          <w:rFonts w:ascii="Book Antiqua" w:hAnsi="Book Antiqua"/>
          <w:color w:val="000000" w:themeColor="text1"/>
          <w:vertAlign w:val="superscript"/>
          <w:lang w:val="en-US"/>
        </w:rPr>
        <w:t>[14]</w:t>
      </w:r>
      <w:r w:rsidR="007F58ED" w:rsidRPr="005B1A16">
        <w:rPr>
          <w:rFonts w:ascii="Book Antiqua" w:hAnsi="Book Antiqua"/>
          <w:color w:val="000000" w:themeColor="text1"/>
        </w:rPr>
        <w:fldChar w:fldCharType="end"/>
      </w:r>
      <w:r w:rsidR="00911944" w:rsidRPr="005B1A16">
        <w:rPr>
          <w:rFonts w:ascii="Book Antiqua" w:hAnsi="Book Antiqua"/>
          <w:color w:val="000000" w:themeColor="text1"/>
        </w:rPr>
        <w:t xml:space="preserve">. </w:t>
      </w:r>
    </w:p>
    <w:p w14:paraId="1B924803" w14:textId="44A261CF" w:rsidR="00C81A23" w:rsidRPr="005B1A16" w:rsidRDefault="00C81A23" w:rsidP="005B1A16">
      <w:pPr>
        <w:spacing w:line="360" w:lineRule="auto"/>
        <w:jc w:val="both"/>
        <w:rPr>
          <w:rFonts w:ascii="Book Antiqua" w:hAnsi="Book Antiqua"/>
          <w:color w:val="000000" w:themeColor="text1"/>
        </w:rPr>
      </w:pPr>
    </w:p>
    <w:p w14:paraId="5CE3B646" w14:textId="3EB2A80E" w:rsidR="00FC43E8" w:rsidRPr="005B1A16" w:rsidRDefault="008D3882" w:rsidP="005B1A16">
      <w:pPr>
        <w:spacing w:line="360" w:lineRule="auto"/>
        <w:jc w:val="both"/>
        <w:outlineLvl w:val="0"/>
        <w:rPr>
          <w:rFonts w:ascii="Book Antiqua" w:eastAsia="SimSun" w:hAnsi="Book Antiqua"/>
          <w:i/>
          <w:color w:val="000000" w:themeColor="text1"/>
          <w:lang w:eastAsia="zh-CN"/>
        </w:rPr>
      </w:pPr>
      <w:r w:rsidRPr="005B1A16">
        <w:rPr>
          <w:rFonts w:ascii="Book Antiqua" w:hAnsi="Book Antiqua"/>
          <w:b/>
          <w:color w:val="000000" w:themeColor="text1"/>
        </w:rPr>
        <w:t>Adalimumab</w:t>
      </w:r>
      <w:r w:rsidR="00085D82" w:rsidRPr="005B1A16">
        <w:rPr>
          <w:rFonts w:ascii="Book Antiqua" w:eastAsia="SimSun" w:hAnsi="Book Antiqua"/>
          <w:b/>
          <w:color w:val="000000" w:themeColor="text1"/>
          <w:lang w:eastAsia="zh-CN"/>
        </w:rPr>
        <w:t>:</w:t>
      </w:r>
      <w:r w:rsidR="00085D82" w:rsidRPr="005B1A16">
        <w:rPr>
          <w:rFonts w:ascii="Book Antiqua" w:eastAsia="SimSun" w:hAnsi="Book Antiqua"/>
          <w:i/>
          <w:color w:val="000000" w:themeColor="text1"/>
          <w:lang w:eastAsia="zh-CN"/>
        </w:rPr>
        <w:t xml:space="preserve"> </w:t>
      </w:r>
      <w:r w:rsidR="00DD6D3F" w:rsidRPr="005B1A16">
        <w:rPr>
          <w:rFonts w:ascii="Book Antiqua" w:hAnsi="Book Antiqua"/>
          <w:color w:val="000000" w:themeColor="text1"/>
        </w:rPr>
        <w:t xml:space="preserve">In an attempt to </w:t>
      </w:r>
      <w:r w:rsidR="00092285" w:rsidRPr="005B1A16">
        <w:rPr>
          <w:rFonts w:ascii="Book Antiqua" w:hAnsi="Book Antiqua"/>
          <w:color w:val="000000" w:themeColor="text1"/>
        </w:rPr>
        <w:t xml:space="preserve">possibly </w:t>
      </w:r>
      <w:r w:rsidR="00DD6D3F" w:rsidRPr="005B1A16">
        <w:rPr>
          <w:rFonts w:ascii="Book Antiqua" w:hAnsi="Book Antiqua"/>
          <w:color w:val="000000" w:themeColor="text1"/>
        </w:rPr>
        <w:t>reduce the immunogenic responses induced by chimeric antibodies, such as infliximab which contains 25% mouse sequences, adalimumab was designed as the first fully human monoclona</w:t>
      </w:r>
      <w:r w:rsidR="00F202B9" w:rsidRPr="005B1A16">
        <w:rPr>
          <w:rFonts w:ascii="Book Antiqua" w:hAnsi="Book Antiqua"/>
          <w:color w:val="000000" w:themeColor="text1"/>
        </w:rPr>
        <w:t xml:space="preserve">l antibody against </w:t>
      </w:r>
      <w:r w:rsidR="000D26A8" w:rsidRPr="005B1A16">
        <w:rPr>
          <w:rFonts w:ascii="Book Antiqua" w:hAnsi="Book Antiqua"/>
          <w:color w:val="000000" w:themeColor="text1"/>
        </w:rPr>
        <w:t xml:space="preserve">tumor necrosis factor </w:t>
      </w:r>
      <w:r w:rsidR="000D26A8" w:rsidRPr="005B1A16">
        <w:rPr>
          <w:rFonts w:ascii="Book Antiqua" w:eastAsia="SimSun" w:hAnsi="Book Antiqua"/>
          <w:color w:val="000000" w:themeColor="text1"/>
          <w:lang w:eastAsia="zh-CN"/>
        </w:rPr>
        <w:t>(</w:t>
      </w:r>
      <w:r w:rsidR="000D26A8" w:rsidRPr="005B1A16">
        <w:rPr>
          <w:rFonts w:ascii="Book Antiqua" w:hAnsi="Book Antiqua"/>
          <w:color w:val="000000" w:themeColor="text1"/>
        </w:rPr>
        <w:t>TNF</w:t>
      </w:r>
      <w:r w:rsidR="000D26A8" w:rsidRPr="005B1A16">
        <w:rPr>
          <w:rFonts w:ascii="Book Antiqua" w:eastAsia="SimSun" w:hAnsi="Book Antiqua"/>
          <w:color w:val="000000" w:themeColor="text1"/>
          <w:lang w:eastAsia="zh-CN"/>
        </w:rPr>
        <w:t>)</w:t>
      </w:r>
      <w:r w:rsidR="00F202B9" w:rsidRPr="005B1A16">
        <w:rPr>
          <w:rFonts w:ascii="Book Antiqua" w:hAnsi="Book Antiqua"/>
          <w:color w:val="000000" w:themeColor="text1"/>
        </w:rPr>
        <w:t>-alpha</w:t>
      </w:r>
      <w:r w:rsidR="00F202B9"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{"citationID":"a6ak29dpvk","properties":{"formattedCitation":"\\super [25]\\nosupersub{}","plainCitation":"[25]","noteIndex":0},"citationItems":[{"id":58,"uris":["http://zotero.org/users/4672422/items/PKE42NE7"],"uri":["http://zotero.org/users/4672422/items/PKE42NE7"],"itemData":{"id":58,"type":"article-journal","title":"Adalimumab for the treatment of Crohn's disease","container-title":"Biologics: Targets &amp; Therapy","page":"763-777","volume":"2","issue":"4","source":"PubMed","abstract":"INTRODUCTION: Crohn's disease (CD) is a chronic inflammatory bowel disease characterized by a relapsing-remitting course with trans-mural inflammation of potentially any section of the digestive tract. Adalimumab (ADA) is a subcutaneously administered, recombinant, fully human, IgG1 monoclonal antibody that binds with high affinity and specificity to human TNF-alpha, thus modulating its biologic functions and its proinflammatory effects.\nAIMS: To review the available data on ADA in CD for biological properties, efficacy, and safety.\nMETHODS: Electronic searches were conducted using the Pubmed and SCOPUS databases from the earliest records to April 2008. The search terms used were \"adalimumab\", \"anti-TNF\", \"TNF-alpha\", \"biologicals\", \"inflammatory bowel disease\", and \"Crohn's disease\". Reference lists of all relevant articles were searched for further studies.\nRESULTS: Available studies suggest that ADA has the potential to induce and maintain clinical response and remission in moderate-severe CD, both in anti-TNF-naïve patients and in subjects who lost their response and/or became intolerant to infliximab (IFX). ADA seems also effective in maintaining corticosteroid-free remission and obtaining complete fistula closure (although no specific randomized trials are available). No concomitant immunosuppressors seem to be necessary. Side effects appear similar to IFX, while site-injection reactions are frequent and specific. Data on immunogenicity and its clinical impact are uncertain.\nCONCLUSIONS: ADA appears to be effective in inducing and maintain clinical remission in CD, including patients not manageable with IFX. Successive clinical practice and further on going trials will confirm a positive role for ADA as a new anti-TNF treatment in CD. The impact on clinical management or on resources should be more studied.","ISSN":"1177-5475","note":"PMID: 19707457\nPMCID: PMC2727899","journalAbbreviation":"Biologics","language":"eng","author":[{"family":"Cassinotti","given":"Andrea"},{"family":"Ardizzone","given":"Sandro"},{"family":"Porro","given":"Gabriele Bianchi"}],"issued":{"date-parts":[["2008",12]]}}}],"schema":"https://github.com/citation-style-language/schema/raw/master/csl-citation.json"} </w:instrText>
      </w:r>
      <w:r w:rsidR="00F202B9"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[25]</w:t>
      </w:r>
      <w:r w:rsidR="00F202B9" w:rsidRPr="005B1A16">
        <w:rPr>
          <w:rFonts w:ascii="Book Antiqua" w:hAnsi="Book Antiqua"/>
          <w:color w:val="000000" w:themeColor="text1"/>
        </w:rPr>
        <w:fldChar w:fldCharType="end"/>
      </w:r>
      <w:r w:rsidR="00DD6D3F" w:rsidRPr="005B1A16">
        <w:rPr>
          <w:rFonts w:ascii="Book Antiqua" w:hAnsi="Book Antiqua"/>
          <w:color w:val="000000" w:themeColor="text1"/>
        </w:rPr>
        <w:t xml:space="preserve">. </w:t>
      </w:r>
      <w:r w:rsidR="00FB530E" w:rsidRPr="005B1A16">
        <w:rPr>
          <w:rFonts w:ascii="Book Antiqua" w:hAnsi="Book Antiqua"/>
          <w:color w:val="000000" w:themeColor="text1"/>
        </w:rPr>
        <w:t>The results of three pivotal trials (CLASSIC-I, CHARM and GAIN) established regulatory approval of adalimumab for the induction and maintenance of remission of CD in 2007</w:t>
      </w:r>
      <w:r w:rsidR="003F2549" w:rsidRPr="005B1A16">
        <w:rPr>
          <w:rFonts w:ascii="Book Antiqua" w:hAnsi="Book Antiqua"/>
          <w:color w:val="000000" w:themeColor="text1"/>
        </w:rPr>
        <w:t xml:space="preserve">. </w:t>
      </w:r>
      <w:r w:rsidR="009F6EFB" w:rsidRPr="005B1A16">
        <w:rPr>
          <w:rFonts w:ascii="Book Antiqua" w:hAnsi="Book Antiqua"/>
          <w:color w:val="000000" w:themeColor="text1"/>
        </w:rPr>
        <w:t xml:space="preserve">CLASSIC-I was the first human trial to evaluate </w:t>
      </w:r>
      <w:r w:rsidR="00CF25D6" w:rsidRPr="005B1A16">
        <w:rPr>
          <w:rFonts w:ascii="Book Antiqua" w:hAnsi="Book Antiqua"/>
          <w:color w:val="000000" w:themeColor="text1"/>
        </w:rPr>
        <w:t>induction of remission</w:t>
      </w:r>
      <w:r w:rsidR="00313B0A" w:rsidRPr="005B1A16">
        <w:rPr>
          <w:rFonts w:ascii="Book Antiqua" w:hAnsi="Book Antiqua"/>
          <w:color w:val="000000" w:themeColor="text1"/>
        </w:rPr>
        <w:t xml:space="preserve"> using adalimumab</w:t>
      </w:r>
      <w:r w:rsidR="00CF25D6" w:rsidRPr="005B1A16">
        <w:rPr>
          <w:rFonts w:ascii="Book Antiqua" w:hAnsi="Book Antiqua"/>
          <w:color w:val="000000" w:themeColor="text1"/>
        </w:rPr>
        <w:t xml:space="preserve"> </w:t>
      </w:r>
      <w:r w:rsidR="00515D6B" w:rsidRPr="005B1A16">
        <w:rPr>
          <w:rFonts w:ascii="Book Antiqua" w:hAnsi="Book Antiqua"/>
          <w:color w:val="000000" w:themeColor="text1"/>
        </w:rPr>
        <w:t>i</w:t>
      </w:r>
      <w:r w:rsidR="002A2396" w:rsidRPr="005B1A16">
        <w:rPr>
          <w:rFonts w:ascii="Book Antiqua" w:hAnsi="Book Antiqua"/>
          <w:color w:val="000000" w:themeColor="text1"/>
        </w:rPr>
        <w:t>n 299 moderate to severe CD patients naïve to anti-TNF therapy</w:t>
      </w:r>
      <w:r w:rsidR="003D08B7"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{"citationID":"adgmloc34v","properties":{"formattedCitation":"\\super [26]\\nosupersub{}","plainCitation":"[26]","noteIndex":0},"citationItems":[{"id":60,"uris":["http://zotero.org/users/4672422/items/4XJ46V66"],"uri":["http://zotero.org/users/4672422/items/4XJ46V66"],"itemData":{"id":60,"type":"article-journal","title":"Human anti-tumor necrosis factor monoclonal antibody (adalimumab) in Crohn's disease: the CLASSIC-I trial","container-title":"Gastroenterology","page":"323-333; quiz 591","volume":"130","issue":"2","source":"PubMed","abstract":"BACKGROUND &amp; AIMS: Tumor necrosis factor blockade has been shown to be an effective treatment strategy in Crohn's disease (CD). Adalimumab is a human immunoglobulin G1 (IgG(1)) monoclonal antibody targeting tumor necrosis factor (TNF). A randomized, double-blind, placebo-controlled, dose-ranging trial was performed to evaluate the efficacy of adalimumab induction therapy in patients with CD.\nMETHODS: A total of 299 patients with moderate to severe CD naive to anti-TNF therapy were randomized to receive subcutaneous injections at weeks 0 and 2 with adalimumab 40 mg/20 mg, 80 mg/40 mg, or 160 mg/80 mg or placebo. The primary endpoint was demonstration of a significant difference in the rates of remission at week 4 (defined as a Crohn's Disease Activity Index score &lt;150 points) among the 80 mg/40 mg, 160 mg/80 mg, and placebo groups.\nRESULTS: The rates of remission at week 4 in the adalimumab 40 mg/20 mg, 80 mg/40 mg, and 160 mg/80 mg groups were 18% (P = .36), 24% (P = .06), and 36% (P = .001), respectively, and 12% in the placebo group. Adverse events occurred at similar frequencies in all 4 treatment groups except injection site reactions, which were more common in adalimumab-treated patients.\nCONCLUSIONS: Adalimumab was superior to placebo for induction of remission in patients with moderate to severe Crohn's disease naive to anti-TNF therapy. The optimal induction dosing regimen for adalimumab in this study was 160 mg at week 0 followed by 80 mg at week 2. Adalimumab was well tolerated.","DOI":"10.1053/j.gastro.2005.11.030","ISSN":"0016-5085","note":"PMID: 16472588","shortTitle":"Human anti-tumor necrosis factor monoclonal antibody (adalimumab) in Crohn's disease","journalAbbreviation":"Gastroenterology","language":"eng","author":[{"family":"Hanauer","given":"Stephen B."},{"family":"Sandborn","given":"William J."},{"family":"Rutgeerts","given":"Paul"},{"family":"Fedorak","given":"Richard N."},{"family":"Lukas","given":"Milan"},{"family":"MacIntosh","given":"Donald"},{"family":"Panaccione","given":"Remo"},{"family":"Wolf","given":"Douglas"},{"family":"Pollack","given":"Paul"}],"issued":{"date-parts":[["2006",2]]}}}],"schema":"https://github.com/citation-style-language/schema/raw/master/csl-citation.json"} </w:instrText>
      </w:r>
      <w:r w:rsidR="003D08B7"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[26]</w:t>
      </w:r>
      <w:r w:rsidR="003D08B7" w:rsidRPr="005B1A16">
        <w:rPr>
          <w:rFonts w:ascii="Book Antiqua" w:hAnsi="Book Antiqua"/>
          <w:color w:val="000000" w:themeColor="text1"/>
        </w:rPr>
        <w:fldChar w:fldCharType="end"/>
      </w:r>
      <w:r w:rsidR="003D08B7" w:rsidRPr="005B1A16">
        <w:rPr>
          <w:rFonts w:ascii="Book Antiqua" w:hAnsi="Book Antiqua"/>
          <w:color w:val="000000" w:themeColor="text1"/>
        </w:rPr>
        <w:t xml:space="preserve">. </w:t>
      </w:r>
      <w:r w:rsidR="008B523D" w:rsidRPr="005B1A16">
        <w:rPr>
          <w:rFonts w:ascii="Book Antiqua" w:hAnsi="Book Antiqua"/>
          <w:color w:val="000000" w:themeColor="text1"/>
        </w:rPr>
        <w:t xml:space="preserve">A linear dose-response curve was </w:t>
      </w:r>
      <w:r w:rsidR="00313B0A" w:rsidRPr="005B1A16">
        <w:rPr>
          <w:rFonts w:ascii="Book Antiqua" w:hAnsi="Book Antiqua"/>
          <w:color w:val="000000" w:themeColor="text1"/>
        </w:rPr>
        <w:t>appreciated</w:t>
      </w:r>
      <w:r w:rsidR="008B523D" w:rsidRPr="005B1A16">
        <w:rPr>
          <w:rFonts w:ascii="Book Antiqua" w:hAnsi="Book Antiqua"/>
          <w:color w:val="000000" w:themeColor="text1"/>
        </w:rPr>
        <w:t xml:space="preserve"> at the 4 </w:t>
      </w:r>
      <w:r w:rsidR="00085D82" w:rsidRPr="005B1A16">
        <w:rPr>
          <w:rFonts w:ascii="Book Antiqua" w:eastAsia="SimSun" w:hAnsi="Book Antiqua"/>
          <w:color w:val="000000" w:themeColor="text1"/>
          <w:lang w:eastAsia="zh-CN"/>
        </w:rPr>
        <w:t>wk</w:t>
      </w:r>
      <w:r w:rsidR="008B523D" w:rsidRPr="005B1A16">
        <w:rPr>
          <w:rFonts w:ascii="Book Antiqua" w:hAnsi="Book Antiqua"/>
          <w:color w:val="000000" w:themeColor="text1"/>
        </w:rPr>
        <w:t xml:space="preserve"> follow-up, with the greatest</w:t>
      </w:r>
      <w:r w:rsidR="00462F42" w:rsidRPr="005B1A16">
        <w:rPr>
          <w:rFonts w:ascii="Book Antiqua" w:hAnsi="Book Antiqua"/>
          <w:color w:val="000000" w:themeColor="text1"/>
        </w:rPr>
        <w:t xml:space="preserve"> clinical</w:t>
      </w:r>
      <w:r w:rsidR="008B523D" w:rsidRPr="005B1A16">
        <w:rPr>
          <w:rFonts w:ascii="Book Antiqua" w:hAnsi="Book Antiqua"/>
          <w:color w:val="000000" w:themeColor="text1"/>
        </w:rPr>
        <w:t xml:space="preserve"> remission rate associated with the highest dose studied (160</w:t>
      </w:r>
      <w:r w:rsidR="00085D82" w:rsidRPr="005B1A16">
        <w:rPr>
          <w:rFonts w:ascii="Book Antiqua" w:eastAsia="SimSun" w:hAnsi="Book Antiqua"/>
          <w:color w:val="000000" w:themeColor="text1"/>
          <w:lang w:eastAsia="zh-CN"/>
        </w:rPr>
        <w:t xml:space="preserve"> </w:t>
      </w:r>
      <w:r w:rsidR="008B523D" w:rsidRPr="005B1A16">
        <w:rPr>
          <w:rFonts w:ascii="Book Antiqua" w:hAnsi="Book Antiqua"/>
          <w:color w:val="000000" w:themeColor="text1"/>
        </w:rPr>
        <w:t>mg and 80</w:t>
      </w:r>
      <w:r w:rsidR="00085D82" w:rsidRPr="005B1A16">
        <w:rPr>
          <w:rFonts w:ascii="Book Antiqua" w:eastAsia="SimSun" w:hAnsi="Book Antiqua"/>
          <w:color w:val="000000" w:themeColor="text1"/>
          <w:lang w:eastAsia="zh-CN"/>
        </w:rPr>
        <w:t xml:space="preserve"> </w:t>
      </w:r>
      <w:r w:rsidR="008B523D" w:rsidRPr="005B1A16">
        <w:rPr>
          <w:rFonts w:ascii="Book Antiqua" w:hAnsi="Book Antiqua"/>
          <w:color w:val="000000" w:themeColor="text1"/>
        </w:rPr>
        <w:t>mg at weeks 0 and 2, respectively)</w:t>
      </w:r>
      <w:r w:rsidR="003D08B7"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{"citationID":"a1bgunoopdk","properties":{"formattedCitation":"\\super [25]\\nosupersub{}","plainCitation":"[25]","noteIndex":0},"citationItems":[{"id":58,"uris":["http://zotero.org/users/4672422/items/PKE42NE7"],"uri":["http://zotero.org/users/4672422/items/PKE42NE7"],"itemData":{"id":58,"type":"article-journal","title":"Adalimumab for the treatment of Crohn's disease","container-title":"Biologics: Targets &amp; Therapy","page":"763-777","volume":"2","issue":"4","source":"PubMed","abstract":"INTRODUCTION: Crohn's disease (CD) is a chronic inflammatory bowel disease characterized by a relapsing-remitting course with trans-mural inflammation of potentially any section of the digestive tract. Adalimumab (ADA) is a subcutaneously administered, recombinant, fully human, IgG1 monoclonal antibody that binds with high affinity and specificity to human TNF-alpha, thus modulating its biologic functions and its proinflammatory effects.\nAIMS: To review the available data on ADA in CD for biological properties, efficacy, and safety.\nMETHODS: Electronic searches were conducted using the Pubmed and SCOPUS databases from the earliest records to April 2008. The search terms used were \"adalimumab\", \"anti-TNF\", \"TNF-alpha\", \"biologicals\", \"inflammatory bowel disease\", and \"Crohn's disease\". Reference lists of all relevant articles were searched for further studies.\nRESULTS: Available studies suggest that ADA has the potential to induce and maintain clinical response and remission in moderate-severe CD, both in anti-TNF-naïve patients and in subjects who lost their response and/or became intolerant to infliximab (IFX). ADA seems also effective in maintaining corticosteroid-free remission and obtaining complete fistula closure (although no specific randomized trials are available). No concomitant immunosuppressors seem to be necessary. Side effects appear similar to IFX, while site-injection reactions are frequent and specific. Data on immunogenicity and its clinical impact are uncertain.\nCONCLUSIONS: ADA appears to be effective in inducing and maintain clinical remission in CD, including patients not manageable with IFX. Successive clinical practice and further on going trials will confirm a positive role for ADA as a new anti-TNF treatment in CD. The impact on clinical management or on resources should be more studied.","ISSN":"1177-5475","note":"PMID: 19707457\nPMCID: PMC2727899","journalAbbreviation":"Biologics","language":"eng","author":[{"family":"Cassinotti","given":"Andrea"},{"family":"Ardizzone","given":"Sandro"},{"family":"Porro","given":"Gabriele Bianchi"}],"issued":{"date-parts":[["2008",12]]}}}],"schema":"https://github.com/citation-style-language/schema/raw/master/csl-citation.json"} </w:instrText>
      </w:r>
      <w:r w:rsidR="003D08B7"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[25]</w:t>
      </w:r>
      <w:r w:rsidR="003D08B7" w:rsidRPr="005B1A16">
        <w:rPr>
          <w:rFonts w:ascii="Book Antiqua" w:hAnsi="Book Antiqua"/>
          <w:color w:val="000000" w:themeColor="text1"/>
        </w:rPr>
        <w:fldChar w:fldCharType="end"/>
      </w:r>
      <w:r w:rsidR="008B523D" w:rsidRPr="005B1A16">
        <w:rPr>
          <w:rFonts w:ascii="Book Antiqua" w:hAnsi="Book Antiqua"/>
          <w:color w:val="000000" w:themeColor="text1"/>
        </w:rPr>
        <w:t xml:space="preserve">. </w:t>
      </w:r>
      <w:r w:rsidR="004A6F6B" w:rsidRPr="005B1A16">
        <w:rPr>
          <w:rFonts w:ascii="Book Antiqua" w:hAnsi="Book Antiqua"/>
          <w:color w:val="000000" w:themeColor="text1"/>
        </w:rPr>
        <w:t xml:space="preserve">As a ceiling effect was not achieved, it is unclear if higher dosing would be more efficacious, studies evaluating this are underway. </w:t>
      </w:r>
      <w:r w:rsidR="00CD6233" w:rsidRPr="005B1A16">
        <w:rPr>
          <w:rFonts w:ascii="Book Antiqua" w:hAnsi="Book Antiqua"/>
          <w:color w:val="000000" w:themeColor="text1"/>
        </w:rPr>
        <w:t xml:space="preserve">The use of adalimumab as a second line induction agent following the failure of infliximab </w:t>
      </w:r>
      <w:r w:rsidR="005B4882" w:rsidRPr="005B1A16">
        <w:rPr>
          <w:rFonts w:ascii="Book Antiqua" w:hAnsi="Book Antiqua"/>
          <w:color w:val="000000" w:themeColor="text1"/>
        </w:rPr>
        <w:t xml:space="preserve">due to intolerance or poor response </w:t>
      </w:r>
      <w:r w:rsidR="00CD6233" w:rsidRPr="005B1A16">
        <w:rPr>
          <w:rFonts w:ascii="Book Antiqua" w:hAnsi="Book Antiqua"/>
          <w:color w:val="000000" w:themeColor="text1"/>
        </w:rPr>
        <w:t>was evaluated in the GAIN trial</w:t>
      </w:r>
      <w:r w:rsidR="001D3661" w:rsidRPr="005B1A16">
        <w:rPr>
          <w:rFonts w:ascii="Book Antiqua" w:hAnsi="Book Antiqua"/>
          <w:color w:val="000000" w:themeColor="text1"/>
        </w:rPr>
        <w:t xml:space="preserve"> which included 325 patients who had either lost response or become intolerant to infliximab</w:t>
      </w:r>
      <w:r w:rsidR="003D08B7"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{"citationID":"vv5OblYA","properties":{"formattedCitation":"\\super [27]\\nosupersub{}","plainCitation":"[27]","noteIndex":0},"citationItems":[{"id":64,"uris":["http://zotero.org/users/4672422/items/4U3NJ7XM"],"uri":["http://zotero.org/users/4672422/items/4U3NJ7XM"],"itemData":{"id":64,"type":"article-journal","title":"Adalimumab induction therapy for Crohn disease previously treated with infliximab: a randomized trial","container-title":"Annals of Internal Medicine","page":"829-838","volume":"146","issue":"12","source":"PubMed","abstract":"BACKGROUND: Adalimumab, a fully human tumor necrosis factor (TNF) antagonist, is an effective treatment for patients with Crohn disease who are naive to the chimeric TNF antagonist, infliximab. No anti-TNF agent has been evaluated prospectively in patients with Crohn disease who had responded to another anti-TNF agent and then lost that response or were intolerant of the agent.\nOBJECTIVE: To determine whether adalimumab induces remissions more frequently than placebo in adult patients with Crohn disease who have symptoms despite infliximab therapy or who cannot take infliximab because of adverse events.\nDESIGN: 4-week, randomized, double-blind, placebo-controlled trial (November 2004 to December 2005).\nSETTING: 52 sites in the United States, Canada, and Europe.\nPATIENTS: 325 adults 18 to 75 years of age who had a history of Crohn disease for 4 months or more that was moderate to severe at baseline (Crohn's Disease Activity Index [CDAI] score, 220 to 450 points).\nINTERVENTION: Patients were randomly assigned to receive induction doses of adalimumab, 160 mg and 80 mg, at weeks 0 and 2, respectively, or placebo at the same time points.\nMEASUREMENTS: The primary end point was induction of remission at week 4. Decreases in CDAI score by 70 or more and 100 or more points (secondary end points) were also measured.\nRESULTS: A total of 301 patients completed the trial. Twenty-one percent (34 of 159) of patients in the adalimumab group versus 7% (12 of 166) of those in the placebo group achieved remission at week 4 (P &lt; 0.001). The absolute difference in clinical remission rates was 14.2 percentage points (95% CI, 6.7 to 21.6 percentage points). A 70-point response occurred at week 4 in 52% (82 of 159) of patients in the adalimumab group versus 34% (56 of 166) of patients in the placebo group (P = 0.001). The absolute difference in 70-point response rates was 17.8 percentage points (CI, 7.3 to 28.4 percentage points). Two of 159 patients in the adalimumab group and 4 of 166 patients in the placebo group discontinued treatment because of adverse events. No patients in the adalimumab group and 4 of 166 patients in the placebo group had a serious infection.\nLIMITATIONS: The trial did not directly compare alternative active treatments and did not evaluate maintenance of response or long-term immunogenicity of adalimumab.\nCONCLUSION: Adalimumab induces remissions more frequently than placebo in adult patients with Crohn disease who cannot tolerate infliximab or have symptoms despite receiving infliximab therapy. For more information on adalimumab in Crohn disease, click here. ClinicalTrials.gov registration number: NCT00105300.","ISSN":"1539-3704","note":"PMID: 17470824","shortTitle":"Adalimumab induction therapy for Crohn disease previously treated with infliximab","journalAbbreviation":"Ann. Intern. Med.","language":"eng","author":[{"family":"Sandborn","given":"William J."},{"family":"Rutgeerts","given":"Paul"},{"family":"Enns","given":"Robert"},{"family":"Hanauer","given":"Stephen B."},{"family":"Colombel","given":"Jean-Frédéric"},{"family":"Panaccione","given":"Remo"},{"family":"D'Haens","given":"Geert"},{"family":"Li","given":"Ju"},{"family":"Rosenfeld","given":"Marie R."},{"family":"Kent","given":"Jeffrey D."},{"family":"Pollack","given":"Paul F."}],"issued":{"date-parts":[["2007",6,19]]}}}],"schema":"https://github.com/citation-style-language/schema/raw/master/csl-citation.json"} </w:instrText>
      </w:r>
      <w:r w:rsidR="003D08B7"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[27]</w:t>
      </w:r>
      <w:r w:rsidR="003D08B7" w:rsidRPr="005B1A16">
        <w:rPr>
          <w:rFonts w:ascii="Book Antiqua" w:hAnsi="Book Antiqua"/>
          <w:color w:val="000000" w:themeColor="text1"/>
        </w:rPr>
        <w:fldChar w:fldCharType="end"/>
      </w:r>
      <w:r w:rsidR="00CD6233" w:rsidRPr="005B1A16">
        <w:rPr>
          <w:rFonts w:ascii="Book Antiqua" w:hAnsi="Book Antiqua"/>
          <w:color w:val="000000" w:themeColor="text1"/>
        </w:rPr>
        <w:t xml:space="preserve">. </w:t>
      </w:r>
      <w:r w:rsidR="005B4882" w:rsidRPr="005B1A16">
        <w:rPr>
          <w:rFonts w:ascii="Book Antiqua" w:hAnsi="Book Antiqua"/>
          <w:color w:val="000000" w:themeColor="text1"/>
        </w:rPr>
        <w:t xml:space="preserve">At the 4 </w:t>
      </w:r>
      <w:r w:rsidR="00085D82" w:rsidRPr="005B1A16">
        <w:rPr>
          <w:rFonts w:ascii="Book Antiqua" w:eastAsia="SimSun" w:hAnsi="Book Antiqua"/>
          <w:color w:val="000000" w:themeColor="text1"/>
          <w:lang w:eastAsia="zh-CN"/>
        </w:rPr>
        <w:t>wk</w:t>
      </w:r>
      <w:r w:rsidR="005B4882" w:rsidRPr="005B1A16">
        <w:rPr>
          <w:rFonts w:ascii="Book Antiqua" w:hAnsi="Book Antiqua"/>
          <w:color w:val="000000" w:themeColor="text1"/>
        </w:rPr>
        <w:t xml:space="preserve"> follow-up, 21% (34 of 159) of patients in the </w:t>
      </w:r>
      <w:r w:rsidR="005B4882" w:rsidRPr="005B1A16">
        <w:rPr>
          <w:rFonts w:ascii="Book Antiqua" w:hAnsi="Book Antiqua"/>
          <w:color w:val="000000" w:themeColor="text1"/>
        </w:rPr>
        <w:lastRenderedPageBreak/>
        <w:t xml:space="preserve">adalimumab group </w:t>
      </w:r>
      <w:r w:rsidR="00085D82" w:rsidRPr="005B1A16">
        <w:rPr>
          <w:rFonts w:ascii="Book Antiqua" w:eastAsia="SimSun" w:hAnsi="Book Antiqua"/>
          <w:i/>
          <w:color w:val="000000" w:themeColor="text1"/>
          <w:lang w:eastAsia="zh-CN"/>
        </w:rPr>
        <w:t>vs</w:t>
      </w:r>
      <w:r w:rsidR="005B4882" w:rsidRPr="005B1A16">
        <w:rPr>
          <w:rFonts w:ascii="Book Antiqua" w:hAnsi="Book Antiqua"/>
          <w:color w:val="000000" w:themeColor="text1"/>
        </w:rPr>
        <w:t xml:space="preserve"> 7% (12 of 166) of those in the placebo group achieved</w:t>
      </w:r>
      <w:r w:rsidR="008075E2" w:rsidRPr="005B1A16">
        <w:rPr>
          <w:rFonts w:ascii="Book Antiqua" w:hAnsi="Book Antiqua"/>
          <w:color w:val="000000" w:themeColor="text1"/>
        </w:rPr>
        <w:t xml:space="preserve"> clinical</w:t>
      </w:r>
      <w:r w:rsidR="005B4882" w:rsidRPr="005B1A16">
        <w:rPr>
          <w:rFonts w:ascii="Book Antiqua" w:hAnsi="Book Antiqua"/>
          <w:color w:val="000000" w:themeColor="text1"/>
        </w:rPr>
        <w:t xml:space="preserve"> remission</w:t>
      </w:r>
      <w:r w:rsidR="00E62835" w:rsidRPr="005B1A16">
        <w:rPr>
          <w:rFonts w:ascii="Book Antiqua" w:hAnsi="Book Antiqua"/>
          <w:color w:val="000000" w:themeColor="text1"/>
        </w:rPr>
        <w:t>.</w:t>
      </w:r>
    </w:p>
    <w:p w14:paraId="5DC302F2" w14:textId="6B781363" w:rsidR="007C45A6" w:rsidRPr="005B1A16" w:rsidRDefault="00FC43E8" w:rsidP="005B1A16">
      <w:pPr>
        <w:spacing w:line="360" w:lineRule="auto"/>
        <w:ind w:firstLineChars="100" w:firstLine="240"/>
        <w:jc w:val="both"/>
        <w:rPr>
          <w:rFonts w:ascii="Book Antiqua" w:hAnsi="Book Antiqua"/>
          <w:color w:val="000000" w:themeColor="text1"/>
        </w:rPr>
      </w:pPr>
      <w:r w:rsidRPr="005B1A16">
        <w:rPr>
          <w:rFonts w:ascii="Book Antiqua" w:hAnsi="Book Antiqua"/>
          <w:color w:val="000000" w:themeColor="text1"/>
        </w:rPr>
        <w:t xml:space="preserve">The efficacy of adalimumab for maintenance therapy was evaluated in the CLASSIC-II and CHARM studies. CLASSIC-II </w:t>
      </w:r>
      <w:r w:rsidR="008075E2" w:rsidRPr="005B1A16">
        <w:rPr>
          <w:rFonts w:ascii="Book Antiqua" w:hAnsi="Book Antiqua"/>
          <w:color w:val="000000" w:themeColor="text1"/>
        </w:rPr>
        <w:t xml:space="preserve">followed up with </w:t>
      </w:r>
      <w:r w:rsidR="00411ADE" w:rsidRPr="005B1A16">
        <w:rPr>
          <w:rFonts w:ascii="Book Antiqua" w:hAnsi="Book Antiqua"/>
          <w:color w:val="000000" w:themeColor="text1"/>
        </w:rPr>
        <w:t xml:space="preserve">276 </w:t>
      </w:r>
      <w:r w:rsidR="008075E2" w:rsidRPr="005B1A16">
        <w:rPr>
          <w:rFonts w:ascii="Book Antiqua" w:hAnsi="Book Antiqua"/>
          <w:color w:val="000000" w:themeColor="text1"/>
        </w:rPr>
        <w:t xml:space="preserve">patients from the CLASSIC-I study </w:t>
      </w:r>
      <w:r w:rsidR="00907BB0" w:rsidRPr="005B1A16">
        <w:rPr>
          <w:rFonts w:ascii="Book Antiqua" w:hAnsi="Book Antiqua"/>
          <w:color w:val="000000" w:themeColor="text1"/>
        </w:rPr>
        <w:t xml:space="preserve">at 56 </w:t>
      </w:r>
      <w:r w:rsidR="003208B0" w:rsidRPr="005B1A16">
        <w:rPr>
          <w:rFonts w:ascii="Book Antiqua" w:eastAsia="SimSun" w:hAnsi="Book Antiqua"/>
          <w:color w:val="000000" w:themeColor="text1"/>
          <w:lang w:eastAsia="zh-CN"/>
        </w:rPr>
        <w:t>wk</w:t>
      </w:r>
      <w:r w:rsidR="00907BB0" w:rsidRPr="005B1A16">
        <w:rPr>
          <w:rFonts w:ascii="Book Antiqua" w:hAnsi="Book Antiqua"/>
          <w:color w:val="000000" w:themeColor="text1"/>
        </w:rPr>
        <w:t xml:space="preserve"> after randomizing patients to receive maintenance dosing or placebo. A greater proportion of patients receiving adalimumab </w:t>
      </w:r>
      <w:r w:rsidR="00E87386" w:rsidRPr="005B1A16">
        <w:rPr>
          <w:rFonts w:ascii="Book Antiqua" w:hAnsi="Book Antiqua"/>
          <w:color w:val="000000" w:themeColor="text1"/>
        </w:rPr>
        <w:t>40</w:t>
      </w:r>
      <w:r w:rsidR="00085D82" w:rsidRPr="005B1A16">
        <w:rPr>
          <w:rFonts w:ascii="Book Antiqua" w:eastAsia="SimSun" w:hAnsi="Book Antiqua"/>
          <w:color w:val="000000" w:themeColor="text1"/>
          <w:lang w:eastAsia="zh-CN"/>
        </w:rPr>
        <w:t xml:space="preserve"> </w:t>
      </w:r>
      <w:r w:rsidR="00E87386" w:rsidRPr="005B1A16">
        <w:rPr>
          <w:rFonts w:ascii="Book Antiqua" w:hAnsi="Book Antiqua"/>
          <w:color w:val="000000" w:themeColor="text1"/>
        </w:rPr>
        <w:t xml:space="preserve">mg SC </w:t>
      </w:r>
      <w:r w:rsidR="00907BB0" w:rsidRPr="005B1A16">
        <w:rPr>
          <w:rFonts w:ascii="Book Antiqua" w:hAnsi="Book Antiqua"/>
          <w:color w:val="000000" w:themeColor="text1"/>
        </w:rPr>
        <w:t xml:space="preserve">weekly or </w:t>
      </w:r>
      <w:r w:rsidR="00E87386" w:rsidRPr="005B1A16">
        <w:rPr>
          <w:rFonts w:ascii="Book Antiqua" w:hAnsi="Book Antiqua"/>
          <w:color w:val="000000" w:themeColor="text1"/>
        </w:rPr>
        <w:t xml:space="preserve">biweekly were in remission as compared to those receiving placebo (83% and 79% </w:t>
      </w:r>
      <w:r w:rsidR="00E87386" w:rsidRPr="005B1A16">
        <w:rPr>
          <w:rFonts w:ascii="Book Antiqua" w:hAnsi="Book Antiqua"/>
          <w:i/>
          <w:color w:val="000000" w:themeColor="text1"/>
        </w:rPr>
        <w:t>vs</w:t>
      </w:r>
      <w:r w:rsidR="00E87386" w:rsidRPr="005B1A16">
        <w:rPr>
          <w:rFonts w:ascii="Book Antiqua" w:hAnsi="Book Antiqua"/>
          <w:color w:val="000000" w:themeColor="text1"/>
        </w:rPr>
        <w:t xml:space="preserve"> 44%, respectively)</w:t>
      </w:r>
      <w:r w:rsidR="0048692B"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{"citationID":"a2cn8ejtmgk","properties":{"formattedCitation":"\\super [28]\\nosupersub{}","plainCitation":"[28]","noteIndex":0},"citationItems":[{"id":62,"uris":["http://zotero.org/users/4672422/items/VJEB3DR2"],"uri":["http://zotero.org/users/4672422/items/VJEB3DR2"],"itemData":{"id":62,"type":"article-journal","title":"Adalimumab for maintenance treatment of Crohn's disease: results of the CLASSIC II trial","container-title":"Gut","page":"1232-1239","volume":"56","issue":"9","source":"PubMed","abstract":"BACKGROUND: Adalimumab induced clinical remission after four weeks in patients with active Crohn's disease in the CLASSIC I trial.\nOBJECTIVE: To evaluate long term efficacy and safety of adalimumab maintenance therapy in Crohn's disease in a follow-on randomised controlled trial (CLASSIC II).\nMETHODS: In the preceding CLASSIC I trial, 299 patients with moderate to severe Crohn's disease naive to tumour necrosis factor antagonists received induction therapy with adalimumab 40 mg/20 mg, 80 mg/40 mg, or 160 mg/80 mg, or placebo, at weeks 0 and 2. In all, 276 patients from CLASSIC I enrolled in CLASSIC II and received open-label adalimumab 40 mg at weeks 0 (week 4 of CLASSIC I) and 2; 55 patients in remission at both weeks 0 and 4 were re-randomised to adalimumab 40 mg every other week, 40 mg weekly, or placebo for 56 weeks. Patients not in remission at both weeks 0 and 4 were enrolled in an open-label arm and received adalimumab 40 mg every other week. With non-response or flare, these patients could have their dosages increased to 40 mg weekly. Patients in the randomised arm with continued non-response or disease flare could switch to open-label adalimumab 40 mg every other week and again to 40 mg weekly. The primary end point was maintenance of remission (CDAI &lt;150) in randomised patients through week 56.\nRESULTS: Of 55 patients randomised at week 4, 79% who received adalimumab 40 mg every other week and 83% who received 40 mg weekly were in remission at week 56, v 44% for placebo (p&lt;0.05). In all, 204 patients entered the open-label arm. Of these, 93 (46%) were in clinical remission at week 56. Adalimumab was generally well-tolerated in all patients.\nCONCLUSIONS: Adalimumab induced and maintained clinical remission for up to 56 weeks in patients with moderate to severe Crohn's disease naive to anti-TNF treatment.","DOI":"10.1136/gut.2006.106781","ISSN":"0017-5749","note":"PMID: 17299059\nPMCID: PMC2701613","shortTitle":"Adalimumab for maintenance treatment of Crohn's disease","journalAbbreviation":"Gut","language":"eng","author":[{"family":"Sandborn","given":"W. J."},{"family":"Hanauer","given":"S. B."},{"family":"Rutgeerts","given":"P."},{"family":"Fedorak","given":"R. N."},{"family":"Lukas","given":"M."},{"family":"MacIntosh","given":"D. G."},{"family":"Panaccione","given":"R."},{"family":"Wolf","given":"D."},{"family":"Kent","given":"J. D."},{"family":"Bittle","given":"B."},{"family":"Li","given":"J."},{"family":"Pollack","given":"P. F."}],"issued":{"date-parts":[["2007",9]]}}}],"schema":"https://github.com/citation-style-language/schema/raw/master/csl-citation.json"} </w:instrText>
      </w:r>
      <w:r w:rsidR="0048692B"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[28]</w:t>
      </w:r>
      <w:r w:rsidR="0048692B" w:rsidRPr="005B1A16">
        <w:rPr>
          <w:rFonts w:ascii="Book Antiqua" w:hAnsi="Book Antiqua"/>
          <w:color w:val="000000" w:themeColor="text1"/>
        </w:rPr>
        <w:fldChar w:fldCharType="end"/>
      </w:r>
      <w:r w:rsidR="00E87386" w:rsidRPr="005B1A16">
        <w:rPr>
          <w:rFonts w:ascii="Book Antiqua" w:hAnsi="Book Antiqua"/>
          <w:color w:val="000000" w:themeColor="text1"/>
        </w:rPr>
        <w:t>. Additionally, although most patients responded to therapy within the first week, some patients only responded to therapy after week 12</w:t>
      </w:r>
      <w:r w:rsidR="007C45A6"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{"citationID":"a15k3fda471","properties":{"formattedCitation":"\\super [28]\\nosupersub{}","plainCitation":"[28]","noteIndex":0},"citationItems":[{"id":62,"uris":["http://zotero.org/users/4672422/items/VJEB3DR2"],"uri":["http://zotero.org/users/4672422/items/VJEB3DR2"],"itemData":{"id":62,"type":"article-journal","title":"Adalimumab for maintenance treatment of Crohn's disease: results of the CLASSIC II trial","container-title":"Gut","page":"1232-1239","volume":"56","issue":"9","source":"PubMed","abstract":"BACKGROUND: Adalimumab induced clinical remission after four weeks in patients with active Crohn's disease in the CLASSIC I trial.\nOBJECTIVE: To evaluate long term efficacy and safety of adalimumab maintenance therapy in Crohn's disease in a follow-on randomised controlled trial (CLASSIC II).\nMETHODS: In the preceding CLASSIC I trial, 299 patients with moderate to severe Crohn's disease naive to tumour necrosis factor antagonists received induction therapy with adalimumab 40 mg/20 mg, 80 mg/40 mg, or 160 mg/80 mg, or placebo, at weeks 0 and 2. In all, 276 patients from CLASSIC I enrolled in CLASSIC II and received open-label adalimumab 40 mg at weeks 0 (week 4 of CLASSIC I) and 2; 55 patients in remission at both weeks 0 and 4 were re-randomised to adalimumab 40 mg every other week, 40 mg weekly, or placebo for 56 weeks. Patients not in remission at both weeks 0 and 4 were enrolled in an open-label arm and received adalimumab 40 mg every other week. With non-response or flare, these patients could have their dosages increased to 40 mg weekly. Patients in the randomised arm with continued non-response or disease flare could switch to open-label adalimumab 40 mg every other week and again to 40 mg weekly. The primary end point was maintenance of remission (CDAI &lt;150) in randomised patients through week 56.\nRESULTS: Of 55 patients randomised at week 4, 79% who received adalimumab 40 mg every other week and 83% who received 40 mg weekly were in remission at week 56, v 44% for placebo (p&lt;0.05). In all, 204 patients entered the open-label arm. Of these, 93 (46%) were in clinical remission at week 56. Adalimumab was generally well-tolerated in all patients.\nCONCLUSIONS: Adalimumab induced and maintained clinical remission for up to 56 weeks in patients with moderate to severe Crohn's disease naive to anti-TNF treatment.","DOI":"10.1136/gut.2006.106781","ISSN":"0017-5749","note":"PMID: 17299059\nPMCID: PMC2701613","shortTitle":"Adalimumab for maintenance treatment of Crohn's disease","journalAbbreviation":"Gut","language":"eng","author":[{"family":"Sandborn","given":"W. J."},{"family":"Hanauer","given":"S. B."},{"family":"Rutgeerts","given":"P."},{"family":"Fedorak","given":"R. N."},{"family":"Lukas","given":"M."},{"family":"MacIntosh","given":"D. G."},{"family":"Panaccione","given":"R."},{"family":"Wolf","given":"D."},{"family":"Kent","given":"J. D."},{"family":"Bittle","given":"B."},{"family":"Li","given":"J."},{"family":"Pollack","given":"P. F."}],"issued":{"date-parts":[["2007",9]]}}}],"schema":"https://github.com/citation-style-language/schema/raw/master/csl-citation.json"} </w:instrText>
      </w:r>
      <w:r w:rsidR="007C45A6"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[28]</w:t>
      </w:r>
      <w:r w:rsidR="007C45A6" w:rsidRPr="005B1A16">
        <w:rPr>
          <w:rFonts w:ascii="Book Antiqua" w:hAnsi="Book Antiqua"/>
          <w:color w:val="000000" w:themeColor="text1"/>
        </w:rPr>
        <w:fldChar w:fldCharType="end"/>
      </w:r>
      <w:r w:rsidR="00E87386" w:rsidRPr="005B1A16">
        <w:rPr>
          <w:rFonts w:ascii="Book Antiqua" w:hAnsi="Book Antiqua"/>
          <w:color w:val="000000" w:themeColor="text1"/>
        </w:rPr>
        <w:t xml:space="preserve">. This suggests that an observational period may need to occur prior to modifying therapy in patients who do not respond to induction following 1 week. </w:t>
      </w:r>
      <w:r w:rsidR="008F4C64" w:rsidRPr="005B1A16">
        <w:rPr>
          <w:rFonts w:ascii="Book Antiqua" w:hAnsi="Book Antiqua"/>
          <w:color w:val="000000" w:themeColor="text1"/>
        </w:rPr>
        <w:t xml:space="preserve">In </w:t>
      </w:r>
      <w:r w:rsidR="00DC0417" w:rsidRPr="005B1A16">
        <w:rPr>
          <w:rFonts w:ascii="Book Antiqua" w:hAnsi="Book Antiqua"/>
          <w:color w:val="000000" w:themeColor="text1"/>
        </w:rPr>
        <w:t>the largest open-label study</w:t>
      </w:r>
      <w:r w:rsidR="008F4C64" w:rsidRPr="005B1A16">
        <w:rPr>
          <w:rFonts w:ascii="Book Antiqua" w:hAnsi="Book Antiqua"/>
          <w:color w:val="000000" w:themeColor="text1"/>
        </w:rPr>
        <w:t xml:space="preserve">, CHARM enrolled 854 patients in order </w:t>
      </w:r>
      <w:r w:rsidR="00DC0417" w:rsidRPr="005B1A16">
        <w:rPr>
          <w:rFonts w:ascii="Book Antiqua" w:hAnsi="Book Antiqua"/>
          <w:color w:val="000000" w:themeColor="text1"/>
        </w:rPr>
        <w:t xml:space="preserve">to evaluate the efficacy of adalimumab </w:t>
      </w:r>
      <w:r w:rsidR="00907DB5" w:rsidRPr="005B1A16">
        <w:rPr>
          <w:rFonts w:ascii="Book Antiqua" w:hAnsi="Book Antiqua"/>
          <w:color w:val="000000" w:themeColor="text1"/>
        </w:rPr>
        <w:t xml:space="preserve">for induction and maintenance </w:t>
      </w:r>
      <w:r w:rsidR="00DC0417" w:rsidRPr="005B1A16">
        <w:rPr>
          <w:rFonts w:ascii="Book Antiqua" w:hAnsi="Book Antiqua"/>
          <w:color w:val="000000" w:themeColor="text1"/>
        </w:rPr>
        <w:t xml:space="preserve">in </w:t>
      </w:r>
      <w:r w:rsidR="00907DB5" w:rsidRPr="005B1A16">
        <w:rPr>
          <w:rFonts w:ascii="Book Antiqua" w:hAnsi="Book Antiqua"/>
          <w:color w:val="000000" w:themeColor="text1"/>
        </w:rPr>
        <w:t xml:space="preserve">CD </w:t>
      </w:r>
      <w:r w:rsidR="00DC0417" w:rsidRPr="005B1A16">
        <w:rPr>
          <w:rFonts w:ascii="Book Antiqua" w:hAnsi="Book Antiqua"/>
          <w:color w:val="000000" w:themeColor="text1"/>
        </w:rPr>
        <w:t xml:space="preserve">patients not responding to </w:t>
      </w:r>
      <w:r w:rsidR="00907DB5" w:rsidRPr="005B1A16">
        <w:rPr>
          <w:rFonts w:ascii="Book Antiqua" w:hAnsi="Book Antiqua"/>
          <w:color w:val="000000" w:themeColor="text1"/>
        </w:rPr>
        <w:t>alternative immunosuppressive therapy, including those whom had failed infliximab</w:t>
      </w:r>
      <w:r w:rsidR="00D357F9"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{"citationID":"apsng3mojp","properties":{"formattedCitation":"\\super [29]\\nosupersub{}","plainCitation":"[29]","noteIndex":0},"citationItems":[{"id":69,"uris":["http://zotero.org/users/4672422/items/KPPG5HVR"],"uri":["http://zotero.org/users/4672422/items/KPPG5HVR"],"itemData":{"id":69,"type":"article-journal","title":"Adalimumab for maintenance of clinical response and remission in patients with Crohn's disease: the CHARM trial","container-title":"Gastroenterology","page":"52-65","volume":"132","issue":"1","source":"PubMed","abstract":"BACKGROUND &amp; AIMS: This study evaluated the efficacy and safety of adalimumab, a fully human, anti-tumor necrosis factor monoclonal antibody administered subcutaneously, in the maintenance of response and remission in patients with moderate to severe Crohn's disease (CD).\nMETHODS: Patients received open-label induction therapy with adalimumab 80 mg (week 0) followed by 40 mg (week 2). At week 4, patients were stratified by response (decrease in Crohn's Disease Activity Index &gt; or =70 points from baseline) and randomized to double-blind treatment with placebo, adalimumab 40 mg every other week (eow), or adalimumab 40 mg weekly through week 56. Co-primary end points were the percentages of randomized responders who achieved clinical remission (Crohn's Disease Activity Index score &lt;150) at weeks 26 and 56.\nRESULTS: The percentage of randomized responders in remission was significantly greater in the adalimumab 40-mg eow and 40-mg weekly groups versus placebo at week 26 (40%, 47%, and 17%, respectively; P &lt; .001) and week 56 (36%, 41%, and 12%, respectively; P &lt; .001). No significant differences in efficacy between adalimumab eow and weekly were observed. More patients receiving placebo discontinued treatment because of an adverse event (13.4%) than those receiving adalimumab (6.9% and 4.7% in the 40-mg eow and 40-mg weekly groups, respectively).\nCONCLUSIONS: Among patients who responded to adalimumab, both adalimumab eow and weekly were significantly more effective than placebo in maintaining remission in moderate to severe CD through 56 weeks. Adalimumab was well-tolerated, with a safety profile consistent with previous experience with the drug.","DOI":"10.1053/j.gastro.2006.11.041","ISSN":"0016-5085","note":"PMID: 17241859","shortTitle":"Adalimumab for maintenance of clinical response and remission in patients with Crohn's disease","journalAbbreviation":"Gastroenterology","language":"eng","author":[{"family":"Colombel","given":"Jean-Frédéric"},{"family":"Sandborn","given":"William J."},{"family":"Rutgeerts","given":"Paul"},{"family":"Enns","given":"Robert"},{"family":"Hanauer","given":"Stephen B."},{"family":"Panaccione","given":"Remo"},{"family":"Schreiber","given":"Stefan"},{"family":"Byczkowski","given":"Dan"},{"family":"Li","given":"Ju"},{"family":"Kent","given":"Jeffrey D."},{"family":"Pollack","given":"Paul F."}],"issued":{"date-parts":[["2007",1]]}}}],"schema":"https://github.com/citation-style-language/schema/raw/master/csl-citation.json"} </w:instrText>
      </w:r>
      <w:r w:rsidR="00D357F9"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[29]</w:t>
      </w:r>
      <w:r w:rsidR="00D357F9" w:rsidRPr="005B1A16">
        <w:rPr>
          <w:rFonts w:ascii="Book Antiqua" w:hAnsi="Book Antiqua"/>
          <w:color w:val="000000" w:themeColor="text1"/>
        </w:rPr>
        <w:fldChar w:fldCharType="end"/>
      </w:r>
      <w:r w:rsidR="00907DB5" w:rsidRPr="005B1A16">
        <w:rPr>
          <w:rFonts w:ascii="Book Antiqua" w:hAnsi="Book Antiqua"/>
          <w:color w:val="000000" w:themeColor="text1"/>
        </w:rPr>
        <w:t xml:space="preserve">. </w:t>
      </w:r>
      <w:r w:rsidR="00E00A21" w:rsidRPr="005B1A16">
        <w:rPr>
          <w:rFonts w:ascii="Book Antiqua" w:hAnsi="Book Antiqua"/>
          <w:color w:val="000000" w:themeColor="text1"/>
        </w:rPr>
        <w:t xml:space="preserve">Although the induction dose of adalimumab was half </w:t>
      </w:r>
      <w:r w:rsidR="002A693B" w:rsidRPr="005B1A16">
        <w:rPr>
          <w:rFonts w:ascii="Book Antiqua" w:hAnsi="Book Antiqua"/>
          <w:color w:val="000000" w:themeColor="text1"/>
        </w:rPr>
        <w:t xml:space="preserve">of </w:t>
      </w:r>
      <w:r w:rsidR="00E00A21" w:rsidRPr="005B1A16">
        <w:rPr>
          <w:rFonts w:ascii="Book Antiqua" w:hAnsi="Book Antiqua"/>
          <w:color w:val="000000" w:themeColor="text1"/>
        </w:rPr>
        <w:t xml:space="preserve">that provided in the CLASSIC trials, </w:t>
      </w:r>
      <w:r w:rsidR="004B17BC" w:rsidRPr="005B1A16">
        <w:rPr>
          <w:rFonts w:ascii="Book Antiqua" w:hAnsi="Book Antiqua"/>
          <w:color w:val="000000" w:themeColor="text1"/>
        </w:rPr>
        <w:t xml:space="preserve">the response rate was similar. </w:t>
      </w:r>
      <w:r w:rsidR="00CF7795" w:rsidRPr="005B1A16">
        <w:rPr>
          <w:rFonts w:ascii="Book Antiqua" w:hAnsi="Book Antiqua"/>
          <w:color w:val="000000" w:themeColor="text1"/>
        </w:rPr>
        <w:t xml:space="preserve">At week 56, biweekly and weekly dosing was equally effective at maintaining remission as compared to placebo </w:t>
      </w:r>
      <w:r w:rsidR="00CF7795" w:rsidRPr="005B1A16">
        <w:rPr>
          <w:rFonts w:ascii="Book Antiqua" w:hAnsi="Book Antiqua"/>
          <w:bCs/>
          <w:color w:val="000000" w:themeColor="text1"/>
        </w:rPr>
        <w:t xml:space="preserve">(36% and 41% </w:t>
      </w:r>
      <w:r w:rsidR="00CF7795" w:rsidRPr="005B1A16">
        <w:rPr>
          <w:rFonts w:ascii="Book Antiqua" w:hAnsi="Book Antiqua"/>
          <w:bCs/>
          <w:i/>
          <w:color w:val="000000" w:themeColor="text1"/>
        </w:rPr>
        <w:t>vs</w:t>
      </w:r>
      <w:r w:rsidR="00CF7795" w:rsidRPr="005B1A16">
        <w:rPr>
          <w:rFonts w:ascii="Book Antiqua" w:hAnsi="Book Antiqua"/>
          <w:bCs/>
          <w:color w:val="000000" w:themeColor="text1"/>
        </w:rPr>
        <w:t xml:space="preserve"> 12%, respectively). Of note, a greater proportion of patients </w:t>
      </w:r>
      <w:r w:rsidR="00B906BA" w:rsidRPr="005B1A16">
        <w:rPr>
          <w:rFonts w:ascii="Book Antiqua" w:hAnsi="Book Antiqua"/>
          <w:bCs/>
          <w:color w:val="000000" w:themeColor="text1"/>
        </w:rPr>
        <w:t>receiving placebo discontinued treatment due to adverse events as compared to those receiving adalimumab</w:t>
      </w:r>
      <w:r w:rsidR="00A43F63" w:rsidRPr="005B1A16">
        <w:rPr>
          <w:rFonts w:ascii="Book Antiqua" w:hAnsi="Book Antiqua"/>
          <w:bCs/>
          <w:color w:val="000000" w:themeColor="text1"/>
        </w:rPr>
        <w:fldChar w:fldCharType="begin"/>
      </w:r>
      <w:r w:rsidR="00B71AF0" w:rsidRPr="005B1A16">
        <w:rPr>
          <w:rFonts w:ascii="Book Antiqua" w:hAnsi="Book Antiqua"/>
          <w:bCs/>
          <w:color w:val="000000" w:themeColor="text1"/>
        </w:rPr>
        <w:instrText xml:space="preserve"> ADDIN ZOTERO_ITEM CSL_CITATION {"citationID":"agban589s7","properties":{"formattedCitation":"\\super [29]\\nosupersub{}","plainCitation":"[29]","noteIndex":0},"citationItems":[{"id":69,"uris":["http://zotero.org/users/4672422/items/KPPG5HVR"],"uri":["http://zotero.org/users/4672422/items/KPPG5HVR"],"itemData":{"id":69,"type":"article-journal","title":"Adalimumab for maintenance of clinical response and remission in patients with Crohn's disease: the CHARM trial","container-title":"Gastroenterology","page":"52-65","volume":"132","issue":"1","source":"PubMed","abstract":"BACKGROUND &amp; AIMS: This study evaluated the efficacy and safety of adalimumab, a fully human, anti-tumor necrosis factor monoclonal antibody administered subcutaneously, in the maintenance of response and remission in patients with moderate to severe Crohn's disease (CD).\nMETHODS: Patients received open-label induction therapy with adalimumab 80 mg (week 0) followed by 40 mg (week 2). At week 4, patients were stratified by response (decrease in Crohn's Disease Activity Index &gt; or =70 points from baseline) and randomized to double-blind treatment with placebo, adalimumab 40 mg every other week (eow), or adalimumab 40 mg weekly through week 56. Co-primary end points were the percentages of randomized responders who achieved clinical remission (Crohn's Disease Activity Index score &lt;150) at weeks 26 and 56.\nRESULTS: The percentage of randomized responders in remission was significantly greater in the adalimumab 40-mg eow and 40-mg weekly groups versus placebo at week 26 (40%, 47%, and 17%, respectively; P &lt; .001) and week 56 (36%, 41%, and 12%, respectively; P &lt; .001). No significant differences in efficacy between adalimumab eow and weekly were observed. More patients receiving placebo discontinued treatment because of an adverse event (13.4%) than those receiving adalimumab (6.9% and 4.7% in the 40-mg eow and 40-mg weekly groups, respectively).\nCONCLUSIONS: Among patients who responded to adalimumab, both adalimumab eow and weekly were significantly more effective than placebo in maintaining remission in moderate to severe CD through 56 weeks. Adalimumab was well-tolerated, with a safety profile consistent with previous experience with the drug.","DOI":"10.1053/j.gastro.2006.11.041","ISSN":"0016-5085","note":"PMID: 17241859","shortTitle":"Adalimumab for maintenance of clinical response and remission in patients with Crohn's disease","journalAbbreviation":"Gastroenterology","language":"eng","author":[{"family":"Colombel","given":"Jean-Frédéric"},{"family":"Sandborn","given":"William J."},{"family":"Rutgeerts","given":"Paul"},{"family":"Enns","given":"Robert"},{"family":"Hanauer","given":"Stephen B."},{"family":"Panaccione","given":"Remo"},{"family":"Schreiber","given":"Stefan"},{"family":"Byczkowski","given":"Dan"},{"family":"Li","given":"Ju"},{"family":"Kent","given":"Jeffrey D."},{"family":"Pollack","given":"Paul F."}],"issued":{"date-parts":[["2007",1]]}}}],"schema":"https://github.com/citation-style-language/schema/raw/master/csl-citation.json"} </w:instrText>
      </w:r>
      <w:r w:rsidR="00A43F63" w:rsidRPr="005B1A16">
        <w:rPr>
          <w:rFonts w:ascii="Book Antiqua" w:hAnsi="Book Antiqua"/>
          <w:bCs/>
          <w:color w:val="000000" w:themeColor="text1"/>
        </w:rPr>
        <w:fldChar w:fldCharType="separate"/>
      </w:r>
      <w:r w:rsidR="00B71AF0" w:rsidRPr="005B1A16">
        <w:rPr>
          <w:rFonts w:ascii="Book Antiqua" w:hAnsi="Book Antiqua"/>
          <w:color w:val="000000" w:themeColor="text1"/>
          <w:vertAlign w:val="superscript"/>
          <w:lang w:val="en-US"/>
        </w:rPr>
        <w:t>[29]</w:t>
      </w:r>
      <w:r w:rsidR="00A43F63" w:rsidRPr="005B1A16">
        <w:rPr>
          <w:rFonts w:ascii="Book Antiqua" w:hAnsi="Book Antiqua"/>
          <w:bCs/>
          <w:color w:val="000000" w:themeColor="text1"/>
        </w:rPr>
        <w:fldChar w:fldCharType="end"/>
      </w:r>
      <w:r w:rsidR="00B906BA" w:rsidRPr="005B1A16">
        <w:rPr>
          <w:rFonts w:ascii="Book Antiqua" w:hAnsi="Book Antiqua"/>
          <w:bCs/>
          <w:color w:val="000000" w:themeColor="text1"/>
        </w:rPr>
        <w:t xml:space="preserve">. This suggests the </w:t>
      </w:r>
      <w:r w:rsidR="00085D82" w:rsidRPr="005B1A16">
        <w:rPr>
          <w:rFonts w:ascii="Book Antiqua" w:hAnsi="Book Antiqua"/>
          <w:bCs/>
          <w:color w:val="000000" w:themeColor="text1"/>
        </w:rPr>
        <w:t>risks of complications associated with poorly controlled disease outweigh</w:t>
      </w:r>
      <w:r w:rsidR="00B906BA" w:rsidRPr="005B1A16">
        <w:rPr>
          <w:rFonts w:ascii="Book Antiqua" w:hAnsi="Book Antiqua"/>
          <w:bCs/>
          <w:color w:val="000000" w:themeColor="text1"/>
        </w:rPr>
        <w:t xml:space="preserve"> the risks associated with therapy.</w:t>
      </w:r>
      <w:r w:rsidR="006D2854" w:rsidRPr="005B1A16">
        <w:rPr>
          <w:rFonts w:ascii="Book Antiqua" w:hAnsi="Book Antiqua"/>
          <w:bCs/>
          <w:color w:val="000000" w:themeColor="text1"/>
        </w:rPr>
        <w:t xml:space="preserve"> </w:t>
      </w:r>
      <w:r w:rsidR="001919B8" w:rsidRPr="005B1A16">
        <w:rPr>
          <w:rFonts w:ascii="Book Antiqua" w:hAnsi="Book Antiqua"/>
          <w:color w:val="000000" w:themeColor="text1"/>
        </w:rPr>
        <w:t>To corroborate the findings from the previous studies demonstrating clinical remission, the EXTEND trial conducted in 2012</w:t>
      </w:r>
      <w:r w:rsidR="000F7493" w:rsidRPr="005B1A16">
        <w:rPr>
          <w:rFonts w:ascii="Book Antiqua" w:hAnsi="Book Antiqua"/>
          <w:color w:val="000000" w:themeColor="text1"/>
        </w:rPr>
        <w:t xml:space="preserve"> which involved</w:t>
      </w:r>
      <w:r w:rsidR="003340B6" w:rsidRPr="005B1A16">
        <w:rPr>
          <w:rFonts w:ascii="Book Antiqua" w:hAnsi="Book Antiqua"/>
          <w:color w:val="000000" w:themeColor="text1"/>
        </w:rPr>
        <w:t xml:space="preserve"> </w:t>
      </w:r>
      <w:r w:rsidR="000F7493" w:rsidRPr="005B1A16">
        <w:rPr>
          <w:rFonts w:ascii="Book Antiqua" w:hAnsi="Book Antiqua"/>
          <w:color w:val="000000" w:themeColor="text1"/>
        </w:rPr>
        <w:t xml:space="preserve">135 patients with moderate to severe ileocolonic CD </w:t>
      </w:r>
      <w:r w:rsidR="001919B8" w:rsidRPr="005B1A16">
        <w:rPr>
          <w:rFonts w:ascii="Book Antiqua" w:hAnsi="Book Antiqua"/>
          <w:color w:val="000000" w:themeColor="text1"/>
        </w:rPr>
        <w:t xml:space="preserve">demonstrated a trend towards mucosal healing </w:t>
      </w:r>
      <w:r w:rsidR="00932A6C" w:rsidRPr="005B1A16">
        <w:rPr>
          <w:rFonts w:ascii="Book Antiqua" w:hAnsi="Book Antiqua"/>
          <w:color w:val="000000" w:themeColor="text1"/>
        </w:rPr>
        <w:t xml:space="preserve">with </w:t>
      </w:r>
      <w:r w:rsidR="001E430D" w:rsidRPr="005B1A16">
        <w:rPr>
          <w:rFonts w:ascii="Book Antiqua" w:hAnsi="Book Antiqua"/>
          <w:color w:val="000000" w:themeColor="text1"/>
        </w:rPr>
        <w:t xml:space="preserve">adalimumab </w:t>
      </w:r>
      <w:r w:rsidR="001919B8" w:rsidRPr="005B1A16">
        <w:rPr>
          <w:rFonts w:ascii="Book Antiqua" w:hAnsi="Book Antiqua"/>
          <w:color w:val="000000" w:themeColor="text1"/>
        </w:rPr>
        <w:t>at week 12</w:t>
      </w:r>
      <w:r w:rsidR="001E430D" w:rsidRPr="005B1A16">
        <w:rPr>
          <w:rFonts w:ascii="Book Antiqua" w:hAnsi="Book Antiqua"/>
          <w:color w:val="000000" w:themeColor="text1"/>
        </w:rPr>
        <w:t xml:space="preserve"> as compared to placebo</w:t>
      </w:r>
      <w:r w:rsidR="001919B8" w:rsidRPr="005B1A16">
        <w:rPr>
          <w:rFonts w:ascii="Book Antiqua" w:hAnsi="Book Antiqua"/>
          <w:color w:val="000000" w:themeColor="text1"/>
        </w:rPr>
        <w:t xml:space="preserve"> (27% </w:t>
      </w:r>
      <w:r w:rsidR="001919B8" w:rsidRPr="005B1A16">
        <w:rPr>
          <w:rFonts w:ascii="Book Antiqua" w:hAnsi="Book Antiqua"/>
          <w:i/>
          <w:color w:val="000000" w:themeColor="text1"/>
        </w:rPr>
        <w:t>vs</w:t>
      </w:r>
      <w:r w:rsidR="001919B8" w:rsidRPr="005B1A16">
        <w:rPr>
          <w:rFonts w:ascii="Book Antiqua" w:hAnsi="Book Antiqua"/>
          <w:color w:val="000000" w:themeColor="text1"/>
        </w:rPr>
        <w:t xml:space="preserve"> </w:t>
      </w:r>
      <w:r w:rsidR="001E430D" w:rsidRPr="005B1A16">
        <w:rPr>
          <w:rFonts w:ascii="Book Antiqua" w:hAnsi="Book Antiqua"/>
          <w:color w:val="000000" w:themeColor="text1"/>
        </w:rPr>
        <w:t xml:space="preserve">13%, respectively) </w:t>
      </w:r>
      <w:r w:rsidR="000F7493" w:rsidRPr="005B1A16">
        <w:rPr>
          <w:rFonts w:ascii="Book Antiqua" w:hAnsi="Book Antiqua"/>
          <w:color w:val="000000" w:themeColor="text1"/>
        </w:rPr>
        <w:t xml:space="preserve">as well as </w:t>
      </w:r>
      <w:r w:rsidR="001E430D" w:rsidRPr="005B1A16">
        <w:rPr>
          <w:rFonts w:ascii="Book Antiqua" w:hAnsi="Book Antiqua"/>
          <w:color w:val="000000" w:themeColor="text1"/>
        </w:rPr>
        <w:t xml:space="preserve">a significant difference at week 52 (24% </w:t>
      </w:r>
      <w:r w:rsidR="001E430D" w:rsidRPr="005B1A16">
        <w:rPr>
          <w:rFonts w:ascii="Book Antiqua" w:hAnsi="Book Antiqua"/>
          <w:i/>
          <w:color w:val="000000" w:themeColor="text1"/>
        </w:rPr>
        <w:t>vs</w:t>
      </w:r>
      <w:r w:rsidR="001E430D" w:rsidRPr="005B1A16">
        <w:rPr>
          <w:rFonts w:ascii="Book Antiqua" w:hAnsi="Book Antiqua"/>
          <w:color w:val="000000" w:themeColor="text1"/>
        </w:rPr>
        <w:t xml:space="preserve"> 0, respectively (</w:t>
      </w:r>
      <w:r w:rsidR="001E430D" w:rsidRPr="005B1A16">
        <w:rPr>
          <w:rFonts w:ascii="Book Antiqua" w:hAnsi="Book Antiqua"/>
          <w:i/>
          <w:color w:val="000000" w:themeColor="text1"/>
        </w:rPr>
        <w:t>P</w:t>
      </w:r>
      <w:r w:rsidR="00F94FA1" w:rsidRPr="005B1A16">
        <w:rPr>
          <w:rFonts w:ascii="Book Antiqua" w:eastAsia="SimSun" w:hAnsi="Book Antiqua"/>
          <w:color w:val="000000" w:themeColor="text1"/>
          <w:lang w:eastAsia="zh-CN"/>
        </w:rPr>
        <w:t xml:space="preserve"> </w:t>
      </w:r>
      <w:r w:rsidR="001E430D" w:rsidRPr="005B1A16">
        <w:rPr>
          <w:rFonts w:ascii="Book Antiqua" w:hAnsi="Book Antiqua"/>
          <w:color w:val="000000" w:themeColor="text1"/>
        </w:rPr>
        <w:t>&lt;</w:t>
      </w:r>
      <w:r w:rsidR="00F94FA1" w:rsidRPr="005B1A16">
        <w:rPr>
          <w:rFonts w:ascii="Book Antiqua" w:eastAsia="SimSun" w:hAnsi="Book Antiqua"/>
          <w:color w:val="000000" w:themeColor="text1"/>
          <w:lang w:eastAsia="zh-CN"/>
        </w:rPr>
        <w:t xml:space="preserve"> 0</w:t>
      </w:r>
      <w:r w:rsidR="001E430D" w:rsidRPr="005B1A16">
        <w:rPr>
          <w:rFonts w:ascii="Book Antiqua" w:hAnsi="Book Antiqua"/>
          <w:color w:val="000000" w:themeColor="text1"/>
        </w:rPr>
        <w:t>.001))</w:t>
      </w:r>
      <w:r w:rsidR="00A43F63"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{"citationID":"a236rb3r4np","properties":{"formattedCitation":"\\super [30]\\nosupersub{}","plainCitation":"[30]","noteIndex":0},"citationItems":[{"id":71,"uris":["http://zotero.org/users/4672422/items/BRHIVEDZ"],"uri":["http://zotero.org/users/4672422/items/BRHIVEDZ"],"itemData":{"id":71,"type":"article-journal","title":"Adalimumab induces and maintains mucosal healing in patients with Crohn's disease: data from the EXTEND trial","container-title":"Gastroenterology","page":"1102-1111.e2","volume":"142","issue":"5","source":"PubMed","abstract":"BACKGROUND &amp; AIMS: We investigated the efficacy of adalimumab for inducing and maintaining mucosal healing in patients with Crohn's disease (CD).\nMETHODS: A randomized, double-blind, placebo-controlled trial (extend the safety and efficacy of adalimumab through endoscopic healing [EXTEND]) evaluated adalimumab for induction and maintenance of mucosal healing in 135 adults with moderate to severe ileocolonic CD. The baseline degree of mucosal ulceration was documented by ileocolonoscopy. All patients received induction therapy (subcutaneous adalimumab 160/80 mg at weeks 0/2). At week 4, patients were randomly assigned to groups given 40 mg adalimumab or placebo every other week through week 52. Open-label adalimumab was given to patients with flares or no response, starting at week 8. Mucosal healing was reassessed by ileocolonoscopy at weeks 12 and 52.\nRESULTS: Twenty-seven percent of patients receiving adalimumab had mucosal healing at week 12 (the primary end point) versus 13% given placebo (P = .056). At week 52, rates of mucosal healing were 24% and 0, respectively (P &lt; .001). Remission rates, based on the Crohn's Disease Endoscopic Index of Severity, were 52% for adalimumab and 28% for placebo at week 12 (P = .006) and 28% and 3%, respectively, at week 52 (P &lt; .001). Rates of clinical remission based on the Crohn's Disease Activity Index were greater among patients given continuous adalimumab therapy versus placebo at weeks 12 (47% vs 28%; P = .021) and 52 (33% vs 9%; P = .001). Five serious (1 during induction and 4 during open-label therapy) and 3 opportunistic infections (1 in each group during double-blind therapy and 1 during open-label therapy) were reported (n = 135).\nCONCLUSIONS: Following induction therapy with adalimumab, patients with moderately to severely active CD who continue to receive adalimumab are more likely to achieve mucosal healing than those given placebo.","DOI":"10.1053/j.gastro.2012.01.035","ISSN":"1528-0012","note":"PMID: 22326435","shortTitle":"Adalimumab induces and maintains mucosal healing in patients with Crohn's disease","journalAbbreviation":"Gastroenterology","language":"eng","author":[{"family":"Rutgeerts","given":"Paul"},{"family":"Van Assche","given":"Gert"},{"family":"Sandborn","given":"William J."},{"family":"Wolf","given":"Douglas C."},{"family":"Geboes","given":"Karel"},{"family":"Colombel","given":"Jean-Frédéric"},{"family":"Reinisch","given":"Walter"},{"literal":"EXTEND Investigators"},{"family":"Kumar","given":"Ashish"},{"family":"Lazar","given":"Andreas"},{"family":"Camez","given":"Anne"},{"family":"Lomax","given":"Kathleen G."},{"family":"Pollack","given":"Paul F."},{"family":"D'Haens","given":"Geert"}],"issued":{"date-parts":[["2012",5]]}}}],"schema":"https://github.com/citation-style-language/schema/raw/master/csl-citation.json"} </w:instrText>
      </w:r>
      <w:r w:rsidR="00A43F63"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[30]</w:t>
      </w:r>
      <w:r w:rsidR="00A43F63" w:rsidRPr="005B1A16">
        <w:rPr>
          <w:rFonts w:ascii="Book Antiqua" w:hAnsi="Book Antiqua"/>
          <w:color w:val="000000" w:themeColor="text1"/>
        </w:rPr>
        <w:fldChar w:fldCharType="end"/>
      </w:r>
      <w:r w:rsidR="001E430D" w:rsidRPr="005B1A16">
        <w:rPr>
          <w:rFonts w:ascii="Book Antiqua" w:hAnsi="Book Antiqua"/>
          <w:color w:val="000000" w:themeColor="text1"/>
        </w:rPr>
        <w:t xml:space="preserve">. </w:t>
      </w:r>
      <w:r w:rsidR="00932A6C" w:rsidRPr="005B1A16">
        <w:rPr>
          <w:rFonts w:ascii="Book Antiqua" w:hAnsi="Book Antiqua"/>
          <w:color w:val="000000" w:themeColor="text1"/>
        </w:rPr>
        <w:t xml:space="preserve">Again, this suggests 12 </w:t>
      </w:r>
      <w:r w:rsidR="00F94FA1" w:rsidRPr="005B1A16">
        <w:rPr>
          <w:rFonts w:ascii="Book Antiqua" w:eastAsia="SimSun" w:hAnsi="Book Antiqua"/>
          <w:color w:val="000000" w:themeColor="text1"/>
          <w:lang w:eastAsia="zh-CN"/>
        </w:rPr>
        <w:t>wk</w:t>
      </w:r>
      <w:r w:rsidR="00932A6C" w:rsidRPr="005B1A16">
        <w:rPr>
          <w:rFonts w:ascii="Book Antiqua" w:hAnsi="Book Antiqua"/>
          <w:color w:val="000000" w:themeColor="text1"/>
        </w:rPr>
        <w:t xml:space="preserve"> may not be sufficient in all patients to determine response to therapy.</w:t>
      </w:r>
    </w:p>
    <w:p w14:paraId="0371FF74" w14:textId="77777777" w:rsidR="00B44692" w:rsidRPr="005B1A16" w:rsidRDefault="00B44692" w:rsidP="005B1A16">
      <w:pPr>
        <w:spacing w:line="360" w:lineRule="auto"/>
        <w:jc w:val="both"/>
        <w:rPr>
          <w:rFonts w:ascii="Book Antiqua" w:hAnsi="Book Antiqua"/>
          <w:color w:val="000000" w:themeColor="text1"/>
        </w:rPr>
      </w:pPr>
    </w:p>
    <w:p w14:paraId="6F8B78D6" w14:textId="52674968" w:rsidR="00A857F6" w:rsidRPr="005B1A16" w:rsidRDefault="00CC674B" w:rsidP="005B1A16">
      <w:pPr>
        <w:spacing w:line="360" w:lineRule="auto"/>
        <w:jc w:val="both"/>
        <w:outlineLvl w:val="0"/>
        <w:rPr>
          <w:rFonts w:ascii="Book Antiqua" w:hAnsi="Book Antiqua"/>
          <w:color w:val="000000" w:themeColor="text1"/>
        </w:rPr>
      </w:pPr>
      <w:r w:rsidRPr="005B1A16">
        <w:rPr>
          <w:rFonts w:ascii="Book Antiqua" w:hAnsi="Book Antiqua"/>
          <w:b/>
          <w:color w:val="000000" w:themeColor="text1"/>
        </w:rPr>
        <w:t>Cer</w:t>
      </w:r>
      <w:r w:rsidR="00602803" w:rsidRPr="005B1A16">
        <w:rPr>
          <w:rFonts w:ascii="Book Antiqua" w:hAnsi="Book Antiqua"/>
          <w:b/>
          <w:color w:val="000000" w:themeColor="text1"/>
        </w:rPr>
        <w:t>tolizumab</w:t>
      </w:r>
      <w:r w:rsidR="00F94FA1" w:rsidRPr="005B1A16">
        <w:rPr>
          <w:rFonts w:ascii="Book Antiqua" w:eastAsia="SimSun" w:hAnsi="Book Antiqua"/>
          <w:b/>
          <w:color w:val="000000" w:themeColor="text1"/>
          <w:lang w:eastAsia="zh-CN"/>
        </w:rPr>
        <w:t xml:space="preserve">: </w:t>
      </w:r>
      <w:r w:rsidR="00602803" w:rsidRPr="005B1A16">
        <w:rPr>
          <w:rFonts w:ascii="Book Antiqua" w:hAnsi="Book Antiqua"/>
          <w:color w:val="000000" w:themeColor="text1"/>
        </w:rPr>
        <w:t xml:space="preserve">Certolizumab pegol is a </w:t>
      </w:r>
      <w:r w:rsidR="00320943" w:rsidRPr="005B1A16">
        <w:rPr>
          <w:rFonts w:ascii="Book Antiqua" w:hAnsi="Book Antiqua"/>
          <w:color w:val="000000" w:themeColor="text1"/>
        </w:rPr>
        <w:t xml:space="preserve">pegylated </w:t>
      </w:r>
      <w:r w:rsidR="00602803" w:rsidRPr="005B1A16">
        <w:rPr>
          <w:rFonts w:ascii="Book Antiqua" w:hAnsi="Book Antiqua"/>
          <w:color w:val="000000" w:themeColor="text1"/>
        </w:rPr>
        <w:t>humanized</w:t>
      </w:r>
      <w:r w:rsidR="00320943" w:rsidRPr="005B1A16">
        <w:rPr>
          <w:rFonts w:ascii="Book Antiqua" w:hAnsi="Book Antiqua"/>
          <w:color w:val="000000" w:themeColor="text1"/>
        </w:rPr>
        <w:t xml:space="preserve"> monoclonal antibody</w:t>
      </w:r>
      <w:r w:rsidR="00602803" w:rsidRPr="005B1A16">
        <w:rPr>
          <w:rFonts w:ascii="Book Antiqua" w:hAnsi="Book Antiqua"/>
          <w:color w:val="000000" w:themeColor="text1"/>
        </w:rPr>
        <w:t xml:space="preserve"> Fab' fragment </w:t>
      </w:r>
      <w:r w:rsidR="00320943" w:rsidRPr="005B1A16">
        <w:rPr>
          <w:rFonts w:ascii="Book Antiqua" w:hAnsi="Book Antiqua"/>
          <w:color w:val="000000" w:themeColor="text1"/>
        </w:rPr>
        <w:t xml:space="preserve">linked to polyethylene glycol </w:t>
      </w:r>
      <w:r w:rsidR="00602803" w:rsidRPr="005B1A16">
        <w:rPr>
          <w:rFonts w:ascii="Book Antiqua" w:hAnsi="Book Antiqua"/>
          <w:color w:val="000000" w:themeColor="text1"/>
        </w:rPr>
        <w:t xml:space="preserve">that </w:t>
      </w:r>
      <w:r w:rsidR="00A857F6" w:rsidRPr="005B1A16">
        <w:rPr>
          <w:rFonts w:ascii="Book Antiqua" w:hAnsi="Book Antiqua"/>
          <w:color w:val="000000" w:themeColor="text1"/>
        </w:rPr>
        <w:t>has a high affinity to</w:t>
      </w:r>
      <w:r w:rsidR="00602803" w:rsidRPr="005B1A16">
        <w:rPr>
          <w:rFonts w:ascii="Book Antiqua" w:hAnsi="Book Antiqua"/>
          <w:color w:val="000000" w:themeColor="text1"/>
        </w:rPr>
        <w:t xml:space="preserve"> tumor necrosis factor </w:t>
      </w:r>
      <w:r w:rsidR="00602803" w:rsidRPr="005B1A16">
        <w:rPr>
          <w:rFonts w:ascii="Book Antiqua" w:hAnsi="Book Antiqua"/>
          <w:color w:val="000000" w:themeColor="text1"/>
        </w:rPr>
        <w:lastRenderedPageBreak/>
        <w:t>alpha</w:t>
      </w:r>
      <w:r w:rsidR="00A43F63"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{"citationID":"a177t0epmue","properties":{"formattedCitation":"\\super [31]\\nosupersub{}","plainCitation":"[31]","noteIndex":0},"citationItems":[{"id":73,"uris":["http://zotero.org/users/4672422/items/QUENXH37"],"uri":["http://zotero.org/users/4672422/items/QUENXH37"],"itemData":{"id":73,"type":"article-journal","title":"Certolizumab pegol for the treatment of Crohn's disease","container-title":"The New England Journal of Medicine","page":"228-238","volume":"357","issue":"3","source":"PubMed","abstract":"BACKGROUND: Certolizumab pegol is a pegylated humanized Fab' fragment that binds tumor necrosis factor alpha.\nMETHODS: In a randomized, double-blind, placebo-controlled trial, we evaluated the efficacy of certolizumab pegol in 662 adults with moderate-to-severe Crohn's disease. Patients were stratified according to baseline levels of C-reactive protein (CRP) and were randomly assigned to receive either 400 mg of certolizumab pegol or placebo subcutaneously at weeks 0, 2, and 4 and then every 4 weeks. Primary end points were the induction of a response at week 6 and a response at both weeks 6 and 26.\nRESULTS: Among patients with a baseline CRP level of at least 10 mg per liter, 37% of patients in the certolizumab group had a response at week 6, as compared with 26% in the placebo group (P=0.04). At both weeks 6 and 26, the corresponding values were 22% and 12%, respectively (P=0.05). In the overall population, response rates at week 6 were 35% in the certolizumab group and 27% in the placebo group (P=0.02); at both weeks 6 and 26, the response rates were 23% and 16%, respectively (P=0.02). At weeks 6 and 26, the rates of remission in the two groups did not differ significantly (P=0.17). Serious adverse events were reported in 10% of patients in the certolizumab group and 7% of those in the placebo group; serious infections were reported in 2% and less than 1%, respectively. In the certolizumab group, antibodies to the drug developed in 8% of patients, and antinuclear antibodies developed in 2%.\nCONCLUSIONS: In patients with moderate-to-severe Crohn's disease, induction and maintenance therapy with certolizumab pegol was associated with a modest improvement in response rates, as compared with placebo, but with no significant improvement in remission rates. (ClinicalTrials.gov number, NCT00152490 [ClinicalTrials.gov].).","DOI":"10.1056/NEJMoa067594","ISSN":"1533-4406","note":"PMID: 17634458","journalAbbreviation":"N. Engl. J. Med.","language":"eng","author":[{"family":"Sandborn","given":"William J."},{"family":"Feagan","given":"Brian G."},{"family":"Stoinov","given":"Simeon"},{"family":"Honiball","given":"Pieter J."},{"family":"Rutgeerts","given":"Paul"},{"family":"Mason","given":"David"},{"family":"Bloomfield","given":"Ralph"},{"family":"Schreiber","given":"Stefan"},{"literal":"PRECISE 1 Study Investigators"}],"issued":{"date-parts":[["2007",7,19]]}}}],"schema":"https://github.com/citation-style-language/schema/raw/master/csl-citation.json"} </w:instrText>
      </w:r>
      <w:r w:rsidR="00A43F63"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[31]</w:t>
      </w:r>
      <w:r w:rsidR="00A43F63" w:rsidRPr="005B1A16">
        <w:rPr>
          <w:rFonts w:ascii="Book Antiqua" w:hAnsi="Book Antiqua"/>
          <w:color w:val="000000" w:themeColor="text1"/>
        </w:rPr>
        <w:fldChar w:fldCharType="end"/>
      </w:r>
      <w:r w:rsidR="00602803" w:rsidRPr="005B1A16">
        <w:rPr>
          <w:rFonts w:ascii="Book Antiqua" w:hAnsi="Book Antiqua"/>
          <w:color w:val="000000" w:themeColor="text1"/>
        </w:rPr>
        <w:t>.</w:t>
      </w:r>
      <w:r w:rsidR="00320943" w:rsidRPr="005B1A16">
        <w:rPr>
          <w:rFonts w:ascii="Book Antiqua" w:hAnsi="Book Antiqua"/>
          <w:color w:val="000000" w:themeColor="text1"/>
        </w:rPr>
        <w:t xml:space="preserve"> Certolizumab was proposed as a potential alternative to infliximab due to its ease of deliv</w:t>
      </w:r>
      <w:r w:rsidR="00A857F6" w:rsidRPr="005B1A16">
        <w:rPr>
          <w:rFonts w:ascii="Book Antiqua" w:hAnsi="Book Antiqua"/>
          <w:color w:val="000000" w:themeColor="text1"/>
        </w:rPr>
        <w:t xml:space="preserve">ery (SC as oppose to infusion) and longer half-life which may reduce the need for frequent dosing </w:t>
      </w:r>
      <w:r w:rsidR="00741E4D" w:rsidRPr="005B1A16">
        <w:rPr>
          <w:rFonts w:ascii="Book Antiqua" w:hAnsi="Book Antiqua"/>
          <w:color w:val="000000" w:themeColor="text1"/>
        </w:rPr>
        <w:t>and</w:t>
      </w:r>
      <w:r w:rsidR="00A857F6" w:rsidRPr="005B1A16">
        <w:rPr>
          <w:rFonts w:ascii="Book Antiqua" w:hAnsi="Book Antiqua"/>
          <w:color w:val="000000" w:themeColor="text1"/>
        </w:rPr>
        <w:t xml:space="preserve"> risk for immunogenicity, theoretically</w:t>
      </w:r>
      <w:r w:rsidR="00A27C27"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{"citationID":"a29cu8hdheg","properties":{"formattedCitation":"\\super [32,33]\\nosupersub{}","plainCitation":"[32,33]","noteIndex":0},"citationItems":[{"id":79,"uris":["http://zotero.org/users/4672422/items/QFVTZT8D"],"uri":["http://zotero.org/users/4672422/items/QFVTZT8D"],"itemData":{"id":79,"type":"article-journal","title":"Mechanism of action of certolizumab pegol (CDP870): in vitro comparison with other anti-tumor necrosis factor alpha agents","container-title":"Inflammatory Bowel Diseases","page":"1323-1332","volume":"13","issue":"11","source":"PubMed","abstract":"BACKGROUND: Inhibitors of tumor necrosis factor alpha (TNFalpha) have demonstrated significant efficacy in chronic inflammatory diseases, including Crohn's disease (CD). To further elucidate the mechanisms of action of these agents, we compared the anti-TNFalpha agents certolizumab pegol, infliximab, adalimumab, and etanercept in several in vitro systems.\nMETHODS: The ability of each anti-TNFalpha agent to neutralize soluble and membrane-bound TNFalpha; mediate cytotoxicity, affect apoptosis of activated human peripheral blood lymphocytes and monocytes; induce degranulation of human peripheral blood granulocytes, and modulate lipopolysaccharide (LPS)-induced interleukin (IL)-1beta production by human monocytes was measured in vitro.\nRESULTS: All 4 agents neutralized soluble TNFalpha and bound to and neutralized membrane TNFalpha. Infliximab and adalimumab were comparable in their ability to mediate complement-dependent cytotoxicity and antibody-dependent cell-mediated cytotoxicity, and to increase the proportion of cells undergoing apoptosis and the level of granulocyte degranulation. Etanercept generally mediated these effects to a lesser degree, while certolizumab pegol gave similar results to the control reagents. LPS-induced IL-1beta production was inhibited by certolizumab pegol, infliximab, and adalimumab, but only partially inhibited by etanercept.\nCONCLUSIONS: In contrast to the other anti-TNFalpha agents tested, certolizumab pegol did not mediate increased levels of apoptosis in any of the in vitro assays used, suggesting that these mechanisms are not essential for the efficacy of anti-TNFalpha agents in CD. As certolizumab pegol, infliximab, and adalimumab, but not etanercept, almost completely inhibited LPS-induced IL-1beta release from monocytes, inhibition of cytokine production may be important for efficacy of anti-TNFalpha agents in CD.","DOI":"10.1002/ibd.20225","ISSN":"1078-0998","note":"PMID: 17636564","shortTitle":"Mechanism of action of certolizumab pegol (CDP870)","journalAbbreviation":"Inflamm. Bowel Dis.","language":"eng","author":[{"family":"Nesbitt","given":"Andrew"},{"family":"Fossati","given":"Gianluca"},{"family":"Bergin","given":"Marianne"},{"family":"Stephens","given":"Paul"},{"family":"Stephens","given":"Sue"},{"family":"Foulkes","given":"Roly"},{"family":"Brown","given":"Derek"},{"family":"Robinson","given":"Martyn"},{"family":"Bourne","given":"Tim"}],"issued":{"date-parts":[["2007",11]]}}},{"id":75,"uris":["http://zotero.org/users/4672422/items/UM8NP3CU"],"uri":["http://zotero.org/users/4672422/items/UM8NP3CU"],"itemData":{"id":75,"type":"article-journal","title":"A randomized, placebo-controlled trial of certolizumab pegol (CDP870) for treatment of Crohn's disease","container-title":"Gastroenterology","page":"807-818","volume":"129","issue":"3","source":"PubMed","abstract":"BACKGROUND &amp; AIMS: To investigate the efficacy and safety of certolizumab pegol (a polyethylene-glycolated Fab' fragment of anti-tumor necrosis factor, CDP870) in Crohn's disease.\nMETHODS: In a placebo-controlled, phase II study, 292 patients with moderate to severe Crohn's disease received subcutaneous certolizumab 100, 200, or 400 mg or placebo at weeks 0, 4, and 8. The primary end point was the percentage of patients with a clinical response at week 12 (a Crohn's Disease Activity Index decrease of &gt; or = 100 points or remission [Crohn's Disease Activity Index &lt; or = 150 points]) in the intent-to-treat population.\nRESULTS: All certolizumab doses produced significant clinical benefit over placebo at week 2 (placebo, 15.1%; certolizumab 100 mg, 29.7% [P = .033]; 200 mg, 30.6% [P = .026]; 400 mg, 33.3% [P = .010]). At all time points, the clinical response rates were highest for certolizumab 400 mg, greatest at week 10 (certolizumab 400 mg, 52.8%; placebo, 30.1%; P = .006) but not significant at week 12 (certolizumab 400 mg, 44.4%; placebo, 35.6%; P = .278). Patients with baseline C-reactive protein levels of 10 mg/L or greater (n = 119) showed clearer separation between active treatment and placebo (week 12 clinical response: certolizumab 400 mg, 53.1%; placebo, 17.9%; P = .005; post hoc analysis) owing to a lower placebo response rate than patients with C-reactive protein levels of less than 10 mg/L. Adverse events were similar among groups.\nCONCLUSIONS: Certolizumab 400 mg may be effective and is well tolerated in patients with active Crohn's disease. High placebo response rates in the large patient subgroup with low C-reactive protein levels may have obscured statistical separation between certolizumab and placebo. Ongoing phase III trials are necessary to establish the clinical efficacy of certolizumab.","DOI":"10.1053/j.gastro.2005.06.064","ISSN":"0016-5085","note":"PMID: 16143120","journalAbbreviation":"Gastroenterology","language":"eng","author":[{"family":"Schreiber","given":"Stefan"},{"family":"Rutgeerts","given":"Paul"},{"family":"Fedorak","given":"Richard N."},{"family":"Khaliq-Kareemi","given":"Munaa"},{"family":"Kamm","given":"Michael A."},{"family":"Boivin","given":"Michel"},{"family":"Bernstein","given":"Charles N."},{"family":"Staun","given":"Michael"},{"family":"Thomsen","given":"Ole Østergaard"},{"family":"Innes","given":"Alison"},{"literal":"CDP870 Crohn's Disease Study Group"}],"issued":{"date-parts":[["2005",9]]}}}],"schema":"https://github.com/citation-style-language/schema/raw/master/csl-citation.json"} </w:instrText>
      </w:r>
      <w:r w:rsidR="00A27C27"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[32,33]</w:t>
      </w:r>
      <w:r w:rsidR="00A27C27" w:rsidRPr="005B1A16">
        <w:rPr>
          <w:rFonts w:ascii="Book Antiqua" w:hAnsi="Book Antiqua"/>
          <w:color w:val="000000" w:themeColor="text1"/>
        </w:rPr>
        <w:fldChar w:fldCharType="end"/>
      </w:r>
      <w:r w:rsidR="00A857F6" w:rsidRPr="005B1A16">
        <w:rPr>
          <w:rFonts w:ascii="Book Antiqua" w:hAnsi="Book Antiqua"/>
          <w:color w:val="000000" w:themeColor="text1"/>
        </w:rPr>
        <w:t xml:space="preserve">. </w:t>
      </w:r>
      <w:r w:rsidR="006F7AA5" w:rsidRPr="005B1A16">
        <w:rPr>
          <w:rFonts w:ascii="Book Antiqua" w:hAnsi="Book Antiqua"/>
          <w:color w:val="000000" w:themeColor="text1"/>
        </w:rPr>
        <w:t xml:space="preserve">The risks for side effects were presumed to be lower due to the lack of an Fc region </w:t>
      </w:r>
      <w:r w:rsidR="00930951" w:rsidRPr="005B1A16">
        <w:rPr>
          <w:rFonts w:ascii="Book Antiqua" w:hAnsi="Book Antiqua"/>
          <w:color w:val="000000" w:themeColor="text1"/>
        </w:rPr>
        <w:t xml:space="preserve">which would be responsible for activating the </w:t>
      </w:r>
      <w:r w:rsidR="006F7AA5" w:rsidRPr="005B1A16">
        <w:rPr>
          <w:rFonts w:ascii="Book Antiqua" w:hAnsi="Book Antiqua"/>
          <w:color w:val="000000" w:themeColor="text1"/>
        </w:rPr>
        <w:t xml:space="preserve">compliment pathway </w:t>
      </w:r>
      <w:r w:rsidR="00930951" w:rsidRPr="005B1A16">
        <w:rPr>
          <w:rFonts w:ascii="Book Antiqua" w:hAnsi="Book Antiqua"/>
          <w:color w:val="000000" w:themeColor="text1"/>
        </w:rPr>
        <w:t xml:space="preserve">leading to </w:t>
      </w:r>
      <w:r w:rsidR="006F7AA5" w:rsidRPr="005B1A16">
        <w:rPr>
          <w:rFonts w:ascii="Book Antiqua" w:hAnsi="Book Antiqua"/>
          <w:color w:val="000000" w:themeColor="text1"/>
        </w:rPr>
        <w:t>cellular apoptosis</w:t>
      </w:r>
      <w:r w:rsidR="00A27C27"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{"citationID":"ajouvvghf8","properties":{"formattedCitation":"\\super [32,33]\\nosupersub{}","plainCitation":"[32,33]","noteIndex":0},"citationItems":[{"id":79,"uris":["http://zotero.org/users/4672422/items/QFVTZT8D"],"uri":["http://zotero.org/users/4672422/items/QFVTZT8D"],"itemData":{"id":79,"type":"article-journal","title":"Mechanism of action of certolizumab pegol (CDP870): in vitro comparison with other anti-tumor necrosis factor alpha agents","container-title":"Inflammatory Bowel Diseases","page":"1323-1332","volume":"13","issue":"11","source":"PubMed","abstract":"BACKGROUND: Inhibitors of tumor necrosis factor alpha (TNFalpha) have demonstrated significant efficacy in chronic inflammatory diseases, including Crohn's disease (CD). To further elucidate the mechanisms of action of these agents, we compared the anti-TNFalpha agents certolizumab pegol, infliximab, adalimumab, and etanercept in several in vitro systems.\nMETHODS: The ability of each anti-TNFalpha agent to neutralize soluble and membrane-bound TNFalpha; mediate cytotoxicity, affect apoptosis of activated human peripheral blood lymphocytes and monocytes; induce degranulation of human peripheral blood granulocytes, and modulate lipopolysaccharide (LPS)-induced interleukin (IL)-1beta production by human monocytes was measured in vitro.\nRESULTS: All 4 agents neutralized soluble TNFalpha and bound to and neutralized membrane TNFalpha. Infliximab and adalimumab were comparable in their ability to mediate complement-dependent cytotoxicity and antibody-dependent cell-mediated cytotoxicity, and to increase the proportion of cells undergoing apoptosis and the level of granulocyte degranulation. Etanercept generally mediated these effects to a lesser degree, while certolizumab pegol gave similar results to the control reagents. LPS-induced IL-1beta production was inhibited by certolizumab pegol, infliximab, and adalimumab, but only partially inhibited by etanercept.\nCONCLUSIONS: In contrast to the other anti-TNFalpha agents tested, certolizumab pegol did not mediate increased levels of apoptosis in any of the in vitro assays used, suggesting that these mechanisms are not essential for the efficacy of anti-TNFalpha agents in CD. As certolizumab pegol, infliximab, and adalimumab, but not etanercept, almost completely inhibited LPS-induced IL-1beta release from monocytes, inhibition of cytokine production may be important for efficacy of anti-TNFalpha agents in CD.","DOI":"10.1002/ibd.20225","ISSN":"1078-0998","note":"PMID: 17636564","shortTitle":"Mechanism of action of certolizumab pegol (CDP870)","journalAbbreviation":"Inflamm. Bowel Dis.","language":"eng","author":[{"family":"Nesbitt","given":"Andrew"},{"family":"Fossati","given":"Gianluca"},{"family":"Bergin","given":"Marianne"},{"family":"Stephens","given":"Paul"},{"family":"Stephens","given":"Sue"},{"family":"Foulkes","given":"Roly"},{"family":"Brown","given":"Derek"},{"family":"Robinson","given":"Martyn"},{"family":"Bourne","given":"Tim"}],"issued":{"date-parts":[["2007",11]]}}},{"id":75,"uris":["http://zotero.org/users/4672422/items/UM8NP3CU"],"uri":["http://zotero.org/users/4672422/items/UM8NP3CU"],"itemData":{"id":75,"type":"article-journal","title":"A randomized, placebo-controlled trial of certolizumab pegol (CDP870) for treatment of Crohn's disease","container-title":"Gastroenterology","page":"807-818","volume":"129","issue":"3","source":"PubMed","abstract":"BACKGROUND &amp; AIMS: To investigate the efficacy and safety of certolizumab pegol (a polyethylene-glycolated Fab' fragment of anti-tumor necrosis factor, CDP870) in Crohn's disease.\nMETHODS: In a placebo-controlled, phase II study, 292 patients with moderate to severe Crohn's disease received subcutaneous certolizumab 100, 200, or 400 mg or placebo at weeks 0, 4, and 8. The primary end point was the percentage of patients with a clinical response at week 12 (a Crohn's Disease Activity Index decrease of &gt; or = 100 points or remission [Crohn's Disease Activity Index &lt; or = 150 points]) in the intent-to-treat population.\nRESULTS: All certolizumab doses produced significant clinical benefit over placebo at week 2 (placebo, 15.1%; certolizumab 100 mg, 29.7% [P = .033]; 200 mg, 30.6% [P = .026]; 400 mg, 33.3% [P = .010]). At all time points, the clinical response rates were highest for certolizumab 400 mg, greatest at week 10 (certolizumab 400 mg, 52.8%; placebo, 30.1%; P = .006) but not significant at week 12 (certolizumab 400 mg, 44.4%; placebo, 35.6%; P = .278). Patients with baseline C-reactive protein levels of 10 mg/L or greater (n = 119) showed clearer separation between active treatment and placebo (week 12 clinical response: certolizumab 400 mg, 53.1%; placebo, 17.9%; P = .005; post hoc analysis) owing to a lower placebo response rate than patients with C-reactive protein levels of less than 10 mg/L. Adverse events were similar among groups.\nCONCLUSIONS: Certolizumab 400 mg may be effective and is well tolerated in patients with active Crohn's disease. High placebo response rates in the large patient subgroup with low C-reactive protein levels may have obscured statistical separation between certolizumab and placebo. Ongoing phase III trials are necessary to establish the clinical efficacy of certolizumab.","DOI":"10.1053/j.gastro.2005.06.064","ISSN":"0016-5085","note":"PMID: 16143120","journalAbbreviation":"Gastroenterology","language":"eng","author":[{"family":"Schreiber","given":"Stefan"},{"family":"Rutgeerts","given":"Paul"},{"family":"Fedorak","given":"Richard N."},{"family":"Khaliq-Kareemi","given":"Munaa"},{"family":"Kamm","given":"Michael A."},{"family":"Boivin","given":"Michel"},{"family":"Bernstein","given":"Charles N."},{"family":"Staun","given":"Michael"},{"family":"Thomsen","given":"Ole Østergaard"},{"family":"Innes","given":"Alison"},{"literal":"CDP870 Crohn's Disease Study Group"}],"issued":{"date-parts":[["2005",9]]}}}],"schema":"https://github.com/citation-style-language/schema/raw/master/csl-citation.json"} </w:instrText>
      </w:r>
      <w:r w:rsidR="00A27C27"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[32,33]</w:t>
      </w:r>
      <w:r w:rsidR="00A27C27" w:rsidRPr="005B1A16">
        <w:rPr>
          <w:rFonts w:ascii="Book Antiqua" w:hAnsi="Book Antiqua"/>
          <w:color w:val="000000" w:themeColor="text1"/>
        </w:rPr>
        <w:fldChar w:fldCharType="end"/>
      </w:r>
      <w:r w:rsidR="006F7AA5" w:rsidRPr="005B1A16">
        <w:rPr>
          <w:rFonts w:ascii="Book Antiqua" w:hAnsi="Book Antiqua"/>
          <w:color w:val="000000" w:themeColor="text1"/>
        </w:rPr>
        <w:t xml:space="preserve">. </w:t>
      </w:r>
      <w:r w:rsidR="00A27C27" w:rsidRPr="005B1A16">
        <w:rPr>
          <w:rFonts w:ascii="Book Antiqua" w:hAnsi="Book Antiqua"/>
          <w:color w:val="000000" w:themeColor="text1"/>
        </w:rPr>
        <w:t>The largest</w:t>
      </w:r>
      <w:r w:rsidR="008617BA" w:rsidRPr="005B1A16">
        <w:rPr>
          <w:rFonts w:ascii="Book Antiqua" w:hAnsi="Book Antiqua"/>
          <w:color w:val="000000" w:themeColor="text1"/>
        </w:rPr>
        <w:t xml:space="preserve"> phase II trial in 2005 by Schreiber </w:t>
      </w:r>
      <w:r w:rsidR="008617BA" w:rsidRPr="005B1A16">
        <w:rPr>
          <w:rFonts w:ascii="Book Antiqua" w:hAnsi="Book Antiqua"/>
          <w:i/>
          <w:color w:val="000000" w:themeColor="text1"/>
        </w:rPr>
        <w:t>et al</w:t>
      </w:r>
      <w:r w:rsidR="00F94FA1" w:rsidRPr="005B1A16">
        <w:rPr>
          <w:rFonts w:ascii="Book Antiqua" w:hAnsi="Book Antiqua"/>
          <w:color w:val="000000" w:themeColor="text1"/>
        </w:rPr>
        <w:fldChar w:fldCharType="begin"/>
      </w:r>
      <w:r w:rsidR="00F94FA1" w:rsidRPr="005B1A16">
        <w:rPr>
          <w:rFonts w:ascii="Book Antiqua" w:hAnsi="Book Antiqua"/>
          <w:color w:val="000000" w:themeColor="text1"/>
        </w:rPr>
        <w:instrText xml:space="preserve"> ADDIN ZOTERO_ITEM CSL_CITATION {"citationID":"a1i23vj0vug","properties":{"formattedCitation":"\\super [33]\\nosupersub{}","plainCitation":"[33]","noteIndex":0},"citationItems":[{"id":75,"uris":["http://zotero.org/users/4672422/items/UM8NP3CU"],"uri":["http://zotero.org/users/4672422/items/UM8NP3CU"],"itemData":{"id":75,"type":"article-journal","title":"A randomized, placebo-controlled trial of certolizumab pegol (CDP870) for treatment of Crohn's disease","container-title":"Gastroenterology","page":"807-818","volume":"129","issue":"3","source":"PubMed","abstract":"BACKGROUND &amp; AIMS: To investigate the efficacy and safety of certolizumab pegol (a polyethylene-glycolated Fab' fragment of anti-tumor necrosis factor, CDP870) in Crohn's disease.\nMETHODS: In a placebo-controlled, phase II study, 292 patients with moderate to severe Crohn's disease received subcutaneous certolizumab 100, 200, or 400 mg or placebo at weeks 0, 4, and 8. The primary end point was the percentage of patients with a clinical response at week 12 (a Crohn's Disease Activity Index decrease of &gt; or = 100 points or remission [Crohn's Disease Activity Index &lt; or = 150 points]) in the intent-to-treat population.\nRESULTS: All certolizumab doses produced significant clinical benefit over placebo at week 2 (placebo, 15.1%; certolizumab 100 mg, 29.7% [P = .033]; 200 mg, 30.6% [P = .026]; 400 mg, 33.3% [P = .010]). At all time points, the clinical response rates were highest for certolizumab 400 mg, greatest at week 10 (certolizumab 400 mg, 52.8%; placebo, 30.1%; P = .006) but not significant at week 12 (certolizumab 400 mg, 44.4%; placebo, 35.6%; P = .278). Patients with baseline C-reactive protein levels of 10 mg/L or greater (n = 119) showed clearer separation between active treatment and placebo (week 12 clinical response: certolizumab 400 mg, 53.1%; placebo, 17.9%; P = .005; post hoc analysis) owing to a lower placebo response rate than patients with C-reactive protein levels of less than 10 mg/L. Adverse events were similar among groups.\nCONCLUSIONS: Certolizumab 400 mg may be effective and is well tolerated in patients with active Crohn's disease. High placebo response rates in the large patient subgroup with low C-reactive protein levels may have obscured statistical separation between certolizumab and placebo. Ongoing phase III trials are necessary to establish the clinical efficacy of certolizumab.","DOI":"10.1053/j.gastro.2005.06.064","ISSN":"0016-5085","note":"PMID: 16143120","journalAbbreviation":"Gastroenterology","language":"eng","author":[{"family":"Schreiber","given":"Stefan"},{"family":"Rutgeerts","given":"Paul"},{"family":"Fedorak","given":"Richard N."},{"family":"Khaliq-Kareemi","given":"Munaa"},{"family":"Kamm","given":"Michael A."},{"family":"Boivin","given":"Michel"},{"family":"Bernstein","given":"Charles N."},{"family":"Staun","given":"Michael"},{"family":"Thomsen","given":"Ole Østergaard"},{"family":"Innes","given":"Alison"},{"literal":"CDP870 Crohn's Disease Study Group"}],"issued":{"date-parts":[["2005",9]]}}}],"schema":"https://github.com/citation-style-language/schema/raw/master/csl-citation.json"} </w:instrText>
      </w:r>
      <w:r w:rsidR="00F94FA1" w:rsidRPr="005B1A16">
        <w:rPr>
          <w:rFonts w:ascii="Book Antiqua" w:hAnsi="Book Antiqua"/>
          <w:color w:val="000000" w:themeColor="text1"/>
        </w:rPr>
        <w:fldChar w:fldCharType="separate"/>
      </w:r>
      <w:r w:rsidR="00F94FA1" w:rsidRPr="005B1A16">
        <w:rPr>
          <w:rFonts w:ascii="Book Antiqua" w:hAnsi="Book Antiqua"/>
          <w:color w:val="000000" w:themeColor="text1"/>
          <w:vertAlign w:val="superscript"/>
          <w:lang w:val="en-US"/>
        </w:rPr>
        <w:t>[33]</w:t>
      </w:r>
      <w:r w:rsidR="00F94FA1" w:rsidRPr="005B1A16">
        <w:rPr>
          <w:rFonts w:ascii="Book Antiqua" w:hAnsi="Book Antiqua"/>
          <w:color w:val="000000" w:themeColor="text1"/>
        </w:rPr>
        <w:fldChar w:fldCharType="end"/>
      </w:r>
      <w:r w:rsidR="008617BA" w:rsidRPr="005B1A16">
        <w:rPr>
          <w:rFonts w:ascii="Book Antiqua" w:hAnsi="Book Antiqua"/>
          <w:color w:val="000000" w:themeColor="text1"/>
        </w:rPr>
        <w:t xml:space="preserve"> in 292 patients with moderate to severe CD demonstrated a significant dose-response </w:t>
      </w:r>
      <w:r w:rsidR="00930951" w:rsidRPr="005B1A16">
        <w:rPr>
          <w:rFonts w:ascii="Book Antiqua" w:hAnsi="Book Antiqua"/>
          <w:color w:val="000000" w:themeColor="text1"/>
        </w:rPr>
        <w:t xml:space="preserve">relationship with </w:t>
      </w:r>
      <w:r w:rsidR="008617BA" w:rsidRPr="005B1A16">
        <w:rPr>
          <w:rFonts w:ascii="Book Antiqua" w:hAnsi="Book Antiqua"/>
          <w:color w:val="000000" w:themeColor="text1"/>
        </w:rPr>
        <w:t xml:space="preserve">clinical benefit </w:t>
      </w:r>
      <w:r w:rsidR="00930951" w:rsidRPr="005B1A16">
        <w:rPr>
          <w:rFonts w:ascii="Book Antiqua" w:hAnsi="Book Antiqua"/>
          <w:color w:val="000000" w:themeColor="text1"/>
        </w:rPr>
        <w:t xml:space="preserve">demonstrated </w:t>
      </w:r>
      <w:r w:rsidR="008617BA" w:rsidRPr="005B1A16">
        <w:rPr>
          <w:rFonts w:ascii="Book Antiqua" w:hAnsi="Book Antiqua"/>
          <w:color w:val="000000" w:themeColor="text1"/>
        </w:rPr>
        <w:t xml:space="preserve">up until week 10, then lost significance at week 12 </w:t>
      </w:r>
      <w:r w:rsidR="006F6596" w:rsidRPr="005B1A16">
        <w:rPr>
          <w:rFonts w:ascii="Book Antiqua" w:hAnsi="Book Antiqua"/>
          <w:color w:val="000000" w:themeColor="text1"/>
        </w:rPr>
        <w:t>which was presumed to be secondary to greater placebo rates in patients with lower CRP values</w:t>
      </w:r>
      <w:r w:rsidR="00A27C27"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{"citationID":"a1i23vj0vug","properties":{"formattedCitation":"\\super [33]\\nosupersub{}","plainCitation":"[33]","noteIndex":0},"citationItems":[{"id":75,"uris":["http://zotero.org/users/4672422/items/UM8NP3CU"],"uri":["http://zotero.org/users/4672422/items/UM8NP3CU"],"itemData":{"id":75,"type":"article-journal","title":"A randomized, placebo-controlled trial of certolizumab pegol (CDP870) for treatment of Crohn's disease","container-title":"Gastroenterology","page":"807-818","volume":"129","issue":"3","source":"PubMed","abstract":"BACKGROUND &amp; AIMS: To investigate the efficacy and safety of certolizumab pegol (a polyethylene-glycolated Fab' fragment of anti-tumor necrosis factor, CDP870) in Crohn's disease.\nMETHODS: In a placebo-controlled, phase II study, 292 patients with moderate to severe Crohn's disease received subcutaneous certolizumab 100, 200, or 400 mg or placebo at weeks 0, 4, and 8. The primary end point was the percentage of patients with a clinical response at week 12 (a Crohn's Disease Activity Index decrease of &gt; or = 100 points or remission [Crohn's Disease Activity Index &lt; or = 150 points]) in the intent-to-treat population.\nRESULTS: All certolizumab doses produced significant clinical benefit over placebo at week 2 (placebo, 15.1%; certolizumab 100 mg, 29.7% [P = .033]; 200 mg, 30.6% [P = .026]; 400 mg, 33.3% [P = .010]). At all time points, the clinical response rates were highest for certolizumab 400 mg, greatest at week 10 (certolizumab 400 mg, 52.8%; placebo, 30.1%; P = .006) but not significant at week 12 (certolizumab 400 mg, 44.4%; placebo, 35.6%; P = .278). Patients with baseline C-reactive protein levels of 10 mg/L or greater (n = 119) showed clearer separation between active treatment and placebo (week 12 clinical response: certolizumab 400 mg, 53.1%; placebo, 17.9%; P = .005; post hoc analysis) owing to a lower placebo response rate than patients with C-reactive protein levels of less than 10 mg/L. Adverse events were similar among groups.\nCONCLUSIONS: Certolizumab 400 mg may be effective and is well tolerated in patients with active Crohn's disease. High placebo response rates in the large patient subgroup with low C-reactive protein levels may have obscured statistical separation between certolizumab and placebo. Ongoing phase III trials are necessary to establish the clinical efficacy of certolizumab.","DOI":"10.1053/j.gastro.2005.06.064","ISSN":"0016-5085","note":"PMID: 16143120","journalAbbreviation":"Gastroenterology","language":"eng","author":[{"family":"Schreiber","given":"Stefan"},{"family":"Rutgeerts","given":"Paul"},{"family":"Fedorak","given":"Richard N."},{"family":"Khaliq-Kareemi","given":"Munaa"},{"family":"Kamm","given":"Michael A."},{"family":"Boivin","given":"Michel"},{"family":"Bernstein","given":"Charles N."},{"family":"Staun","given":"Michael"},{"family":"Thomsen","given":"Ole Østergaard"},{"family":"Innes","given":"Alison"},{"literal":"CDP870 Crohn's Disease Study Group"}],"issued":{"date-parts":[["2005",9]]}}}],"schema":"https://github.com/citation-style-language/schema/raw/master/csl-citation.json"} </w:instrText>
      </w:r>
      <w:r w:rsidR="00A27C27"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[33]</w:t>
      </w:r>
      <w:r w:rsidR="00A27C27" w:rsidRPr="005B1A16">
        <w:rPr>
          <w:rFonts w:ascii="Book Antiqua" w:hAnsi="Book Antiqua"/>
          <w:color w:val="000000" w:themeColor="text1"/>
        </w:rPr>
        <w:fldChar w:fldCharType="end"/>
      </w:r>
      <w:r w:rsidR="006F6596" w:rsidRPr="005B1A16">
        <w:rPr>
          <w:rFonts w:ascii="Book Antiqua" w:hAnsi="Book Antiqua"/>
          <w:color w:val="000000" w:themeColor="text1"/>
        </w:rPr>
        <w:t xml:space="preserve">. </w:t>
      </w:r>
      <w:r w:rsidR="00D75A4E" w:rsidRPr="005B1A16">
        <w:rPr>
          <w:rFonts w:ascii="Book Antiqua" w:hAnsi="Book Antiqua"/>
          <w:color w:val="000000" w:themeColor="text1"/>
        </w:rPr>
        <w:t xml:space="preserve">The potential placebo effect was addressed in the PRECISE-I trial which stratified 662 patients with moderate to severe CD based on their CRP prior to randomization to </w:t>
      </w:r>
      <w:r w:rsidR="003D1C3B" w:rsidRPr="005B1A16">
        <w:rPr>
          <w:rFonts w:ascii="Book Antiqua" w:hAnsi="Book Antiqua"/>
          <w:color w:val="000000" w:themeColor="text1"/>
        </w:rPr>
        <w:t>treatment groups</w:t>
      </w:r>
      <w:r w:rsidR="00E1125B"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{"citationID":"a296n7taumk","properties":{"formattedCitation":"\\super [31]\\nosupersub{}","plainCitation":"[31]","noteIndex":0},"citationItems":[{"id":73,"uris":["http://zotero.org/users/4672422/items/QUENXH37"],"uri":["http://zotero.org/users/4672422/items/QUENXH37"],"itemData":{"id":73,"type":"article-journal","title":"Certolizumab pegol for the treatment of Crohn's disease","container-title":"The New England Journal of Medicine","page":"228-238","volume":"357","issue":"3","source":"PubMed","abstract":"BACKGROUND: Certolizumab pegol is a pegylated humanized Fab' fragment that binds tumor necrosis factor alpha.\nMETHODS: In a randomized, double-blind, placebo-controlled trial, we evaluated the efficacy of certolizumab pegol in 662 adults with moderate-to-severe Crohn's disease. Patients were stratified according to baseline levels of C-reactive protein (CRP) and were randomly assigned to receive either 400 mg of certolizumab pegol or placebo subcutaneously at weeks 0, 2, and 4 and then every 4 weeks. Primary end points were the induction of a response at week 6 and a response at both weeks 6 and 26.\nRESULTS: Among patients with a baseline CRP level of at least 10 mg per liter, 37% of patients in the certolizumab group had a response at week 6, as compared with 26% in the placebo group (P=0.04). At both weeks 6 and 26, the corresponding values were 22% and 12%, respectively (P=0.05). In the overall population, response rates at week 6 were 35% in the certolizumab group and 27% in the placebo group (P=0.02); at both weeks 6 and 26, the response rates were 23% and 16%, respectively (P=0.02). At weeks 6 and 26, the rates of remission in the two groups did not differ significantly (P=0.17). Serious adverse events were reported in 10% of patients in the certolizumab group and 7% of those in the placebo group; serious infections were reported in 2% and less than 1%, respectively. In the certolizumab group, antibodies to the drug developed in 8% of patients, and antinuclear antibodies developed in 2%.\nCONCLUSIONS: In patients with moderate-to-severe Crohn's disease, induction and maintenance therapy with certolizumab pegol was associated with a modest improvement in response rates, as compared with placebo, but with no significant improvement in remission rates. (ClinicalTrials.gov number, NCT00152490 [ClinicalTrials.gov].).","DOI":"10.1056/NEJMoa067594","ISSN":"1533-4406","note":"PMID: 17634458","journalAbbreviation":"N. Engl. J. Med.","language":"eng","author":[{"family":"Sandborn","given":"William J."},{"family":"Feagan","given":"Brian G."},{"family":"Stoinov","given":"Simeon"},{"family":"Honiball","given":"Pieter J."},{"family":"Rutgeerts","given":"Paul"},{"family":"Mason","given":"David"},{"family":"Bloomfield","given":"Ralph"},{"family":"Schreiber","given":"Stefan"},{"literal":"PRECISE 1 Study Investigators"}],"issued":{"date-parts":[["2007",7,19]]}}}],"schema":"https://github.com/citation-style-language/schema/raw/master/csl-citation.json"} </w:instrText>
      </w:r>
      <w:r w:rsidR="00E1125B"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[31]</w:t>
      </w:r>
      <w:r w:rsidR="00E1125B" w:rsidRPr="005B1A16">
        <w:rPr>
          <w:rFonts w:ascii="Book Antiqua" w:hAnsi="Book Antiqua"/>
          <w:color w:val="000000" w:themeColor="text1"/>
        </w:rPr>
        <w:fldChar w:fldCharType="end"/>
      </w:r>
      <w:r w:rsidR="003D1C3B" w:rsidRPr="005B1A16">
        <w:rPr>
          <w:rFonts w:ascii="Book Antiqua" w:hAnsi="Book Antiqua"/>
          <w:color w:val="000000" w:themeColor="text1"/>
        </w:rPr>
        <w:t>.</w:t>
      </w:r>
      <w:r w:rsidR="003C205A" w:rsidRPr="005B1A16">
        <w:rPr>
          <w:rFonts w:ascii="Book Antiqua" w:hAnsi="Book Antiqua"/>
          <w:color w:val="000000" w:themeColor="text1"/>
        </w:rPr>
        <w:t xml:space="preserve"> Although response rates at week 6 and 26 were found to be modestly significant, </w:t>
      </w:r>
      <w:r w:rsidR="00AF73F4" w:rsidRPr="005B1A16">
        <w:rPr>
          <w:rFonts w:ascii="Book Antiqua" w:hAnsi="Book Antiqua"/>
          <w:color w:val="000000" w:themeColor="text1"/>
        </w:rPr>
        <w:t>induction</w:t>
      </w:r>
      <w:r w:rsidR="00FA5005" w:rsidRPr="005B1A16">
        <w:rPr>
          <w:rFonts w:ascii="Book Antiqua" w:hAnsi="Book Antiqua"/>
          <w:color w:val="000000" w:themeColor="text1"/>
        </w:rPr>
        <w:t xml:space="preserve"> of</w:t>
      </w:r>
      <w:r w:rsidR="00AF73F4" w:rsidRPr="005B1A16">
        <w:rPr>
          <w:rFonts w:ascii="Book Antiqua" w:hAnsi="Book Antiqua"/>
          <w:color w:val="000000" w:themeColor="text1"/>
        </w:rPr>
        <w:t xml:space="preserve"> </w:t>
      </w:r>
      <w:r w:rsidR="003C205A" w:rsidRPr="005B1A16">
        <w:rPr>
          <w:rFonts w:ascii="Book Antiqua" w:hAnsi="Book Antiqua"/>
          <w:color w:val="000000" w:themeColor="text1"/>
        </w:rPr>
        <w:t xml:space="preserve">remission rates were not. </w:t>
      </w:r>
      <w:r w:rsidR="00555240" w:rsidRPr="005B1A16">
        <w:rPr>
          <w:rFonts w:ascii="Book Antiqua" w:hAnsi="Book Antiqua"/>
          <w:color w:val="000000" w:themeColor="text1"/>
        </w:rPr>
        <w:t xml:space="preserve">However, </w:t>
      </w:r>
      <w:r w:rsidR="00AF73F4" w:rsidRPr="005B1A16">
        <w:rPr>
          <w:rFonts w:ascii="Book Antiqua" w:hAnsi="Book Antiqua"/>
          <w:color w:val="000000" w:themeColor="text1"/>
        </w:rPr>
        <w:t xml:space="preserve">in patients responding to certolizumab, maintenance of remission was successfully demonstrated in the </w:t>
      </w:r>
      <w:r w:rsidR="00555240" w:rsidRPr="005B1A16">
        <w:rPr>
          <w:rFonts w:ascii="Book Antiqua" w:hAnsi="Book Antiqua"/>
          <w:color w:val="000000" w:themeColor="text1"/>
        </w:rPr>
        <w:t>PRECISE-II and PRECISE-III follow-up trials</w:t>
      </w:r>
      <w:r w:rsidR="003E5925" w:rsidRPr="005B1A16">
        <w:rPr>
          <w:rFonts w:ascii="Book Antiqua" w:hAnsi="Book Antiqua"/>
          <w:color w:val="000000" w:themeColor="text1"/>
        </w:rPr>
        <w:t xml:space="preserve"> through 5 years</w:t>
      </w:r>
      <w:r w:rsidR="003E5925"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{"citationID":"ar7hib0p98","properties":{"formattedCitation":"\\super [34,35]\\nosupersub{}","plainCitation":"[34,35]","noteIndex":0},"citationItems":[{"id":84,"uris":["http://zotero.org/users/4672422/items/9J3582YQ"],"uri":["http://zotero.org/users/4672422/items/9J3582YQ"],"itemData":{"id":84,"type":"article-journal","title":"Maintenance Therapy with Certolizumab Pegol for Crohn's Disease","container-title":"New England Journal of Medicine","page":"239-250","volume":"357","issue":"3","source":"CrossRef","URL":"http://www.nejm.org/doi/abs/10.1056/NEJMoa062897","DOI":"10.1056/NEJMoa062897","ISSN":"0028-4793, 1533-4406","language":"en","author":[{"family":"Schreiber","given":"Stefan"},{"family":"Khaliq-Kareemi","given":"Mani"},{"family":"Lawrance","given":"Ian C."},{"family":"Thomsen","given":"Ole Østergaard"},{"family":"Hanauer","given":"Stephen B."},{"family":"McColm","given":"Juliet"},{"family":"Bloomfield","given":"Ralph"},{"family":"Sandborn","given":"William J."}],"issued":{"date-parts":[["2007",7,19]]},"accessed":{"date-parts":[["2018",3,27]]}}},{"id":85,"uris":["http://zotero.org/users/4672422/items/VBURVCRJ"],"uri":["http://zotero.org/users/4672422/items/VBURVCRJ"],"itemData":{"id":85,"type":"article-journal","title":"Continuous Therapy With Certolizumab Pegol Maintains Remission of Patients With Crohn's Disease for up to 18 Months","container-title":"Clinical Gastroenterology and Hepatology","page":"600-609","volume":"8","issue":"7","source":"CrossRef","URL":"http://linkinghub.elsevier.com/retrieve/pii/S1542356510000765","DOI":"10.1016/j.cgh.2010.01.014","ISSN":"15423565","language":"en","author":[{"family":"Lichtenstein","given":"Gary R."},{"family":"Thomsen","given":"Ole Ø."},{"family":"Schreiber","given":"Stefan"},{"family":"Lawrance","given":"Ian C."},{"family":"Hanauer","given":"Stephen B."},{"family":"Bloomfield","given":"Ralph"},{"family":"Sandborn","given":"William J."}],"issued":{"date-parts":[["2010",7]]},"accessed":{"date-parts":[["2018",3,27]]}}}],"schema":"https://github.com/citation-style-language/schema/raw/master/csl-citation.json"} </w:instrText>
      </w:r>
      <w:r w:rsidR="003E5925"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[34,35]</w:t>
      </w:r>
      <w:r w:rsidR="003E5925" w:rsidRPr="005B1A16">
        <w:rPr>
          <w:rFonts w:ascii="Book Antiqua" w:hAnsi="Book Antiqua"/>
          <w:color w:val="000000" w:themeColor="text1"/>
        </w:rPr>
        <w:fldChar w:fldCharType="end"/>
      </w:r>
      <w:r w:rsidR="00AF73F4" w:rsidRPr="005B1A16">
        <w:rPr>
          <w:rFonts w:ascii="Book Antiqua" w:hAnsi="Book Antiqua"/>
          <w:color w:val="000000" w:themeColor="text1"/>
        </w:rPr>
        <w:t xml:space="preserve">. </w:t>
      </w:r>
      <w:r w:rsidR="00350496" w:rsidRPr="005B1A16">
        <w:rPr>
          <w:rFonts w:ascii="Book Antiqua" w:hAnsi="Book Antiqua"/>
          <w:color w:val="000000" w:themeColor="text1"/>
        </w:rPr>
        <w:t xml:space="preserve">The MUSIC trial </w:t>
      </w:r>
      <w:r w:rsidR="00795452" w:rsidRPr="005B1A16">
        <w:rPr>
          <w:rFonts w:ascii="Book Antiqua" w:hAnsi="Book Antiqua"/>
          <w:color w:val="000000" w:themeColor="text1"/>
        </w:rPr>
        <w:t>conducted in 2013 confirmed certolizumab’s efficacy with respect to mucosal healing</w:t>
      </w:r>
      <w:r w:rsidR="003069B6" w:rsidRPr="005B1A16">
        <w:rPr>
          <w:rFonts w:ascii="Book Antiqua" w:hAnsi="Book Antiqua"/>
          <w:color w:val="000000" w:themeColor="text1"/>
        </w:rPr>
        <w:t xml:space="preserve"> following 54 </w:t>
      </w:r>
      <w:r w:rsidR="00F94FA1" w:rsidRPr="005B1A16">
        <w:rPr>
          <w:rFonts w:ascii="Book Antiqua" w:eastAsia="SimSun" w:hAnsi="Book Antiqua"/>
          <w:color w:val="000000" w:themeColor="text1"/>
          <w:lang w:eastAsia="zh-CN"/>
        </w:rPr>
        <w:t>wk</w:t>
      </w:r>
      <w:r w:rsidR="003069B6" w:rsidRPr="005B1A16">
        <w:rPr>
          <w:rFonts w:ascii="Book Antiqua" w:hAnsi="Book Antiqua"/>
          <w:color w:val="000000" w:themeColor="text1"/>
        </w:rPr>
        <w:t xml:space="preserve"> of therapy</w:t>
      </w:r>
      <w:r w:rsidR="009C2AFF" w:rsidRPr="005B1A16">
        <w:rPr>
          <w:rFonts w:ascii="Book Antiqua" w:hAnsi="Book Antiqua"/>
          <w:color w:val="000000" w:themeColor="text1"/>
        </w:rPr>
        <w:t xml:space="preserve"> </w:t>
      </w:r>
      <w:r w:rsidR="00000651" w:rsidRPr="005B1A16">
        <w:rPr>
          <w:rFonts w:ascii="Book Antiqua" w:hAnsi="Book Antiqua"/>
          <w:color w:val="000000" w:themeColor="text1"/>
        </w:rPr>
        <w:t>after evaluating 89 patients with active endoscopic disease (ulceration in ≥</w:t>
      </w:r>
      <w:r w:rsidR="00F94FA1" w:rsidRPr="005B1A16">
        <w:rPr>
          <w:rFonts w:ascii="Book Antiqua" w:eastAsia="SimSun" w:hAnsi="Book Antiqua"/>
          <w:color w:val="000000" w:themeColor="text1"/>
          <w:lang w:eastAsia="zh-CN"/>
        </w:rPr>
        <w:t xml:space="preserve"> </w:t>
      </w:r>
      <w:r w:rsidR="00000651" w:rsidRPr="005B1A16">
        <w:rPr>
          <w:rFonts w:ascii="Book Antiqua" w:hAnsi="Book Antiqua"/>
          <w:color w:val="000000" w:themeColor="text1"/>
        </w:rPr>
        <w:t>2 intestinal segments with a Crohn's Disease Endoscopic Index of Severity (CDEIS) score ≥</w:t>
      </w:r>
      <w:r w:rsidR="00F94FA1" w:rsidRPr="005B1A16">
        <w:rPr>
          <w:rFonts w:ascii="Book Antiqua" w:eastAsia="SimSun" w:hAnsi="Book Antiqua"/>
          <w:color w:val="000000" w:themeColor="text1"/>
          <w:lang w:eastAsia="zh-CN"/>
        </w:rPr>
        <w:t xml:space="preserve"> </w:t>
      </w:r>
      <w:r w:rsidR="00000651" w:rsidRPr="005B1A16">
        <w:rPr>
          <w:rFonts w:ascii="Book Antiqua" w:hAnsi="Book Antiqua"/>
          <w:color w:val="000000" w:themeColor="text1"/>
        </w:rPr>
        <w:t>8 points)</w:t>
      </w:r>
      <w:r w:rsidR="00A25BA7"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{"citationID":"a3e433dedd","properties":{"formattedCitation":"\\super [36]\\nosupersub{}","plainCitation":"[36]","noteIndex":0},"citationItems":[{"id":86,"uris":["http://zotero.org/users/4672422/items/VIFCTE4K"],"uri":["http://zotero.org/users/4672422/items/VIFCTE4K"],"itemData":{"id":86,"type":"article-journal","title":"Endoscopic improvement of mucosal lesions in patients with moderate to severe ileocolonic Crohn's disease following treatment with certolizumab pegol","container-title":"Gut","page":"201-208","volume":"62","issue":"2","source":"PubMed","abstract":"OBJECTIVE: To evaluate the efficacy of certolizumab pegol (CZP) in improving endoscopic lesions in patients with active ileocolonic Crohn's disease (CD).\nMETHODS: This phase IIIB multicentre open-label clinical trial enrolled 89 adult patients with active endoscopic disease (ulceration in ≥2 intestinal segments with a Crohn's Disease Endoscopic Index of Severity (CDEIS) score ≥8 points). Patients received subcutaneous CZP 400 mg at weeks 0, 2 and 4 and every 4 weeks up to week 52. Endoscopic evaluations were performed at weeks 0, 10 and 54. The primary outcome was mean change in CDEIS score at week 10; secondary outcome measures included endoscopic response (decrease in CDEIS score &gt;5 points), remission (CDEIS score &lt;6), complete remission (CDEIS score &lt;3) and mucosal healing (no ulcer) at weeks 10 and 54.\nRESULTS: In the intention-to-treat population (n=89) the mean±SD CDEIS score was 14.5±5.3 at baseline; the mean decrease in CDEIS score at week 10 was 5.7 (95% CI 4.6 to 6.8, p&lt;0.0001). Rates of endoscopic response, endoscopic remission, complete endoscopic remission and mucosal healing at week 10 were 54%, 37%, 10% and 4%, respectively. At week 54 the corresponding rates were 49%, 27%, 14% and 8%, respectively. The safety profile was consistent with that of previous CZP trials.\nCONCLUSIONS: Following CZP treatment in patients with active CD, endoscopic lesions were improved as shown by the decrease in mean CDEIS score and by endoscopic response and remission rates. These benefits were achieved as early as week 10 and were generally maintained through week 54.\nCLINICAL TRIAL REGISTRATION NUMBER: NCT00297648.","DOI":"10.1136/gutjnl-2012-302262","ISSN":"1468-3288","note":"PMID: 22525883\nPMCID: PMC3551215","journalAbbreviation":"Gut","language":"eng","author":[{"family":"Hébuterne","given":"Xavier"},{"family":"Lémann","given":"Marc"},{"family":"Bouhnik","given":"Yoram"},{"family":"Dewit","given":"Olivier"},{"family":"Dupas","given":"Jean-Louis"},{"family":"Mross","given":"Michael"},{"family":"D'Haens","given":"Geert"},{"family":"Mitchev","given":"Krassimir"},{"family":"Ernault","given":"Étienne"},{"family":"Vermeire","given":"Séverine"},{"family":"Brixi-Benmansour","given":"Hedia"},{"family":"Moreels","given":"Tom G."},{"family":"Mary","given":"Jean-Yves"},{"family":"Marteau","given":"Philippe"},{"family":"Colombel","given":"Jean-Frédéric"}],"issued":{"date-parts":[["2013",2]]}}}],"schema":"https://github.com/citation-style-language/schema/raw/master/csl-citation.json"} </w:instrText>
      </w:r>
      <w:r w:rsidR="00A25BA7"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[36]</w:t>
      </w:r>
      <w:r w:rsidR="00A25BA7" w:rsidRPr="005B1A16">
        <w:rPr>
          <w:rFonts w:ascii="Book Antiqua" w:hAnsi="Book Antiqua"/>
          <w:color w:val="000000" w:themeColor="text1"/>
        </w:rPr>
        <w:fldChar w:fldCharType="end"/>
      </w:r>
      <w:r w:rsidR="00795452" w:rsidRPr="005B1A16">
        <w:rPr>
          <w:rFonts w:ascii="Book Antiqua" w:hAnsi="Book Antiqua"/>
          <w:color w:val="000000" w:themeColor="text1"/>
        </w:rPr>
        <w:t xml:space="preserve">. As early as week 10, endoscopic remission was achieved in </w:t>
      </w:r>
      <w:r w:rsidR="00A25BA7" w:rsidRPr="005B1A16">
        <w:rPr>
          <w:rFonts w:ascii="Book Antiqua" w:hAnsi="Book Antiqua"/>
          <w:color w:val="000000" w:themeColor="text1"/>
        </w:rPr>
        <w:t>37% of patients</w:t>
      </w:r>
      <w:r w:rsidR="006625AE" w:rsidRPr="005B1A16">
        <w:rPr>
          <w:rFonts w:ascii="Book Antiqua" w:hAnsi="Book Antiqua"/>
          <w:color w:val="000000" w:themeColor="text1"/>
        </w:rPr>
        <w:t xml:space="preserve">. </w:t>
      </w:r>
    </w:p>
    <w:p w14:paraId="54D7D894" w14:textId="779C8C6A" w:rsidR="00CB6E1D" w:rsidRPr="005B1A16" w:rsidRDefault="00CB6E1D" w:rsidP="005B1A16">
      <w:pPr>
        <w:spacing w:line="360" w:lineRule="auto"/>
        <w:jc w:val="both"/>
        <w:rPr>
          <w:rFonts w:ascii="Book Antiqua" w:hAnsi="Book Antiqua"/>
          <w:color w:val="000000" w:themeColor="text1"/>
        </w:rPr>
      </w:pPr>
    </w:p>
    <w:p w14:paraId="14AA442D" w14:textId="43676FA4" w:rsidR="00CB6E1D" w:rsidRPr="005B1A16" w:rsidRDefault="00CB6E1D" w:rsidP="005B1A16">
      <w:pPr>
        <w:spacing w:line="360" w:lineRule="auto"/>
        <w:jc w:val="both"/>
        <w:outlineLvl w:val="0"/>
        <w:rPr>
          <w:rFonts w:ascii="Book Antiqua" w:hAnsi="Book Antiqua"/>
          <w:b/>
          <w:i/>
          <w:color w:val="000000" w:themeColor="text1"/>
        </w:rPr>
      </w:pPr>
      <w:r w:rsidRPr="005B1A16">
        <w:rPr>
          <w:rFonts w:ascii="Book Antiqua" w:hAnsi="Book Antiqua"/>
          <w:b/>
          <w:i/>
          <w:color w:val="000000" w:themeColor="text1"/>
        </w:rPr>
        <w:t>Anti-integrin</w:t>
      </w:r>
    </w:p>
    <w:p w14:paraId="45DF0D24" w14:textId="2DDCBD51" w:rsidR="00496A29" w:rsidRPr="005B1A16" w:rsidRDefault="00CB6E1D" w:rsidP="005B1A16">
      <w:pPr>
        <w:spacing w:line="360" w:lineRule="auto"/>
        <w:jc w:val="both"/>
        <w:outlineLvl w:val="0"/>
        <w:rPr>
          <w:rFonts w:ascii="Book Antiqua" w:eastAsia="SimSun" w:hAnsi="Book Antiqua"/>
          <w:i/>
          <w:color w:val="000000" w:themeColor="text1"/>
          <w:lang w:eastAsia="zh-CN"/>
        </w:rPr>
      </w:pPr>
      <w:r w:rsidRPr="005B1A16">
        <w:rPr>
          <w:rFonts w:ascii="Book Antiqua" w:hAnsi="Book Antiqua"/>
          <w:b/>
          <w:color w:val="000000" w:themeColor="text1"/>
        </w:rPr>
        <w:t>Natalizumab</w:t>
      </w:r>
      <w:r w:rsidR="00F94FA1" w:rsidRPr="005B1A16">
        <w:rPr>
          <w:rFonts w:ascii="Book Antiqua" w:eastAsia="SimSun" w:hAnsi="Book Antiqua"/>
          <w:b/>
          <w:color w:val="000000" w:themeColor="text1"/>
          <w:lang w:eastAsia="zh-CN"/>
        </w:rPr>
        <w:t xml:space="preserve">: </w:t>
      </w:r>
      <w:r w:rsidR="00516390" w:rsidRPr="005B1A16">
        <w:rPr>
          <w:rFonts w:ascii="Book Antiqua" w:hAnsi="Book Antiqua"/>
          <w:color w:val="000000" w:themeColor="text1"/>
        </w:rPr>
        <w:t xml:space="preserve">Natalizumab </w:t>
      </w:r>
      <w:r w:rsidR="00265024" w:rsidRPr="005B1A16">
        <w:rPr>
          <w:rFonts w:ascii="Book Antiqua" w:hAnsi="Book Antiqua"/>
          <w:color w:val="000000" w:themeColor="text1"/>
        </w:rPr>
        <w:t>blocks the adhesion and subsequent migration of leukocytes from circulation into the gut by binding alpha-4 integrin which is expressed on all circulating leukocytes except neutrophils. Originally designed f</w:t>
      </w:r>
      <w:r w:rsidR="00A7700F" w:rsidRPr="005B1A16">
        <w:rPr>
          <w:rFonts w:ascii="Book Antiqua" w:hAnsi="Book Antiqua"/>
          <w:color w:val="000000" w:themeColor="text1"/>
        </w:rPr>
        <w:t>or multiple sclerosis patients, natalizumab demonstrated good efficacy for induction and maintenance of remission for CD in a large meta-an</w:t>
      </w:r>
      <w:r w:rsidR="00813D20" w:rsidRPr="005B1A16">
        <w:rPr>
          <w:rFonts w:ascii="Book Antiqua" w:hAnsi="Book Antiqua"/>
          <w:color w:val="000000" w:themeColor="text1"/>
        </w:rPr>
        <w:t>alysis which included 5 trials</w:t>
      </w:r>
      <w:r w:rsidR="00D74633"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{"citationID":"a1a883kdgkc","properties":{"formattedCitation":"\\super [37]\\nosupersub{}","plainCitation":"[37]","noteIndex":0},"citationItems":[{"id":88,"uris":["http://zotero.org/users/4672422/items/39QTXCJG"],"uri":["http://zotero.org/users/4672422/items/39QTXCJG"],"itemData":{"id":88,"type":"article-journal","title":"Efficacy of biological therapies in inflammatory bowel disease: systematic review and meta-analysis","container-title":"The American Journal of Gastroenterology","page":"644-659, quiz 660","volume":"106","issue":"4","source":"PubMed","abstract":"OBJECTIVES: Crohn's disease (CD) and ulcerative colitis (UC) are inflammatory disorders of the gastrointestinal tract of unknown etiology. Evidence for treatment of the condition with biological therapies exists, but no systematic review and meta-analysis has examined this issue in its entirety.\nMETHODS: MEDLINE, EMBASE, and the Cochrane central register of controlled trials were searched (through to December 2010). Trials recruiting adults with active or quiescent CD or UC and comparing biological therapies (anti-tumor necrosis factor-α (TNFα) antibodies or natalizumab) with placebo were eligible. Dichotomous symptom data were pooled to obtain relative risk (RR) of failure to achieve remission in active disease and RR of relapse of activity in quiescent disease once remission had occurred, with a 95% confidence interval (CI).\nRESULTS: The search strategy identified 3,061 citations, 27 of which were eligible. Anti-TNFα antibodies and natalizumab were both superior to placebo in inducing remission of luminal CD (RR of no remission=0.87; 95% CI 0.80-0.94 and RR=0.88; 95% CI 0.83-0.94, respectively). Anti-TNFα antibodies were also superior to placebo in preventing relapse of luminal CD (RR of relapse=0.71; 95% CI 0.65-0.76). Infliximab was superior to placebo in inducing remission of moderate to severely active UC (RR=0.72; 95% CI 0.57-0.91).\nCONCLUSIONS: Biological therapies were superior to placebo in inducing remission of active CD and UC, and in preventing relapse of quiescent CD.","DOI":"10.1038/ajg.2011.73","ISSN":"1572-0241","note":"PMID: 21407183","shortTitle":"Efficacy of biological therapies in inflammatory bowel disease","journalAbbreviation":"Am. J. Gastroenterol.","language":"eng","author":[{"family":"Ford","given":"Alexander C."},{"family":"Sandborn","given":"William J."},{"family":"Khan","given":"Khurram J."},{"family":"Hanauer","given":"Stephen B."},{"family":"Talley","given":"Nicholas J."},{"family":"Moayyedi","given":"Paul"}],"issued":{"date-parts":[["2011",4]]}}}],"schema":"https://github.com/citation-style-language/schema/raw/master/csl-citation.json"} </w:instrText>
      </w:r>
      <w:r w:rsidR="00D74633"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[37]</w:t>
      </w:r>
      <w:r w:rsidR="00D74633" w:rsidRPr="005B1A16">
        <w:rPr>
          <w:rFonts w:ascii="Book Antiqua" w:hAnsi="Book Antiqua"/>
          <w:color w:val="000000" w:themeColor="text1"/>
        </w:rPr>
        <w:fldChar w:fldCharType="end"/>
      </w:r>
      <w:r w:rsidR="00546625" w:rsidRPr="005B1A16">
        <w:rPr>
          <w:rFonts w:ascii="Book Antiqua" w:hAnsi="Book Antiqua"/>
          <w:color w:val="000000" w:themeColor="text1"/>
        </w:rPr>
        <w:t xml:space="preserve">. The largest trials to be performed </w:t>
      </w:r>
      <w:r w:rsidR="00795D38" w:rsidRPr="005B1A16">
        <w:rPr>
          <w:rFonts w:ascii="Book Antiqua" w:hAnsi="Book Antiqua"/>
          <w:color w:val="000000" w:themeColor="text1"/>
        </w:rPr>
        <w:t>were ENACT-I, ENACT-</w:t>
      </w:r>
      <w:r w:rsidR="00546625" w:rsidRPr="005B1A16">
        <w:rPr>
          <w:rFonts w:ascii="Book Antiqua" w:hAnsi="Book Antiqua"/>
          <w:color w:val="000000" w:themeColor="text1"/>
        </w:rPr>
        <w:t>II</w:t>
      </w:r>
      <w:r w:rsidR="00795D38" w:rsidRPr="005B1A16">
        <w:rPr>
          <w:rFonts w:ascii="Book Antiqua" w:hAnsi="Book Antiqua"/>
          <w:color w:val="000000" w:themeColor="text1"/>
        </w:rPr>
        <w:t xml:space="preserve"> and ENCORE. </w:t>
      </w:r>
      <w:r w:rsidR="000472D8" w:rsidRPr="005B1A16">
        <w:rPr>
          <w:rFonts w:ascii="Book Antiqua" w:hAnsi="Book Antiqua"/>
          <w:color w:val="000000" w:themeColor="text1"/>
        </w:rPr>
        <w:t xml:space="preserve">ENACT-I </w:t>
      </w:r>
      <w:r w:rsidR="00C40BB5" w:rsidRPr="005B1A16">
        <w:rPr>
          <w:rFonts w:ascii="Book Antiqua" w:hAnsi="Book Antiqua"/>
          <w:color w:val="000000" w:themeColor="text1"/>
        </w:rPr>
        <w:t xml:space="preserve">included 905 patients with CD randomized to either placebo or natalizumab induction </w:t>
      </w:r>
      <w:r w:rsidR="00C40BB5" w:rsidRPr="005B1A16">
        <w:rPr>
          <w:rFonts w:ascii="Book Antiqua" w:hAnsi="Book Antiqua"/>
          <w:color w:val="000000" w:themeColor="text1"/>
        </w:rPr>
        <w:lastRenderedPageBreak/>
        <w:t>groups</w:t>
      </w:r>
      <w:r w:rsidR="00D74633"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{"citationID":"apn741qogt","properties":{"formattedCitation":"\\super [38]\\nosupersub{}","plainCitation":"[38]","noteIndex":0},"citationItems":[{"id":90,"uris":["http://zotero.org/users/4672422/items/DYXIVQCJ"],"uri":["http://zotero.org/users/4672422/items/DYXIVQCJ"],"itemData":{"id":90,"type":"article-journal","title":"Natalizumab induction and maintenance therapy for Crohn's disease","container-title":"The New England Journal of Medicine","page":"1912-1925","volume":"353","issue":"18","source":"PubMed","abstract":"BACKGROUND: Natalizumab, a humanized monoclonal antibody against alpha4 integrin, inhibits leukocyte adhesion and migration into inflamed tissue.\nMETHODS: We conducted two controlled trials to evaluate natalizumab as induction and maintenance therapy in patients with active Crohn's disease. In the first trial, 905 patients were randomly assigned to receive 300 mg of natalizumab or placebo at weeks 0, 4, and 8. The primary outcome was response, defined by a decrease in the Crohn's Disease Activity Index (CDAI) score of at least 70 points, at week 10. In the second trial, 339 patients who had a response to natalizumab in the first trial were randomly reassigned to receive 300 mg of natalizumab or placebo every four weeks through week 56. The primary outcome was a sustained response through week 36. A secondary outcome in both trials was disease remission (a CDAI score of less than 150).\nRESULTS: In the first trial, the natalizumab and placebo groups had similar rates of response (56 percent and 49 percent, respectively; P=0.05) and remission (37 percent and 30 percent, respectively; P=0.12) at 10 weeks. Continuing natalizumab in the second trial resulted in higher rates of sustained response (61 percent vs. 28 percent, P&lt;0.001) and remission (44 percent vs. 26 percent, P=0.003) through week 36 than did switching to placebo. Serious adverse events occurred in 7 percent of each group in the first trial and in 10 percent of the placebo group and 8 percent of the natalizumab group in the second trial. In an open-label extension study, a patient treated with natalizumab died from progressive multifocal leukoencephalopathy, associated with the JC virus, a human polyomavirus.\nCONCLUSIONS: Induction therapy with natalizumab for Crohn's disease resulted in small, nonsignificant improvements in response and remission rates. Patients who had a response had significantly increased rates of sustained response and remission if natalizumab was continued every four weeks. The benefit of natalizumab will need to be weighed against the risk of serious adverse events, including progressive multifocal leukoencephalopathy. (ClinicalTrials.gov numbers, NCT00032786 and NCT00032799.)","DOI":"10.1056/NEJMoa043335","ISSN":"1533-4406","note":"PMID: 16267322","journalAbbreviation":"N. Engl. J. Med.","language":"eng","author":[{"family":"Sandborn","given":"William J."},{"family":"Colombel","given":"Jean Frédéric"},{"family":"Enns","given":"Roberts"},{"family":"Feagan","given":"Brian G."},{"family":"Hanauer","given":"Stephen B."},{"family":"Lawrance","given":"Ian C."},{"family":"Panaccione","given":"Remo"},{"family":"Sanders","given":"Martin"},{"family":"Schreiber","given":"Stefan"},{"family":"Targan","given":"Stephan"},{"family":"Deventer","given":"Sander","non-dropping-particle":"van"},{"family":"Goldblum","given":"Ronald"},{"family":"Despain","given":"Darrin"},{"family":"Hogge","given":"Gary S."},{"family":"Rutgeerts","given":"Paul"},{"literal":"International Efficacy of Natalizumab as Active Crohn's Therapy (ENACT-1) Trial Group"},{"literal":"Evaluation of Natalizumab as Continuous Therapy (ENACT-2) Trial Group"}],"issued":{"date-parts":[["2005",11,3]]}}}],"schema":"https://github.com/citation-style-language/schema/raw/master/csl-citation.json"} </w:instrText>
      </w:r>
      <w:r w:rsidR="00D74633"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[38]</w:t>
      </w:r>
      <w:r w:rsidR="00D74633" w:rsidRPr="005B1A16">
        <w:rPr>
          <w:rFonts w:ascii="Book Antiqua" w:hAnsi="Book Antiqua"/>
          <w:color w:val="000000" w:themeColor="text1"/>
        </w:rPr>
        <w:fldChar w:fldCharType="end"/>
      </w:r>
      <w:r w:rsidR="00C40BB5" w:rsidRPr="005B1A16">
        <w:rPr>
          <w:rFonts w:ascii="Book Antiqua" w:hAnsi="Book Antiqua"/>
          <w:color w:val="000000" w:themeColor="text1"/>
        </w:rPr>
        <w:t>. Although there was a subtle but significant difference in the response rate favoring natalizumab (56 percent and 49 percent, respectively), there was no difference in remission rates between groups</w:t>
      </w:r>
      <w:r w:rsidR="00C25227" w:rsidRPr="005B1A16">
        <w:rPr>
          <w:rFonts w:ascii="Book Antiqua" w:hAnsi="Book Antiqua"/>
          <w:color w:val="000000" w:themeColor="text1"/>
        </w:rPr>
        <w:t xml:space="preserve"> for induction</w:t>
      </w:r>
      <w:r w:rsidR="00C40BB5" w:rsidRPr="005B1A16">
        <w:rPr>
          <w:rFonts w:ascii="Book Antiqua" w:hAnsi="Book Antiqua"/>
          <w:color w:val="000000" w:themeColor="text1"/>
        </w:rPr>
        <w:t>.</w:t>
      </w:r>
      <w:r w:rsidR="00FD7F01" w:rsidRPr="005B1A16">
        <w:rPr>
          <w:rFonts w:ascii="Book Antiqua" w:hAnsi="Book Antiqua"/>
          <w:color w:val="000000" w:themeColor="text1"/>
        </w:rPr>
        <w:t xml:space="preserve"> </w:t>
      </w:r>
      <w:r w:rsidR="00A94AE8" w:rsidRPr="005B1A16">
        <w:rPr>
          <w:rFonts w:ascii="Book Antiqua" w:hAnsi="Book Antiqua"/>
          <w:color w:val="000000" w:themeColor="text1"/>
        </w:rPr>
        <w:t xml:space="preserve">ENACT-II included 339 responders to natalizumab </w:t>
      </w:r>
      <w:r w:rsidR="0000006A" w:rsidRPr="005B1A16">
        <w:rPr>
          <w:rFonts w:ascii="Book Antiqua" w:hAnsi="Book Antiqua"/>
          <w:color w:val="000000" w:themeColor="text1"/>
        </w:rPr>
        <w:t xml:space="preserve">from ENACT-I </w:t>
      </w:r>
      <w:r w:rsidR="00A94AE8" w:rsidRPr="005B1A16">
        <w:rPr>
          <w:rFonts w:ascii="Book Antiqua" w:hAnsi="Book Antiqua"/>
          <w:color w:val="000000" w:themeColor="text1"/>
        </w:rPr>
        <w:t xml:space="preserve">and </w:t>
      </w:r>
      <w:r w:rsidR="00745F91" w:rsidRPr="005B1A16">
        <w:rPr>
          <w:rFonts w:ascii="Book Antiqua" w:hAnsi="Book Antiqua"/>
          <w:color w:val="000000" w:themeColor="text1"/>
        </w:rPr>
        <w:t xml:space="preserve">randomized them to maintenance therapy </w:t>
      </w:r>
      <w:r w:rsidR="0000006A" w:rsidRPr="005B1A16">
        <w:rPr>
          <w:rFonts w:ascii="Book Antiqua" w:hAnsi="Book Antiqua"/>
          <w:color w:val="000000" w:themeColor="text1"/>
        </w:rPr>
        <w:t xml:space="preserve">every 4 </w:t>
      </w:r>
      <w:r w:rsidR="0022121B" w:rsidRPr="005B1A16">
        <w:rPr>
          <w:rFonts w:ascii="Book Antiqua" w:eastAsia="SimSun" w:hAnsi="Book Antiqua"/>
          <w:color w:val="000000" w:themeColor="text1"/>
          <w:lang w:eastAsia="zh-CN"/>
        </w:rPr>
        <w:t>wk</w:t>
      </w:r>
      <w:r w:rsidR="0000006A" w:rsidRPr="005B1A16">
        <w:rPr>
          <w:rFonts w:ascii="Book Antiqua" w:hAnsi="Book Antiqua"/>
          <w:color w:val="000000" w:themeColor="text1"/>
        </w:rPr>
        <w:t xml:space="preserve"> </w:t>
      </w:r>
      <w:r w:rsidR="00745F91" w:rsidRPr="005B1A16">
        <w:rPr>
          <w:rFonts w:ascii="Book Antiqua" w:hAnsi="Book Antiqua"/>
          <w:color w:val="000000" w:themeColor="text1"/>
        </w:rPr>
        <w:t>or placebo</w:t>
      </w:r>
      <w:r w:rsidR="00D74633"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{"citationID":"ag06etgqmf","properties":{"formattedCitation":"\\super [38]\\nosupersub{}","plainCitation":"[38]","noteIndex":0},"citationItems":[{"id":90,"uris":["http://zotero.org/users/4672422/items/DYXIVQCJ"],"uri":["http://zotero.org/users/4672422/items/DYXIVQCJ"],"itemData":{"id":90,"type":"article-journal","title":"Natalizumab induction and maintenance therapy for Crohn's disease","container-title":"The New England Journal of Medicine","page":"1912-1925","volume":"353","issue":"18","source":"PubMed","abstract":"BACKGROUND: Natalizumab, a humanized monoclonal antibody against alpha4 integrin, inhibits leukocyte adhesion and migration into inflamed tissue.\nMETHODS: We conducted two controlled trials to evaluate natalizumab as induction and maintenance therapy in patients with active Crohn's disease. In the first trial, 905 patients were randomly assigned to receive 300 mg of natalizumab or placebo at weeks 0, 4, and 8. The primary outcome was response, defined by a decrease in the Crohn's Disease Activity Index (CDAI) score of at least 70 points, at week 10. In the second trial, 339 patients who had a response to natalizumab in the first trial were randomly reassigned to receive 300 mg of natalizumab or placebo every four weeks through week 56. The primary outcome was a sustained response through week 36. A secondary outcome in both trials was disease remission (a CDAI score of less than 150).\nRESULTS: In the first trial, the natalizumab and placebo groups had similar rates of response (56 percent and 49 percent, respectively; P=0.05) and remission (37 percent and 30 percent, respectively; P=0.12) at 10 weeks. Continuing natalizumab in the second trial resulted in higher rates of sustained response (61 percent vs. 28 percent, P&lt;0.001) and remission (44 percent vs. 26 percent, P=0.003) through week 36 than did switching to placebo. Serious adverse events occurred in 7 percent of each group in the first trial and in 10 percent of the placebo group and 8 percent of the natalizumab group in the second trial. In an open-label extension study, a patient treated with natalizumab died from progressive multifocal leukoencephalopathy, associated with the JC virus, a human polyomavirus.\nCONCLUSIONS: Induction therapy with natalizumab for Crohn's disease resulted in small, nonsignificant improvements in response and remission rates. Patients who had a response had significantly increased rates of sustained response and remission if natalizumab was continued every four weeks. The benefit of natalizumab will need to be weighed against the risk of serious adverse events, including progressive multifocal leukoencephalopathy. (ClinicalTrials.gov numbers, NCT00032786 and NCT00032799.)","DOI":"10.1056/NEJMoa043335","ISSN":"1533-4406","note":"PMID: 16267322","journalAbbreviation":"N. Engl. J. Med.","language":"eng","author":[{"family":"Sandborn","given":"William J."},{"family":"Colombel","given":"Jean Frédéric"},{"family":"Enns","given":"Roberts"},{"family":"Feagan","given":"Brian G."},{"family":"Hanauer","given":"Stephen B."},{"family":"Lawrance","given":"Ian C."},{"family":"Panaccione","given":"Remo"},{"family":"Sanders","given":"Martin"},{"family":"Schreiber","given":"Stefan"},{"family":"Targan","given":"Stephan"},{"family":"Deventer","given":"Sander","non-dropping-particle":"van"},{"family":"Goldblum","given":"Ronald"},{"family":"Despain","given":"Darrin"},{"family":"Hogge","given":"Gary S."},{"family":"Rutgeerts","given":"Paul"},{"literal":"International Efficacy of Natalizumab as Active Crohn's Therapy (ENACT-1) Trial Group"},{"literal":"Evaluation of Natalizumab as Continuous Therapy (ENACT-2) Trial Group"}],"issued":{"date-parts":[["2005",11,3]]}}}],"schema":"https://github.com/citation-style-language/schema/raw/master/csl-citation.json"} </w:instrText>
      </w:r>
      <w:r w:rsidR="00D74633"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[38]</w:t>
      </w:r>
      <w:r w:rsidR="00D74633" w:rsidRPr="005B1A16">
        <w:rPr>
          <w:rFonts w:ascii="Book Antiqua" w:hAnsi="Book Antiqua"/>
          <w:color w:val="000000" w:themeColor="text1"/>
        </w:rPr>
        <w:fldChar w:fldCharType="end"/>
      </w:r>
      <w:r w:rsidR="00745F91" w:rsidRPr="005B1A16">
        <w:rPr>
          <w:rFonts w:ascii="Book Antiqua" w:hAnsi="Book Antiqua"/>
          <w:color w:val="000000" w:themeColor="text1"/>
        </w:rPr>
        <w:t xml:space="preserve">. In contrast to the first trial, significantly higher rates of remission occurred through 36 </w:t>
      </w:r>
      <w:r w:rsidR="008F5425" w:rsidRPr="005B1A16">
        <w:rPr>
          <w:rFonts w:ascii="Book Antiqua" w:eastAsia="SimSun" w:hAnsi="Book Antiqua"/>
          <w:color w:val="000000" w:themeColor="text1"/>
          <w:lang w:eastAsia="zh-CN"/>
        </w:rPr>
        <w:t>wk</w:t>
      </w:r>
      <w:r w:rsidR="00745F91" w:rsidRPr="005B1A16">
        <w:rPr>
          <w:rFonts w:ascii="Book Antiqua" w:hAnsi="Book Antiqua"/>
          <w:color w:val="000000" w:themeColor="text1"/>
        </w:rPr>
        <w:t xml:space="preserve"> </w:t>
      </w:r>
      <w:r w:rsidR="00D31672" w:rsidRPr="005B1A16">
        <w:rPr>
          <w:rFonts w:ascii="Book Antiqua" w:hAnsi="Book Antiqua"/>
          <w:color w:val="000000" w:themeColor="text1"/>
        </w:rPr>
        <w:t xml:space="preserve">as compared to placebo </w:t>
      </w:r>
      <w:r w:rsidR="00F33009" w:rsidRPr="005B1A16">
        <w:rPr>
          <w:rFonts w:ascii="Book Antiqua" w:hAnsi="Book Antiqua"/>
          <w:color w:val="000000" w:themeColor="text1"/>
        </w:rPr>
        <w:t>(</w:t>
      </w:r>
      <w:r w:rsidR="00F94FA1" w:rsidRPr="005B1A16">
        <w:rPr>
          <w:rFonts w:ascii="Book Antiqua" w:hAnsi="Book Antiqua"/>
          <w:color w:val="000000" w:themeColor="text1"/>
        </w:rPr>
        <w:t>44</w:t>
      </w:r>
      <w:r w:rsidR="00F94FA1" w:rsidRPr="005B1A16">
        <w:rPr>
          <w:rFonts w:ascii="Book Antiqua" w:eastAsia="SimSun" w:hAnsi="Book Antiqua"/>
          <w:color w:val="000000" w:themeColor="text1"/>
          <w:lang w:eastAsia="zh-CN"/>
        </w:rPr>
        <w:t xml:space="preserve">% </w:t>
      </w:r>
      <w:r w:rsidR="00745F91" w:rsidRPr="005B1A16">
        <w:rPr>
          <w:rFonts w:ascii="Book Antiqua" w:hAnsi="Book Antiqua"/>
          <w:i/>
          <w:color w:val="000000" w:themeColor="text1"/>
        </w:rPr>
        <w:t>vs</w:t>
      </w:r>
      <w:r w:rsidR="00745F91" w:rsidRPr="005B1A16">
        <w:rPr>
          <w:rFonts w:ascii="Book Antiqua" w:hAnsi="Book Antiqua"/>
          <w:color w:val="000000" w:themeColor="text1"/>
        </w:rPr>
        <w:t xml:space="preserve"> 26</w:t>
      </w:r>
      <w:r w:rsidR="00F94FA1" w:rsidRPr="005B1A16">
        <w:rPr>
          <w:rFonts w:ascii="Book Antiqua" w:eastAsia="SimSun" w:hAnsi="Book Antiqua"/>
          <w:color w:val="000000" w:themeColor="text1"/>
          <w:lang w:eastAsia="zh-CN"/>
        </w:rPr>
        <w:t>%</w:t>
      </w:r>
      <w:r w:rsidR="00F33009" w:rsidRPr="005B1A16">
        <w:rPr>
          <w:rFonts w:ascii="Book Antiqua" w:hAnsi="Book Antiqua"/>
          <w:color w:val="000000" w:themeColor="text1"/>
        </w:rPr>
        <w:t>).</w:t>
      </w:r>
      <w:r w:rsidR="00287F0B" w:rsidRPr="005B1A16">
        <w:rPr>
          <w:rFonts w:ascii="Book Antiqua" w:hAnsi="Book Antiqua"/>
          <w:color w:val="000000" w:themeColor="text1"/>
        </w:rPr>
        <w:t xml:space="preserve"> Induction of remission was reassessed in the ENCORE study which included 509 patients with CD evaluated through 3 induction doses over 8 </w:t>
      </w:r>
      <w:r w:rsidR="003B7447" w:rsidRPr="005B1A16">
        <w:rPr>
          <w:rFonts w:ascii="Book Antiqua" w:eastAsia="SimSun" w:hAnsi="Book Antiqua"/>
          <w:color w:val="000000" w:themeColor="text1"/>
          <w:lang w:eastAsia="zh-CN"/>
        </w:rPr>
        <w:t>wk</w:t>
      </w:r>
      <w:r w:rsidR="00287F0B" w:rsidRPr="005B1A16">
        <w:rPr>
          <w:rFonts w:ascii="Book Antiqua" w:hAnsi="Book Antiqua"/>
          <w:color w:val="000000" w:themeColor="text1"/>
        </w:rPr>
        <w:t>. At week 12, a greater proportion</w:t>
      </w:r>
      <w:r w:rsidR="006D2854" w:rsidRPr="005B1A16">
        <w:rPr>
          <w:rFonts w:ascii="Book Antiqua" w:hAnsi="Book Antiqua"/>
          <w:color w:val="000000" w:themeColor="text1"/>
        </w:rPr>
        <w:t xml:space="preserve"> </w:t>
      </w:r>
      <w:r w:rsidR="00287F0B" w:rsidRPr="005B1A16">
        <w:rPr>
          <w:rFonts w:ascii="Book Antiqua" w:hAnsi="Book Antiqua"/>
          <w:color w:val="000000" w:themeColor="text1"/>
        </w:rPr>
        <w:t xml:space="preserve">of patients on natalizumab were in remission as compared to placebo, 28% </w:t>
      </w:r>
      <w:r w:rsidR="00287F0B" w:rsidRPr="005B1A16">
        <w:rPr>
          <w:rFonts w:ascii="Book Antiqua" w:hAnsi="Book Antiqua"/>
          <w:i/>
          <w:color w:val="000000" w:themeColor="text1"/>
        </w:rPr>
        <w:t>vs</w:t>
      </w:r>
      <w:r w:rsidR="00287F0B" w:rsidRPr="005B1A16">
        <w:rPr>
          <w:rFonts w:ascii="Book Antiqua" w:hAnsi="Book Antiqua"/>
          <w:color w:val="000000" w:themeColor="text1"/>
        </w:rPr>
        <w:t xml:space="preserve"> 16% respectively</w:t>
      </w:r>
      <w:r w:rsidR="00D74633"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{"citationID":"avctk03ai6","properties":{"formattedCitation":"\\super [39]\\nosupersub{}","plainCitation":"[39]","noteIndex":0},"citationItems":[{"id":92,"uris":["http://zotero.org/users/4672422/items/8A4PQINM"],"uri":["http://zotero.org/users/4672422/items/8A4PQINM"],"itemData":{"id":92,"type":"article-journal","title":"Natalizumab for the treatment of active Crohn's disease: results of the ENCORE Trial","container-title":"Gastroenterology","page":"1672-1683","volume":"132","issue":"5","source":"PubMed","abstract":"BACKGROUND &amp; AIMS: A randomized placebo-controlled trial evaluated the efficacy of natalizumab induction therapy in patients with Crohn's disease.\nMETHODS: Patients (N = 509) with moderately to severely active Crohn's disease and active inflammation characterized by elevated C-reactive protein concentrations were randomized (1:1) to receive natalizumab 300 mg or placebo intravenously at Weeks 0, 4, and 8. The primary end point was induction of response (&gt; or =70-point decrease from baseline in the Crohn's Disease Activity Index score at Week 8 sustained through Week 12). Additional efficacy end points included the proportion of patients with sustained remission (Crohn's Disease Activity Index score &lt;150 points) and response or remission over time.\nRESULTS: Response at Week 8 sustained through Week 12 occurred in 48% of natalizumab-treated patients and 32% of patients receiving placebo (P &lt; .001). Sustained remission occurred in 26% of natalizumab-treated patients and 16% of patients receiving placebo (P = .002). Week 4 response rates were 51% for natalizumab and 37% for placebo (P = .001). Responses remained significantly higher at subsequent assessments (P &lt; .001) in natalizumab-treated patients. Natalizumab-treated patients also had significantly higher remission rates at Weeks 4, 8, and 12 (P &lt; or = .009). The frequency and types of adverse events were similar between treatment groups.\nCONCLUSIONS: Natalizumab induced response and remission at Week 8 that was sustained through Week 12. Response and remission rates for natalizumab were superior to those for placebo at Weeks 4, 8, and 12, demonstrating the early and sustained efficacy of natalizumab as induction therapy in patients with elevated C-reactive protein and active Crohn's disease. Natalizumab was well tolerated in this study.","DOI":"10.1053/j.gastro.2007.03.024","ISSN":"0016-5085","note":"PMID: 17484865","shortTitle":"Natalizumab for the treatment of active Crohn's disease","journalAbbreviation":"Gastroenterology","language":"eng","author":[{"family":"Targan","given":"Stephan R."},{"family":"Feagan","given":"Brian G."},{"family":"Fedorak","given":"Richard N."},{"family":"Lashner","given":"Bret A."},{"family":"Panaccione","given":"Remo"},{"family":"Present","given":"Daniel H."},{"family":"Spehlmann","given":"Martina E."},{"family":"Rutgeerts","given":"Paul J."},{"family":"Tulassay","given":"Zsolt"},{"family":"Volfova","given":"Miroslava"},{"family":"Wolf","given":"Douglas C."},{"family":"Hernandez","given":"Chito"},{"family":"Bornstein","given":"Jeffrey"},{"family":"Sandborn","given":"William J."},{"literal":"International Efficacy of Natalizumab in Crohn's Disease Response and Remission (ENCORE) Trial Group"}],"issued":{"date-parts":[["2007",5]]}}}],"schema":"https://github.com/citation-style-language/schema/raw/master/csl-citation.json"} </w:instrText>
      </w:r>
      <w:r w:rsidR="00D74633"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[39]</w:t>
      </w:r>
      <w:r w:rsidR="00D74633" w:rsidRPr="005B1A16">
        <w:rPr>
          <w:rFonts w:ascii="Book Antiqua" w:hAnsi="Book Antiqua"/>
          <w:color w:val="000000" w:themeColor="text1"/>
        </w:rPr>
        <w:fldChar w:fldCharType="end"/>
      </w:r>
      <w:r w:rsidR="00287F0B" w:rsidRPr="005B1A16">
        <w:rPr>
          <w:rFonts w:ascii="Book Antiqua" w:hAnsi="Book Antiqua"/>
          <w:color w:val="000000" w:themeColor="text1"/>
        </w:rPr>
        <w:t>.</w:t>
      </w:r>
      <w:r w:rsidR="006D2854" w:rsidRPr="005B1A16">
        <w:rPr>
          <w:rFonts w:ascii="Book Antiqua" w:hAnsi="Book Antiqua"/>
          <w:color w:val="000000" w:themeColor="text1"/>
        </w:rPr>
        <w:t xml:space="preserve">  </w:t>
      </w:r>
    </w:p>
    <w:p w14:paraId="24FD19BE" w14:textId="1C008AA7" w:rsidR="001A0D72" w:rsidRPr="005B1A16" w:rsidRDefault="00496A29" w:rsidP="005B1A16">
      <w:pPr>
        <w:spacing w:line="360" w:lineRule="auto"/>
        <w:ind w:firstLineChars="100" w:firstLine="240"/>
        <w:jc w:val="both"/>
        <w:rPr>
          <w:rFonts w:ascii="Book Antiqua" w:hAnsi="Book Antiqua"/>
          <w:color w:val="000000" w:themeColor="text1"/>
        </w:rPr>
      </w:pPr>
      <w:r w:rsidRPr="005B1A16">
        <w:rPr>
          <w:rFonts w:ascii="Book Antiqua" w:hAnsi="Book Antiqua"/>
          <w:color w:val="000000" w:themeColor="text1"/>
        </w:rPr>
        <w:t xml:space="preserve">Although natalizumab demonstrated good efficacy in luminal CD, </w:t>
      </w:r>
      <w:r w:rsidR="001A0D72" w:rsidRPr="005B1A16">
        <w:rPr>
          <w:rFonts w:ascii="Book Antiqua" w:hAnsi="Book Antiqua"/>
          <w:color w:val="000000" w:themeColor="text1"/>
        </w:rPr>
        <w:t>concerns related to serious infection surfaced. In an open-label extension of the ENACT-II trial, one patient died from JC virus-associated progressive multifocal leukoencephalopathy (PML)</w:t>
      </w:r>
      <w:r w:rsidR="0021525D"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{"citationID":"a2l33p4ekdh","properties":{"formattedCitation":"\\super [40]\\nosupersub{}","plainCitation":"[40]","noteIndex":0},"citationItems":[{"id":96,"uris":["http://zotero.org/users/4672422/items/YNLEN2YJ"],"uri":["http://zotero.org/users/4672422/items/YNLEN2YJ"],"itemData":{"id":96,"type":"article-journal","title":"Progressive multifocal leukoencephalopathy after natalizumab therapy for Crohn's disease","container-title":"The New England Journal of Medicine","page":"362-368","volume":"353","issue":"4","source":"PubMed","abstract":"The prior diagnosis of fatal astrocytoma in a 60-year-old man with Crohn's disease treated with natalizumab, a monoclonal antibody against alpha4 integrins, was reclassified as JC virus-related progressive multifocal leukoencephalopathy (PML). Analysis of frozen serum samples showed that JC virus DNA had appeared in the serum three months after the initiation of open-label natalizumab monotherapy and two months before the appearance of symptomatic PML. There was staining of the brain lesion for polyomavirus. This case report, along with two others, suggests that anti-alpha4-integrin therapy can result in JC virus-induced PML.","DOI":"10.1056/NEJMoa051586","ISSN":"1533-4406","note":"PMID: 15947080","journalAbbreviation":"N. Engl. J. Med.","language":"eng","author":[{"family":"Van Assche","given":"Gert"},{"family":"Van Ranst","given":"Marc"},{"family":"Sciot","given":"Raf"},{"family":"Dubois","given":"Bénédicte"},{"family":"Vermeire","given":"Séverine"},{"family":"Noman","given":"Maja"},{"family":"Verbeeck","given":"Jannick"},{"family":"Geboes","given":"Karel"},{"family":"Robberecht","given":"Wim"},{"family":"Rutgeerts","given":"Paul"}],"issued":{"date-parts":[["2005",7,28]]}}}],"schema":"https://github.com/citation-style-language/schema/raw/master/csl-citation.json"} </w:instrText>
      </w:r>
      <w:r w:rsidR="0021525D"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[40]</w:t>
      </w:r>
      <w:r w:rsidR="0021525D" w:rsidRPr="005B1A16">
        <w:rPr>
          <w:rFonts w:ascii="Book Antiqua" w:hAnsi="Book Antiqua"/>
          <w:color w:val="000000" w:themeColor="text1"/>
        </w:rPr>
        <w:fldChar w:fldCharType="end"/>
      </w:r>
      <w:r w:rsidR="001A0D72" w:rsidRPr="005B1A16">
        <w:rPr>
          <w:rFonts w:ascii="Book Antiqua" w:hAnsi="Book Antiqua"/>
          <w:color w:val="000000" w:themeColor="text1"/>
        </w:rPr>
        <w:t>. The association with PML and natalizumab was described in two other case reports on patients receiving treatment for multiple sclerosis</w:t>
      </w:r>
      <w:r w:rsidR="00582753"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{"citationID":"as08j6cja6","properties":{"formattedCitation":"\\super [41,42]\\nosupersub{}","plainCitation":"[41,42]","noteIndex":0},"citationItems":[{"id":100,"uris":["http://zotero.org/users/4672422/items/JK2Q75YS"],"uri":["http://zotero.org/users/4672422/items/JK2Q75YS"],"itemData":{"id":100,"type":"article-journal","title":"Progressive Multifocal Leukoencephalopathy Complicating Treatment with Natalizumab and Interferon Beta-1a for Multiple Sclerosis","container-title":"New England Journal of Medicine","page":"369-374","volume":"353","issue":"4","source":"CrossRef","URL":"http://www.nejm.org/doi/abs/10.1056/NEJMoa051782","DOI":"10.1056/NEJMoa051782","ISSN":"0028-4793, 1533-4406","language":"en","author":[{"family":"Kleinschmidt-DeMasters","given":"B.K."},{"family":"Tyler","given":"Kenneth L."}],"issued":{"date-parts":[["2005",7,28]]},"accessed":{"date-parts":[["2018",3,27]]}}},{"id":98,"uris":["http://zotero.org/users/4672422/items/8BWR6ZUQ"],"uri":["http://zotero.org/users/4672422/items/8BWR6ZUQ"],"itemData":{"id":98,"type":"article-journal","title":"Progressive multifocal leukoencephalopathy in a patient treated with natalizumab","container-title":"The New England Journal of Medicine","page":"375-381","volume":"353","issue":"4","source":"PubMed","abstract":"We describe the clinical course of a patient with multiple sclerosis in whom progressive multifocal leukoencephalopathy (PML), an opportunistic viral infection of the central nervous system, developed during treatment with interferon beta-1a and a selective adhesion-molecule blocker, natalizumab. The first PML lesion apparent on magnetic resonance imaging was indistinguishable from a multiple sclerosis lesion. Despite treatment with corticosteroids, cidofovir, and intravenous immune globulin, PML progressed rapidly, rendering the patient quadriparetic, globally aphasic, and minimally responsive. Three months after natalizumab therapy was discontinued, changes consistent with an immune-reconstitution inflammatory syndrome developed. The patient was treated with systemic cytarabine, and two months later, his condition had improved.","DOI":"10.1056/NEJMoa051847","ISSN":"1533-4406","note":"PMID: 15947078","journalAbbreviation":"N. Engl. J. Med.","language":"eng","author":[{"family":"Langer-Gould","given":"Annette"},{"family":"Atlas","given":"Scott W."},{"family":"Green","given":"Ari J."},{"family":"Bollen","given":"Andrew W."},{"family":"Pelletier","given":"Daniel"}],"issued":{"date-parts":[["2005",7,28]]}}}],"schema":"https://github.com/citation-style-language/schema/raw/master/csl-citation.json"} </w:instrText>
      </w:r>
      <w:r w:rsidR="00582753"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[41,42]</w:t>
      </w:r>
      <w:r w:rsidR="00582753" w:rsidRPr="005B1A16">
        <w:rPr>
          <w:rFonts w:ascii="Book Antiqua" w:hAnsi="Book Antiqua"/>
          <w:color w:val="000000" w:themeColor="text1"/>
        </w:rPr>
        <w:fldChar w:fldCharType="end"/>
      </w:r>
      <w:r w:rsidR="001A0D72" w:rsidRPr="005B1A16">
        <w:rPr>
          <w:rFonts w:ascii="Book Antiqua" w:hAnsi="Book Antiqua"/>
          <w:color w:val="000000" w:themeColor="text1"/>
        </w:rPr>
        <w:t xml:space="preserve">. </w:t>
      </w:r>
      <w:r w:rsidR="00E94635" w:rsidRPr="005B1A16">
        <w:rPr>
          <w:rFonts w:ascii="Book Antiqua" w:hAnsi="Book Antiqua"/>
          <w:color w:val="000000" w:themeColor="text1"/>
        </w:rPr>
        <w:t xml:space="preserve">Since the estimated risk for PML is 1 per 1000 patients, </w:t>
      </w:r>
      <w:r w:rsidR="001A0D72" w:rsidRPr="005B1A16">
        <w:rPr>
          <w:rFonts w:ascii="Book Antiqua" w:hAnsi="Book Antiqua"/>
          <w:color w:val="000000" w:themeColor="text1"/>
        </w:rPr>
        <w:t>JC virus antibody testing should be considered if natalizumab will be used</w:t>
      </w:r>
      <w:r w:rsidR="00092285" w:rsidRPr="005B1A16">
        <w:rPr>
          <w:rFonts w:ascii="Book Antiqua" w:hAnsi="Book Antiqua"/>
          <w:color w:val="000000" w:themeColor="text1"/>
        </w:rPr>
        <w:t xml:space="preserve"> in IBD</w:t>
      </w:r>
      <w:r w:rsidR="00E94635" w:rsidRPr="005B1A16">
        <w:rPr>
          <w:rFonts w:ascii="Book Antiqua" w:hAnsi="Book Antiqua"/>
          <w:color w:val="000000" w:themeColor="text1"/>
        </w:rPr>
        <w:t>.</w:t>
      </w:r>
      <w:r w:rsidR="001A0D72" w:rsidRPr="005B1A16">
        <w:rPr>
          <w:rFonts w:ascii="Book Antiqua" w:hAnsi="Book Antiqua"/>
          <w:color w:val="000000" w:themeColor="text1"/>
        </w:rPr>
        <w:t xml:space="preserve"> </w:t>
      </w:r>
    </w:p>
    <w:p w14:paraId="0B293F8C" w14:textId="77777777" w:rsidR="00D97924" w:rsidRPr="005B1A16" w:rsidRDefault="00D97924" w:rsidP="005B1A16">
      <w:pPr>
        <w:spacing w:line="360" w:lineRule="auto"/>
        <w:jc w:val="both"/>
        <w:outlineLvl w:val="0"/>
        <w:rPr>
          <w:rFonts w:ascii="Book Antiqua" w:eastAsia="SimSun" w:hAnsi="Book Antiqua"/>
          <w:color w:val="000000" w:themeColor="text1"/>
          <w:lang w:eastAsia="zh-CN"/>
        </w:rPr>
      </w:pPr>
    </w:p>
    <w:p w14:paraId="54486C7B" w14:textId="6A262D20" w:rsidR="0052502C" w:rsidRPr="005B1A16" w:rsidRDefault="004F6C73" w:rsidP="005B1A16">
      <w:pPr>
        <w:spacing w:line="360" w:lineRule="auto"/>
        <w:jc w:val="both"/>
        <w:outlineLvl w:val="0"/>
        <w:rPr>
          <w:rFonts w:ascii="Book Antiqua" w:eastAsia="SimSun" w:hAnsi="Book Antiqua"/>
          <w:i/>
          <w:color w:val="000000" w:themeColor="text1"/>
          <w:lang w:eastAsia="zh-CN"/>
        </w:rPr>
      </w:pPr>
      <w:r w:rsidRPr="005B1A16">
        <w:rPr>
          <w:rFonts w:ascii="Book Antiqua" w:hAnsi="Book Antiqua"/>
          <w:b/>
          <w:color w:val="000000" w:themeColor="text1"/>
        </w:rPr>
        <w:t>Vedolizumab</w:t>
      </w:r>
      <w:r w:rsidR="00D97924" w:rsidRPr="005B1A16">
        <w:rPr>
          <w:rFonts w:ascii="Book Antiqua" w:eastAsia="SimSun" w:hAnsi="Book Antiqua"/>
          <w:b/>
          <w:color w:val="000000" w:themeColor="text1"/>
          <w:lang w:eastAsia="zh-CN"/>
        </w:rPr>
        <w:t xml:space="preserve">: </w:t>
      </w:r>
      <w:r w:rsidR="00AD6786" w:rsidRPr="005B1A16">
        <w:rPr>
          <w:rFonts w:ascii="Book Antiqua" w:hAnsi="Book Antiqua"/>
          <w:color w:val="000000" w:themeColor="text1"/>
        </w:rPr>
        <w:t>Vedolizumab reduces lymphocyte migration into the gut by antagonizing the α</w:t>
      </w:r>
      <w:r w:rsidR="00AD6786" w:rsidRPr="005B1A16">
        <w:rPr>
          <w:rFonts w:ascii="Book Antiqua" w:hAnsi="Book Antiqua"/>
          <w:color w:val="000000" w:themeColor="text1"/>
          <w:vertAlign w:val="subscript"/>
        </w:rPr>
        <w:t>4</w:t>
      </w:r>
      <w:r w:rsidR="00AD6786" w:rsidRPr="005B1A16">
        <w:rPr>
          <w:rFonts w:ascii="Book Antiqua" w:hAnsi="Book Antiqua"/>
          <w:color w:val="000000" w:themeColor="text1"/>
        </w:rPr>
        <w:t>β</w:t>
      </w:r>
      <w:r w:rsidR="00AD6786" w:rsidRPr="005B1A16">
        <w:rPr>
          <w:rFonts w:ascii="Book Antiqua" w:hAnsi="Book Antiqua"/>
          <w:color w:val="000000" w:themeColor="text1"/>
          <w:vertAlign w:val="subscript"/>
        </w:rPr>
        <w:t>7</w:t>
      </w:r>
      <w:r w:rsidR="00AD6786" w:rsidRPr="005B1A16">
        <w:rPr>
          <w:rFonts w:ascii="Book Antiqua" w:hAnsi="Book Antiqua"/>
          <w:color w:val="000000" w:themeColor="text1"/>
        </w:rPr>
        <w:t> integrin mediated reacti</w:t>
      </w:r>
      <w:r w:rsidR="00FD1ED5" w:rsidRPr="005B1A16">
        <w:rPr>
          <w:rFonts w:ascii="Book Antiqua" w:hAnsi="Book Antiqua"/>
          <w:color w:val="000000" w:themeColor="text1"/>
        </w:rPr>
        <w:t>ons. In contrast to natalizumab</w:t>
      </w:r>
      <w:r w:rsidR="00AD6786" w:rsidRPr="005B1A16">
        <w:rPr>
          <w:rFonts w:ascii="Book Antiqua" w:hAnsi="Book Antiqua"/>
          <w:color w:val="000000" w:themeColor="text1"/>
        </w:rPr>
        <w:t xml:space="preserve"> it does not act on α</w:t>
      </w:r>
      <w:r w:rsidR="00AD6786" w:rsidRPr="005B1A16">
        <w:rPr>
          <w:rFonts w:ascii="Book Antiqua" w:hAnsi="Book Antiqua"/>
          <w:color w:val="000000" w:themeColor="text1"/>
          <w:vertAlign w:val="subscript"/>
        </w:rPr>
        <w:t>4</w:t>
      </w:r>
      <w:r w:rsidR="00AD6786" w:rsidRPr="005B1A16">
        <w:rPr>
          <w:rFonts w:ascii="Book Antiqua" w:hAnsi="Book Antiqua"/>
          <w:color w:val="000000" w:themeColor="text1"/>
        </w:rPr>
        <w:t>β</w:t>
      </w:r>
      <w:r w:rsidR="00AD6786" w:rsidRPr="005B1A16">
        <w:rPr>
          <w:rFonts w:ascii="Book Antiqua" w:hAnsi="Book Antiqua"/>
          <w:color w:val="000000" w:themeColor="text1"/>
          <w:vertAlign w:val="subscript"/>
        </w:rPr>
        <w:t>1</w:t>
      </w:r>
      <w:r w:rsidR="00AD6786" w:rsidRPr="005B1A16">
        <w:rPr>
          <w:rFonts w:ascii="Book Antiqua" w:hAnsi="Book Antiqua"/>
          <w:color w:val="000000" w:themeColor="text1"/>
        </w:rPr>
        <w:t> integrin</w:t>
      </w:r>
      <w:r w:rsidR="00FD1ED5" w:rsidRPr="005B1A16">
        <w:rPr>
          <w:rFonts w:ascii="Book Antiqua" w:hAnsi="Book Antiqua"/>
          <w:color w:val="000000" w:themeColor="text1"/>
        </w:rPr>
        <w:t>,</w:t>
      </w:r>
      <w:r w:rsidR="00AD6786" w:rsidRPr="005B1A16">
        <w:rPr>
          <w:rFonts w:ascii="Book Antiqua" w:hAnsi="Book Antiqua"/>
          <w:color w:val="000000" w:themeColor="text1"/>
        </w:rPr>
        <w:t xml:space="preserve"> </w:t>
      </w:r>
      <w:r w:rsidR="00FD1ED5" w:rsidRPr="005B1A16">
        <w:rPr>
          <w:rFonts w:ascii="Book Antiqua" w:hAnsi="Book Antiqua"/>
          <w:color w:val="000000" w:themeColor="text1"/>
        </w:rPr>
        <w:t xml:space="preserve">which is involved in brain lymphocyte trafficking, thus may </w:t>
      </w:r>
      <w:r w:rsidR="007E5961" w:rsidRPr="005B1A16">
        <w:rPr>
          <w:rFonts w:ascii="Book Antiqua" w:hAnsi="Book Antiqua"/>
          <w:color w:val="000000" w:themeColor="text1"/>
        </w:rPr>
        <w:t xml:space="preserve">have </w:t>
      </w:r>
      <w:r w:rsidR="00FD1ED5" w:rsidRPr="005B1A16">
        <w:rPr>
          <w:rFonts w:ascii="Book Antiqua" w:hAnsi="Book Antiqua"/>
          <w:color w:val="000000" w:themeColor="text1"/>
        </w:rPr>
        <w:t>lower risk for PML</w:t>
      </w:r>
      <w:r w:rsidR="00E34ADE"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{"citationID":"a16obdvngko","properties":{"formattedCitation":"\\super [43]\\nosupersub{}","plainCitation":"[43]","noteIndex":0},"citationItems":[{"id":101,"uris":["http://zotero.org/users/4672422/items/6TZGBW7V"],"uri":["http://zotero.org/users/4672422/items/6TZGBW7V"],"itemData":{"id":101,"type":"article-journal","title":"The binding specificity and selective antagonism of vedolizumab, an anti-alpha4beta7 integrin therapeutic antibody in development for inflammatory bowel diseases","container-title":"The Journal of Pharmacology and Experimental Therapeutics","page":"864-875","volume":"330","issue":"3","source":"PubMed","abstract":"Vedolizumab is a humanized monoclonal antibody that targets the alpha(4)beta(7) integrin exclusively, and modulates inflammation in the gastrointestinal tract without inducing the systemic immunosuppression that characterizes anti-alpha(4) chain monoclonal antibodies, such as natalizumab. This unique pharmacologic profile is largely attributable to four determinants. The first determinant is the restriction of the expression of the alpha(4)beta(7) integrin to subsets of leukocytes. Vedolizumab does not bind to the majority of memory CD4(+) T lymphocytes (60%), neutrophils, and most monocytes. The highest level of vedolizumab binding is to a subset (approximately 25%) of human peripheral blood memory CD4(+) T lymphocytes that include gut-homing interleukin 17 T-helper lymphocytes. Vedolizumab also binds to eosinophils at high levels, and to naive T-helper lymphocytes, naive and memory cytotoxic T lymphocytes, B lymphocytes, natural killer cells, and basophils at lower levels; vedolizumab binds to memory CD4(+) T and B lymphocytes with subnanomolar potency (EC(50) = 0.3-0.4 nM). The second determinant is binding specificity; vedolizumab binds exclusively to the alpha(4)beta(7) integrin, and not to the alpha(4)beta(1) and alpha(E)beta(7) integrins. The third determinant is selective antagonism; vedolizumab selectively inhibits adhesion of alpha(4)beta(7)-expressing cells to mucosal addressin cell adhesion molecule 1 (median inhibition concentration [IC(50)] = 0.02-0.06 microg/ml) and fibronectin (IC(50) = 0.02 microg/ml), but not vascular cell adhesion molecule 1. The fourth determinant is the gastrointestinal-specific tropism of the alpha(4)beta(7) integrin function. These pharmacologic properties of vedolizumab, in conjunction with the gastrointestinal tropism of alpha(4)beta(7) integrin function, may ultimately confer an improved risk-to-benefit profile for patients with inflammatory bowel diseases.","DOI":"10.1124/jpet.109.153973","ISSN":"1521-0103","note":"PMID: 19509315","journalAbbreviation":"J. Pharmacol. Exp. Ther.","language":"eng","author":[{"family":"Soler","given":"Dulce"},{"family":"Chapman","given":"Tobias"},{"family":"Yang","given":"Li-Li"},{"family":"Wyant","given":"Tim"},{"family":"Egan","given":"Robert"},{"family":"Fedyk","given":"Eric R."}],"issued":{"date-parts":[["2009",9]]}}}],"schema":"https://github.com/citation-style-language/schema/raw/master/csl-citation.json"} </w:instrText>
      </w:r>
      <w:r w:rsidR="00E34ADE"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[43]</w:t>
      </w:r>
      <w:r w:rsidR="00E34ADE" w:rsidRPr="005B1A16">
        <w:rPr>
          <w:rFonts w:ascii="Book Antiqua" w:hAnsi="Book Antiqua"/>
          <w:color w:val="000000" w:themeColor="text1"/>
        </w:rPr>
        <w:fldChar w:fldCharType="end"/>
      </w:r>
      <w:r w:rsidR="00FD1ED5" w:rsidRPr="005B1A16">
        <w:rPr>
          <w:rFonts w:ascii="Book Antiqua" w:hAnsi="Book Antiqua"/>
          <w:color w:val="000000" w:themeColor="text1"/>
        </w:rPr>
        <w:t xml:space="preserve">. </w:t>
      </w:r>
      <w:r w:rsidR="00E80743" w:rsidRPr="005B1A16">
        <w:rPr>
          <w:rFonts w:ascii="Book Antiqua" w:hAnsi="Book Antiqua"/>
          <w:color w:val="000000" w:themeColor="text1"/>
        </w:rPr>
        <w:t>Efficacy for its use</w:t>
      </w:r>
      <w:r w:rsidR="00E24F69" w:rsidRPr="005B1A16">
        <w:rPr>
          <w:rFonts w:ascii="Book Antiqua" w:hAnsi="Book Antiqua"/>
          <w:color w:val="000000" w:themeColor="text1"/>
        </w:rPr>
        <w:t xml:space="preserve"> as an induction and maintenance agent</w:t>
      </w:r>
      <w:r w:rsidR="00E80743" w:rsidRPr="005B1A16">
        <w:rPr>
          <w:rFonts w:ascii="Book Antiqua" w:hAnsi="Book Antiqua"/>
          <w:color w:val="000000" w:themeColor="text1"/>
        </w:rPr>
        <w:t xml:space="preserve"> in CD was demonstrated in the </w:t>
      </w:r>
      <w:r w:rsidR="00E24F69" w:rsidRPr="005B1A16">
        <w:rPr>
          <w:rFonts w:ascii="Book Antiqua" w:hAnsi="Book Antiqua"/>
          <w:color w:val="000000" w:themeColor="text1"/>
        </w:rPr>
        <w:t>GEMINI-II trial</w:t>
      </w:r>
      <w:r w:rsidR="0033550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{"citationID":"a1e958pnp73","properties":{"formattedCitation":"\\super [44]\\nosupersub{}","plainCitation":"[44]","noteIndex":0},"citationItems":[{"id":103,"uris":["http://zotero.org/users/4672422/items/4XRWMJ2W"],"uri":["http://zotero.org/users/4672422/items/4XRWMJ2W"],"itemData":{"id":103,"type":"article-journal","title":"Vedolizumab as induction and maintenance therapy for Crohn's disease","container-title":"The New England Journal of Medicine","page":"711-721","volume":"369","issue":"8","source":"PubMed","abstract":"BACKGROUND: The efficacy of vedolizumab, an α4β7 integrin antibody, in Crohn's disease is unknown.\nMETHODS: In an integrated study with separate induction and maintenance trials, we assessed intravenous vedolizumab therapy (300 mg) in adults with active Crohn's disease. In the induction trial, 368 patients were randomly assigned to receive vedolizumab or placebo at weeks 0 and 2 (cohort 1), and 747 patients received open-label vedolizumab at weeks 0 and 2 (cohort 2); disease status was assessed at week 6. In the maintenance trial, 461 patients who had had a response to vedolizumab were randomly assigned to receive placebo or vedolizumab every 8 or 4 weeks until week 52.\nRESULTS: At week 6, a total of 14.5% of the patients in cohort 1 who received vedolizumab and 6.8% who received placebo were in clinical remission (i.e., had a score on the Crohn's Disease Activity Index [CDAI] of ≤150, with scores ranging from 0 to approximately 600 and higher scores indicating greater disease activity) (P=0.02); a total of 31.4% and 25.7% of the patients, respectively, had a CDAI-100 response (≥100-point decrease in the CDAI score) (P=0.23). Among patients in cohorts 1 and 2 who had a response to induction therapy, 39.0% and 36.4% of those assigned to vedolizumab every 8 weeks and every 4 weeks, respectively, were in clinical remission at week 52, as compared with 21.6% assigned to placebo (P&lt;0.001 and P=0.004 for the two vedolizumab groups, respectively, vs. placebo). Antibodies against vedolizumab developed in 4.0% of the patients. Nasopharyngitis occurred more frequently, and headache and abdominal pain less frequently, in patients receiving vedolizumab than in patients receiving placebo. Vedolizumab, as compared with placebo, was associated with a higher rate of serious adverse events (24.4% vs. 15.3%), infections (44.1% vs. 40.2%), and serious infections (5.5% vs. 3.0%).\nCONCLUSIONS: Vedolizumab-treated patients with active Crohn's disease were more likely than patients receiving placebo to have a remission, but not a CDAI-100 response, at week 6; patients with a response to induction therapy who continued to receive vedolizumab (rather than switching to placebo) were more likely to be in remission at week 52. Adverse events were more common with vedolizumab. (Funded by Millennium Pharmaceuticals; GEMINI 2 ClinicalTrials.gov number, NCT00783692.).","DOI":"10.1056/NEJMoa1215739","ISSN":"1533-4406","note":"PMID: 23964933","journalAbbreviation":"N. Engl. J. Med.","language":"eng","author":[{"family":"Sandborn","given":"William J."},{"family":"Feagan","given":"Brian G."},{"family":"Rutgeerts","given":"Paul"},{"family":"Hanauer","given":"Stephen"},{"family":"Colombel","given":"Jean-Frédéric"},{"family":"Sands","given":"Bruce E."},{"family":"Lukas","given":"Milan"},{"family":"Fedorak","given":"Richard N."},{"family":"Lee","given":"Scott"},{"family":"Bressler","given":"Brian"},{"family":"Fox","given":"Irving"},{"family":"Rosario","given":"Maria"},{"family":"Sankoh","given":"Serap"},{"family":"Xu","given":"Jing"},{"family":"Stephens","given":"Kristin"},{"family":"Milch","given":"Catherine"},{"family":"Parikh","given":"Asit"},{"literal":"GEMINI 2 Study Group"}],"issued":{"date-parts":[["2013",8,22]]}}}],"schema":"https://github.com/citation-style-language/schema/raw/master/csl-citation.json"} </w:instrText>
      </w:r>
      <w:r w:rsidR="0033550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[44]</w:t>
      </w:r>
      <w:r w:rsidR="0033550A" w:rsidRPr="005B1A16">
        <w:rPr>
          <w:rFonts w:ascii="Book Antiqua" w:hAnsi="Book Antiqua"/>
          <w:color w:val="000000" w:themeColor="text1"/>
        </w:rPr>
        <w:fldChar w:fldCharType="end"/>
      </w:r>
      <w:r w:rsidR="00E24F69" w:rsidRPr="005B1A16">
        <w:rPr>
          <w:rFonts w:ascii="Book Antiqua" w:hAnsi="Book Antiqua"/>
          <w:color w:val="000000" w:themeColor="text1"/>
        </w:rPr>
        <w:t xml:space="preserve">. </w:t>
      </w:r>
      <w:r w:rsidR="00A07566" w:rsidRPr="005B1A16">
        <w:rPr>
          <w:rFonts w:ascii="Book Antiqua" w:hAnsi="Book Antiqua"/>
          <w:color w:val="000000" w:themeColor="text1"/>
        </w:rPr>
        <w:t xml:space="preserve">In the induction </w:t>
      </w:r>
      <w:r w:rsidR="009D7340" w:rsidRPr="005B1A16">
        <w:rPr>
          <w:rFonts w:ascii="Book Antiqua" w:hAnsi="Book Antiqua"/>
          <w:color w:val="000000" w:themeColor="text1"/>
        </w:rPr>
        <w:t xml:space="preserve">component of the </w:t>
      </w:r>
      <w:r w:rsidR="00A07566" w:rsidRPr="005B1A16">
        <w:rPr>
          <w:rFonts w:ascii="Book Antiqua" w:hAnsi="Book Antiqua"/>
          <w:color w:val="000000" w:themeColor="text1"/>
        </w:rPr>
        <w:t>trial, 368 patients were randomized to placebo or vedolizumab and 747 patients received open-label vedolizumab</w:t>
      </w:r>
      <w:r w:rsidR="00C60C05" w:rsidRPr="005B1A16">
        <w:rPr>
          <w:rFonts w:ascii="Book Antiqua" w:hAnsi="Book Antiqua"/>
          <w:color w:val="000000" w:themeColor="text1"/>
        </w:rPr>
        <w:t xml:space="preserve">. Approximately 50% of all patients had failed </w:t>
      </w:r>
      <w:r w:rsidR="003C5FFA" w:rsidRPr="005B1A16">
        <w:rPr>
          <w:rFonts w:ascii="Book Antiqua" w:hAnsi="Book Antiqua"/>
          <w:color w:val="000000" w:themeColor="text1"/>
        </w:rPr>
        <w:t xml:space="preserve">at least </w:t>
      </w:r>
      <w:r w:rsidR="00C60C05" w:rsidRPr="005B1A16">
        <w:rPr>
          <w:rFonts w:ascii="Book Antiqua" w:hAnsi="Book Antiqua"/>
          <w:color w:val="000000" w:themeColor="text1"/>
        </w:rPr>
        <w:t>one anti-TNF prior to enrolling in the study</w:t>
      </w:r>
      <w:r w:rsidR="00A07566" w:rsidRPr="005B1A16">
        <w:rPr>
          <w:rFonts w:ascii="Book Antiqua" w:hAnsi="Book Antiqua"/>
          <w:color w:val="000000" w:themeColor="text1"/>
        </w:rPr>
        <w:t xml:space="preserve">. </w:t>
      </w:r>
      <w:r w:rsidR="00DA2D98" w:rsidRPr="005B1A16">
        <w:rPr>
          <w:rFonts w:ascii="Book Antiqua" w:hAnsi="Book Antiqua"/>
          <w:color w:val="000000" w:themeColor="text1"/>
        </w:rPr>
        <w:t xml:space="preserve">Although clinical remission was achieved in a significantly greater proportion of patients </w:t>
      </w:r>
      <w:r w:rsidR="000E7FCB" w:rsidRPr="005B1A16">
        <w:rPr>
          <w:rFonts w:ascii="Book Antiqua" w:hAnsi="Book Antiqua"/>
          <w:color w:val="000000" w:themeColor="text1"/>
        </w:rPr>
        <w:t>taking</w:t>
      </w:r>
      <w:r w:rsidR="00DA2D98" w:rsidRPr="005B1A16">
        <w:rPr>
          <w:rFonts w:ascii="Book Antiqua" w:hAnsi="Book Antiqua"/>
          <w:color w:val="000000" w:themeColor="text1"/>
        </w:rPr>
        <w:t xml:space="preserve"> vedolizumab as compared to placebo at week 6 (14.5% </w:t>
      </w:r>
      <w:r w:rsidR="00DA2D98" w:rsidRPr="005B1A16">
        <w:rPr>
          <w:rFonts w:ascii="Book Antiqua" w:hAnsi="Book Antiqua"/>
          <w:i/>
          <w:color w:val="000000" w:themeColor="text1"/>
        </w:rPr>
        <w:t>vs</w:t>
      </w:r>
      <w:r w:rsidR="00DA2D98" w:rsidRPr="005B1A16">
        <w:rPr>
          <w:rFonts w:ascii="Book Antiqua" w:hAnsi="Book Antiqua"/>
          <w:color w:val="000000" w:themeColor="text1"/>
        </w:rPr>
        <w:t xml:space="preserve"> 6.8%, respectively), there was no significant difference in CDAI scores greater than 100 </w:t>
      </w:r>
      <w:r w:rsidR="00DE4776" w:rsidRPr="005B1A16">
        <w:rPr>
          <w:rFonts w:ascii="Book Antiqua" w:hAnsi="Book Antiqua"/>
          <w:color w:val="000000" w:themeColor="text1"/>
        </w:rPr>
        <w:t xml:space="preserve">(CDAI-100 score) </w:t>
      </w:r>
      <w:r w:rsidR="000E7FCB" w:rsidRPr="005B1A16">
        <w:rPr>
          <w:rFonts w:ascii="Book Antiqua" w:hAnsi="Book Antiqua"/>
          <w:color w:val="000000" w:themeColor="text1"/>
        </w:rPr>
        <w:t xml:space="preserve">or CRP levels </w:t>
      </w:r>
      <w:r w:rsidR="00DA2D98" w:rsidRPr="005B1A16">
        <w:rPr>
          <w:rFonts w:ascii="Book Antiqua" w:hAnsi="Book Antiqua"/>
          <w:color w:val="000000" w:themeColor="text1"/>
        </w:rPr>
        <w:t xml:space="preserve">between groups. </w:t>
      </w:r>
      <w:r w:rsidR="00790880" w:rsidRPr="005B1A16">
        <w:rPr>
          <w:rFonts w:ascii="Book Antiqua" w:hAnsi="Book Antiqua"/>
          <w:color w:val="000000" w:themeColor="text1"/>
        </w:rPr>
        <w:t xml:space="preserve">However, </w:t>
      </w:r>
      <w:r w:rsidR="00410E7E" w:rsidRPr="005B1A16">
        <w:rPr>
          <w:rFonts w:ascii="Book Antiqua" w:hAnsi="Book Antiqua"/>
          <w:color w:val="000000" w:themeColor="text1"/>
        </w:rPr>
        <w:t>nearly twice as many patients in the vedolizumab</w:t>
      </w:r>
      <w:r w:rsidR="00790880" w:rsidRPr="005B1A16">
        <w:rPr>
          <w:rFonts w:ascii="Book Antiqua" w:hAnsi="Book Antiqua"/>
          <w:color w:val="000000" w:themeColor="text1"/>
        </w:rPr>
        <w:t xml:space="preserve"> maintenance</w:t>
      </w:r>
      <w:r w:rsidR="00410E7E" w:rsidRPr="005B1A16">
        <w:rPr>
          <w:rFonts w:ascii="Book Antiqua" w:hAnsi="Book Antiqua"/>
          <w:color w:val="000000" w:themeColor="text1"/>
        </w:rPr>
        <w:t xml:space="preserve"> groups were in clinical </w:t>
      </w:r>
      <w:r w:rsidR="00410E7E" w:rsidRPr="005B1A16">
        <w:rPr>
          <w:rFonts w:ascii="Book Antiqua" w:hAnsi="Book Antiqua"/>
          <w:color w:val="000000" w:themeColor="text1"/>
        </w:rPr>
        <w:lastRenderedPageBreak/>
        <w:t xml:space="preserve">remission as compared to the placebo group (39% </w:t>
      </w:r>
      <w:r w:rsidR="00410E7E" w:rsidRPr="005B1A16">
        <w:rPr>
          <w:rFonts w:ascii="Book Antiqua" w:hAnsi="Book Antiqua"/>
          <w:i/>
          <w:color w:val="000000" w:themeColor="text1"/>
        </w:rPr>
        <w:t>vs</w:t>
      </w:r>
      <w:r w:rsidR="00410E7E" w:rsidRPr="005B1A16">
        <w:rPr>
          <w:rFonts w:ascii="Book Antiqua" w:hAnsi="Book Antiqua"/>
          <w:color w:val="000000" w:themeColor="text1"/>
        </w:rPr>
        <w:t xml:space="preserve"> 21.6% respectively). </w:t>
      </w:r>
      <w:r w:rsidR="00DE4776" w:rsidRPr="005B1A16">
        <w:rPr>
          <w:rFonts w:ascii="Book Antiqua" w:hAnsi="Book Antiqua"/>
          <w:color w:val="000000" w:themeColor="text1"/>
        </w:rPr>
        <w:t xml:space="preserve">Significant differences in favor of maintenance therapy over placebo were demonstrated in the CRP and the CDAI-100 score. Fistulization also improved as compared to placebo in the small group of patients on vedolizumab every 8 </w:t>
      </w:r>
      <w:r w:rsidR="00EC7ED6" w:rsidRPr="005B1A16">
        <w:rPr>
          <w:rFonts w:ascii="Book Antiqua" w:eastAsia="SimSun" w:hAnsi="Book Antiqua"/>
          <w:color w:val="000000" w:themeColor="text1"/>
          <w:lang w:eastAsia="zh-CN"/>
        </w:rPr>
        <w:t>wk</w:t>
      </w:r>
      <w:r w:rsidR="00DE4776" w:rsidRPr="005B1A16">
        <w:rPr>
          <w:rFonts w:ascii="Book Antiqua" w:hAnsi="Book Antiqua"/>
          <w:color w:val="000000" w:themeColor="text1"/>
        </w:rPr>
        <w:t xml:space="preserve"> (</w:t>
      </w:r>
      <w:r w:rsidR="00DE4776" w:rsidRPr="005B1A16">
        <w:rPr>
          <w:rFonts w:ascii="Book Antiqua" w:hAnsi="Book Antiqua"/>
          <w:i/>
          <w:color w:val="000000" w:themeColor="text1"/>
        </w:rPr>
        <w:t>n</w:t>
      </w:r>
      <w:r w:rsidR="00DE4776" w:rsidRPr="005B1A16">
        <w:rPr>
          <w:rFonts w:ascii="Book Antiqua" w:hAnsi="Book Antiqua"/>
          <w:color w:val="000000" w:themeColor="text1"/>
        </w:rPr>
        <w:t xml:space="preserve"> = 17) but </w:t>
      </w:r>
      <w:r w:rsidR="00484EEA" w:rsidRPr="005B1A16">
        <w:rPr>
          <w:rFonts w:ascii="Book Antiqua" w:hAnsi="Book Antiqua"/>
          <w:color w:val="000000" w:themeColor="text1"/>
        </w:rPr>
        <w:t xml:space="preserve">not in the small group taking vedolizumab every 4 </w:t>
      </w:r>
      <w:r w:rsidR="00EC7ED6" w:rsidRPr="005B1A16">
        <w:rPr>
          <w:rFonts w:ascii="Book Antiqua" w:eastAsia="SimSun" w:hAnsi="Book Antiqua"/>
          <w:color w:val="000000" w:themeColor="text1"/>
          <w:lang w:eastAsia="zh-CN"/>
        </w:rPr>
        <w:t>wk</w:t>
      </w:r>
      <w:r w:rsidR="00783230"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{"citationID":"a27elaqeckg","properties":{"formattedCitation":"\\super [44]\\nosupersub{}","plainCitation":"[44]","noteIndex":0},"citationItems":[{"id":103,"uris":["http://zotero.org/users/4672422/items/4XRWMJ2W"],"uri":["http://zotero.org/users/4672422/items/4XRWMJ2W"],"itemData":{"id":103,"type":"article-journal","title":"Vedolizumab as induction and maintenance therapy for Crohn's disease","container-title":"The New England Journal of Medicine","page":"711-721","volume":"369","issue":"8","source":"PubMed","abstract":"BACKGROUND: The efficacy of vedolizumab, an α4β7 integrin antibody, in Crohn's disease is unknown.\nMETHODS: In an integrated study with separate induction and maintenance trials, we assessed intravenous vedolizumab therapy (300 mg) in adults with active Crohn's disease. In the induction trial, 368 patients were randomly assigned to receive vedolizumab or placebo at weeks 0 and 2 (cohort 1), and 747 patients received open-label vedolizumab at weeks 0 and 2 (cohort 2); disease status was assessed at week 6. In the maintenance trial, 461 patients who had had a response to vedolizumab were randomly assigned to receive placebo or vedolizumab every 8 or 4 weeks until week 52.\nRESULTS: At week 6, a total of 14.5% of the patients in cohort 1 who received vedolizumab and 6.8% who received placebo were in clinical remission (i.e., had a score on the Crohn's Disease Activity Index [CDAI] of ≤150, with scores ranging from 0 to approximately 600 and higher scores indicating greater disease activity) (P=0.02); a total of 31.4% and 25.7% of the patients, respectively, had a CDAI-100 response (≥100-point decrease in the CDAI score) (P=0.23). Among patients in cohorts 1 and 2 who had a response to induction therapy, 39.0% and 36.4% of those assigned to vedolizumab every 8 weeks and every 4 weeks, respectively, were in clinical remission at week 52, as compared with 21.6% assigned to placebo (P&lt;0.001 and P=0.004 for the two vedolizumab groups, respectively, vs. placebo). Antibodies against vedolizumab developed in 4.0% of the patients. Nasopharyngitis occurred more frequently, and headache and abdominal pain less frequently, in patients receiving vedolizumab than in patients receiving placebo. Vedolizumab, as compared with placebo, was associated with a higher rate of serious adverse events (24.4% vs. 15.3%), infections (44.1% vs. 40.2%), and serious infections (5.5% vs. 3.0%).\nCONCLUSIONS: Vedolizumab-treated patients with active Crohn's disease were more likely than patients receiving placebo to have a remission, but not a CDAI-100 response, at week 6; patients with a response to induction therapy who continued to receive vedolizumab (rather than switching to placebo) were more likely to be in remission at week 52. Adverse events were more common with vedolizumab. (Funded by Millennium Pharmaceuticals; GEMINI 2 ClinicalTrials.gov number, NCT00783692.).","DOI":"10.1056/NEJMoa1215739","ISSN":"1533-4406","note":"PMID: 23964933","journalAbbreviation":"N. Engl. J. Med.","language":"eng","author":[{"family":"Sandborn","given":"William J."},{"family":"Feagan","given":"Brian G."},{"family":"Rutgeerts","given":"Paul"},{"family":"Hanauer","given":"Stephen"},{"family":"Colombel","given":"Jean-Frédéric"},{"family":"Sands","given":"Bruce E."},{"family":"Lukas","given":"Milan"},{"family":"Fedorak","given":"Richard N."},{"family":"Lee","given":"Scott"},{"family":"Bressler","given":"Brian"},{"family":"Fox","given":"Irving"},{"family":"Rosario","given":"Maria"},{"family":"Sankoh","given":"Serap"},{"family":"Xu","given":"Jing"},{"family":"Stephens","given":"Kristin"},{"family":"Milch","given":"Catherine"},{"family":"Parikh","given":"Asit"},{"literal":"GEMINI 2 Study Group"}],"issued":{"date-parts":[["2013",8,22]]}}}],"schema":"https://github.com/citation-style-language/schema/raw/master/csl-citation.json"} </w:instrText>
      </w:r>
      <w:r w:rsidR="00783230"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[44]</w:t>
      </w:r>
      <w:r w:rsidR="00783230" w:rsidRPr="005B1A16">
        <w:rPr>
          <w:rFonts w:ascii="Book Antiqua" w:hAnsi="Book Antiqua"/>
          <w:color w:val="000000" w:themeColor="text1"/>
        </w:rPr>
        <w:fldChar w:fldCharType="end"/>
      </w:r>
      <w:r w:rsidR="00484EEA" w:rsidRPr="005B1A16">
        <w:rPr>
          <w:rFonts w:ascii="Book Antiqua" w:hAnsi="Book Antiqua"/>
          <w:color w:val="000000" w:themeColor="text1"/>
        </w:rPr>
        <w:t xml:space="preserve">. </w:t>
      </w:r>
      <w:r w:rsidR="009D7340" w:rsidRPr="005B1A16">
        <w:rPr>
          <w:rFonts w:ascii="Book Antiqua" w:hAnsi="Book Antiqua"/>
          <w:color w:val="000000" w:themeColor="text1"/>
        </w:rPr>
        <w:t xml:space="preserve">Acknowledging </w:t>
      </w:r>
      <w:r w:rsidR="00D73E62" w:rsidRPr="005B1A16">
        <w:rPr>
          <w:rFonts w:ascii="Book Antiqua" w:hAnsi="Book Antiqua"/>
          <w:color w:val="000000" w:themeColor="text1"/>
        </w:rPr>
        <w:t xml:space="preserve">that </w:t>
      </w:r>
      <w:r w:rsidR="009D7340" w:rsidRPr="005B1A16">
        <w:rPr>
          <w:rFonts w:ascii="Book Antiqua" w:hAnsi="Book Antiqua"/>
          <w:color w:val="000000" w:themeColor="text1"/>
        </w:rPr>
        <w:t>subjects recruited for this study had likely more aggressive disease than the aforementioned biologic-naïve anti-TNF studies discussed</w:t>
      </w:r>
      <w:r w:rsidR="00484EEA" w:rsidRPr="005B1A16">
        <w:rPr>
          <w:rFonts w:ascii="Book Antiqua" w:hAnsi="Book Antiqua"/>
          <w:color w:val="000000" w:themeColor="text1"/>
        </w:rPr>
        <w:t xml:space="preserve">, </w:t>
      </w:r>
      <w:r w:rsidR="001E5E71" w:rsidRPr="005B1A16">
        <w:rPr>
          <w:rFonts w:ascii="Book Antiqua" w:hAnsi="Book Antiqua"/>
          <w:color w:val="000000" w:themeColor="text1"/>
        </w:rPr>
        <w:t>vedolizumab is efficacious for luminal and possibly fistulising disease but may not provide as effective and efficient induction as compared to anti-TNF therapy. This has also been supported in network meta-analyses</w:t>
      </w:r>
      <w:r w:rsidR="00783230"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{"citationID":"a7b7s0klvo","properties":{"formattedCitation":"\\super [45]\\nosupersub{}","plainCitation":"[45]","noteIndex":0},"citationItems":[{"id":105,"uris":["http://zotero.org/users/4672422/items/8JKC9CEF"],"uri":["http://zotero.org/users/4672422/items/8JKC9CEF"],"itemData":{"id":105,"type":"article-journal","title":"Comparative efficacy of biologic therapy in biologic-naïve patients with Crohn disease: a systematic review and network meta-analysis","container-title":"Mayo Clinic Proceedings","page":"1621-1635","volume":"89","issue":"12","source":"PubMed","abstract":"OBJECTIVE: To study the comparative efficacy of biologic therapy in the management of biologic-naïve patients with Crohn disease (CD).\nPATIENTS AND METHODS: We conducted a systematic review of randomized controlled trials published from January 1, 1985, through September 30, 2013, comparing biologic agents (infliximab [IFX], adalimumab [ADA], certolizumab pegol, natalizumab, vedolizumab, and ustekinumab) with each other or placebo for inducing and maintaining clinical remission in adults with moderate to severe CD. To increase comparability across trials, we focused on a subset of biologic-naïve patients for the induction end point and on responders to induction therapy for the maintenance end point. We followed a Bayesian network meta-analysis approach.\nRESULTS: We identified 17 randomized controlled trials of good methodological quality comparing 6 biologic agents with placebo, with no direct comparison of biologic agents. In network meta-analysis, we observed that IFX (relative risk [RR], 6.11; 95% credible interval [CrI], 2.49-18.29) and ADA (RR, 2.98; 95% CrI, 1.12-8.18), but not certolizumab pegol (RR, 1.48; 95% CrI, 0.76-2.93), natalizumab (RR, 1.36; 95% CrI, 0.69-2.86), vedolizumab (RR, 1.40; 95% CrI, 0.63-3.28), and ustekinumab (RR, 0.61; 95% CrI, 0.15-2.49), were more likely to induce remission than placebo. Similar results were observed for maintenance of remission. Infliximab had the highest probability of being ranked as the most efficacious agent for induction (86%) and ADA for maintenance of remission (48%).\nCONCLUSION: On the basis of network meta-analysis, IFX may be most efficacious agent for inducing remission in CD in biologic-naïve patients. In the absence of head-to-head treatment comparison, the confidence in these estimates is low. Future comparative efficacy studies are warranted.","DOI":"10.1016/j.mayocp.2014.08.019","ISSN":"1942-5546","note":"PMID: 25441399","shortTitle":"Comparative efficacy of biologic therapy in biologic-naïve patients with Crohn disease","journalAbbreviation":"Mayo Clin. Proc.","language":"eng","author":[{"family":"Singh","given":"Siddharth"},{"family":"Garg","given":"Sushil Kumar"},{"family":"Pardi","given":"Darrell S."},{"family":"Wang","given":"Zhen"},{"family":"Murad","given":"Mohammad Hassan"},{"family":"Loftus","given":"Edward V."}],"issued":{"date-parts":[["2014",12]]}}}],"schema":"https://github.com/citation-style-language/schema/raw/master/csl-citation.json"} </w:instrText>
      </w:r>
      <w:r w:rsidR="00783230"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[45]</w:t>
      </w:r>
      <w:r w:rsidR="00783230" w:rsidRPr="005B1A16">
        <w:rPr>
          <w:rFonts w:ascii="Book Antiqua" w:hAnsi="Book Antiqua"/>
          <w:color w:val="000000" w:themeColor="text1"/>
        </w:rPr>
        <w:fldChar w:fldCharType="end"/>
      </w:r>
      <w:r w:rsidR="001E5E71" w:rsidRPr="005B1A16">
        <w:rPr>
          <w:rFonts w:ascii="Book Antiqua" w:hAnsi="Book Antiqua"/>
          <w:color w:val="000000" w:themeColor="text1"/>
        </w:rPr>
        <w:t xml:space="preserve">. </w:t>
      </w:r>
      <w:r w:rsidR="00CA2CC6" w:rsidRPr="005B1A16">
        <w:rPr>
          <w:rFonts w:ascii="Book Antiqua" w:hAnsi="Book Antiqua"/>
          <w:color w:val="000000" w:themeColor="text1"/>
        </w:rPr>
        <w:t>As such, if rapid induction is required then physicians prescribing vedolizumab should be aware of the potentially slow</w:t>
      </w:r>
      <w:r w:rsidR="00092285" w:rsidRPr="005B1A16">
        <w:rPr>
          <w:rFonts w:ascii="Book Antiqua" w:hAnsi="Book Antiqua"/>
          <w:color w:val="000000" w:themeColor="text1"/>
        </w:rPr>
        <w:t>er</w:t>
      </w:r>
      <w:r w:rsidR="00CA2CC6" w:rsidRPr="005B1A16">
        <w:rPr>
          <w:rFonts w:ascii="Book Antiqua" w:hAnsi="Book Antiqua"/>
          <w:color w:val="000000" w:themeColor="text1"/>
        </w:rPr>
        <w:t xml:space="preserve"> onset of action and consideration for the concomitant use of faster-acting induction agents (</w:t>
      </w:r>
      <w:r w:rsidR="00CA2CC6" w:rsidRPr="005B1A16">
        <w:rPr>
          <w:rFonts w:ascii="Book Antiqua" w:hAnsi="Book Antiqua"/>
          <w:i/>
          <w:color w:val="000000" w:themeColor="text1"/>
        </w:rPr>
        <w:t>e.g.</w:t>
      </w:r>
      <w:r w:rsidR="00C82C79" w:rsidRPr="005B1A16">
        <w:rPr>
          <w:rFonts w:ascii="Book Antiqua" w:eastAsia="SimSun" w:hAnsi="Book Antiqua"/>
          <w:color w:val="000000" w:themeColor="text1"/>
          <w:lang w:eastAsia="zh-CN"/>
        </w:rPr>
        <w:t>,</w:t>
      </w:r>
      <w:r w:rsidR="00CA2CC6" w:rsidRPr="005B1A16">
        <w:rPr>
          <w:rFonts w:ascii="Book Antiqua" w:hAnsi="Book Antiqua"/>
          <w:color w:val="000000" w:themeColor="text1"/>
        </w:rPr>
        <w:t xml:space="preserve"> corticosteroids) to bridge the patient</w:t>
      </w:r>
      <w:r w:rsidR="00092285" w:rsidRPr="005B1A16">
        <w:rPr>
          <w:rFonts w:ascii="Book Antiqua" w:hAnsi="Book Antiqua"/>
          <w:color w:val="000000" w:themeColor="text1"/>
        </w:rPr>
        <w:t xml:space="preserve"> symptomatically</w:t>
      </w:r>
      <w:r w:rsidR="00CA2CC6" w:rsidRPr="005B1A16">
        <w:rPr>
          <w:rFonts w:ascii="Book Antiqua" w:hAnsi="Book Antiqua"/>
          <w:color w:val="000000" w:themeColor="text1"/>
        </w:rPr>
        <w:t xml:space="preserve">. </w:t>
      </w:r>
    </w:p>
    <w:p w14:paraId="7EA7F3FA" w14:textId="4A6E5C17" w:rsidR="00475978" w:rsidRPr="005B1A16" w:rsidRDefault="0052502C" w:rsidP="005B1A16">
      <w:pPr>
        <w:spacing w:line="360" w:lineRule="auto"/>
        <w:ind w:firstLineChars="100" w:firstLine="240"/>
        <w:jc w:val="both"/>
        <w:rPr>
          <w:rFonts w:ascii="Book Antiqua" w:hAnsi="Book Antiqua"/>
          <w:color w:val="000000" w:themeColor="text1"/>
        </w:rPr>
      </w:pPr>
      <w:r w:rsidRPr="005B1A16">
        <w:rPr>
          <w:rFonts w:ascii="Book Antiqua" w:hAnsi="Book Antiqua"/>
          <w:color w:val="000000" w:themeColor="text1"/>
        </w:rPr>
        <w:t xml:space="preserve">A common reason for using vedolizumab as first line treatment in IBD is the assumption of the reduced risk for infection given </w:t>
      </w:r>
      <w:r w:rsidR="00661D61" w:rsidRPr="005B1A16">
        <w:rPr>
          <w:rFonts w:ascii="Book Antiqua" w:hAnsi="Book Antiqua"/>
          <w:color w:val="000000" w:themeColor="text1"/>
        </w:rPr>
        <w:t>the</w:t>
      </w:r>
      <w:r w:rsidRPr="005B1A16">
        <w:rPr>
          <w:rFonts w:ascii="Book Antiqua" w:hAnsi="Book Antiqua"/>
          <w:color w:val="000000" w:themeColor="text1"/>
        </w:rPr>
        <w:t xml:space="preserve"> </w:t>
      </w:r>
      <w:r w:rsidR="00A53C9B" w:rsidRPr="005B1A16">
        <w:rPr>
          <w:rFonts w:ascii="Book Antiqua" w:hAnsi="Book Antiqua"/>
          <w:color w:val="000000" w:themeColor="text1"/>
        </w:rPr>
        <w:t xml:space="preserve">attenuation of the </w:t>
      </w:r>
      <w:r w:rsidRPr="005B1A16">
        <w:rPr>
          <w:rFonts w:ascii="Book Antiqua" w:hAnsi="Book Antiqua"/>
          <w:color w:val="000000" w:themeColor="text1"/>
        </w:rPr>
        <w:t xml:space="preserve">immune </w:t>
      </w:r>
      <w:r w:rsidR="00A53C9B" w:rsidRPr="005B1A16">
        <w:rPr>
          <w:rFonts w:ascii="Book Antiqua" w:hAnsi="Book Antiqua"/>
          <w:color w:val="000000" w:themeColor="text1"/>
        </w:rPr>
        <w:t>response</w:t>
      </w:r>
      <w:r w:rsidRPr="005B1A16">
        <w:rPr>
          <w:rFonts w:ascii="Book Antiqua" w:hAnsi="Book Antiqua"/>
          <w:color w:val="000000" w:themeColor="text1"/>
        </w:rPr>
        <w:t xml:space="preserve"> </w:t>
      </w:r>
      <w:r w:rsidR="00E16226" w:rsidRPr="005B1A16">
        <w:rPr>
          <w:rFonts w:ascii="Book Antiqua" w:hAnsi="Book Antiqua"/>
          <w:color w:val="000000" w:themeColor="text1"/>
        </w:rPr>
        <w:t xml:space="preserve">is </w:t>
      </w:r>
      <w:r w:rsidR="00661D61" w:rsidRPr="005B1A16">
        <w:rPr>
          <w:rFonts w:ascii="Book Antiqua" w:hAnsi="Book Antiqua"/>
          <w:color w:val="000000" w:themeColor="text1"/>
        </w:rPr>
        <w:t>localized</w:t>
      </w:r>
      <w:r w:rsidRPr="005B1A16">
        <w:rPr>
          <w:rFonts w:ascii="Book Antiqua" w:hAnsi="Book Antiqua"/>
          <w:color w:val="000000" w:themeColor="text1"/>
        </w:rPr>
        <w:t xml:space="preserve"> to the gut</w:t>
      </w:r>
      <w:r w:rsidR="008E3556" w:rsidRPr="005B1A16">
        <w:rPr>
          <w:rFonts w:ascii="Book Antiqua" w:hAnsi="Book Antiqua"/>
          <w:color w:val="000000" w:themeColor="text1"/>
        </w:rPr>
        <w:t>. This has been previously supported in a review which included six trials evaluating the use of vedolizumab in UC and CD (2380 patients with 4811 person-years of vedolizumab exposure)</w:t>
      </w:r>
      <w:r w:rsidR="00783230"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{"citationID":"a9a2e63mpr","properties":{"formattedCitation":"\\super [46]\\nosupersub{}","plainCitation":"[46]","noteIndex":0},"citationItems":[{"id":107,"uris":["http://zotero.org/users/4672422/items/KURDTJND"],"uri":["http://zotero.org/users/4672422/items/KURDTJND"],"itemData":{"id":107,"type":"article-journal","title":"The safety of vedolizumab for ulcerative colitis and Crohn's disease","container-title":"Gut","page":"839-851","volume":"66","issue":"5","source":"PubMed","abstract":"OBJECTIVE: Vedolizumab is a gut-selective antibody to α4β7integrin for the treatment of ulcerative colitis (UC) and Crohn's disease (CD). We report an integrated summary of the safety of vedolizumab.\nDESIGN: Safety data (May 2009-June 2013) from six trials of vedolizumab were integrated. Adverse events were evaluated in patients who received ≥1 dose of vedolizumab or placebo and were reported as exposure-adjusted incidence rates as the number of patients experiencing the event per 100 person-years (PYs) of exposure. Predictors of serious infection were assessed using a Cox proportional hazards model.\nRESULTS: In total, 2830 patients had 4811 PYs of vedolizumab exposure (median exposure range, 1-1977</w:instrText>
      </w:r>
      <w:r w:rsidR="00B71AF0" w:rsidRPr="005B1A16">
        <w:rPr>
          <w:rFonts w:ascii="Cambria Math" w:hAnsi="Cambria Math" w:cs="Cambria Math"/>
          <w:color w:val="000000" w:themeColor="text1"/>
        </w:rPr>
        <w:instrText> </w:instrText>
      </w:r>
      <w:r w:rsidR="00B71AF0" w:rsidRPr="005B1A16">
        <w:rPr>
          <w:rFonts w:ascii="Book Antiqua" w:hAnsi="Book Antiqua"/>
          <w:color w:val="000000" w:themeColor="text1"/>
        </w:rPr>
        <w:instrText>days). No increased risk of any infection or serious infection was associated with vedolizumab exposure. Serious clostridial infections, sepsis and tuberculosis were reported infrequently (</w:instrText>
      </w:r>
      <w:r w:rsidR="00B71AF0" w:rsidRPr="005B1A16">
        <w:rPr>
          <w:rFonts w:ascii="Book Antiqua" w:hAnsi="Book Antiqua" w:cs="Book Antiqua"/>
          <w:color w:val="000000" w:themeColor="text1"/>
        </w:rPr>
        <w:instrText>≤</w:instrText>
      </w:r>
      <w:r w:rsidR="00B71AF0" w:rsidRPr="005B1A16">
        <w:rPr>
          <w:rFonts w:ascii="Book Antiqua" w:hAnsi="Book Antiqua"/>
          <w:color w:val="000000" w:themeColor="text1"/>
        </w:rPr>
        <w:instrText xml:space="preserve">0.6% of patients). No cases of progressive multifocal leucoencephalopathy were observed. Independent risk factors for serious infection in UC were prior failure of a tumour necrosis factor α antagonist (HR, 1.99; 95% CIs 1.16 to 3.42; p=0.0122) and narcotic analgesic use (HR, 2.68; 95% CI 1.57 to 4.58; p=0.0003), and in CD were younger age (HR, 0.97; 95% CI 0.95 to 0.98; p&lt;0.0001), corticosteroid (HR, 1.88; 95% CI 1.35 to 2.63; p=0.0002) or narcotic analgesic use (HR, 2.72; 95% CI 1.90 to 3.89; p&lt;0.0001). Investigator-defined infusion-related reactions were reported for ≤5% of patients in each study. Eighteen vedolizumab-exposed patients (&lt;1%) were diagnosed with a malignancy.\nCONCLUSIONS: Vedolizumab has a favourable safety profile with low incidence rates of serious infections, infusion-related reactions and malignancies over an extended treatment period.\nTRIAL REGISTRATION NUMBER: NCT01177228, NCT00619489, NCT00783718, NCT00783692, NCT01224171, NCT00790933.","DOI":"10.1136/gutjnl-2015-311079","ISSN":"1468-3288","note":"PMID: 26893500\nPMCID: PMC5531223","journalAbbreviation":"Gut","language":"eng","author":[{"family":"Colombel","given":"Jean-Frédéric"},{"family":"Sands","given":"Bruce E."},{"family":"Rutgeerts","given":"Paul"},{"family":"Sandborn","given":"William"},{"family":"Danese","given":"Silvio"},{"family":"D'Haens","given":"Geert"},{"family":"Panaccione","given":"Remo"},{"family":"Loftus","given":"Edward V."},{"family":"Sankoh","given":"Serap"},{"family":"Fox","given":"Irving"},{"family":"Parikh","given":"Asit"},{"family":"Milch","given":"Catherine"},{"family":"Abhyankar","given":"Brihad"},{"family":"Feagan","given":"Brian G."}],"issued":{"date-parts":[["2017"]]}}}],"schema":"https://github.com/citation-style-language/schema/raw/master/csl-citation.json"} </w:instrText>
      </w:r>
      <w:r w:rsidR="00783230"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[46]</w:t>
      </w:r>
      <w:r w:rsidR="00783230" w:rsidRPr="005B1A16">
        <w:rPr>
          <w:rFonts w:ascii="Book Antiqua" w:hAnsi="Book Antiqua"/>
          <w:color w:val="000000" w:themeColor="text1"/>
        </w:rPr>
        <w:fldChar w:fldCharType="end"/>
      </w:r>
      <w:r w:rsidRPr="005B1A16">
        <w:rPr>
          <w:rFonts w:ascii="Book Antiqua" w:hAnsi="Book Antiqua"/>
          <w:color w:val="000000" w:themeColor="text1"/>
        </w:rPr>
        <w:t xml:space="preserve">. </w:t>
      </w:r>
      <w:r w:rsidR="008E3556" w:rsidRPr="005B1A16">
        <w:rPr>
          <w:rFonts w:ascii="Book Antiqua" w:hAnsi="Book Antiqua"/>
          <w:color w:val="000000" w:themeColor="text1"/>
        </w:rPr>
        <w:t xml:space="preserve">Within this study however, 16 patients with CD in the vedolizumab group developed clostridium difficile infection as compared to none in the placebo group. Additionally, more patients on vedolizumab </w:t>
      </w:r>
      <w:r w:rsidR="000F0ACF" w:rsidRPr="005B1A16">
        <w:rPr>
          <w:rFonts w:ascii="Book Antiqua" w:hAnsi="Book Antiqua"/>
          <w:color w:val="000000" w:themeColor="text1"/>
        </w:rPr>
        <w:t>had gastroenteritis and developed</w:t>
      </w:r>
      <w:r w:rsidR="008E3556" w:rsidRPr="005B1A16">
        <w:rPr>
          <w:rFonts w:ascii="Book Antiqua" w:hAnsi="Book Antiqua"/>
          <w:color w:val="000000" w:themeColor="text1"/>
        </w:rPr>
        <w:t xml:space="preserve"> </w:t>
      </w:r>
      <w:r w:rsidR="000F0ACF" w:rsidRPr="005B1A16">
        <w:rPr>
          <w:rFonts w:ascii="Book Antiqua" w:hAnsi="Book Antiqua"/>
          <w:color w:val="000000" w:themeColor="text1"/>
        </w:rPr>
        <w:t>tuberculosis</w:t>
      </w:r>
      <w:r w:rsidR="008E3556" w:rsidRPr="005B1A16">
        <w:rPr>
          <w:rFonts w:ascii="Book Antiqua" w:hAnsi="Book Antiqua"/>
          <w:color w:val="000000" w:themeColor="text1"/>
        </w:rPr>
        <w:t xml:space="preserve"> </w:t>
      </w:r>
      <w:r w:rsidR="000F0ACF" w:rsidRPr="005B1A16">
        <w:rPr>
          <w:rFonts w:ascii="Book Antiqua" w:hAnsi="Book Antiqua"/>
          <w:color w:val="000000" w:themeColor="text1"/>
        </w:rPr>
        <w:t xml:space="preserve">infection (despite negative </w:t>
      </w:r>
      <w:r w:rsidR="00661D61" w:rsidRPr="005B1A16">
        <w:rPr>
          <w:rFonts w:ascii="Book Antiqua" w:hAnsi="Book Antiqua"/>
          <w:color w:val="000000" w:themeColor="text1"/>
        </w:rPr>
        <w:t xml:space="preserve">tuberculosis </w:t>
      </w:r>
      <w:r w:rsidR="000F0ACF" w:rsidRPr="005B1A16">
        <w:rPr>
          <w:rFonts w:ascii="Book Antiqua" w:hAnsi="Book Antiqua"/>
          <w:color w:val="000000" w:themeColor="text1"/>
        </w:rPr>
        <w:t>screening at enrollment). I</w:t>
      </w:r>
      <w:r w:rsidR="00E82F7D" w:rsidRPr="005B1A16">
        <w:rPr>
          <w:rFonts w:ascii="Book Antiqua" w:hAnsi="Book Antiqua"/>
          <w:color w:val="000000" w:themeColor="text1"/>
        </w:rPr>
        <w:t>n the aforementioned GEMINI-II trial, vedol</w:t>
      </w:r>
      <w:r w:rsidR="00475978" w:rsidRPr="005B1A16">
        <w:rPr>
          <w:rFonts w:ascii="Book Antiqua" w:hAnsi="Book Antiqua"/>
          <w:color w:val="000000" w:themeColor="text1"/>
        </w:rPr>
        <w:t xml:space="preserve">izumab </w:t>
      </w:r>
      <w:r w:rsidR="000F0ACF" w:rsidRPr="005B1A16">
        <w:rPr>
          <w:rFonts w:ascii="Book Antiqua" w:hAnsi="Book Antiqua"/>
          <w:color w:val="000000" w:themeColor="text1"/>
        </w:rPr>
        <w:t xml:space="preserve">also </w:t>
      </w:r>
      <w:r w:rsidR="00475978" w:rsidRPr="005B1A16">
        <w:rPr>
          <w:rFonts w:ascii="Book Antiqua" w:hAnsi="Book Antiqua"/>
          <w:color w:val="000000" w:themeColor="text1"/>
        </w:rPr>
        <w:t xml:space="preserve">had a higher rate of infections (44.1% </w:t>
      </w:r>
      <w:r w:rsidR="00475978" w:rsidRPr="005B1A16">
        <w:rPr>
          <w:rFonts w:ascii="Book Antiqua" w:hAnsi="Book Antiqua"/>
          <w:i/>
          <w:color w:val="000000" w:themeColor="text1"/>
        </w:rPr>
        <w:t>vs</w:t>
      </w:r>
      <w:r w:rsidR="00475978" w:rsidRPr="005B1A16">
        <w:rPr>
          <w:rFonts w:ascii="Book Antiqua" w:hAnsi="Book Antiqua"/>
          <w:color w:val="000000" w:themeColor="text1"/>
        </w:rPr>
        <w:t xml:space="preserve"> 40.2%), and serious infections (5.5% </w:t>
      </w:r>
      <w:r w:rsidR="00475978" w:rsidRPr="005B1A16">
        <w:rPr>
          <w:rFonts w:ascii="Book Antiqua" w:hAnsi="Book Antiqua"/>
          <w:i/>
          <w:color w:val="000000" w:themeColor="text1"/>
        </w:rPr>
        <w:t>vs</w:t>
      </w:r>
      <w:r w:rsidR="00475978" w:rsidRPr="005B1A16">
        <w:rPr>
          <w:rFonts w:ascii="Book Antiqua" w:hAnsi="Book Antiqua"/>
          <w:color w:val="000000" w:themeColor="text1"/>
        </w:rPr>
        <w:t xml:space="preserve"> 3.0%)</w:t>
      </w:r>
      <w:r w:rsidR="000F0ACF" w:rsidRPr="005B1A16">
        <w:rPr>
          <w:rFonts w:ascii="Book Antiqua" w:hAnsi="Book Antiqua"/>
          <w:color w:val="000000" w:themeColor="text1"/>
        </w:rPr>
        <w:t xml:space="preserve"> as compared to place</w:t>
      </w:r>
      <w:r w:rsidR="00103E26" w:rsidRPr="005B1A16">
        <w:rPr>
          <w:rFonts w:ascii="Book Antiqua" w:hAnsi="Book Antiqua"/>
          <w:color w:val="000000" w:themeColor="text1"/>
        </w:rPr>
        <w:t>b</w:t>
      </w:r>
      <w:r w:rsidR="000F0ACF" w:rsidRPr="005B1A16">
        <w:rPr>
          <w:rFonts w:ascii="Book Antiqua" w:hAnsi="Book Antiqua"/>
          <w:color w:val="000000" w:themeColor="text1"/>
        </w:rPr>
        <w:t>o</w:t>
      </w:r>
      <w:r w:rsidR="00783230"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{"citationID":"a9pvfthjn2","properties":{"formattedCitation":"\\super [44]\\nosupersub{}","plainCitation":"[44]","noteIndex":0},"citationItems":[{"id":103,"uris":["http://zotero.org/users/4672422/items/4XRWMJ2W"],"uri":["http://zotero.org/users/4672422/items/4XRWMJ2W"],"itemData":{"id":103,"type":"article-journal","title":"Vedolizumab as induction and maintenance therapy for Crohn's disease","container-title":"The New England Journal of Medicine","page":"711-721","volume":"369","issue":"8","source":"PubMed","abstract":"BACKGROUND: The efficacy of vedolizumab, an α4β7 integrin antibody, in Crohn's disease is unknown.\nMETHODS: In an integrated study with separate induction and maintenance trials, we assessed intravenous vedolizumab therapy (300 mg) in adults with active Crohn's disease. In the induction trial, 368 patients were randomly assigned to receive vedolizumab or placebo at weeks 0 and 2 (cohort 1), and 747 patients received open-label vedolizumab at weeks 0 and 2 (cohort 2); disease status was assessed at week 6. In the maintenance trial, 461 patients who had had a response to vedolizumab were randomly assigned to receive placebo or vedolizumab every 8 or 4 weeks until week 52.\nRESULTS: At week 6, a total of 14.5% of the patients in cohort 1 who received vedolizumab and 6.8% who received placebo were in clinical remission (i.e., had a score on the Crohn's Disease Activity Index [CDAI] of ≤150, with scores ranging from 0 to approximately 600 and higher scores indicating greater disease activity) (P=0.02); a total of 31.4% and 25.7% of the patients, respectively, had a CDAI-100 response (≥100-point decrease in the CDAI score) (P=0.23). Among patients in cohorts 1 and 2 who had a response to induction therapy, 39.0% and 36.4% of those assigned to vedolizumab every 8 weeks and every 4 weeks, respectively, were in clinical remission at week 52, as compared with 21.6% assigned to placebo (P&lt;0.001 and P=0.004 for the two vedolizumab groups, respectively, vs. placebo). Antibodies against vedolizumab developed in 4.0% of the patients. Nasopharyngitis occurred more frequently, and headache and abdominal pain less frequently, in patients receiving vedolizumab than in patients receiving placebo. Vedolizumab, as compared with placebo, was associated with a higher rate of serious adverse events (24.4% vs. 15.3%), infections (44.1% vs. 40.2%), and serious infections (5.5% vs. 3.0%).\nCONCLUSIONS: Vedolizumab-treated patients with active Crohn's disease were more likely than patients receiving placebo to have a remission, but not a CDAI-100 response, at week 6; patients with a response to induction therapy who continued to receive vedolizumab (rather than switching to placebo) were more likely to be in remission at week 52. Adverse events were more common with vedolizumab. (Funded by Millennium Pharmaceuticals; GEMINI 2 ClinicalTrials.gov number, NCT00783692.).","DOI":"10.1056/NEJMoa1215739","ISSN":"1533-4406","note":"PMID: 23964933","journalAbbreviation":"N. Engl. J. Med.","language":"eng","author":[{"family":"Sandborn","given":"William J."},{"family":"Feagan","given":"Brian G."},{"family":"Rutgeerts","given":"Paul"},{"family":"Hanauer","given":"Stephen"},{"family":"Colombel","given":"Jean-Frédéric"},{"family":"Sands","given":"Bruce E."},{"family":"Lukas","given":"Milan"},{"family":"Fedorak","given":"Richard N."},{"family":"Lee","given":"Scott"},{"family":"Bressler","given":"Brian"},{"family":"Fox","given":"Irving"},{"family":"Rosario","given":"Maria"},{"family":"Sankoh","given":"Serap"},{"family":"Xu","given":"Jing"},{"family":"Stephens","given":"Kristin"},{"family":"Milch","given":"Catherine"},{"family":"Parikh","given":"Asit"},{"literal":"GEMINI 2 Study Group"}],"issued":{"date-parts":[["2013",8,22]]}}}],"schema":"https://github.com/citation-style-language/schema/raw/master/csl-citation.json"} </w:instrText>
      </w:r>
      <w:r w:rsidR="00783230"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[44]</w:t>
      </w:r>
      <w:r w:rsidR="00783230" w:rsidRPr="005B1A16">
        <w:rPr>
          <w:rFonts w:ascii="Book Antiqua" w:hAnsi="Book Antiqua"/>
          <w:color w:val="000000" w:themeColor="text1"/>
        </w:rPr>
        <w:fldChar w:fldCharType="end"/>
      </w:r>
      <w:r w:rsidR="000F0ACF" w:rsidRPr="005B1A16">
        <w:rPr>
          <w:rFonts w:ascii="Book Antiqua" w:hAnsi="Book Antiqua"/>
          <w:color w:val="000000" w:themeColor="text1"/>
        </w:rPr>
        <w:t xml:space="preserve">. </w:t>
      </w:r>
      <w:r w:rsidR="000E4EDB" w:rsidRPr="005B1A16">
        <w:rPr>
          <w:rFonts w:ascii="Book Antiqua" w:hAnsi="Book Antiqua"/>
          <w:color w:val="000000" w:themeColor="text1"/>
        </w:rPr>
        <w:t>Head</w:t>
      </w:r>
      <w:r w:rsidR="000F0ACF" w:rsidRPr="005B1A16">
        <w:rPr>
          <w:rFonts w:ascii="Book Antiqua" w:hAnsi="Book Antiqua"/>
          <w:color w:val="000000" w:themeColor="text1"/>
        </w:rPr>
        <w:t xml:space="preserve"> to head trials are needed to better describe the risk for infection </w:t>
      </w:r>
      <w:r w:rsidR="00661D61" w:rsidRPr="005B1A16">
        <w:rPr>
          <w:rFonts w:ascii="Book Antiqua" w:hAnsi="Book Antiqua"/>
          <w:color w:val="000000" w:themeColor="text1"/>
        </w:rPr>
        <w:t xml:space="preserve">in patients taking vedolizumab as compared to other biologics. </w:t>
      </w:r>
    </w:p>
    <w:p w14:paraId="0547B0D3" w14:textId="77777777" w:rsidR="00140F0B" w:rsidRPr="005B1A16" w:rsidRDefault="00140F0B" w:rsidP="005B1A16">
      <w:pPr>
        <w:spacing w:line="360" w:lineRule="auto"/>
        <w:jc w:val="both"/>
        <w:rPr>
          <w:rFonts w:ascii="Book Antiqua" w:hAnsi="Book Antiqua"/>
          <w:i/>
          <w:color w:val="000000" w:themeColor="text1"/>
          <w:lang w:val="en-US"/>
        </w:rPr>
      </w:pPr>
    </w:p>
    <w:p w14:paraId="4E1C8A42" w14:textId="5130D678" w:rsidR="004C0376" w:rsidRPr="005B1A16" w:rsidRDefault="00C443A1" w:rsidP="005B1A16">
      <w:pPr>
        <w:spacing w:line="360" w:lineRule="auto"/>
        <w:jc w:val="both"/>
        <w:outlineLvl w:val="0"/>
        <w:rPr>
          <w:rFonts w:ascii="Book Antiqua" w:hAnsi="Book Antiqua"/>
          <w:color w:val="000000" w:themeColor="text1"/>
        </w:rPr>
      </w:pPr>
      <w:r w:rsidRPr="005B1A16">
        <w:rPr>
          <w:rFonts w:ascii="Book Antiqua" w:hAnsi="Book Antiqua"/>
          <w:b/>
          <w:color w:val="000000" w:themeColor="text1"/>
          <w:lang w:val="en-US"/>
        </w:rPr>
        <w:t>Ustekinumab</w:t>
      </w:r>
      <w:r w:rsidR="00A67204" w:rsidRPr="005B1A16">
        <w:rPr>
          <w:rFonts w:ascii="Book Antiqua" w:eastAsia="SimSun" w:hAnsi="Book Antiqua"/>
          <w:b/>
          <w:color w:val="000000" w:themeColor="text1"/>
          <w:lang w:val="en-US" w:eastAsia="zh-CN"/>
        </w:rPr>
        <w:t xml:space="preserve">: </w:t>
      </w:r>
      <w:r w:rsidR="007570D2" w:rsidRPr="005B1A16">
        <w:rPr>
          <w:rFonts w:ascii="Book Antiqua" w:hAnsi="Book Antiqua"/>
          <w:color w:val="000000" w:themeColor="text1"/>
        </w:rPr>
        <w:t>IL-12 p35–p40 and IL-23 p19–p40 are two proinflammatory heterodimeric cytokines that are induced in the inflamed mucosa of CD patient</w:t>
      </w:r>
      <w:r w:rsidR="008632DA" w:rsidRPr="005B1A16">
        <w:rPr>
          <w:rFonts w:ascii="Book Antiqua" w:hAnsi="Book Antiqua"/>
          <w:color w:val="000000" w:themeColor="text1"/>
        </w:rPr>
        <w:t>s</w:t>
      </w:r>
      <w:r w:rsidR="008632D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{"citationID":"as3q3r6tdj","properties":{"formattedCitation":"\\super [47,48]\\nosupersub{}","plainCitation":"[47,48]","noteIndex":0},"citationItems":[{"id":109,"uris":["http://zotero.org/users/4672422/items/BNFARDMH"],"uri":["http://zotero.org/users/4672422/items/BNFARDMH"],"itemData":{"id":109,"type":"article-journal","title":"Both IL-12p70 and IL-23 are synthesized during active Crohn's disease and are down-regulated by treatment with anti-IL-12 p40 monoclonal antibody","container-title":"Inflammatory Bowel Diseases","page":"9-15","volume":"12","issue":"1","source":"PubMed","abstract":"BACKGROUND: Interleukin (IL)-12p70 and IL-23 are key T helper-1 (TH1) cytokines that drive the inflammation seen in numerous models of intestinal inflammation. These molecules contain an identical p40 chain that is bound to a p35 chain in IL-12 and a p19 chain in IL-23, making both potentially susceptible to modulation by an anti-IL-12p40 monoclonal antibody (mAb).\nMETHODS: In the present study, we sought to determine whether active inflammation in Crohn's disease (CD) is associated with the increased synthesis of both of these cytokines and whether patients treated with an anti-IL-12p40 mAb down-regulate IL-23 as well as IL-12p70 as previous reported.\nRESULTS: To this end we initially determined that IL-12p70 secretion by control and CD antigen-presenting cells (macrophages) in lamina propria mononuclear populations is optimized by stimulation with CD40L and interferon-gamma. In subsequent studies using these stimulation conditions we found that patients with CD manifested both increased IL-12p70 and IL-23 secretion before anti-IL-12p40 mAb treatment and normal levels of secretion of these cytokines following cessation of treatment. Antigen-presenting cells in lamina propria mononuclear cells from ulcerative colitis patients, in contrast, produced only baseline levels of IL-23. Finally, we found that IL-23-induced T cell production of IL-17 and IL-6 are also greatly reduced after antibody treatment. The latter data are parallel to those from previous studies showing that anti-IL-12p40 down-regulates IFN-gamma and tumor necrosis factor-alpha secretion.\nCONCLUSIONS: We conclude that CD but not ulcerative colitis is associated with high levels of both IL-12p70 and IL-23 secretion as well as the secretion of downstream effector cytokines, and that this cytokine production is down-regulated following administration of IL-12p40 mAb.","ISSN":"1078-0998","note":"PMID: 16374252","journalAbbreviation":"Inflamm. Bowel Dis.","language":"eng","author":[{"family":"Fuss","given":"Ivan J."},{"family":"Becker","given":"Christoph"},{"family":"Yang","given":"Zhiqiong"},{"family":"Groden","given":"Catherine"},{"family":"Hornung","given":"Ronald L."},{"family":"Heller","given":"Frank"},{"family":"Neurath","given":"Markus F."},{"family":"Strober","given":"Warren"},{"family":"Mannon","given":"Peter J."}],"issued":{"date-parts":[["2006",1]]}}},{"id":115,"uris":["http://zotero.org/users/4672422/items/M7HFCMWA"],"uri":["http://zotero.org/users/4672422/items/M7HFCMWA"],"itemData":{"id":115,"type":"article-journal","title":"Interleukin 12 is expressed and actively released by Crohn's disease intestinal lamina propria mononuclear cells","container-title":"Gastroenterology","page":"1169-1178","volume":"112","issue":"4","source":"PubMed","abstract":"BACKGROUND &amp; AIMS: Cell-mediated immunity is a feature of Crohn's disease (CD). The heterodimer interleukin (IL)-12, produced by phagocytes, induces T-cell cytokines, primarily interferon (IFN)-gamma. This study examined whether CD lamina propria mononuclear cells (LPMCs) express and release bioactive IL-12.\nMETHODS: LPMCs were isolated from 13 patients with CD, 9 with ulcerative colitis (UC), and 13 controls. Messenger RNA for p40 and p35 IL-12 subunits was evaluated by reverse-transcription polymerase chain reaction. IL-12 was measured by enzyme-linked immunosorbent assay in LPMC culture supernatants. The INF-gamma-inducing effect of unstimulated LPMC supernatants was evaluated.\nRESULTS: Messenger RNA for both IL-12 subunits was detected in LPMCs of 11 of 13 patients with CD, 1 of 9 patients with UC, and 1 of 13 controls (P &lt; 0.001). IL-12 was measured (10.5 +/- 2 pg/mL at 24 hours) in unstimulated CD LPMCs and was enhanced by pokeweed mitogen, lipopolysaccharide, and staphylococcal enterotoxin B. No IL-12 was detectable in 8 of 9 patients with UC and 12 of 13 control-unstimulated LPMCs. IL-12 induced by pokeweed mitogen and staphylococcal enterotoxin B in UC was lower than in CD and did not differ from controls. An IFN-gamma-inducing effect was restricted to unstimulated CD LPMC supernatants and was inhibited by an anti-IL-12 antibody in a dose-dependent fashion.\nCONCLUSIONS: IL-12 transcripts are expressed in CD intestinal tissues. CD LPMCs are up-regulated in their capability of releasing bioactive IL-12. Expression and release of bioactive IL-12 seem to differentiate CD from UC.","ISSN":"0016-5085","note":"PMID: 9098000","journalAbbreviation":"Gastroenterology","language":"eng","author":[{"family":"Monteleone","given":"G."},{"family":"Biancone","given":"L."},{"family":"Marasco","given":"R."},{"family":"Morrone","given":"G."},{"family":"Marasco","given":"O."},{"family":"Luzza","given":"F."},{"family":"Pallone","given":"F."}],"issued":{"date-parts":[["1997",4]]}}}],"schema":"https://github.com/citation-style-language/schema/raw/master/csl-citation.json"} </w:instrText>
      </w:r>
      <w:r w:rsidR="008632D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[47,48]</w:t>
      </w:r>
      <w:r w:rsidR="008632DA" w:rsidRPr="005B1A16">
        <w:rPr>
          <w:rFonts w:ascii="Book Antiqua" w:hAnsi="Book Antiqua"/>
          <w:color w:val="000000" w:themeColor="text1"/>
        </w:rPr>
        <w:fldChar w:fldCharType="end"/>
      </w:r>
      <w:r w:rsidR="007570D2" w:rsidRPr="005B1A16">
        <w:rPr>
          <w:rFonts w:ascii="Book Antiqua" w:hAnsi="Book Antiqua"/>
          <w:color w:val="000000" w:themeColor="text1"/>
        </w:rPr>
        <w:t xml:space="preserve">. </w:t>
      </w:r>
      <w:r w:rsidRPr="005B1A16">
        <w:rPr>
          <w:rFonts w:ascii="Book Antiqua" w:hAnsi="Book Antiqua"/>
          <w:color w:val="000000" w:themeColor="text1"/>
        </w:rPr>
        <w:t>Ustekinumab is a human monoclonal IgG</w:t>
      </w:r>
      <w:r w:rsidRPr="005B1A16">
        <w:rPr>
          <w:rFonts w:ascii="Book Antiqua" w:hAnsi="Book Antiqua"/>
          <w:color w:val="000000" w:themeColor="text1"/>
          <w:vertAlign w:val="subscript"/>
        </w:rPr>
        <w:t xml:space="preserve">1k </w:t>
      </w:r>
      <w:r w:rsidRPr="005B1A16">
        <w:rPr>
          <w:rFonts w:ascii="Book Antiqua" w:hAnsi="Book Antiqua"/>
          <w:color w:val="000000" w:themeColor="text1"/>
        </w:rPr>
        <w:t xml:space="preserve">antibody which blocks the P40 sub-unit of </w:t>
      </w:r>
      <w:r w:rsidRPr="005B1A16">
        <w:rPr>
          <w:rFonts w:ascii="Book Antiqua" w:hAnsi="Book Antiqua"/>
          <w:color w:val="000000" w:themeColor="text1"/>
        </w:rPr>
        <w:lastRenderedPageBreak/>
        <w:t>IL-12 and IL-23 on T cells, natural killer and antigen presenting cells</w:t>
      </w:r>
      <w:r w:rsidR="00296D5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{"citationID":"a260kjdphil","properties":{"formattedCitation":"\\super [49]\\nosupersub{}","plainCitation":"[49]","noteIndex":0},"citationItems":[{"id":117,"uris":["http://zotero.org/users/4672422/items/EFYIR6IT"],"uri":["http://zotero.org/users/4672422/items/EFYIR6IT"],"itemData":{"id":117,"type":"article-journal","title":"Discovery and mechanism of ustekinumab: a human monoclonal antibody targeting interleukin-12 and interleukin-23 for treatment of immune-mediated disorders","container-title":"mAbs","page":"535-545","volume":"3","issue":"6","source":"PubMed","abstract":"Monoclonal antibody (mAb) therapy was first established upon the approval of a mouse antibody for treatment of human acute organ rejection. However, the high incidence of immune response against the mouse mAb restricted therapeutic utility. Development of chimeric, \"humanized\" and human mAbs broadened therapeutic application to immune-mediated diseases requiring long-term treatment. Indeed, mAb therapeutics targeting soluble cytokines are highly effective in numerous immune-mediated disorders. A recent example is ustekinumab, a first-in-class therapeutic human immunoglobulin G1 kappa mAb that binds to the interleukins (IL)-12 and IL-23, cytokines that modulate lymphocyte function, including T-helper (Th) 1 and Th17 cell subsets. Ustekinumab was generated via recombinant human IL-12 immunization of human immunoglobulin (hu-Ig) transgenic mice. Ustekinumab binds to the p40 subunit common to IL-12 and IL-23 and prevents their interaction with the IL-12 receptor β1 subunit of the IL-12 and IL-23 receptor complexes. Ustekinumab is approved for treatment of moderate-to-severe plaque psoriasis and has demonstrated efficacy in Crohn disease and psoriatic arthritis. The clinical characterization of ustekinumab continues to clarify our understanding of human immune pathologies and may offer a novel therapeutic option for certain immune-mediated diseases.","DOI":"10.4161/mabs.3.6.17815","ISSN":"1942-0870","note":"PMID: 22123062\nPMCID: PMC3242840","shortTitle":"Discovery and mechanism of ustekinumab","journalAbbreviation":"MAbs","language":"eng","author":[{"family":"Benson","given":"Jacqueline M."},{"family":"Peritt","given":"David"},{"family":"Scallon","given":"Bernard J."},{"family":"Heavner","given":"George A."},{"family":"Shealy","given":"David J."},{"family":"Giles-Komar","given":"Jill M."},{"family":"Mascelli","given":"Mary Ann"}],"issued":{"date-parts":[["2011",12]]}}}],"schema":"https://github.com/citation-style-language/schema/raw/master/csl-citation.json"} </w:instrText>
      </w:r>
      <w:r w:rsidR="00296D5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[49]</w:t>
      </w:r>
      <w:r w:rsidR="00296D5A" w:rsidRPr="005B1A16">
        <w:rPr>
          <w:rFonts w:ascii="Book Antiqua" w:hAnsi="Book Antiqua"/>
          <w:color w:val="000000" w:themeColor="text1"/>
        </w:rPr>
        <w:fldChar w:fldCharType="end"/>
      </w:r>
      <w:r w:rsidRPr="005B1A16">
        <w:rPr>
          <w:rFonts w:ascii="Book Antiqua" w:hAnsi="Book Antiqua"/>
          <w:color w:val="000000" w:themeColor="text1"/>
        </w:rPr>
        <w:t xml:space="preserve">. </w:t>
      </w:r>
      <w:r w:rsidR="008E3FDD" w:rsidRPr="005B1A16">
        <w:rPr>
          <w:rFonts w:ascii="Book Antiqua" w:hAnsi="Book Antiqua"/>
          <w:color w:val="000000" w:themeColor="text1"/>
        </w:rPr>
        <w:t xml:space="preserve">Originally successful in the treatment for </w:t>
      </w:r>
      <w:r w:rsidR="00711BD2" w:rsidRPr="005B1A16">
        <w:rPr>
          <w:rFonts w:ascii="Book Antiqua" w:hAnsi="Book Antiqua"/>
          <w:color w:val="000000" w:themeColor="text1"/>
        </w:rPr>
        <w:t xml:space="preserve">plaque </w:t>
      </w:r>
      <w:r w:rsidR="008E3FDD" w:rsidRPr="005B1A16">
        <w:rPr>
          <w:rFonts w:ascii="Book Antiqua" w:hAnsi="Book Antiqua"/>
          <w:color w:val="000000" w:themeColor="text1"/>
        </w:rPr>
        <w:t>psoriasis</w:t>
      </w:r>
      <w:r w:rsidR="00711BD2" w:rsidRPr="005B1A16">
        <w:rPr>
          <w:rFonts w:ascii="Book Antiqua" w:hAnsi="Book Antiqua"/>
          <w:color w:val="000000" w:themeColor="text1"/>
        </w:rPr>
        <w:t xml:space="preserve"> and psoriatic arthritis</w:t>
      </w:r>
      <w:r w:rsidR="008E3FDD" w:rsidRPr="005B1A16">
        <w:rPr>
          <w:rFonts w:ascii="Book Antiqua" w:hAnsi="Book Antiqua"/>
          <w:color w:val="000000" w:themeColor="text1"/>
        </w:rPr>
        <w:t xml:space="preserve">, ustekinumab demonstrated its efficacy for CD in the UNITI trials which included 1300 CD patients </w:t>
      </w:r>
      <w:r w:rsidR="00D23B9C" w:rsidRPr="005B1A16">
        <w:rPr>
          <w:rFonts w:ascii="Book Antiqua" w:hAnsi="Book Antiqua"/>
          <w:color w:val="000000" w:themeColor="text1"/>
        </w:rPr>
        <w:t>with moderate to severe disease</w:t>
      </w:r>
      <w:r w:rsidR="00296D5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{"citationID":"a1qiqlfi6ce","properties":{"formattedCitation":"\\super [50]\\nosupersub{}","plainCitation":"[50]","noteIndex":0},"citationItems":[{"id":119,"uris":["http://zotero.org/users/4672422/items/J5IHC6BK"],"uri":["http://zotero.org/users/4672422/items/J5IHC6BK"],"itemData":{"id":119,"type":"article-journal","title":"Ustekinumab as Induction and Maintenance Therapy for Crohn's Disease","container-title":"The New England Journal of Medicine","page":"1946-1960","volume":"375","issue":"20","source":"PubMed","abstract":"BACKGROUND: Ustekinumab, a monoclonal antibody to the p40 subunit of interleukin-12 and interleukin-23, was evaluated as an intravenous induction therapy in two populations with moderately to severely active Crohn's disease. Ustekinumab was also evaluated as subcutaneous maintenance therapy.\nMETHODS: We randomly assigned patients to receive a single intravenous dose of ustekinumab (either 130 mg or approximately 6 mg per kilogram of body weight) or placebo in two induction trials. The UNITI-1 trial included 741 patients who met the criteria for primary or secondary nonresponse to tumor necrosis factor (TNF) antagonists or had unacceptable side effects. The UNITI-2 trial included 628 patients in whom conventional therapy failed or unacceptable side effects occurred. Patients who completed these induction trials then participated in IM-UNITI, in which the 397 patients who had a response to ustekinumab were randomly assigned to receive subcutaneous maintenance injections of 90 mg of ustekinumab (either every 8 weeks or every 12 weeks) or placebo. The primary end point for the induction trials was a clinical response at week 6 (defined as a decrease from baseline in the Crohn's Disease Activity Index [CDAI] score of ≥100 points or a CDAI score &lt;150). The primary end point for the maintenance trial was remission at week 44 (CDAI score &lt;150).\nRESULTS: The rates of response at week 6 among patients receiving intravenous ustekinumab at a dose of either 130 mg or approximately 6 mg per kilogram were significantly higher than the rates among patients receiving placebo (in UNITI-1, 34.3%, 33.7%, and 21.5%, respectively, with P≤0.003 for both comparisons with placebo; in UNITI-2, 51.7%, 55.5%, and 28.7%, respectively, with P&lt;0.001 for both doses). In the groups receiving maintenance doses of ustekinumab every 8 weeks or every 12 weeks, 53.1% and 48.8%, respectively, were in remission at week 44, as compared with 35.9% of those receiving placebo (P=0.005 and P=0.04, respectively). Within each trial, adverse-event rates were similar among treatment groups.\nCONCLUSIONS: Among patients with moderately to severely active Crohn's disease, those receiving intravenous ustekinumab had a significantly higher rate of response than did those receiving placebo. Subcutaneous ustekinumab maintained remission in patients who had a clinical response to induction therapy. (Funded by Janssen Research and Development; ClinicalTrials.gov numbers, NCT01369329 , NCT01369342 , and NCT01369355 .).","DOI":"10.1056/NEJMoa1602773","ISSN":"1533-4406","note":"PMID: 27959607","journalAbbreviation":"N. Engl. J. Med.","language":"eng","author":[{"family":"Feagan","given":"Brian G."},{"family":"Sandborn","given":"William J."},{"family":"Gasink","given":"Christopher"},{"family":"Jacobstein","given":"Douglas"},{"family":"Lang","given":"Yinghua"},{"family":"Friedman","given":"Joshua R."},{"family":"Blank","given":"Marion A."},{"family":"Johanns","given":"Jewel"},{"family":"Gao","given":"Long-Long"},{"family":"Miao","given":"Ye"},{"family":"Adedokun","given":"Omoniyi J."},{"family":"Sands","given":"Bruce E."},{"family":"Hanauer","given":"Stephen B."},{"family":"Vermeire","given":"Severine"},{"family":"Targan","given":"Stephan"},{"family":"Ghosh","given":"Subrata"},{"family":"Villiers","given":"Willem J.","non-dropping-particle":"de"},{"family":"Colombel","given":"Jean-Frédéric"},{"family":"Tulassay","given":"Zsolt"},{"family":"Seidler","given":"Ursula"},{"family":"Salzberg","given":"Bruce A."},{"family":"Desreumaux","given":"Pierre"},{"family":"Lee","given":"Scott D."},{"family":"Loftus","given":"Edward V."},{"family":"Dieleman","given":"Levinus A."},{"family":"Katz","given":"Seymour"},{"family":"Rutgeerts","given":"Paul"},{"literal":"UNITI–IM-UNITI Study Group"}],"issued":{"date-parts":[["2016"]],"season":"17"}}}],"schema":"https://github.com/citation-style-language/schema/raw/master/csl-citation.json"} </w:instrText>
      </w:r>
      <w:r w:rsidR="00296D5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[50]</w:t>
      </w:r>
      <w:r w:rsidR="00296D5A" w:rsidRPr="005B1A16">
        <w:rPr>
          <w:rFonts w:ascii="Book Antiqua" w:hAnsi="Book Antiqua"/>
          <w:color w:val="000000" w:themeColor="text1"/>
        </w:rPr>
        <w:fldChar w:fldCharType="end"/>
      </w:r>
      <w:r w:rsidR="00D23B9C" w:rsidRPr="005B1A16">
        <w:rPr>
          <w:rFonts w:ascii="Book Antiqua" w:hAnsi="Book Antiqua"/>
          <w:color w:val="000000" w:themeColor="text1"/>
        </w:rPr>
        <w:t xml:space="preserve">. </w:t>
      </w:r>
      <w:r w:rsidR="00711BD2" w:rsidRPr="005B1A16">
        <w:rPr>
          <w:rFonts w:ascii="Book Antiqua" w:hAnsi="Book Antiqua"/>
          <w:color w:val="000000" w:themeColor="text1"/>
        </w:rPr>
        <w:t>UNITI</w:t>
      </w:r>
      <w:r w:rsidR="00D23B9C" w:rsidRPr="005B1A16">
        <w:rPr>
          <w:rFonts w:ascii="Book Antiqua" w:hAnsi="Book Antiqua"/>
          <w:color w:val="000000" w:themeColor="text1"/>
        </w:rPr>
        <w:t xml:space="preserve">-I included </w:t>
      </w:r>
      <w:r w:rsidR="00CF5A98" w:rsidRPr="005B1A16">
        <w:rPr>
          <w:rFonts w:ascii="Book Antiqua" w:hAnsi="Book Antiqua"/>
          <w:color w:val="000000" w:themeColor="text1"/>
        </w:rPr>
        <w:t xml:space="preserve">741 </w:t>
      </w:r>
      <w:r w:rsidR="00D23B9C" w:rsidRPr="005B1A16">
        <w:rPr>
          <w:rFonts w:ascii="Book Antiqua" w:hAnsi="Book Antiqua"/>
          <w:color w:val="000000" w:themeColor="text1"/>
        </w:rPr>
        <w:t xml:space="preserve">patients whom had failed anti-TNF therapy </w:t>
      </w:r>
      <w:r w:rsidR="003721D6" w:rsidRPr="005B1A16">
        <w:rPr>
          <w:rFonts w:ascii="Book Antiqua" w:hAnsi="Book Antiqua"/>
          <w:color w:val="000000" w:themeColor="text1"/>
        </w:rPr>
        <w:t xml:space="preserve">due to non-response or intolerance. The induction component of the trial revealed a significantly better clinical response in the </w:t>
      </w:r>
      <w:r w:rsidR="003721D6" w:rsidRPr="005B1A16">
        <w:rPr>
          <w:rFonts w:ascii="Book Antiqua" w:hAnsi="Book Antiqua"/>
          <w:color w:val="000000" w:themeColor="text1"/>
          <w:lang w:val="en-US"/>
        </w:rPr>
        <w:t xml:space="preserve">ustekinumab treatment groups as compared to placebo (34% </w:t>
      </w:r>
      <w:r w:rsidR="003721D6" w:rsidRPr="005B1A16">
        <w:rPr>
          <w:rFonts w:ascii="Book Antiqua" w:hAnsi="Book Antiqua"/>
          <w:i/>
          <w:color w:val="000000" w:themeColor="text1"/>
          <w:lang w:val="en-US"/>
        </w:rPr>
        <w:t>vs</w:t>
      </w:r>
      <w:r w:rsidR="003721D6" w:rsidRPr="005B1A16">
        <w:rPr>
          <w:rFonts w:ascii="Book Antiqua" w:hAnsi="Book Antiqua"/>
          <w:color w:val="000000" w:themeColor="text1"/>
          <w:lang w:val="en-US"/>
        </w:rPr>
        <w:t xml:space="preserve"> 22%, respectively).</w:t>
      </w:r>
      <w:r w:rsidR="005C24F3" w:rsidRPr="005B1A16">
        <w:rPr>
          <w:rFonts w:ascii="Book Antiqua" w:hAnsi="Book Antiqua"/>
          <w:color w:val="000000" w:themeColor="text1"/>
          <w:lang w:val="en-US"/>
        </w:rPr>
        <w:t xml:space="preserve"> </w:t>
      </w:r>
      <w:r w:rsidR="00704427" w:rsidRPr="005B1A16">
        <w:rPr>
          <w:rFonts w:ascii="Book Antiqua" w:hAnsi="Book Antiqua"/>
          <w:color w:val="000000" w:themeColor="text1"/>
          <w:lang w:val="en-US"/>
        </w:rPr>
        <w:t xml:space="preserve">UNITI-II included </w:t>
      </w:r>
      <w:r w:rsidR="006B3F4C" w:rsidRPr="005B1A16">
        <w:rPr>
          <w:rFonts w:ascii="Book Antiqua" w:hAnsi="Book Antiqua"/>
          <w:color w:val="000000" w:themeColor="text1"/>
          <w:lang w:val="en-US"/>
        </w:rPr>
        <w:t xml:space="preserve">628 </w:t>
      </w:r>
      <w:r w:rsidR="00704427" w:rsidRPr="005B1A16">
        <w:rPr>
          <w:rFonts w:ascii="Book Antiqua" w:hAnsi="Book Antiqua"/>
          <w:color w:val="000000" w:themeColor="text1"/>
          <w:lang w:val="en-US"/>
        </w:rPr>
        <w:t xml:space="preserve">patients whom were anti-TNF naïve but </w:t>
      </w:r>
      <w:r w:rsidR="00FE737A" w:rsidRPr="005B1A16">
        <w:rPr>
          <w:rFonts w:ascii="Book Antiqua" w:hAnsi="Book Antiqua"/>
          <w:color w:val="000000" w:themeColor="text1"/>
          <w:lang w:val="en-US"/>
        </w:rPr>
        <w:t xml:space="preserve">failed </w:t>
      </w:r>
      <w:r w:rsidR="00704427" w:rsidRPr="005B1A16">
        <w:rPr>
          <w:rFonts w:ascii="Book Antiqua" w:hAnsi="Book Antiqua"/>
          <w:color w:val="000000" w:themeColor="text1"/>
          <w:lang w:val="en-US"/>
        </w:rPr>
        <w:t xml:space="preserve">conventional immunosuppressive therapy due to poor response or intolerance. </w:t>
      </w:r>
      <w:r w:rsidR="00D66FF9" w:rsidRPr="005B1A16">
        <w:rPr>
          <w:rFonts w:ascii="Book Antiqua" w:hAnsi="Book Antiqua"/>
          <w:color w:val="000000" w:themeColor="text1"/>
          <w:lang w:val="en-US"/>
        </w:rPr>
        <w:t xml:space="preserve">The UNITI-II cohort also </w:t>
      </w:r>
      <w:r w:rsidR="00704427" w:rsidRPr="005B1A16">
        <w:rPr>
          <w:rFonts w:ascii="Book Antiqua" w:hAnsi="Book Antiqua"/>
          <w:color w:val="000000" w:themeColor="text1"/>
          <w:lang w:val="en-US"/>
        </w:rPr>
        <w:t xml:space="preserve">had a significant improvement in their CDAI scores for induction </w:t>
      </w:r>
      <w:r w:rsidR="00D66FF9" w:rsidRPr="005B1A16">
        <w:rPr>
          <w:rFonts w:ascii="Book Antiqua" w:hAnsi="Book Antiqua"/>
          <w:color w:val="000000" w:themeColor="text1"/>
          <w:lang w:val="en-US"/>
        </w:rPr>
        <w:t xml:space="preserve">by approximately 25% as compared to placebo. </w:t>
      </w:r>
      <w:r w:rsidR="00704427" w:rsidRPr="005B1A16">
        <w:rPr>
          <w:rFonts w:ascii="Book Antiqua" w:hAnsi="Book Antiqua"/>
          <w:color w:val="000000" w:themeColor="text1"/>
          <w:lang w:val="en-US"/>
        </w:rPr>
        <w:t xml:space="preserve">Patients receiving maintenance therapy every 8 </w:t>
      </w:r>
      <w:r w:rsidR="00A67204" w:rsidRPr="005B1A16">
        <w:rPr>
          <w:rFonts w:ascii="Book Antiqua" w:eastAsia="SimSun" w:hAnsi="Book Antiqua"/>
          <w:color w:val="000000" w:themeColor="text1"/>
          <w:lang w:val="en-US" w:eastAsia="zh-CN"/>
        </w:rPr>
        <w:t>wk</w:t>
      </w:r>
      <w:r w:rsidR="00704427" w:rsidRPr="005B1A16">
        <w:rPr>
          <w:rFonts w:ascii="Book Antiqua" w:hAnsi="Book Antiqua"/>
          <w:color w:val="000000" w:themeColor="text1"/>
          <w:lang w:val="en-US"/>
        </w:rPr>
        <w:t xml:space="preserve"> and every 12 </w:t>
      </w:r>
      <w:r w:rsidR="00A67204" w:rsidRPr="005B1A16">
        <w:rPr>
          <w:rFonts w:ascii="Book Antiqua" w:eastAsia="SimSun" w:hAnsi="Book Antiqua"/>
          <w:color w:val="000000" w:themeColor="text1"/>
          <w:lang w:val="en-US" w:eastAsia="zh-CN"/>
        </w:rPr>
        <w:t>wk</w:t>
      </w:r>
      <w:r w:rsidR="00704427" w:rsidRPr="005B1A16">
        <w:rPr>
          <w:rFonts w:ascii="Book Antiqua" w:hAnsi="Book Antiqua"/>
          <w:color w:val="000000" w:themeColor="text1"/>
          <w:lang w:val="en-US"/>
        </w:rPr>
        <w:t xml:space="preserve"> demonstrated a signi</w:t>
      </w:r>
      <w:r w:rsidR="00E07AA6" w:rsidRPr="005B1A16">
        <w:rPr>
          <w:rFonts w:ascii="Book Antiqua" w:hAnsi="Book Antiqua"/>
          <w:color w:val="000000" w:themeColor="text1"/>
          <w:lang w:val="en-US"/>
        </w:rPr>
        <w:t>ficantly greater remission rate</w:t>
      </w:r>
      <w:r w:rsidR="00704427" w:rsidRPr="005B1A16">
        <w:rPr>
          <w:rFonts w:ascii="Book Antiqua" w:hAnsi="Book Antiqua"/>
          <w:color w:val="000000" w:themeColor="text1"/>
          <w:lang w:val="en-US"/>
        </w:rPr>
        <w:t xml:space="preserve"> at week 44 as compared to placebo (53% and 49% </w:t>
      </w:r>
      <w:r w:rsidR="00704427" w:rsidRPr="005B1A16">
        <w:rPr>
          <w:rFonts w:ascii="Book Antiqua" w:hAnsi="Book Antiqua"/>
          <w:i/>
          <w:color w:val="000000" w:themeColor="text1"/>
          <w:lang w:val="en-US"/>
        </w:rPr>
        <w:t>vs</w:t>
      </w:r>
      <w:r w:rsidR="00704427" w:rsidRPr="005B1A16">
        <w:rPr>
          <w:rFonts w:ascii="Book Antiqua" w:hAnsi="Book Antiqua"/>
          <w:color w:val="000000" w:themeColor="text1"/>
          <w:lang w:val="en-US"/>
        </w:rPr>
        <w:t xml:space="preserve"> 36%, respectively). </w:t>
      </w:r>
      <w:r w:rsidR="009E38AE" w:rsidRPr="005B1A16">
        <w:rPr>
          <w:rFonts w:ascii="Book Antiqua" w:hAnsi="Book Antiqua"/>
          <w:color w:val="000000" w:themeColor="text1"/>
          <w:lang w:val="en-US"/>
        </w:rPr>
        <w:t xml:space="preserve">Of note, the secondary analyses demonstrated a non-significant difference in CDAI scores compared to placebo in the UNITI-I group as compared to the UNITI-II group, albeit the trend </w:t>
      </w:r>
      <w:r w:rsidR="00905DB0" w:rsidRPr="005B1A16">
        <w:rPr>
          <w:rFonts w:ascii="Book Antiqua" w:hAnsi="Book Antiqua"/>
          <w:color w:val="000000" w:themeColor="text1"/>
          <w:lang w:val="en-US"/>
        </w:rPr>
        <w:t xml:space="preserve">still </w:t>
      </w:r>
      <w:r w:rsidR="00833F33" w:rsidRPr="005B1A16">
        <w:rPr>
          <w:rFonts w:ascii="Book Antiqua" w:hAnsi="Book Antiqua"/>
          <w:color w:val="000000" w:themeColor="text1"/>
          <w:lang w:val="en-US"/>
        </w:rPr>
        <w:t>favored</w:t>
      </w:r>
      <w:r w:rsidR="009E38AE" w:rsidRPr="005B1A16">
        <w:rPr>
          <w:rFonts w:ascii="Book Antiqua" w:hAnsi="Book Antiqua"/>
          <w:color w:val="000000" w:themeColor="text1"/>
          <w:lang w:val="en-US"/>
        </w:rPr>
        <w:t xml:space="preserve"> ustekinumab therapy</w:t>
      </w:r>
      <w:r w:rsidR="00296D5A" w:rsidRPr="005B1A16">
        <w:rPr>
          <w:rFonts w:ascii="Book Antiqua" w:hAnsi="Book Antiqua"/>
          <w:color w:val="000000" w:themeColor="text1"/>
          <w:lang w:val="en-US"/>
        </w:rPr>
        <w:fldChar w:fldCharType="begin"/>
      </w:r>
      <w:r w:rsidR="00B71AF0" w:rsidRPr="005B1A16">
        <w:rPr>
          <w:rFonts w:ascii="Book Antiqua" w:hAnsi="Book Antiqua"/>
          <w:color w:val="000000" w:themeColor="text1"/>
          <w:lang w:val="en-US"/>
        </w:rPr>
        <w:instrText xml:space="preserve"> ADDIN ZOTERO_ITEM CSL_CITATION {"citationID":"asi8aqtq3d","properties":{"formattedCitation":"\\super [50]\\nosupersub{}","plainCitation":"[50]","noteIndex":0},"citationItems":[{"id":119,"uris":["http://zotero.org/users/4672422/items/J5IHC6BK"],"uri":["http://zotero.org/users/4672422/items/J5IHC6BK"],"itemData":{"id":119,"type":"article-journal","title":"Ustekinumab as Induction and Maintenance Therapy for Crohn's Disease","container-title":"The New England Journal of Medicine","page":"1946-1960","volume":"375","issue":"20","source":"PubMed","abstract":"BACKGROUND: Ustekinumab, a monoclonal antibody to the p40 subunit of interleukin-12 and interleukin-23, was evaluated as an intravenous induction therapy in two populations with moderately to severely active Crohn's disease. Ustekinumab was also evaluated as subcutaneous maintenance therapy.\nMETHODS: We randomly assigned patients to receive a single intravenous dose of ustekinumab (either 130 mg or approximately 6 mg per kilogram of body weight) or placebo in two induction trials. The UNITI-1 trial included 741 patients who met the criteria for primary or secondary nonresponse to tumor necrosis factor (TNF) antagonists or had unacceptable side effects. The UNITI-2 trial included 628 patients in whom conventional therapy failed or unacceptable side effects occurred. Patients who completed these induction trials then participated in IM-UNITI, in which the 397 patients who had a response to ustekinumab were randomly assigned to receive subcutaneous maintenance injections of 90 mg of ustekinumab (either every 8 weeks or every 12 weeks) or placebo. The primary end point for the induction trials was a clinical response at week 6 (defined as a decrease from baseline in the Crohn's Disease Activity Index [CDAI] score of ≥100 points or a CDAI score &lt;150). The primary end point for the maintenance trial was remission at week 44 (CDAI score &lt;150).\nRESULTS: The rates of response at week 6 among patients receiving intravenous ustekinumab at a dose of either 130 mg or approximately 6 mg per kilogram were significantly higher than the rates among patients receiving placebo (in UNITI-1, 34.3%, 33.7%, and 21.5%, respectively, with P≤0.003 for both comparisons with placebo; in UNITI-2, 51.7%, 55.5%, and 28.7%, respectively, with P&lt;0.001 for both doses). In the groups receiving maintenance doses of ustekinumab every 8 weeks or every 12 weeks, 53.1% and 48.8%, respectively, were in remission at week 44, as compared with 35.9% of those receiving placebo (P=0.005 and P=0.04, respectively). Within each trial, adverse-event rates were similar among treatment groups.\nCONCLUSIONS: Among patients with moderately to severely active Crohn's disease, those receiving intravenous ustekinumab had a significantly higher rate of response than did those receiving placebo. Subcutaneous ustekinumab maintained remission in patients who had a clinical response to induction therapy. (Funded by Janssen Research and Development; ClinicalTrials.gov numbers, NCT01369329 , NCT01369342 , and NCT01369355 .).","DOI":"10.1056/NEJMoa1602773","ISSN":"1533-4406","note":"PMID: 27959607","journalAbbreviation":"N. Engl. J. Med.","language":"eng","author":[{"family":"Feagan","given":"Brian G."},{"family":"Sandborn","given":"William J."},{"family":"Gasink","given":"Christopher"},{"family":"Jacobstein","given":"Douglas"},{"family":"Lang","given":"Yinghua"},{"family":"Friedman","given":"Joshua R."},{"family":"Blank","given":"Marion A."},{"family":"Johanns","given":"Jewel"},{"family":"Gao","given":"Long-Long"},{"family":"Miao","given":"Ye"},{"family":"Adedokun","given":"Omoniyi J."},{"family":"Sands","given":"Bruce E."},{"family":"Hanauer","given":"Stephen B."},{"family":"Vermeire","given":"Severine"},{"family":"Targan","given":"Stephan"},{"family":"Ghosh","given":"Subrata"},{"family":"Villiers","given":"Willem J.","non-dropping-particle":"de"},{"family":"Colombel","given":"Jean-Frédéric"},{"family":"Tulassay","given":"Zsolt"},{"family":"Seidler","given":"Ursula"},{"family":"Salzberg","given":"Bruce A."},{"family":"Desreumaux","given":"Pierre"},{"family":"Lee","given":"Scott D."},{"family":"Loftus","given":"Edward V."},{"family":"Dieleman","given":"Levinus A."},{"family":"Katz","given":"Seymour"},{"family":"Rutgeerts","given":"Paul"},{"literal":"UNITI–IM-UNITI Study Group"}],"issued":{"date-parts":[["2016"]],"season":"17"}}}],"schema":"https://github.com/citation-style-language/schema/raw/master/csl-citation.json"} </w:instrText>
      </w:r>
      <w:r w:rsidR="00296D5A" w:rsidRPr="005B1A16">
        <w:rPr>
          <w:rFonts w:ascii="Book Antiqua" w:hAnsi="Book Antiqua"/>
          <w:color w:val="000000" w:themeColor="text1"/>
          <w:lang w:val="en-US"/>
        </w:rPr>
        <w:fldChar w:fldCharType="separate"/>
      </w:r>
      <w:r w:rsidR="00B71AF0" w:rsidRPr="005B1A16">
        <w:rPr>
          <w:rFonts w:ascii="Book Antiqua" w:hAnsi="Book Antiqua"/>
          <w:color w:val="000000" w:themeColor="text1"/>
          <w:vertAlign w:val="superscript"/>
          <w:lang w:val="en-US"/>
        </w:rPr>
        <w:t>[50]</w:t>
      </w:r>
      <w:r w:rsidR="00296D5A" w:rsidRPr="005B1A16">
        <w:rPr>
          <w:rFonts w:ascii="Book Antiqua" w:hAnsi="Book Antiqua"/>
          <w:color w:val="000000" w:themeColor="text1"/>
          <w:lang w:val="en-US"/>
        </w:rPr>
        <w:fldChar w:fldCharType="end"/>
      </w:r>
      <w:r w:rsidR="009E38AE" w:rsidRPr="005B1A16">
        <w:rPr>
          <w:rFonts w:ascii="Book Antiqua" w:hAnsi="Book Antiqua"/>
          <w:color w:val="000000" w:themeColor="text1"/>
          <w:lang w:val="en-US"/>
        </w:rPr>
        <w:t>.</w:t>
      </w:r>
      <w:r w:rsidR="00833F33" w:rsidRPr="005B1A16">
        <w:rPr>
          <w:rFonts w:ascii="Book Antiqua" w:hAnsi="Book Antiqua"/>
          <w:color w:val="000000" w:themeColor="text1"/>
          <w:lang w:val="en-US"/>
        </w:rPr>
        <w:t xml:space="preserve"> </w:t>
      </w:r>
      <w:r w:rsidR="00905DB0" w:rsidRPr="005B1A16">
        <w:rPr>
          <w:rFonts w:ascii="Book Antiqua" w:hAnsi="Book Antiqua"/>
          <w:color w:val="000000" w:themeColor="text1"/>
          <w:lang w:val="en-US"/>
        </w:rPr>
        <w:t xml:space="preserve">Lack of significance is most likely due to a lack of power to properly evaluate the difference amongst sub-groups, however this trend is expected; patients in UNITI-I have more refractory disease thus less likely to respond to ustekinumab as compared to the biologic-naïve patients in UNITI-II. </w:t>
      </w:r>
      <w:r w:rsidR="0041570E" w:rsidRPr="005B1A16">
        <w:rPr>
          <w:rFonts w:ascii="Book Antiqua" w:hAnsi="Book Antiqua"/>
          <w:color w:val="000000" w:themeColor="text1"/>
          <w:lang w:val="en-US"/>
        </w:rPr>
        <w:t xml:space="preserve">Significant improvements in fecal calprotectin and CRP were </w:t>
      </w:r>
      <w:r w:rsidR="00905DB0" w:rsidRPr="005B1A16">
        <w:rPr>
          <w:rFonts w:ascii="Book Antiqua" w:hAnsi="Book Antiqua"/>
          <w:color w:val="000000" w:themeColor="text1"/>
          <w:lang w:val="en-US"/>
        </w:rPr>
        <w:t xml:space="preserve">also noted and </w:t>
      </w:r>
      <w:r w:rsidR="0041570E" w:rsidRPr="005B1A16">
        <w:rPr>
          <w:rFonts w:ascii="Book Antiqua" w:hAnsi="Book Antiqua"/>
          <w:color w:val="000000" w:themeColor="text1"/>
          <w:lang w:val="en-US"/>
        </w:rPr>
        <w:t xml:space="preserve">able to be seen as early as 3 </w:t>
      </w:r>
      <w:r w:rsidR="00A67204" w:rsidRPr="005B1A16">
        <w:rPr>
          <w:rFonts w:ascii="Book Antiqua" w:eastAsia="SimSun" w:hAnsi="Book Antiqua"/>
          <w:color w:val="000000" w:themeColor="text1"/>
          <w:lang w:val="en-US" w:eastAsia="zh-CN"/>
        </w:rPr>
        <w:t>wk</w:t>
      </w:r>
      <w:r w:rsidR="00965E93" w:rsidRPr="005B1A16">
        <w:rPr>
          <w:rFonts w:ascii="Book Antiqua" w:hAnsi="Book Antiqua"/>
          <w:color w:val="000000" w:themeColor="text1"/>
          <w:lang w:val="en-US"/>
        </w:rPr>
        <w:t xml:space="preserve"> </w:t>
      </w:r>
      <w:r w:rsidR="00565EC0" w:rsidRPr="005B1A16">
        <w:rPr>
          <w:rFonts w:ascii="Book Antiqua" w:hAnsi="Book Antiqua"/>
          <w:color w:val="000000" w:themeColor="text1"/>
          <w:lang w:val="en-US"/>
        </w:rPr>
        <w:t>supporting its us</w:t>
      </w:r>
      <w:r w:rsidR="00296D5A" w:rsidRPr="005B1A16">
        <w:rPr>
          <w:rFonts w:ascii="Book Antiqua" w:hAnsi="Book Antiqua"/>
          <w:color w:val="000000" w:themeColor="text1"/>
          <w:lang w:val="en-US"/>
        </w:rPr>
        <w:t>efulness in acute severe flares</w:t>
      </w:r>
      <w:r w:rsidR="0041570E" w:rsidRPr="005B1A16">
        <w:rPr>
          <w:rFonts w:ascii="Book Antiqua" w:hAnsi="Book Antiqua"/>
          <w:color w:val="000000" w:themeColor="text1"/>
          <w:lang w:val="en-US"/>
        </w:rPr>
        <w:t>.</w:t>
      </w:r>
      <w:r w:rsidR="006D2854" w:rsidRPr="005B1A16">
        <w:rPr>
          <w:rFonts w:ascii="Book Antiqua" w:hAnsi="Book Antiqua"/>
          <w:color w:val="000000" w:themeColor="text1"/>
          <w:lang w:val="en-US"/>
        </w:rPr>
        <w:t xml:space="preserve"> </w:t>
      </w:r>
    </w:p>
    <w:p w14:paraId="582F82F1" w14:textId="53D04287" w:rsidR="00EC1598" w:rsidRPr="005B1A16" w:rsidRDefault="00EC1598" w:rsidP="005B1A16">
      <w:pPr>
        <w:spacing w:line="360" w:lineRule="auto"/>
        <w:jc w:val="both"/>
        <w:rPr>
          <w:rFonts w:ascii="Book Antiqua" w:hAnsi="Book Antiqua"/>
          <w:b/>
          <w:color w:val="000000" w:themeColor="text1"/>
        </w:rPr>
      </w:pPr>
    </w:p>
    <w:p w14:paraId="34F3C17B" w14:textId="18286C52" w:rsidR="00E72436" w:rsidRPr="005B1A16" w:rsidRDefault="00A67204" w:rsidP="005B1A16">
      <w:pPr>
        <w:spacing w:line="360" w:lineRule="auto"/>
        <w:jc w:val="both"/>
        <w:outlineLvl w:val="0"/>
        <w:rPr>
          <w:rFonts w:ascii="Book Antiqua" w:hAnsi="Book Antiqua"/>
          <w:b/>
          <w:color w:val="000000" w:themeColor="text1"/>
          <w:lang w:val="en-US"/>
        </w:rPr>
      </w:pPr>
      <w:r w:rsidRPr="005B1A16">
        <w:rPr>
          <w:rFonts w:ascii="Book Antiqua" w:hAnsi="Book Antiqua"/>
          <w:b/>
          <w:color w:val="000000" w:themeColor="text1"/>
          <w:lang w:val="en-US"/>
        </w:rPr>
        <w:t>ULCERATIVE COLITIS</w:t>
      </w:r>
    </w:p>
    <w:p w14:paraId="2CBFF360" w14:textId="6833D480" w:rsidR="00A515BF" w:rsidRPr="005B1A16" w:rsidRDefault="00A515BF" w:rsidP="005B1A16">
      <w:pPr>
        <w:spacing w:line="360" w:lineRule="auto"/>
        <w:jc w:val="both"/>
        <w:outlineLvl w:val="0"/>
        <w:rPr>
          <w:rFonts w:ascii="Book Antiqua" w:hAnsi="Book Antiqua"/>
          <w:b/>
          <w:i/>
          <w:color w:val="000000" w:themeColor="text1"/>
          <w:lang w:val="en-US"/>
        </w:rPr>
      </w:pPr>
      <w:r w:rsidRPr="005B1A16">
        <w:rPr>
          <w:rFonts w:ascii="Book Antiqua" w:hAnsi="Book Antiqua"/>
          <w:b/>
          <w:i/>
          <w:color w:val="000000" w:themeColor="text1"/>
          <w:lang w:val="en-US"/>
        </w:rPr>
        <w:t>Anti-TNF agents</w:t>
      </w:r>
    </w:p>
    <w:p w14:paraId="1B350DA5" w14:textId="5BC377C2" w:rsidR="00C764FE" w:rsidRPr="005B1A16" w:rsidRDefault="00EC1598" w:rsidP="005B1A16">
      <w:pPr>
        <w:spacing w:line="360" w:lineRule="auto"/>
        <w:jc w:val="both"/>
        <w:outlineLvl w:val="0"/>
        <w:rPr>
          <w:rFonts w:ascii="Book Antiqua" w:eastAsia="SimSun" w:hAnsi="Book Antiqua"/>
          <w:i/>
          <w:color w:val="000000" w:themeColor="text1"/>
          <w:lang w:val="en-US" w:eastAsia="zh-CN"/>
        </w:rPr>
      </w:pPr>
      <w:r w:rsidRPr="005B1A16">
        <w:rPr>
          <w:rFonts w:ascii="Book Antiqua" w:hAnsi="Book Antiqua"/>
          <w:b/>
          <w:color w:val="000000" w:themeColor="text1"/>
          <w:lang w:val="en-US"/>
        </w:rPr>
        <w:t>Infliximab</w:t>
      </w:r>
      <w:r w:rsidR="00A67204" w:rsidRPr="005B1A16">
        <w:rPr>
          <w:rFonts w:ascii="Book Antiqua" w:eastAsia="SimSun" w:hAnsi="Book Antiqua"/>
          <w:b/>
          <w:color w:val="000000" w:themeColor="text1"/>
          <w:lang w:val="en-US" w:eastAsia="zh-CN"/>
        </w:rPr>
        <w:t xml:space="preserve">: </w:t>
      </w:r>
      <w:r w:rsidR="00E66BAC" w:rsidRPr="005B1A16">
        <w:rPr>
          <w:rFonts w:ascii="Book Antiqua" w:hAnsi="Book Antiqua"/>
          <w:color w:val="000000" w:themeColor="text1"/>
          <w:lang w:val="en-US"/>
        </w:rPr>
        <w:t>The first two large-scale studies to assess the therapeutic potential of infliximab were the ACT 1 and ACT 2 trials</w:t>
      </w:r>
      <w:r w:rsidR="005E3954" w:rsidRPr="005B1A16">
        <w:rPr>
          <w:rFonts w:ascii="Book Antiqua" w:hAnsi="Book Antiqua"/>
          <w:color w:val="000000" w:themeColor="text1"/>
          <w:lang w:val="en-US"/>
        </w:rPr>
        <w:t xml:space="preserve"> published in 2005</w:t>
      </w:r>
      <w:r w:rsidR="005C06F0" w:rsidRPr="005B1A16">
        <w:rPr>
          <w:rFonts w:ascii="Book Antiqua" w:hAnsi="Book Antiqua"/>
          <w:color w:val="000000" w:themeColor="text1"/>
          <w:lang w:val="en-US"/>
        </w:rPr>
        <w:t xml:space="preserve">, prior to this, biologic therapy for UC </w:t>
      </w:r>
      <w:r w:rsidR="00F91483" w:rsidRPr="005B1A16">
        <w:rPr>
          <w:rFonts w:ascii="Book Antiqua" w:hAnsi="Book Antiqua"/>
          <w:color w:val="000000" w:themeColor="text1"/>
          <w:lang w:val="en-US"/>
        </w:rPr>
        <w:t>was not established</w:t>
      </w:r>
      <w:r w:rsidR="00465491" w:rsidRPr="005B1A16">
        <w:rPr>
          <w:rFonts w:ascii="Book Antiqua" w:hAnsi="Book Antiqua"/>
          <w:color w:val="000000" w:themeColor="text1"/>
          <w:lang w:val="en-US"/>
        </w:rPr>
        <w:fldChar w:fldCharType="begin"/>
      </w:r>
      <w:r w:rsidR="00B71AF0" w:rsidRPr="005B1A16">
        <w:rPr>
          <w:rFonts w:ascii="Book Antiqua" w:hAnsi="Book Antiqua"/>
          <w:color w:val="000000" w:themeColor="text1"/>
          <w:lang w:val="en-US"/>
        </w:rPr>
        <w:instrText xml:space="preserve"> ADDIN ZOTERO_ITEM CSL_CITATION {"citationID":"a1t3o4vi56g","properties":{"formattedCitation":"\\super [51]\\nosupersub{}","plainCitation":"[51]","noteIndex":0},"citationItems":[{"id":121,"uris":["http://zotero.org/users/4672422/items/YPQWGJMQ"],"uri":["http://zotero.org/users/4672422/items/YPQWGJMQ"],"itemData":{"id":121,"type":"article-journal","title":"Infliximab for Induction and Maintenance Therapy for Ulcerative Colitis","container-title":"New England Journal of Medicine","page":"2462-2476","volume":"353","issue":"23","source":"CrossRef","URL":"http://www.nejm.org/doi/abs/10.1056/NEJMoa050516","DOI":"10.1056/NEJMoa050516","ISSN":"0028-4793, 1533-4406","language":"en","author":[{"family":"Rutgeerts","given":"Paul"},{"family":"Sandborn","given":"William J."},{"family":"Feagan","given":"Brian G."},{"family":"Reinisch","given":"Walter"},{"family":"Olson","given":"Allan"},{"family":"Johanns","given":"Jewel"},{"family":"Travers","given":"Suzanne"},{"family":"Rachmilewitz","given":"Daniel"},{"family":"Hanauer","given":"Stephen B."},{"family":"Lichtenstein","given":"Gary R."},{"family":"Villiers","given":"Willem J.S.","non-dropping-particle":"de"},{"family":"Present","given":"Daniel"},{"family":"Sands","given":"Bruce E."},{"family":"Colombel","given":"Jean Frédéric"}],"issued":{"date-parts":[["2005",12,8]]},"accessed":{"date-parts":[["2018",3,27]]}}}],"schema":"https://github.com/citation-style-language/schema/raw/master/csl-citation.json"} </w:instrText>
      </w:r>
      <w:r w:rsidR="00465491" w:rsidRPr="005B1A16">
        <w:rPr>
          <w:rFonts w:ascii="Book Antiqua" w:hAnsi="Book Antiqua"/>
          <w:color w:val="000000" w:themeColor="text1"/>
          <w:lang w:val="en-US"/>
        </w:rPr>
        <w:fldChar w:fldCharType="separate"/>
      </w:r>
      <w:r w:rsidR="00B71AF0" w:rsidRPr="005B1A16">
        <w:rPr>
          <w:rFonts w:ascii="Book Antiqua" w:hAnsi="Book Antiqua"/>
          <w:color w:val="000000" w:themeColor="text1"/>
          <w:vertAlign w:val="superscript"/>
          <w:lang w:val="en-US"/>
        </w:rPr>
        <w:t>[51]</w:t>
      </w:r>
      <w:r w:rsidR="00465491" w:rsidRPr="005B1A16">
        <w:rPr>
          <w:rFonts w:ascii="Book Antiqua" w:hAnsi="Book Antiqua"/>
          <w:color w:val="000000" w:themeColor="text1"/>
          <w:lang w:val="en-US"/>
        </w:rPr>
        <w:fldChar w:fldCharType="end"/>
      </w:r>
      <w:r w:rsidR="00E66BAC" w:rsidRPr="005B1A16">
        <w:rPr>
          <w:rFonts w:ascii="Book Antiqua" w:hAnsi="Book Antiqua"/>
          <w:color w:val="000000" w:themeColor="text1"/>
          <w:lang w:val="en-US"/>
        </w:rPr>
        <w:t xml:space="preserve">. </w:t>
      </w:r>
      <w:r w:rsidR="00E844F1" w:rsidRPr="005B1A16">
        <w:rPr>
          <w:rFonts w:ascii="Book Antiqua" w:hAnsi="Book Antiqua"/>
          <w:color w:val="000000" w:themeColor="text1"/>
          <w:lang w:val="en-US"/>
        </w:rPr>
        <w:t>ACT 1 evaluated 364 patients with moderate to severe UC</w:t>
      </w:r>
      <w:r w:rsidR="002129FE" w:rsidRPr="005B1A16">
        <w:rPr>
          <w:rFonts w:ascii="Book Antiqua" w:hAnsi="Book Antiqua"/>
          <w:color w:val="000000" w:themeColor="text1"/>
          <w:lang w:val="en-US"/>
        </w:rPr>
        <w:t xml:space="preserve"> </w:t>
      </w:r>
      <w:r w:rsidR="00E844F1" w:rsidRPr="005B1A16">
        <w:rPr>
          <w:rFonts w:ascii="Book Antiqua" w:hAnsi="Book Antiqua"/>
          <w:color w:val="000000" w:themeColor="text1"/>
          <w:lang w:val="en-US"/>
        </w:rPr>
        <w:t xml:space="preserve">following their induction and maintenance dosing until 54 </w:t>
      </w:r>
      <w:r w:rsidR="0097376A" w:rsidRPr="005B1A16">
        <w:rPr>
          <w:rFonts w:ascii="Book Antiqua" w:eastAsia="SimSun" w:hAnsi="Book Antiqua"/>
          <w:color w:val="000000" w:themeColor="text1"/>
          <w:lang w:val="en-US" w:eastAsia="zh-CN"/>
        </w:rPr>
        <w:t>wk</w:t>
      </w:r>
      <w:r w:rsidR="00E844F1" w:rsidRPr="005B1A16">
        <w:rPr>
          <w:rFonts w:ascii="Book Antiqua" w:hAnsi="Book Antiqua"/>
          <w:color w:val="000000" w:themeColor="text1"/>
          <w:lang w:val="en-US"/>
        </w:rPr>
        <w:t>. ACT 2 evaluated the same number of patients and maintained the same induction</w:t>
      </w:r>
      <w:r w:rsidR="0047449E" w:rsidRPr="005B1A16">
        <w:rPr>
          <w:rFonts w:ascii="Book Antiqua" w:hAnsi="Book Antiqua"/>
          <w:color w:val="000000" w:themeColor="text1"/>
          <w:lang w:val="en-US"/>
        </w:rPr>
        <w:t xml:space="preserve">, </w:t>
      </w:r>
      <w:r w:rsidR="00E844F1" w:rsidRPr="005B1A16">
        <w:rPr>
          <w:rFonts w:ascii="Book Antiqua" w:hAnsi="Book Antiqua"/>
          <w:color w:val="000000" w:themeColor="text1"/>
          <w:lang w:val="en-US"/>
        </w:rPr>
        <w:lastRenderedPageBreak/>
        <w:t>maintenance</w:t>
      </w:r>
      <w:r w:rsidR="0047449E" w:rsidRPr="005B1A16">
        <w:rPr>
          <w:rFonts w:ascii="Book Antiqua" w:hAnsi="Book Antiqua"/>
          <w:color w:val="000000" w:themeColor="text1"/>
          <w:lang w:val="en-US"/>
        </w:rPr>
        <w:t xml:space="preserve"> and follow-up</w:t>
      </w:r>
      <w:r w:rsidR="00E844F1" w:rsidRPr="005B1A16">
        <w:rPr>
          <w:rFonts w:ascii="Book Antiqua" w:hAnsi="Book Antiqua"/>
          <w:color w:val="000000" w:themeColor="text1"/>
          <w:lang w:val="en-US"/>
        </w:rPr>
        <w:t xml:space="preserve"> regimen as ACT 1 except maintenan</w:t>
      </w:r>
      <w:r w:rsidR="0047449E" w:rsidRPr="005B1A16">
        <w:rPr>
          <w:rFonts w:ascii="Book Antiqua" w:hAnsi="Book Antiqua"/>
          <w:color w:val="000000" w:themeColor="text1"/>
          <w:lang w:val="en-US"/>
        </w:rPr>
        <w:t xml:space="preserve">ce dosing ceased after 22 </w:t>
      </w:r>
      <w:r w:rsidR="00400877" w:rsidRPr="005B1A16">
        <w:rPr>
          <w:rFonts w:ascii="Book Antiqua" w:eastAsia="SimSun" w:hAnsi="Book Antiqua"/>
          <w:color w:val="000000" w:themeColor="text1"/>
          <w:lang w:val="en-US" w:eastAsia="zh-CN"/>
        </w:rPr>
        <w:t>wk</w:t>
      </w:r>
      <w:r w:rsidR="0047449E" w:rsidRPr="005B1A16">
        <w:rPr>
          <w:rFonts w:ascii="Book Antiqua" w:hAnsi="Book Antiqua"/>
          <w:color w:val="000000" w:themeColor="text1"/>
          <w:lang w:val="en-US"/>
        </w:rPr>
        <w:t xml:space="preserve">. </w:t>
      </w:r>
      <w:r w:rsidR="002129FE" w:rsidRPr="005B1A16">
        <w:rPr>
          <w:rFonts w:ascii="Book Antiqua" w:hAnsi="Book Antiqua"/>
          <w:color w:val="000000" w:themeColor="text1"/>
          <w:lang w:val="en-US"/>
        </w:rPr>
        <w:t xml:space="preserve">Nearly 60% of patients in both cohorts were steroid dependent. </w:t>
      </w:r>
      <w:r w:rsidR="005E3954" w:rsidRPr="005B1A16">
        <w:rPr>
          <w:rFonts w:ascii="Book Antiqua" w:hAnsi="Book Antiqua"/>
          <w:color w:val="000000" w:themeColor="text1"/>
          <w:lang w:val="en-US"/>
        </w:rPr>
        <w:t xml:space="preserve">In both studies, a significant clinical response </w:t>
      </w:r>
      <w:r w:rsidR="00521EE5" w:rsidRPr="005B1A16">
        <w:rPr>
          <w:rFonts w:ascii="Book Antiqua" w:hAnsi="Book Antiqua"/>
          <w:color w:val="000000" w:themeColor="text1"/>
          <w:lang w:val="en-US"/>
        </w:rPr>
        <w:t>was demonstrated</w:t>
      </w:r>
      <w:r w:rsidR="005E3954" w:rsidRPr="005B1A16">
        <w:rPr>
          <w:rFonts w:ascii="Book Antiqua" w:hAnsi="Book Antiqua"/>
          <w:color w:val="000000" w:themeColor="text1"/>
          <w:lang w:val="en-US"/>
        </w:rPr>
        <w:t xml:space="preserve"> with remission occurring in </w:t>
      </w:r>
      <w:r w:rsidR="00521EE5" w:rsidRPr="005B1A16">
        <w:rPr>
          <w:rFonts w:ascii="Book Antiqua" w:hAnsi="Book Antiqua"/>
          <w:color w:val="000000" w:themeColor="text1"/>
          <w:lang w:val="en-US"/>
        </w:rPr>
        <w:t xml:space="preserve">approximately 35% and 31% of patients taking infliximab as compared to 15% and 6% of patients on placebo at week 8 in ACT 1 and ACT 2 studies, respectively. </w:t>
      </w:r>
      <w:r w:rsidR="00BE15FB" w:rsidRPr="005B1A16">
        <w:rPr>
          <w:rFonts w:ascii="Book Antiqua" w:hAnsi="Book Antiqua"/>
          <w:color w:val="000000" w:themeColor="text1"/>
          <w:lang w:val="en-US"/>
        </w:rPr>
        <w:t xml:space="preserve">Sustained remission </w:t>
      </w:r>
      <w:r w:rsidR="002E1177" w:rsidRPr="005B1A16">
        <w:rPr>
          <w:rFonts w:ascii="Book Antiqua" w:hAnsi="Book Antiqua"/>
          <w:color w:val="000000" w:themeColor="text1"/>
          <w:lang w:val="en-US"/>
        </w:rPr>
        <w:t xml:space="preserve">was achieved over the study period in approximately 20% of patients on infliximab as compared to 5% of patients in the placebo group. </w:t>
      </w:r>
      <w:r w:rsidR="002129FE" w:rsidRPr="005B1A16">
        <w:rPr>
          <w:rFonts w:ascii="Book Antiqua" w:hAnsi="Book Antiqua"/>
          <w:color w:val="000000" w:themeColor="text1"/>
          <w:lang w:val="en-US"/>
        </w:rPr>
        <w:t xml:space="preserve">Additionally, a greater proportion of patients were able to be weaned off their steroids following the initiation of infliximab. </w:t>
      </w:r>
      <w:r w:rsidR="002E1177" w:rsidRPr="005B1A16">
        <w:rPr>
          <w:rFonts w:ascii="Book Antiqua" w:hAnsi="Book Antiqua"/>
          <w:color w:val="000000" w:themeColor="text1"/>
          <w:lang w:val="en-US"/>
        </w:rPr>
        <w:t xml:space="preserve">Mucosal healing, considered to be the greatest risk factor for malignancy, was markedly improved throughout the study period and significantly better than placebo as early as week 8, approximately 60% </w:t>
      </w:r>
      <w:r w:rsidR="002E1177" w:rsidRPr="005B1A16">
        <w:rPr>
          <w:rFonts w:ascii="Book Antiqua" w:hAnsi="Book Antiqua"/>
          <w:i/>
          <w:color w:val="000000" w:themeColor="text1"/>
          <w:lang w:val="en-US"/>
        </w:rPr>
        <w:t>vs</w:t>
      </w:r>
      <w:r w:rsidR="002E1177" w:rsidRPr="005B1A16">
        <w:rPr>
          <w:rFonts w:ascii="Book Antiqua" w:hAnsi="Book Antiqua"/>
          <w:color w:val="000000" w:themeColor="text1"/>
          <w:lang w:val="en-US"/>
        </w:rPr>
        <w:t xml:space="preserve"> 30% respectively. </w:t>
      </w:r>
      <w:r w:rsidR="002129FE" w:rsidRPr="005B1A16">
        <w:rPr>
          <w:rFonts w:ascii="Book Antiqua" w:hAnsi="Book Antiqua"/>
          <w:color w:val="000000" w:themeColor="text1"/>
          <w:lang w:val="en-US"/>
        </w:rPr>
        <w:t>No difference between the two doses prescribed, 10</w:t>
      </w:r>
      <w:r w:rsidR="00400877" w:rsidRPr="005B1A16">
        <w:rPr>
          <w:rFonts w:ascii="Book Antiqua" w:eastAsia="SimSun" w:hAnsi="Book Antiqua"/>
          <w:color w:val="000000" w:themeColor="text1"/>
          <w:lang w:val="en-US" w:eastAsia="zh-CN"/>
        </w:rPr>
        <w:t xml:space="preserve"> </w:t>
      </w:r>
      <w:r w:rsidR="002129FE" w:rsidRPr="005B1A16">
        <w:rPr>
          <w:rFonts w:ascii="Book Antiqua" w:hAnsi="Book Antiqua"/>
          <w:color w:val="000000" w:themeColor="text1"/>
          <w:lang w:val="en-US"/>
        </w:rPr>
        <w:t>mg/kg and 5</w:t>
      </w:r>
      <w:r w:rsidR="00400877" w:rsidRPr="005B1A16">
        <w:rPr>
          <w:rFonts w:ascii="Book Antiqua" w:eastAsia="SimSun" w:hAnsi="Book Antiqua"/>
          <w:color w:val="000000" w:themeColor="text1"/>
          <w:lang w:val="en-US" w:eastAsia="zh-CN"/>
        </w:rPr>
        <w:t xml:space="preserve"> </w:t>
      </w:r>
      <w:r w:rsidR="002129FE" w:rsidRPr="005B1A16">
        <w:rPr>
          <w:rFonts w:ascii="Book Antiqua" w:hAnsi="Book Antiqua"/>
          <w:color w:val="000000" w:themeColor="text1"/>
          <w:lang w:val="en-US"/>
        </w:rPr>
        <w:t>mg/kg, was identified with respect to efficacy</w:t>
      </w:r>
      <w:r w:rsidR="00465491" w:rsidRPr="005B1A16">
        <w:rPr>
          <w:rFonts w:ascii="Book Antiqua" w:hAnsi="Book Antiqua"/>
          <w:color w:val="000000" w:themeColor="text1"/>
          <w:lang w:val="en-US"/>
        </w:rPr>
        <w:fldChar w:fldCharType="begin"/>
      </w:r>
      <w:r w:rsidR="00B71AF0" w:rsidRPr="005B1A16">
        <w:rPr>
          <w:rFonts w:ascii="Book Antiqua" w:hAnsi="Book Antiqua"/>
          <w:color w:val="000000" w:themeColor="text1"/>
          <w:lang w:val="en-US"/>
        </w:rPr>
        <w:instrText xml:space="preserve"> ADDIN ZOTERO_ITEM CSL_CITATION {"citationID":"a15863j23uj","properties":{"formattedCitation":"\\super [51]\\nosupersub{}","plainCitation":"[51]","noteIndex":0},"citationItems":[{"id":121,"uris":["http://zotero.org/users/4672422/items/YPQWGJMQ"],"uri":["http://zotero.org/users/4672422/items/YPQWGJMQ"],"itemData":{"id":121,"type":"article-journal","title":"Infliximab for Induction and Maintenance Therapy for Ulcerative Colitis","container-title":"New England Journal of Medicine","page":"2462-2476","volume":"353","issue":"23","source":"CrossRef","URL":"http://www.nejm.org/doi/abs/10.1056/NEJMoa050516","DOI":"10.1056/NEJMoa050516","ISSN":"0028-4793, 1533-4406","language":"en","author":[{"family":"Rutgeerts","given":"Paul"},{"family":"Sandborn","given":"William J."},{"family":"Feagan","given":"Brian G."},{"family":"Reinisch","given":"Walter"},{"family":"Olson","given":"Allan"},{"family":"Johanns","given":"Jewel"},{"family":"Travers","given":"Suzanne"},{"family":"Rachmilewitz","given":"Daniel"},{"family":"Hanauer","given":"Stephen B."},{"family":"Lichtenstein","given":"Gary R."},{"family":"Villiers","given":"Willem J.S.","non-dropping-particle":"de"},{"family":"Present","given":"Daniel"},{"family":"Sands","given":"Bruce E."},{"family":"Colombel","given":"Jean Frédéric"}],"issued":{"date-parts":[["2005",12,8]]},"accessed":{"date-parts":[["2018",3,27]]}}}],"schema":"https://github.com/citation-style-language/schema/raw/master/csl-citation.json"} </w:instrText>
      </w:r>
      <w:r w:rsidR="00465491" w:rsidRPr="005B1A16">
        <w:rPr>
          <w:rFonts w:ascii="Book Antiqua" w:hAnsi="Book Antiqua"/>
          <w:color w:val="000000" w:themeColor="text1"/>
          <w:lang w:val="en-US"/>
        </w:rPr>
        <w:fldChar w:fldCharType="separate"/>
      </w:r>
      <w:r w:rsidR="00B71AF0" w:rsidRPr="005B1A16">
        <w:rPr>
          <w:rFonts w:ascii="Book Antiqua" w:hAnsi="Book Antiqua"/>
          <w:color w:val="000000" w:themeColor="text1"/>
          <w:vertAlign w:val="superscript"/>
          <w:lang w:val="en-US"/>
        </w:rPr>
        <w:t>[51]</w:t>
      </w:r>
      <w:r w:rsidR="00465491" w:rsidRPr="005B1A16">
        <w:rPr>
          <w:rFonts w:ascii="Book Antiqua" w:hAnsi="Book Antiqua"/>
          <w:color w:val="000000" w:themeColor="text1"/>
          <w:lang w:val="en-US"/>
        </w:rPr>
        <w:fldChar w:fldCharType="end"/>
      </w:r>
      <w:r w:rsidR="002129FE" w:rsidRPr="005B1A16">
        <w:rPr>
          <w:rFonts w:ascii="Book Antiqua" w:hAnsi="Book Antiqua"/>
          <w:color w:val="000000" w:themeColor="text1"/>
          <w:lang w:val="en-US"/>
        </w:rPr>
        <w:t>.</w:t>
      </w:r>
    </w:p>
    <w:p w14:paraId="42AA6B72" w14:textId="1D34D50A" w:rsidR="00C764FE" w:rsidRPr="005B1A16" w:rsidRDefault="00C764FE" w:rsidP="005B1A16">
      <w:pPr>
        <w:spacing w:line="360" w:lineRule="auto"/>
        <w:ind w:firstLineChars="100" w:firstLine="240"/>
        <w:jc w:val="both"/>
        <w:rPr>
          <w:rFonts w:ascii="Book Antiqua" w:hAnsi="Book Antiqua"/>
          <w:color w:val="000000" w:themeColor="text1"/>
          <w:lang w:val="en-US"/>
        </w:rPr>
      </w:pPr>
      <w:r w:rsidRPr="005B1A16">
        <w:rPr>
          <w:rFonts w:ascii="Book Antiqua" w:hAnsi="Book Antiqua"/>
          <w:color w:val="000000" w:themeColor="text1"/>
          <w:lang w:val="en-US"/>
        </w:rPr>
        <w:t xml:space="preserve">Given the toxicity associated with cyclosporine and limited therapies available, GETAID compared the efficacy of infliximab against cyclosporine in an open-label RCT involving 115 patients with </w:t>
      </w:r>
      <w:r w:rsidR="006B3F4C" w:rsidRPr="005B1A16">
        <w:rPr>
          <w:rFonts w:ascii="Book Antiqua" w:hAnsi="Book Antiqua"/>
          <w:color w:val="000000" w:themeColor="text1"/>
          <w:lang w:val="en-US"/>
        </w:rPr>
        <w:t xml:space="preserve">severe </w:t>
      </w:r>
      <w:r w:rsidRPr="005B1A16">
        <w:rPr>
          <w:rFonts w:ascii="Book Antiqua" w:hAnsi="Book Antiqua"/>
          <w:color w:val="000000" w:themeColor="text1"/>
          <w:lang w:val="en-US"/>
        </w:rPr>
        <w:t>ulcerative colitis whom had failed high dose intravenous steroid therapy. The results were positive</w:t>
      </w:r>
      <w:r w:rsidR="00DD1F5E" w:rsidRPr="005B1A16">
        <w:rPr>
          <w:rFonts w:ascii="Book Antiqua" w:hAnsi="Book Antiqua"/>
          <w:color w:val="000000" w:themeColor="text1"/>
          <w:lang w:val="en-US"/>
        </w:rPr>
        <w:t xml:space="preserve"> for both agents with</w:t>
      </w:r>
      <w:r w:rsidRPr="005B1A16">
        <w:rPr>
          <w:rFonts w:ascii="Book Antiqua" w:hAnsi="Book Antiqua"/>
          <w:color w:val="000000" w:themeColor="text1"/>
          <w:lang w:val="en-US"/>
        </w:rPr>
        <w:t xml:space="preserve"> </w:t>
      </w:r>
      <w:r w:rsidR="005C06F0" w:rsidRPr="005B1A16">
        <w:rPr>
          <w:rFonts w:ascii="Book Antiqua" w:hAnsi="Book Antiqua"/>
          <w:color w:val="000000" w:themeColor="text1"/>
          <w:lang w:val="en-US"/>
        </w:rPr>
        <w:t xml:space="preserve">no significant difference in treatment failure </w:t>
      </w:r>
      <w:r w:rsidR="00DD1F5E" w:rsidRPr="005B1A16">
        <w:rPr>
          <w:rFonts w:ascii="Book Antiqua" w:hAnsi="Book Antiqua"/>
          <w:color w:val="000000" w:themeColor="text1"/>
          <w:lang w:val="en-US"/>
        </w:rPr>
        <w:t xml:space="preserve">or side effects </w:t>
      </w:r>
      <w:r w:rsidR="005C06F0" w:rsidRPr="005B1A16">
        <w:rPr>
          <w:rFonts w:ascii="Book Antiqua" w:hAnsi="Book Antiqua"/>
          <w:color w:val="000000" w:themeColor="text1"/>
          <w:lang w:val="en-US"/>
        </w:rPr>
        <w:t xml:space="preserve">between </w:t>
      </w:r>
      <w:r w:rsidR="00DD1F5E" w:rsidRPr="005B1A16">
        <w:rPr>
          <w:rFonts w:ascii="Book Antiqua" w:hAnsi="Book Antiqua"/>
          <w:color w:val="000000" w:themeColor="text1"/>
          <w:lang w:val="en-US"/>
        </w:rPr>
        <w:t xml:space="preserve">the </w:t>
      </w:r>
      <w:r w:rsidR="005C06F0" w:rsidRPr="005B1A16">
        <w:rPr>
          <w:rFonts w:ascii="Book Antiqua" w:hAnsi="Book Antiqua"/>
          <w:color w:val="000000" w:themeColor="text1"/>
          <w:lang w:val="en-US"/>
        </w:rPr>
        <w:t xml:space="preserve">infliximab and </w:t>
      </w:r>
      <w:r w:rsidR="00DD1F5E" w:rsidRPr="005B1A16">
        <w:rPr>
          <w:rFonts w:ascii="Book Antiqua" w:hAnsi="Book Antiqua"/>
          <w:color w:val="000000" w:themeColor="text1"/>
          <w:lang w:val="en-US"/>
        </w:rPr>
        <w:t xml:space="preserve">the </w:t>
      </w:r>
      <w:r w:rsidR="005C06F0" w:rsidRPr="005B1A16">
        <w:rPr>
          <w:rFonts w:ascii="Book Antiqua" w:hAnsi="Book Antiqua"/>
          <w:color w:val="000000" w:themeColor="text1"/>
          <w:lang w:val="en-US"/>
        </w:rPr>
        <w:t xml:space="preserve">ciclosporin groups (54% </w:t>
      </w:r>
      <w:r w:rsidR="005C06F0" w:rsidRPr="005B1A16">
        <w:rPr>
          <w:rFonts w:ascii="Book Antiqua" w:hAnsi="Book Antiqua"/>
          <w:i/>
          <w:color w:val="000000" w:themeColor="text1"/>
          <w:lang w:val="en-US"/>
        </w:rPr>
        <w:t>vs</w:t>
      </w:r>
      <w:r w:rsidR="005C06F0" w:rsidRPr="005B1A16">
        <w:rPr>
          <w:rFonts w:ascii="Book Antiqua" w:hAnsi="Book Antiqua"/>
          <w:color w:val="000000" w:themeColor="text1"/>
          <w:lang w:val="en-US"/>
        </w:rPr>
        <w:t xml:space="preserve"> 60%, respectively)</w:t>
      </w:r>
      <w:r w:rsidR="00465491" w:rsidRPr="005B1A16">
        <w:rPr>
          <w:rFonts w:ascii="Book Antiqua" w:hAnsi="Book Antiqua"/>
          <w:color w:val="000000" w:themeColor="text1"/>
          <w:lang w:val="en-US"/>
        </w:rPr>
        <w:fldChar w:fldCharType="begin"/>
      </w:r>
      <w:r w:rsidR="00B71AF0" w:rsidRPr="005B1A16">
        <w:rPr>
          <w:rFonts w:ascii="Book Antiqua" w:hAnsi="Book Antiqua"/>
          <w:color w:val="000000" w:themeColor="text1"/>
          <w:lang w:val="en-US"/>
        </w:rPr>
        <w:instrText xml:space="preserve"> ADDIN ZOTERO_ITEM CSL_CITATION {"citationID":"a1784ngd46","properties":{"formattedCitation":"\\super [52]\\nosupersub{}","plainCitation":"[52]","noteIndex":0},"citationItems":[{"id":122,"uris":["http://zotero.org/users/4672422/items/6HEATDYL"],"uri":["http://zotero.org/users/4672422/items/6HEATDYL"],"itemData":{"id":122,"type":"article-journal","title":"Ciclosporin versus infliximab in patients with severe ulcerative colitis refractory to intravenous steroids: a parallel, open-label randomised controlled trial","container-title":"Lancet (London, England)","page":"1909-1915","volume":"380","issue":"9857","source":"PubMed","abstract":"BACKGROUND: Ciclosporin and infliximab are potential rescue treatments to avoid colectomy in patients with acute severe ulcerative colitis refractory to intravenous corticosteroids. We compared the efficacy and safety of these drugs for this indication.\nMETHODS: In this parallel, open-label, randomised controlled trial, patients were aged at least 18 years, had an acute severe flare of ulcerative colitis defined by a Lichtiger score greater than 10 points, and had been given an unsuccessful course of high-dose intravenous steroids. None of the patients had previously received ciclosporin or infliximab. Between June 1, 2007, and Aug 31, 2010, patients at 27 European centres were randomly assigned (via computer-derived permutation tables; 1:1) to receive either intravenous ciclosporin (2 mg/kg per day for 1 week, followed by oral drug until day 98) or infliximab (5 mg/kg on days 0, 14, and 42). In both groups, azathioprine was started at day 7 in patients with a clinical response. Neither patients nor investigators were masked to study treatment. The primary efficacy outcome was treatment failure defined by absence of a clinical response at day 7, a relapse between day 7 and day 98, absence of steroid-free remission at day 98, a severe adverse event leading to treatment interruption, colectomy, or death. Analysis was by intention to treat. This trial is registered with EudraCT (2006-005299-42) and ClinicalTrials.gov (NCT00542152).\nFINDINGS: 115 patients were randomly assigned; 58 patients were allocated to receive ciclosporin and 57 to receive infliximab. Treatment failure occurred in 35 (60%) patients given ciclosporin and 31 (54%) given infliximab (absolute risk difference 6%; 95% CI -7 to 19; p=0·52). Nine (16%) patients in the ciclosporin group and 14 (25%) in the infliximab group had severe adverse events.\nINTERPRETATION: Ciclosporin was not more effective than infliximab in patients with acute severe ulcerative colitis refractory to intravenous steroids. In clinical practice, treatment choice should be guided by physician and centre experience.\nFUNDING: Association François Aupetit, Société Nationale Française de Gastroentérologie, and the International Organization for the study of Inflammatory Bowel Disease.","DOI":"10.1016/S0140-6736(12)61084-8","ISSN":"1474-547X","note":"PMID: 23063316","shortTitle":"Ciclosporin versus infliximab in patients with severe ulcerative colitis refractory to intravenous steroids","journalAbbreviation":"Lancet","language":"eng","author":[{"family":"Laharie","given":"David"},{"family":"Bourreille","given":"Arnaud"},{"family":"Branche","given":"Julien"},{"family":"Allez","given":"Matthieu"},{"family":"Bouhnik","given":"Yoram"},{"family":"Filippi","given":"Jerome"},{"family":"Zerbib","given":"Frank"},{"family":"Savoye","given":"Guillaume"},{"family":"Nachury","given":"Maria"},{"family":"Moreau","given":"Jacques"},{"family":"Delchier","given":"Jean-Charles"},{"family":"Cosnes","given":"Jacques"},{"family":"Ricart","given":"Elena"},{"family":"Dewit","given":"Olivier"},{"family":"Lopez-Sanroman","given":"Antonio"},{"family":"Dupas","given":"Jean-Louis"},{"family":"Carbonnel","given":"Franck"},{"family":"Bommelaer","given":"Gilles"},{"family":"Coffin","given":"Benoit"},{"family":"Roblin","given":"Xavier"},{"family":"Van Assche","given":"Gert"},{"family":"Esteve","given":"Maria"},{"family":"Färkkilä","given":"Martti"},{"family":"Gisbert","given":"Javier P."},{"family":"Marteau","given":"Philippe"},{"family":"Nahon","given":"Stephane"},{"family":"Vos","given":"Martine","non-dropping-particle":"de"},{"family":"Franchimont","given":"Denis"},{"family":"Mary","given":"Jean-Yves"},{"family":"Colombel","given":"Jean-Frederic"},{"family":"Lémann","given":"Marc"},{"literal":"Groupe d'Etudes Thérapeutiques des Affections Inflammatoires Digestives"}],"issued":{"date-parts":[["2012",12,1]]}}}],"schema":"https://github.com/citation-style-language/schema/raw/master/csl-citation.json"} </w:instrText>
      </w:r>
      <w:r w:rsidR="00465491" w:rsidRPr="005B1A16">
        <w:rPr>
          <w:rFonts w:ascii="Book Antiqua" w:hAnsi="Book Antiqua"/>
          <w:color w:val="000000" w:themeColor="text1"/>
          <w:lang w:val="en-US"/>
        </w:rPr>
        <w:fldChar w:fldCharType="separate"/>
      </w:r>
      <w:r w:rsidR="00B71AF0" w:rsidRPr="005B1A16">
        <w:rPr>
          <w:rFonts w:ascii="Book Antiqua" w:hAnsi="Book Antiqua"/>
          <w:color w:val="000000" w:themeColor="text1"/>
          <w:vertAlign w:val="superscript"/>
          <w:lang w:val="en-US"/>
        </w:rPr>
        <w:t>[52]</w:t>
      </w:r>
      <w:r w:rsidR="00465491" w:rsidRPr="005B1A16">
        <w:rPr>
          <w:rFonts w:ascii="Book Antiqua" w:hAnsi="Book Antiqua"/>
          <w:color w:val="000000" w:themeColor="text1"/>
          <w:lang w:val="en-US"/>
        </w:rPr>
        <w:fldChar w:fldCharType="end"/>
      </w:r>
      <w:r w:rsidR="005C06F0" w:rsidRPr="005B1A16">
        <w:rPr>
          <w:rFonts w:ascii="Book Antiqua" w:hAnsi="Book Antiqua"/>
          <w:color w:val="000000" w:themeColor="text1"/>
          <w:lang w:val="en-US"/>
        </w:rPr>
        <w:t xml:space="preserve">. </w:t>
      </w:r>
    </w:p>
    <w:p w14:paraId="2F6D09FD" w14:textId="1922AE8B" w:rsidR="00E844F1" w:rsidRPr="005B1A16" w:rsidRDefault="00E844F1" w:rsidP="005B1A16">
      <w:pPr>
        <w:spacing w:line="360" w:lineRule="auto"/>
        <w:jc w:val="both"/>
        <w:rPr>
          <w:rFonts w:ascii="Book Antiqua" w:hAnsi="Book Antiqua"/>
          <w:color w:val="000000" w:themeColor="text1"/>
          <w:lang w:val="en-US"/>
        </w:rPr>
      </w:pPr>
    </w:p>
    <w:p w14:paraId="02DED72E" w14:textId="242865E8" w:rsidR="00EC4B32" w:rsidRPr="005B1A16" w:rsidRDefault="005C06F0" w:rsidP="005B1A16">
      <w:pPr>
        <w:spacing w:line="360" w:lineRule="auto"/>
        <w:jc w:val="both"/>
        <w:outlineLvl w:val="0"/>
        <w:rPr>
          <w:rFonts w:ascii="Book Antiqua" w:hAnsi="Book Antiqua"/>
          <w:i/>
          <w:color w:val="000000" w:themeColor="text1"/>
          <w:lang w:val="en-US"/>
        </w:rPr>
      </w:pPr>
      <w:r w:rsidRPr="005B1A16">
        <w:rPr>
          <w:rFonts w:ascii="Book Antiqua" w:hAnsi="Book Antiqua"/>
          <w:b/>
          <w:color w:val="000000" w:themeColor="text1"/>
          <w:lang w:val="en-US"/>
        </w:rPr>
        <w:t>Adalimumab</w:t>
      </w:r>
      <w:r w:rsidR="00400877" w:rsidRPr="005B1A16">
        <w:rPr>
          <w:rFonts w:ascii="Book Antiqua" w:eastAsia="SimSun" w:hAnsi="Book Antiqua"/>
          <w:b/>
          <w:color w:val="000000" w:themeColor="text1"/>
          <w:lang w:val="en-US" w:eastAsia="zh-CN"/>
        </w:rPr>
        <w:t xml:space="preserve">: </w:t>
      </w:r>
      <w:r w:rsidRPr="005B1A16">
        <w:rPr>
          <w:rFonts w:ascii="Book Antiqua" w:hAnsi="Book Antiqua"/>
          <w:color w:val="000000" w:themeColor="text1"/>
          <w:lang w:val="en-US"/>
        </w:rPr>
        <w:t xml:space="preserve">Five years following the approval for infliximab use in UC, adalimumab </w:t>
      </w:r>
      <w:r w:rsidR="00F91483" w:rsidRPr="005B1A16">
        <w:rPr>
          <w:rFonts w:ascii="Book Antiqua" w:hAnsi="Book Antiqua"/>
          <w:color w:val="000000" w:themeColor="text1"/>
          <w:lang w:val="en-US"/>
        </w:rPr>
        <w:t xml:space="preserve">became the second </w:t>
      </w:r>
      <w:r w:rsidR="00BB60DF" w:rsidRPr="005B1A16">
        <w:rPr>
          <w:rFonts w:ascii="Book Antiqua" w:hAnsi="Book Antiqua"/>
          <w:color w:val="000000" w:themeColor="text1"/>
          <w:lang w:val="en-US"/>
        </w:rPr>
        <w:t xml:space="preserve">biologic approved for use in UC </w:t>
      </w:r>
      <w:r w:rsidR="003D3665" w:rsidRPr="005B1A16">
        <w:rPr>
          <w:rFonts w:ascii="Book Antiqua" w:hAnsi="Book Antiqua"/>
          <w:color w:val="000000" w:themeColor="text1"/>
          <w:lang w:val="en-US"/>
        </w:rPr>
        <w:t>based on</w:t>
      </w:r>
      <w:r w:rsidR="00BB60DF" w:rsidRPr="005B1A16">
        <w:rPr>
          <w:rFonts w:ascii="Book Antiqua" w:hAnsi="Book Antiqua"/>
          <w:color w:val="000000" w:themeColor="text1"/>
          <w:lang w:val="en-US"/>
        </w:rPr>
        <w:t xml:space="preserve"> the </w:t>
      </w:r>
      <w:r w:rsidR="003D3665" w:rsidRPr="005B1A16">
        <w:rPr>
          <w:rFonts w:ascii="Book Antiqua" w:hAnsi="Book Antiqua"/>
          <w:color w:val="000000" w:themeColor="text1"/>
          <w:lang w:val="en-US"/>
        </w:rPr>
        <w:t xml:space="preserve">results from the </w:t>
      </w:r>
      <w:r w:rsidR="00BB60DF" w:rsidRPr="005B1A16">
        <w:rPr>
          <w:rFonts w:ascii="Book Antiqua" w:hAnsi="Book Antiqua"/>
          <w:color w:val="000000" w:themeColor="text1"/>
          <w:lang w:val="en-US"/>
        </w:rPr>
        <w:t>ULTRA trials. ULTRA 1 utilized two different induction regimens (160/80</w:t>
      </w:r>
      <w:r w:rsidR="0042582C" w:rsidRPr="005B1A16">
        <w:rPr>
          <w:rFonts w:ascii="Book Antiqua" w:eastAsia="SimSun" w:hAnsi="Book Antiqua"/>
          <w:color w:val="000000" w:themeColor="text1"/>
          <w:lang w:val="en-US" w:eastAsia="zh-CN"/>
        </w:rPr>
        <w:t xml:space="preserve"> </w:t>
      </w:r>
      <w:r w:rsidR="00BB60DF" w:rsidRPr="005B1A16">
        <w:rPr>
          <w:rFonts w:ascii="Book Antiqua" w:hAnsi="Book Antiqua"/>
          <w:color w:val="000000" w:themeColor="text1"/>
          <w:lang w:val="en-US"/>
        </w:rPr>
        <w:t xml:space="preserve">mg </w:t>
      </w:r>
      <w:r w:rsidR="00BB60DF" w:rsidRPr="005B1A16">
        <w:rPr>
          <w:rFonts w:ascii="Book Antiqua" w:hAnsi="Book Antiqua"/>
          <w:i/>
          <w:color w:val="000000" w:themeColor="text1"/>
          <w:lang w:val="en-US"/>
        </w:rPr>
        <w:t>vs</w:t>
      </w:r>
      <w:r w:rsidR="00BB60DF" w:rsidRPr="005B1A16">
        <w:rPr>
          <w:rFonts w:ascii="Book Antiqua" w:hAnsi="Book Antiqua"/>
          <w:color w:val="000000" w:themeColor="text1"/>
          <w:lang w:val="en-US"/>
        </w:rPr>
        <w:t xml:space="preserve"> 80/40</w:t>
      </w:r>
      <w:r w:rsidR="0042582C" w:rsidRPr="005B1A16">
        <w:rPr>
          <w:rFonts w:ascii="Book Antiqua" w:eastAsia="SimSun" w:hAnsi="Book Antiqua"/>
          <w:color w:val="000000" w:themeColor="text1"/>
          <w:lang w:val="en-US" w:eastAsia="zh-CN"/>
        </w:rPr>
        <w:t xml:space="preserve"> </w:t>
      </w:r>
      <w:r w:rsidR="00BB60DF" w:rsidRPr="005B1A16">
        <w:rPr>
          <w:rFonts w:ascii="Book Antiqua" w:hAnsi="Book Antiqua"/>
          <w:color w:val="000000" w:themeColor="text1"/>
          <w:lang w:val="en-US"/>
        </w:rPr>
        <w:t>mg SC at weeks 0 and 2 followed by 40</w:t>
      </w:r>
      <w:r w:rsidR="0042582C" w:rsidRPr="005B1A16">
        <w:rPr>
          <w:rFonts w:ascii="Book Antiqua" w:eastAsia="SimSun" w:hAnsi="Book Antiqua"/>
          <w:color w:val="000000" w:themeColor="text1"/>
          <w:lang w:val="en-US" w:eastAsia="zh-CN"/>
        </w:rPr>
        <w:t xml:space="preserve"> </w:t>
      </w:r>
      <w:r w:rsidR="00BB60DF" w:rsidRPr="005B1A16">
        <w:rPr>
          <w:rFonts w:ascii="Book Antiqua" w:hAnsi="Book Antiqua"/>
          <w:color w:val="000000" w:themeColor="text1"/>
          <w:lang w:val="en-US"/>
        </w:rPr>
        <w:t xml:space="preserve">mg every 2 </w:t>
      </w:r>
      <w:r w:rsidR="0042582C" w:rsidRPr="005B1A16">
        <w:rPr>
          <w:rFonts w:ascii="Book Antiqua" w:eastAsia="SimSun" w:hAnsi="Book Antiqua"/>
          <w:color w:val="000000" w:themeColor="text1"/>
          <w:lang w:val="en-US" w:eastAsia="zh-CN"/>
        </w:rPr>
        <w:t>wk</w:t>
      </w:r>
      <w:r w:rsidR="00BB60DF" w:rsidRPr="005B1A16">
        <w:rPr>
          <w:rFonts w:ascii="Book Antiqua" w:hAnsi="Book Antiqua"/>
          <w:color w:val="000000" w:themeColor="text1"/>
          <w:lang w:val="en-US"/>
        </w:rPr>
        <w:t xml:space="preserve">) to evaluate if adalimumab was effective in 186 </w:t>
      </w:r>
      <w:r w:rsidR="006B3F4C" w:rsidRPr="005B1A16">
        <w:rPr>
          <w:rFonts w:ascii="Book Antiqua" w:hAnsi="Book Antiqua"/>
          <w:color w:val="000000" w:themeColor="text1"/>
          <w:lang w:val="en-US"/>
        </w:rPr>
        <w:t xml:space="preserve">moderate to severe UC </w:t>
      </w:r>
      <w:r w:rsidR="00BB60DF" w:rsidRPr="005B1A16">
        <w:rPr>
          <w:rFonts w:ascii="Book Antiqua" w:hAnsi="Book Antiqua"/>
          <w:color w:val="000000" w:themeColor="text1"/>
          <w:lang w:val="en-US"/>
        </w:rPr>
        <w:t>patients</w:t>
      </w:r>
      <w:r w:rsidR="00465491" w:rsidRPr="005B1A16">
        <w:rPr>
          <w:rFonts w:ascii="Book Antiqua" w:hAnsi="Book Antiqua"/>
          <w:color w:val="000000" w:themeColor="text1"/>
          <w:lang w:val="en-US"/>
        </w:rPr>
        <w:fldChar w:fldCharType="begin"/>
      </w:r>
      <w:r w:rsidR="00B71AF0" w:rsidRPr="005B1A16">
        <w:rPr>
          <w:rFonts w:ascii="Book Antiqua" w:hAnsi="Book Antiqua"/>
          <w:color w:val="000000" w:themeColor="text1"/>
          <w:lang w:val="en-US"/>
        </w:rPr>
        <w:instrText xml:space="preserve"> ADDIN ZOTERO_ITEM CSL_CITATION {"citationID":"a144gdr7595","properties":{"formattedCitation":"\\super [53]\\nosupersub{}","plainCitation":"[53]","noteIndex":0},"citationItems":[{"id":124,"uris":["http://zotero.org/users/4672422/items/UAIF5DSM"],"uri":["http://zotero.org/users/4672422/items/UAIF5DSM"],"itemData":{"id":124,"type":"article-journal","title":"Adalimumab induces and maintains clinical remission in patients with moderate-to-severe ulcerative colitis","container-title":"Gastroenterology","page":"257-265.e1-3","volume":"142","issue":"2","source":"PubMed","abstract":"BACKGROUND &amp; AIMS: Adalimumab is a fully human monoclonal antibody that binds tumor necrosis factor (TNF)-α. Its efficacy as maintenance therapy for patients with ulcerative colitis has not been studied in a controlled, double-blind trial.\nMETHODS: Ulcerative colitis long-term remission and maintenance with adalimumab 2 (ULTRA 2) was a randomized, double-blind, placebo-controlled trial to evaluate the efficacy of adalimumab in induction and maintenance of clinical remission in 494 patients with moderate-to-severe ulcerative colitis who received concurrent treatment with oral corticosteroids or immunosuppressants. Patients were stratified based on prior exposure to TNF-α antagonists (either had or had not been previously treated with anti-TNF-α) and randomly assigned to groups given adalimumab 160 mg at week 0, 80 mg at week 2, and then 40 mg every other week or placebo. Primary end points were remission at weeks 8 and 52.\nRESULTS: Overall rates of clinical remission at week 8 were 16.5% on adalimumab and 9.3% on placebo (P = .019); corresponding values for week 52 were 17.3% and 8.5% (P = .004). Among anti-TNF-α naïve patients, rates of remission at week 8 were 21.3% on adalimumab and 11% on placebo (P = .017); corresponding values for week 52 were 22% and 12.4% (P = .029). Among patients who had previously received anti-TNF agents, rates of remission at week 8 were 9.2% on adalimumab and 6.9% on placebo (P = .559); corresponding values for week 52 were 10.2% and 3% (P = .039). Serious adverse events occurred in 12% of patients given adalimumab or placebo. Serious infections developed in 1.6% of patients given adalimumab and 1.9% given placebo. In the group given adalimumab, 1 patient developed squamous cell carcinoma and 1 developed gastric cancer.\nCONCLUSIONS: Adalimumab was safe and more effective than placebo in inducing and maintaining clinical remission in patients with moderate-to-severe ulcerative colitis who did not have an adequate response to conventional therapy with steroids or immunosuppressants.","DOI":"10.1053/j.gastro.2011.10.032","ISSN":"1528-0012","note":"PMID: 22062358","journalAbbreviation":"Gastroenterology","language":"eng","author":[{"family":"Sandborn","given":"William J."},{"family":"Assche","given":"Gert","non-dropping-particle":"van"},{"family":"Reinisch","given":"Walter"},{"family":"Colombel","given":"Jean-Frederic"},{"family":"D'Haens","given":"Geert"},{"family":"Wolf","given":"Douglas C."},{"family":"Kron","given":"Martina"},{"family":"Tighe","given":"Mary Beth"},{"family":"Lazar","given":"Andreas"},{"family":"Thakkar","given":"Roopal B."}],"issued":{"date-parts":[["2012",2]]}}}],"schema":"https://github.com/citation-style-language/schema/raw/master/csl-citation.json"} </w:instrText>
      </w:r>
      <w:r w:rsidR="00465491" w:rsidRPr="005B1A16">
        <w:rPr>
          <w:rFonts w:ascii="Book Antiqua" w:hAnsi="Book Antiqua"/>
          <w:color w:val="000000" w:themeColor="text1"/>
          <w:lang w:val="en-US"/>
        </w:rPr>
        <w:fldChar w:fldCharType="separate"/>
      </w:r>
      <w:r w:rsidR="00B71AF0" w:rsidRPr="005B1A16">
        <w:rPr>
          <w:rFonts w:ascii="Book Antiqua" w:hAnsi="Book Antiqua"/>
          <w:color w:val="000000" w:themeColor="text1"/>
          <w:vertAlign w:val="superscript"/>
          <w:lang w:val="en-US"/>
        </w:rPr>
        <w:t>[53]</w:t>
      </w:r>
      <w:r w:rsidR="00465491" w:rsidRPr="005B1A16">
        <w:rPr>
          <w:rFonts w:ascii="Book Antiqua" w:hAnsi="Book Antiqua"/>
          <w:color w:val="000000" w:themeColor="text1"/>
          <w:lang w:val="en-US"/>
        </w:rPr>
        <w:fldChar w:fldCharType="end"/>
      </w:r>
      <w:r w:rsidR="00BB60DF" w:rsidRPr="005B1A16">
        <w:rPr>
          <w:rFonts w:ascii="Book Antiqua" w:hAnsi="Book Antiqua"/>
          <w:color w:val="000000" w:themeColor="text1"/>
          <w:lang w:val="en-US"/>
        </w:rPr>
        <w:t xml:space="preserve">. At </w:t>
      </w:r>
      <w:r w:rsidR="00727AA6" w:rsidRPr="005B1A16">
        <w:rPr>
          <w:rFonts w:ascii="Book Antiqua" w:hAnsi="Book Antiqua"/>
          <w:color w:val="000000" w:themeColor="text1"/>
          <w:lang w:val="en-US"/>
        </w:rPr>
        <w:t>week 8</w:t>
      </w:r>
      <w:r w:rsidR="00BB60DF" w:rsidRPr="005B1A16">
        <w:rPr>
          <w:rFonts w:ascii="Book Antiqua" w:hAnsi="Book Antiqua"/>
          <w:color w:val="000000" w:themeColor="text1"/>
          <w:lang w:val="en-US"/>
        </w:rPr>
        <w:t xml:space="preserve">, </w:t>
      </w:r>
      <w:r w:rsidR="0050598D" w:rsidRPr="005B1A16">
        <w:rPr>
          <w:rFonts w:ascii="Book Antiqua" w:hAnsi="Book Antiqua"/>
          <w:color w:val="000000" w:themeColor="text1"/>
          <w:lang w:val="en-US"/>
        </w:rPr>
        <w:t>19% vs 9</w:t>
      </w:r>
      <w:r w:rsidR="00CB6169" w:rsidRPr="005B1A16">
        <w:rPr>
          <w:rFonts w:ascii="Book Antiqua" w:hAnsi="Book Antiqua"/>
          <w:color w:val="000000" w:themeColor="text1"/>
          <w:lang w:val="en-US"/>
        </w:rPr>
        <w:t>% were in remission in the 160/80</w:t>
      </w:r>
      <w:r w:rsidR="0042582C" w:rsidRPr="005B1A16">
        <w:rPr>
          <w:rFonts w:ascii="Book Antiqua" w:eastAsia="SimSun" w:hAnsi="Book Antiqua"/>
          <w:color w:val="000000" w:themeColor="text1"/>
          <w:lang w:val="en-US" w:eastAsia="zh-CN"/>
        </w:rPr>
        <w:t xml:space="preserve"> </w:t>
      </w:r>
      <w:r w:rsidR="00CB6169" w:rsidRPr="005B1A16">
        <w:rPr>
          <w:rFonts w:ascii="Book Antiqua" w:hAnsi="Book Antiqua"/>
          <w:color w:val="000000" w:themeColor="text1"/>
          <w:lang w:val="en-US"/>
        </w:rPr>
        <w:t xml:space="preserve">mg group as compared to placebo, respectively. </w:t>
      </w:r>
      <w:r w:rsidR="00727AA6" w:rsidRPr="005B1A16">
        <w:rPr>
          <w:rFonts w:ascii="Book Antiqua" w:hAnsi="Book Antiqua"/>
          <w:color w:val="000000" w:themeColor="text1"/>
          <w:lang w:val="en-US"/>
        </w:rPr>
        <w:t>As noted in the CD trials</w:t>
      </w:r>
      <w:r w:rsidR="004C12A5" w:rsidRPr="005B1A16">
        <w:rPr>
          <w:rFonts w:ascii="Book Antiqua" w:hAnsi="Book Antiqua"/>
          <w:color w:val="000000" w:themeColor="text1"/>
          <w:lang w:val="en-US"/>
        </w:rPr>
        <w:t>, a ceiling effect was not achieved thus the optimal dose is still under investigation.</w:t>
      </w:r>
      <w:r w:rsidR="008328C3" w:rsidRPr="005B1A16">
        <w:rPr>
          <w:rFonts w:ascii="Book Antiqua" w:hAnsi="Book Antiqua"/>
          <w:color w:val="000000" w:themeColor="text1"/>
          <w:lang w:val="en-US"/>
        </w:rPr>
        <w:t xml:space="preserve"> </w:t>
      </w:r>
      <w:r w:rsidR="004B12FE" w:rsidRPr="005B1A16">
        <w:rPr>
          <w:rFonts w:ascii="Book Antiqua" w:hAnsi="Book Antiqua"/>
          <w:color w:val="000000" w:themeColor="text1"/>
          <w:lang w:val="en-US"/>
        </w:rPr>
        <w:t>ULTRA 2</w:t>
      </w:r>
      <w:r w:rsidR="006B3F4C" w:rsidRPr="005B1A16">
        <w:rPr>
          <w:rFonts w:ascii="Book Antiqua" w:hAnsi="Book Antiqua"/>
          <w:color w:val="000000" w:themeColor="text1"/>
          <w:lang w:val="en-US"/>
        </w:rPr>
        <w:t>, which</w:t>
      </w:r>
      <w:r w:rsidR="00BB60DF" w:rsidRPr="005B1A16">
        <w:rPr>
          <w:rFonts w:ascii="Book Antiqua" w:hAnsi="Book Antiqua"/>
          <w:color w:val="000000" w:themeColor="text1"/>
          <w:lang w:val="en-US"/>
        </w:rPr>
        <w:t xml:space="preserve"> </w:t>
      </w:r>
      <w:r w:rsidR="006B3F4C" w:rsidRPr="005B1A16">
        <w:rPr>
          <w:rFonts w:ascii="Book Antiqua" w:hAnsi="Book Antiqua"/>
          <w:color w:val="000000" w:themeColor="text1"/>
          <w:lang w:val="en-US"/>
        </w:rPr>
        <w:t xml:space="preserve">included 518 patients with moderate to severe UC, </w:t>
      </w:r>
      <w:r w:rsidR="004F2963" w:rsidRPr="005B1A16">
        <w:rPr>
          <w:rFonts w:ascii="Book Antiqua" w:hAnsi="Book Antiqua"/>
          <w:color w:val="000000" w:themeColor="text1"/>
          <w:lang w:val="en-US"/>
        </w:rPr>
        <w:t>was conducted to evaluate the long-term efficacy of adalimumab as a maintenance agent</w:t>
      </w:r>
      <w:r w:rsidR="00465491" w:rsidRPr="005B1A16">
        <w:rPr>
          <w:rFonts w:ascii="Book Antiqua" w:hAnsi="Book Antiqua"/>
          <w:color w:val="000000" w:themeColor="text1"/>
          <w:lang w:val="en-US"/>
        </w:rPr>
        <w:fldChar w:fldCharType="begin"/>
      </w:r>
      <w:r w:rsidR="00B71AF0" w:rsidRPr="005B1A16">
        <w:rPr>
          <w:rFonts w:ascii="Book Antiqua" w:hAnsi="Book Antiqua"/>
          <w:color w:val="000000" w:themeColor="text1"/>
          <w:lang w:val="en-US"/>
        </w:rPr>
        <w:instrText xml:space="preserve"> ADDIN ZOTERO_ITEM CSL_CITATION {"citationID":"a2gji6qk83d","properties":{"formattedCitation":"\\super [53]\\nosupersub{}","plainCitation":"[53]","noteIndex":0},"citationItems":[{"id":124,"uris":["http://zotero.org/users/4672422/items/UAIF5DSM"],"uri":["http://zotero.org/users/4672422/items/UAIF5DSM"],"itemData":{"id":124,"type":"article-journal","title":"Adalimumab induces and maintains clinical remission in patients with moderate-to-severe ulcerative colitis","container-title":"Gastroenterology","page":"257-265.e1-3","volume":"142","issue":"2","source":"PubMed","abstract":"BACKGROUND &amp; AIMS: Adalimumab is a fully human monoclonal antibody that binds tumor necrosis factor (TNF)-α. Its efficacy as maintenance therapy for patients with ulcerative colitis has not been studied in a controlled, double-blind trial.\nMETHODS: Ulcerative colitis long-term remission and maintenance with adalimumab 2 (ULTRA 2) was a randomized, double-blind, placebo-controlled trial to evaluate the efficacy of adalimumab in induction and maintenance of clinical remission in 494 patients with moderate-to-severe ulcerative colitis who received concurrent treatment with oral corticosteroids or immunosuppressants. Patients were stratified based on prior exposure to TNF-α antagonists (either had or had not been previously treated with anti-TNF-α) and randomly assigned to groups given adalimumab 160 mg at week 0, 80 mg at week 2, and then 40 mg every other week or placebo. Primary end points were remission at weeks 8 and 52.\nRESULTS: Overall rates of clinical remission at week 8 were 16.5% on adalimumab and 9.3% on placebo (P = .019); corresponding values for week 52 were 17.3% and 8.5% (P = .004). Among anti-TNF-α naïve patients, rates of remission at week 8 were 21.3% on adalimumab and 11% on placebo (P = .017); corresponding values for week 52 were 22% and 12.4% (P = .029). Among patients who had previously received anti-TNF agents, rates of remission at week 8 were 9.2% on adalimumab and 6.9% on placebo (P = .559); corresponding values for week 52 were 10.2% and 3% (P = .039). Serious adverse events occurred in 12% of patients given adalimumab or placebo. Serious infections developed in 1.6% of patients given adalimumab and 1.9% given placebo. In the group given adalimumab, 1 patient developed squamous cell carcinoma and 1 developed gastric cancer.\nCONCLUSIONS: Adalimumab was safe and more effective than placebo in inducing and maintaining clinical remission in patients with moderate-to-severe ulcerative colitis who did not have an adequate response to conventional therapy with steroids or immunosuppressants.","DOI":"10.1053/j.gastro.2011.10.032","ISSN":"1528-0012","note":"PMID: 22062358","journalAbbreviation":"Gastroenterology","language":"eng","author":[{"family":"Sandborn","given":"William J."},{"family":"Assche","given":"Gert","non-dropping-particle":"van"},{"family":"Reinisch","given":"Walter"},{"family":"Colombel","given":"Jean-Frederic"},{"family":"D'Haens","given":"Geert"},{"family":"Wolf","given":"Douglas C."},{"family":"Kron","given":"Martina"},{"family":"Tighe","given":"Mary Beth"},{"family":"Lazar","given":"Andreas"},{"family":"Thakkar","given":"Roopal B."}],"issued":{"date-parts":[["2012",2]]}}}],"schema":"https://github.com/citation-style-language/schema/raw/master/csl-citation.json"} </w:instrText>
      </w:r>
      <w:r w:rsidR="00465491" w:rsidRPr="005B1A16">
        <w:rPr>
          <w:rFonts w:ascii="Book Antiqua" w:hAnsi="Book Antiqua"/>
          <w:color w:val="000000" w:themeColor="text1"/>
          <w:lang w:val="en-US"/>
        </w:rPr>
        <w:fldChar w:fldCharType="separate"/>
      </w:r>
      <w:r w:rsidR="00B71AF0" w:rsidRPr="005B1A16">
        <w:rPr>
          <w:rFonts w:ascii="Book Antiqua" w:hAnsi="Book Antiqua"/>
          <w:color w:val="000000" w:themeColor="text1"/>
          <w:vertAlign w:val="superscript"/>
          <w:lang w:val="en-US"/>
        </w:rPr>
        <w:t>[53]</w:t>
      </w:r>
      <w:r w:rsidR="00465491" w:rsidRPr="005B1A16">
        <w:rPr>
          <w:rFonts w:ascii="Book Antiqua" w:hAnsi="Book Antiqua"/>
          <w:color w:val="000000" w:themeColor="text1"/>
          <w:lang w:val="en-US"/>
        </w:rPr>
        <w:fldChar w:fldCharType="end"/>
      </w:r>
      <w:r w:rsidR="004F2963" w:rsidRPr="005B1A16">
        <w:rPr>
          <w:rFonts w:ascii="Book Antiqua" w:hAnsi="Book Antiqua"/>
          <w:color w:val="000000" w:themeColor="text1"/>
          <w:lang w:val="en-US"/>
        </w:rPr>
        <w:t xml:space="preserve">. </w:t>
      </w:r>
      <w:r w:rsidR="004F2963" w:rsidRPr="005B1A16">
        <w:rPr>
          <w:rFonts w:ascii="Book Antiqua" w:hAnsi="Book Antiqua"/>
          <w:color w:val="000000" w:themeColor="text1"/>
          <w:lang w:val="en-US"/>
        </w:rPr>
        <w:lastRenderedPageBreak/>
        <w:t>Following 1 year, remission was achieved in 17% of patients</w:t>
      </w:r>
      <w:r w:rsidR="005006C3" w:rsidRPr="005B1A16">
        <w:rPr>
          <w:rFonts w:ascii="Book Antiqua" w:hAnsi="Book Antiqua"/>
          <w:color w:val="000000" w:themeColor="text1"/>
          <w:lang w:val="en-US"/>
        </w:rPr>
        <w:t xml:space="preserve"> on</w:t>
      </w:r>
      <w:r w:rsidR="004F2963" w:rsidRPr="005B1A16">
        <w:rPr>
          <w:rFonts w:ascii="Book Antiqua" w:hAnsi="Book Antiqua"/>
          <w:color w:val="000000" w:themeColor="text1"/>
          <w:lang w:val="en-US"/>
        </w:rPr>
        <w:t xml:space="preserve"> regular maintenance dosing as compared to 9% of patients in the placebo group.</w:t>
      </w:r>
      <w:r w:rsidR="006D2854" w:rsidRPr="005B1A16">
        <w:rPr>
          <w:rFonts w:ascii="Book Antiqua" w:hAnsi="Book Antiqua"/>
          <w:color w:val="000000" w:themeColor="text1"/>
          <w:lang w:val="en-US"/>
        </w:rPr>
        <w:t xml:space="preserve"> </w:t>
      </w:r>
      <w:r w:rsidR="005006C3" w:rsidRPr="005B1A16">
        <w:rPr>
          <w:rFonts w:ascii="Book Antiqua" w:hAnsi="Book Antiqua"/>
          <w:color w:val="000000" w:themeColor="text1"/>
          <w:lang w:val="en-US"/>
        </w:rPr>
        <w:t>Similarly, mucosal healing was also higher in the adalimumab group as compared to placebo at both week 8 and 52</w:t>
      </w:r>
      <w:r w:rsidR="004C12A5" w:rsidRPr="005B1A16">
        <w:rPr>
          <w:rFonts w:ascii="Book Antiqua" w:hAnsi="Book Antiqua"/>
          <w:color w:val="000000" w:themeColor="text1"/>
          <w:lang w:val="en-US"/>
        </w:rPr>
        <w:t xml:space="preserve"> follow-up intervals</w:t>
      </w:r>
      <w:r w:rsidR="005006C3" w:rsidRPr="005B1A16">
        <w:rPr>
          <w:rFonts w:ascii="Book Antiqua" w:hAnsi="Book Antiqua"/>
          <w:color w:val="000000" w:themeColor="text1"/>
          <w:lang w:val="en-US"/>
        </w:rPr>
        <w:t xml:space="preserve">, 41% and 25% </w:t>
      </w:r>
      <w:r w:rsidR="005006C3" w:rsidRPr="005B1A16">
        <w:rPr>
          <w:rFonts w:ascii="Book Antiqua" w:hAnsi="Book Antiqua"/>
          <w:i/>
          <w:color w:val="000000" w:themeColor="text1"/>
          <w:lang w:val="en-US"/>
        </w:rPr>
        <w:t>vs</w:t>
      </w:r>
      <w:r w:rsidR="005006C3" w:rsidRPr="005B1A16">
        <w:rPr>
          <w:rFonts w:ascii="Book Antiqua" w:hAnsi="Book Antiqua"/>
          <w:color w:val="000000" w:themeColor="text1"/>
          <w:lang w:val="en-US"/>
        </w:rPr>
        <w:t xml:space="preserve"> 32% and 15%, respectively. </w:t>
      </w:r>
      <w:r w:rsidR="00083ADD" w:rsidRPr="005B1A16">
        <w:rPr>
          <w:rFonts w:ascii="Book Antiqua" w:hAnsi="Book Antiqua"/>
          <w:color w:val="000000" w:themeColor="text1"/>
          <w:lang w:val="en-US"/>
        </w:rPr>
        <w:t>This study also demonstrated that biologic naïve patients were more likely to achieve clinical remission as compared to patients previously on infliximab (</w:t>
      </w:r>
      <w:r w:rsidR="00083ADD" w:rsidRPr="005B1A16">
        <w:rPr>
          <w:rFonts w:ascii="Book Antiqua" w:hAnsi="Book Antiqua"/>
          <w:color w:val="000000" w:themeColor="text1"/>
          <w:shd w:val="clear" w:color="auto" w:fill="FFFFFF"/>
        </w:rPr>
        <w:t xml:space="preserve">Week 8: 21% </w:t>
      </w:r>
      <w:r w:rsidR="00083ADD" w:rsidRPr="005B1A16">
        <w:rPr>
          <w:rFonts w:ascii="Book Antiqua" w:hAnsi="Book Antiqua"/>
          <w:i/>
          <w:color w:val="000000" w:themeColor="text1"/>
          <w:shd w:val="clear" w:color="auto" w:fill="FFFFFF"/>
        </w:rPr>
        <w:t>vs</w:t>
      </w:r>
      <w:r w:rsidR="00083ADD" w:rsidRPr="005B1A16">
        <w:rPr>
          <w:rFonts w:ascii="Book Antiqua" w:hAnsi="Book Antiqua"/>
          <w:color w:val="000000" w:themeColor="text1"/>
          <w:shd w:val="clear" w:color="auto" w:fill="FFFFFF"/>
        </w:rPr>
        <w:t xml:space="preserve"> 9% and Week 52: 22% </w:t>
      </w:r>
      <w:r w:rsidR="00083ADD" w:rsidRPr="005B1A16">
        <w:rPr>
          <w:rFonts w:ascii="Book Antiqua" w:hAnsi="Book Antiqua"/>
          <w:i/>
          <w:color w:val="000000" w:themeColor="text1"/>
          <w:shd w:val="clear" w:color="auto" w:fill="FFFFFF"/>
        </w:rPr>
        <w:t>vs</w:t>
      </w:r>
      <w:r w:rsidR="00083ADD" w:rsidRPr="005B1A16">
        <w:rPr>
          <w:rFonts w:ascii="Book Antiqua" w:hAnsi="Book Antiqua"/>
          <w:color w:val="000000" w:themeColor="text1"/>
          <w:shd w:val="clear" w:color="auto" w:fill="FFFFFF"/>
        </w:rPr>
        <w:t xml:space="preserve"> 10%, respectively)</w:t>
      </w:r>
      <w:r w:rsidR="00E8701B" w:rsidRPr="005B1A16">
        <w:rPr>
          <w:rFonts w:ascii="Book Antiqua" w:hAnsi="Book Antiqua"/>
          <w:color w:val="000000" w:themeColor="text1"/>
          <w:shd w:val="clear" w:color="auto" w:fill="FFFFFF"/>
        </w:rPr>
        <w:t>,</w:t>
      </w:r>
      <w:r w:rsidR="006A1A8B" w:rsidRPr="005B1A16">
        <w:rPr>
          <w:rFonts w:ascii="Book Antiqua" w:hAnsi="Book Antiqua"/>
          <w:color w:val="000000" w:themeColor="text1"/>
          <w:shd w:val="clear" w:color="auto" w:fill="FFFFFF"/>
        </w:rPr>
        <w:t xml:space="preserve"> which highlights</w:t>
      </w:r>
      <w:r w:rsidR="00E8701B" w:rsidRPr="005B1A16">
        <w:rPr>
          <w:rFonts w:ascii="Book Antiqua" w:hAnsi="Book Antiqua"/>
          <w:color w:val="000000" w:themeColor="text1"/>
          <w:shd w:val="clear" w:color="auto" w:fill="FFFFFF"/>
        </w:rPr>
        <w:t xml:space="preserve"> </w:t>
      </w:r>
      <w:r w:rsidR="003D3665" w:rsidRPr="005B1A16">
        <w:rPr>
          <w:rFonts w:ascii="Book Antiqua" w:hAnsi="Book Antiqua"/>
          <w:color w:val="000000" w:themeColor="text1"/>
          <w:shd w:val="clear" w:color="auto" w:fill="FFFFFF"/>
        </w:rPr>
        <w:t>prior biologic use</w:t>
      </w:r>
      <w:r w:rsidR="00E8701B" w:rsidRPr="005B1A16">
        <w:rPr>
          <w:rFonts w:ascii="Book Antiqua" w:hAnsi="Book Antiqua"/>
          <w:color w:val="000000" w:themeColor="text1"/>
          <w:shd w:val="clear" w:color="auto" w:fill="FFFFFF"/>
        </w:rPr>
        <w:t xml:space="preserve"> as a </w:t>
      </w:r>
      <w:r w:rsidR="00CE7E31" w:rsidRPr="005B1A16">
        <w:rPr>
          <w:rFonts w:ascii="Book Antiqua" w:hAnsi="Book Antiqua"/>
          <w:color w:val="000000" w:themeColor="text1"/>
          <w:shd w:val="clear" w:color="auto" w:fill="FFFFFF"/>
        </w:rPr>
        <w:t xml:space="preserve">potential </w:t>
      </w:r>
      <w:r w:rsidR="00E8701B" w:rsidRPr="005B1A16">
        <w:rPr>
          <w:rFonts w:ascii="Book Antiqua" w:hAnsi="Book Antiqua"/>
          <w:color w:val="000000" w:themeColor="text1"/>
          <w:shd w:val="clear" w:color="auto" w:fill="FFFFFF"/>
        </w:rPr>
        <w:t xml:space="preserve">risk factor for </w:t>
      </w:r>
      <w:r w:rsidR="003D3665" w:rsidRPr="005B1A16">
        <w:rPr>
          <w:rFonts w:ascii="Book Antiqua" w:hAnsi="Book Antiqua"/>
          <w:color w:val="000000" w:themeColor="text1"/>
          <w:shd w:val="clear" w:color="auto" w:fill="FFFFFF"/>
        </w:rPr>
        <w:t>difficult to treat or aggressive</w:t>
      </w:r>
      <w:r w:rsidR="00E8701B" w:rsidRPr="005B1A16">
        <w:rPr>
          <w:rFonts w:ascii="Book Antiqua" w:hAnsi="Book Antiqua"/>
          <w:color w:val="000000" w:themeColor="text1"/>
          <w:shd w:val="clear" w:color="auto" w:fill="FFFFFF"/>
        </w:rPr>
        <w:t xml:space="preserve"> disease. </w:t>
      </w:r>
      <w:r w:rsidR="00FF17D6" w:rsidRPr="005B1A16">
        <w:rPr>
          <w:rFonts w:ascii="Book Antiqua" w:hAnsi="Book Antiqua"/>
          <w:color w:val="000000" w:themeColor="text1"/>
          <w:shd w:val="clear" w:color="auto" w:fill="FFFFFF"/>
        </w:rPr>
        <w:t>Long-term maintenance therapy using adalimumab was further evaluated over 4 years in ULTRA 1 and 2 trials as well as in an open-label study (ULTRA 3)</w:t>
      </w:r>
      <w:r w:rsidR="00193788"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{"citationID":"a26jkr4d9u7","properties":{"formattedCitation":"\\super [54]\\nosupersub{}","plainCitation":"[54]","noteIndex":0},"citationItems":[{"id":126,"uris":["http://zotero.org/users/4672422/items/XLLUALR7"],"uri":["http://zotero.org/users/4672422/items/XLLUALR7"],"itemData":{"id":126,"type":"article-journal","title":"Four-Year Maintenance Treatment With Adalimumab in Patients with Moderately to Severely Active Ulcerative Colitis: Data from ULTRA 1, 2 and 3","container-title":"The American Journal of Gastroenterology","page":"1771-1780","volume":"109","issue":"11","source":"CrossRef","URL":"http://www.nature.com/articles/ajg2014242","DOI":"10.1038/ajg.2014.242","ISSN":"0002-9270, 1572-0241","shortTitle":"Four-Year Maintenance Treatment With Adalimumab in Patients with Moderately to Severely Active Ulcerative Colitis","language":"en","author":[{"family":"Colombel","given":"Jean-Frederic"},{"family":"Sandborn","given":"William J"},{"family":"Ghosh","given":"Subrata"},{"family":"Wolf","given":"Douglas C"},{"family":"Panaccione","given":"Remo"},{"family":"Feagan","given":"Brian"},{"family":"Reinisch","given":"Walter"},{"family":"Robinson","given":"Anne M"},{"family":"Lazar","given":"Andreas"},{"family":"Kron","given":"Martina"},{"family":"Huang","given":"Bidan"},{"family":"Skup","given":"Martha"},{"family":"Thakkar","given":"Roopal B"}],"issued":{"date-parts":[["2014",11]]},"accessed":{"date-parts":[["2018",3,27]]}}}],"schema":"https://github.com/citation-style-language/schema/raw/master/csl-citation.json"} </w:instrText>
      </w:r>
      <w:r w:rsidR="00193788"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[54]</w:t>
      </w:r>
      <w:r w:rsidR="00193788" w:rsidRPr="005B1A16">
        <w:rPr>
          <w:rFonts w:ascii="Book Antiqua" w:hAnsi="Book Antiqua"/>
          <w:color w:val="000000" w:themeColor="text1"/>
          <w:shd w:val="clear" w:color="auto" w:fill="FFFFFF"/>
        </w:rPr>
        <w:fldChar w:fldCharType="end"/>
      </w:r>
      <w:r w:rsidR="00FF17D6" w:rsidRPr="005B1A16">
        <w:rPr>
          <w:rFonts w:ascii="Book Antiqua" w:hAnsi="Book Antiqua"/>
          <w:color w:val="000000" w:themeColor="text1"/>
          <w:shd w:val="clear" w:color="auto" w:fill="FFFFFF"/>
        </w:rPr>
        <w:t xml:space="preserve">. </w:t>
      </w:r>
      <w:r w:rsidR="00EC4B32" w:rsidRPr="005B1A16">
        <w:rPr>
          <w:rFonts w:ascii="Book Antiqua" w:hAnsi="Book Antiqua"/>
          <w:color w:val="000000" w:themeColor="text1"/>
          <w:shd w:val="clear" w:color="auto" w:fill="FFFFFF"/>
        </w:rPr>
        <w:t xml:space="preserve">With respect to patients observed as nonresponder imputation (NRI), 25% and 28% of the 199 patients from ULTRA 1 and 2 whom were still on adalimumab at the 4 year follow-up </w:t>
      </w:r>
      <w:r w:rsidR="008C4CD1" w:rsidRPr="005B1A16">
        <w:rPr>
          <w:rFonts w:ascii="Book Antiqua" w:hAnsi="Book Antiqua"/>
          <w:color w:val="000000" w:themeColor="text1"/>
          <w:shd w:val="clear" w:color="auto" w:fill="FFFFFF"/>
        </w:rPr>
        <w:t>maintained</w:t>
      </w:r>
      <w:r w:rsidR="00EC4B32" w:rsidRPr="005B1A16">
        <w:rPr>
          <w:rFonts w:ascii="Book Antiqua" w:hAnsi="Book Antiqua"/>
          <w:color w:val="000000" w:themeColor="text1"/>
          <w:shd w:val="clear" w:color="auto" w:fill="FFFFFF"/>
        </w:rPr>
        <w:t xml:space="preserve"> clinical</w:t>
      </w:r>
      <w:r w:rsidR="003D3665" w:rsidRPr="005B1A16">
        <w:rPr>
          <w:rFonts w:ascii="Book Antiqua" w:hAnsi="Book Antiqua"/>
          <w:color w:val="000000" w:themeColor="text1"/>
          <w:shd w:val="clear" w:color="auto" w:fill="FFFFFF"/>
        </w:rPr>
        <w:t xml:space="preserve"> remission and mucosal healing</w:t>
      </w:r>
      <w:r w:rsidR="00EC4B32" w:rsidRPr="005B1A16">
        <w:rPr>
          <w:rFonts w:ascii="Book Antiqua" w:hAnsi="Book Antiqua"/>
          <w:color w:val="000000" w:themeColor="text1"/>
          <w:shd w:val="clear" w:color="auto" w:fill="FFFFFF"/>
        </w:rPr>
        <w:t xml:space="preserve"> respectively. In contrast, the ULTRA 3 open-label trial demonstrated clinical remission and mucosal healing rates to be considerably greater (64% and 60%, respectively), albeit difficult to compare in the absence of randomization. </w:t>
      </w:r>
    </w:p>
    <w:p w14:paraId="30BF6CC0" w14:textId="3ABBCC4E" w:rsidR="008C4CD1" w:rsidRPr="005B1A16" w:rsidRDefault="008C4CD1" w:rsidP="005B1A16">
      <w:pPr>
        <w:spacing w:line="360" w:lineRule="auto"/>
        <w:jc w:val="both"/>
        <w:rPr>
          <w:rFonts w:ascii="Book Antiqua" w:hAnsi="Book Antiqua"/>
          <w:color w:val="000000" w:themeColor="text1"/>
          <w:shd w:val="clear" w:color="auto" w:fill="FFFFFF"/>
        </w:rPr>
      </w:pPr>
    </w:p>
    <w:p w14:paraId="56B904A5" w14:textId="6C526A1D" w:rsidR="00EF5F25" w:rsidRPr="005B1A16" w:rsidRDefault="008C4CD1" w:rsidP="005B1A16">
      <w:pPr>
        <w:spacing w:line="360" w:lineRule="auto"/>
        <w:jc w:val="both"/>
        <w:outlineLvl w:val="0"/>
        <w:rPr>
          <w:rFonts w:ascii="Book Antiqua" w:eastAsia="SimSun" w:hAnsi="Book Antiqua"/>
          <w:b/>
          <w:color w:val="000000" w:themeColor="text1"/>
          <w:shd w:val="clear" w:color="auto" w:fill="FFFFFF"/>
          <w:lang w:eastAsia="zh-CN"/>
        </w:rPr>
      </w:pPr>
      <w:r w:rsidRPr="005B1A16">
        <w:rPr>
          <w:rFonts w:ascii="Book Antiqua" w:hAnsi="Book Antiqua"/>
          <w:b/>
          <w:color w:val="000000" w:themeColor="text1"/>
          <w:shd w:val="clear" w:color="auto" w:fill="FFFFFF"/>
        </w:rPr>
        <w:t>Golimumab</w:t>
      </w:r>
      <w:r w:rsidR="0042582C" w:rsidRPr="005B1A16">
        <w:rPr>
          <w:rFonts w:ascii="Book Antiqua" w:eastAsia="SimSun" w:hAnsi="Book Antiqua"/>
          <w:b/>
          <w:color w:val="000000" w:themeColor="text1"/>
          <w:shd w:val="clear" w:color="auto" w:fill="FFFFFF"/>
          <w:lang w:eastAsia="zh-CN"/>
        </w:rPr>
        <w:t xml:space="preserve">: </w:t>
      </w:r>
      <w:r w:rsidR="00A25944" w:rsidRPr="005B1A16">
        <w:rPr>
          <w:rFonts w:ascii="Book Antiqua" w:hAnsi="Book Antiqua"/>
          <w:color w:val="000000" w:themeColor="text1"/>
          <w:shd w:val="clear" w:color="auto" w:fill="FFFFFF"/>
        </w:rPr>
        <w:t>Golimumab is a</w:t>
      </w:r>
      <w:r w:rsidR="00E21BEE" w:rsidRPr="005B1A16">
        <w:rPr>
          <w:rFonts w:ascii="Book Antiqua" w:hAnsi="Book Antiqua"/>
          <w:color w:val="000000" w:themeColor="text1"/>
          <w:shd w:val="clear" w:color="auto" w:fill="FFFFFF"/>
        </w:rPr>
        <w:t xml:space="preserve"> fully human monoclonal immuno</w:t>
      </w:r>
      <w:r w:rsidR="00A25944" w:rsidRPr="005B1A16">
        <w:rPr>
          <w:rFonts w:ascii="Book Antiqua" w:hAnsi="Book Antiqua"/>
          <w:color w:val="000000" w:themeColor="text1"/>
          <w:shd w:val="clear" w:color="auto" w:fill="FFFFFF"/>
        </w:rPr>
        <w:t>glob</w:t>
      </w:r>
      <w:r w:rsidR="00E21BEE" w:rsidRPr="005B1A16">
        <w:rPr>
          <w:rFonts w:ascii="Book Antiqua" w:hAnsi="Book Antiqua"/>
          <w:color w:val="000000" w:themeColor="text1"/>
          <w:shd w:val="clear" w:color="auto" w:fill="FFFFFF"/>
        </w:rPr>
        <w:t>ul</w:t>
      </w:r>
      <w:r w:rsidR="00A25944" w:rsidRPr="005B1A16">
        <w:rPr>
          <w:rFonts w:ascii="Book Antiqua" w:hAnsi="Book Antiqua"/>
          <w:color w:val="000000" w:themeColor="text1"/>
          <w:shd w:val="clear" w:color="auto" w:fill="FFFFFF"/>
        </w:rPr>
        <w:t xml:space="preserve">in </w:t>
      </w:r>
      <w:r w:rsidR="00564588" w:rsidRPr="005B1A16">
        <w:rPr>
          <w:rFonts w:ascii="Book Antiqua" w:hAnsi="Book Antiqua"/>
          <w:color w:val="000000" w:themeColor="text1"/>
          <w:shd w:val="clear" w:color="auto" w:fill="FFFFFF"/>
        </w:rPr>
        <w:t xml:space="preserve">delivered subcutaneously </w:t>
      </w:r>
      <w:r w:rsidR="00A25944" w:rsidRPr="005B1A16">
        <w:rPr>
          <w:rFonts w:ascii="Book Antiqua" w:hAnsi="Book Antiqua"/>
          <w:color w:val="000000" w:themeColor="text1"/>
          <w:shd w:val="clear" w:color="auto" w:fill="FFFFFF"/>
        </w:rPr>
        <w:t xml:space="preserve">which targets a unique epitope </w:t>
      </w:r>
      <w:r w:rsidR="0045422A" w:rsidRPr="005B1A16">
        <w:rPr>
          <w:rFonts w:ascii="Book Antiqua" w:hAnsi="Book Antiqua"/>
          <w:color w:val="000000" w:themeColor="text1"/>
          <w:shd w:val="clear" w:color="auto" w:fill="FFFFFF"/>
        </w:rPr>
        <w:t xml:space="preserve">on the TNF molecule </w:t>
      </w:r>
      <w:r w:rsidR="00A25944" w:rsidRPr="005B1A16">
        <w:rPr>
          <w:rFonts w:ascii="Book Antiqua" w:hAnsi="Book Antiqua"/>
          <w:color w:val="000000" w:themeColor="text1"/>
          <w:shd w:val="clear" w:color="auto" w:fill="FFFFFF"/>
        </w:rPr>
        <w:t>as compared to infliximab and adalimumab. The PURSUIT trials which evaluated 1064</w:t>
      </w:r>
      <w:r w:rsidR="00A20B07" w:rsidRPr="005B1A16">
        <w:rPr>
          <w:rFonts w:ascii="Book Antiqua" w:hAnsi="Book Antiqua"/>
          <w:color w:val="000000" w:themeColor="text1"/>
          <w:shd w:val="clear" w:color="auto" w:fill="FFFFFF"/>
        </w:rPr>
        <w:t xml:space="preserve"> biologic naive</w:t>
      </w:r>
      <w:r w:rsidR="00A25944" w:rsidRPr="005B1A16">
        <w:rPr>
          <w:rFonts w:ascii="Book Antiqua" w:hAnsi="Book Antiqua"/>
          <w:color w:val="000000" w:themeColor="text1"/>
          <w:shd w:val="clear" w:color="auto" w:fill="FFFFFF"/>
        </w:rPr>
        <w:t xml:space="preserve"> patients with moderate to severe UC </w:t>
      </w:r>
      <w:r w:rsidR="00331E2F" w:rsidRPr="005B1A16">
        <w:rPr>
          <w:rFonts w:ascii="Book Antiqua" w:hAnsi="Book Antiqua"/>
          <w:color w:val="000000" w:themeColor="text1"/>
          <w:shd w:val="clear" w:color="auto" w:fill="FFFFFF"/>
        </w:rPr>
        <w:t>were responsible for establishing</w:t>
      </w:r>
      <w:r w:rsidR="00973ED0" w:rsidRPr="005B1A16">
        <w:rPr>
          <w:rFonts w:ascii="Book Antiqua" w:hAnsi="Book Antiqua"/>
          <w:color w:val="000000" w:themeColor="text1"/>
          <w:shd w:val="clear" w:color="auto" w:fill="FFFFFF"/>
        </w:rPr>
        <w:t xml:space="preserve"> regulatory approval for it</w:t>
      </w:r>
      <w:r w:rsidR="00A25944" w:rsidRPr="005B1A16">
        <w:rPr>
          <w:rFonts w:ascii="Book Antiqua" w:hAnsi="Book Antiqua"/>
          <w:color w:val="000000" w:themeColor="text1"/>
          <w:shd w:val="clear" w:color="auto" w:fill="FFFFFF"/>
        </w:rPr>
        <w:t xml:space="preserve"> </w:t>
      </w:r>
      <w:r w:rsidR="007D570D" w:rsidRPr="005B1A16">
        <w:rPr>
          <w:rFonts w:ascii="Book Antiqua" w:hAnsi="Book Antiqua"/>
          <w:color w:val="000000" w:themeColor="text1"/>
          <w:shd w:val="clear" w:color="auto" w:fill="FFFFFF"/>
        </w:rPr>
        <w:t xml:space="preserve">in </w:t>
      </w:r>
      <w:r w:rsidR="00A25944" w:rsidRPr="005B1A16">
        <w:rPr>
          <w:rFonts w:ascii="Book Antiqua" w:hAnsi="Book Antiqua"/>
          <w:color w:val="000000" w:themeColor="text1"/>
          <w:shd w:val="clear" w:color="auto" w:fill="FFFFFF"/>
        </w:rPr>
        <w:t xml:space="preserve">2014. </w:t>
      </w:r>
      <w:r w:rsidR="00FE4516" w:rsidRPr="005B1A16">
        <w:rPr>
          <w:rFonts w:ascii="Book Antiqua" w:hAnsi="Book Antiqua"/>
          <w:color w:val="000000" w:themeColor="text1"/>
          <w:shd w:val="clear" w:color="auto" w:fill="FFFFFF"/>
        </w:rPr>
        <w:t>The induction trial, PURSUIT-SC</w:t>
      </w:r>
      <w:r w:rsidR="00A20B07" w:rsidRPr="005B1A16">
        <w:rPr>
          <w:rFonts w:ascii="Book Antiqua" w:hAnsi="Book Antiqua"/>
          <w:color w:val="000000" w:themeColor="text1"/>
          <w:shd w:val="clear" w:color="auto" w:fill="FFFFFF"/>
        </w:rPr>
        <w:t xml:space="preserve">, revealed a significantly greater proportion of patients in clinical remission following 6 </w:t>
      </w:r>
      <w:r w:rsidR="007F0284" w:rsidRPr="005B1A16">
        <w:rPr>
          <w:rFonts w:ascii="Book Antiqua" w:eastAsia="SimSun" w:hAnsi="Book Antiqua"/>
          <w:color w:val="000000" w:themeColor="text1"/>
          <w:shd w:val="clear" w:color="auto" w:fill="FFFFFF"/>
          <w:lang w:eastAsia="zh-CN"/>
        </w:rPr>
        <w:t>wk</w:t>
      </w:r>
      <w:r w:rsidR="00A20B07" w:rsidRPr="005B1A16">
        <w:rPr>
          <w:rFonts w:ascii="Book Antiqua" w:hAnsi="Book Antiqua"/>
          <w:color w:val="000000" w:themeColor="text1"/>
          <w:shd w:val="clear" w:color="auto" w:fill="FFFFFF"/>
        </w:rPr>
        <w:t xml:space="preserve"> using 200/100</w:t>
      </w:r>
      <w:r w:rsidR="007F0284" w:rsidRPr="005B1A16">
        <w:rPr>
          <w:rFonts w:ascii="Book Antiqua" w:eastAsia="SimSun" w:hAnsi="Book Antiqua"/>
          <w:color w:val="000000" w:themeColor="text1"/>
          <w:shd w:val="clear" w:color="auto" w:fill="FFFFFF"/>
          <w:lang w:eastAsia="zh-CN"/>
        </w:rPr>
        <w:t xml:space="preserve"> </w:t>
      </w:r>
      <w:r w:rsidR="00A20B07" w:rsidRPr="005B1A16">
        <w:rPr>
          <w:rFonts w:ascii="Book Antiqua" w:hAnsi="Book Antiqua"/>
          <w:color w:val="000000" w:themeColor="text1"/>
          <w:shd w:val="clear" w:color="auto" w:fill="FFFFFF"/>
        </w:rPr>
        <w:t>mg and 400/200</w:t>
      </w:r>
      <w:r w:rsidR="007F0284" w:rsidRPr="005B1A16">
        <w:rPr>
          <w:rFonts w:ascii="Book Antiqua" w:eastAsia="SimSun" w:hAnsi="Book Antiqua"/>
          <w:color w:val="000000" w:themeColor="text1"/>
          <w:shd w:val="clear" w:color="auto" w:fill="FFFFFF"/>
          <w:lang w:eastAsia="zh-CN"/>
        </w:rPr>
        <w:t xml:space="preserve"> </w:t>
      </w:r>
      <w:r w:rsidR="00A20B07" w:rsidRPr="005B1A16">
        <w:rPr>
          <w:rFonts w:ascii="Book Antiqua" w:hAnsi="Book Antiqua"/>
          <w:color w:val="000000" w:themeColor="text1"/>
          <w:shd w:val="clear" w:color="auto" w:fill="FFFFFF"/>
        </w:rPr>
        <w:t xml:space="preserve">mg induction doses as compared to placebo, 51% and 55% </w:t>
      </w:r>
      <w:r w:rsidR="00A20B07" w:rsidRPr="005B1A16">
        <w:rPr>
          <w:rFonts w:ascii="Book Antiqua" w:hAnsi="Book Antiqua"/>
          <w:i/>
          <w:color w:val="000000" w:themeColor="text1"/>
          <w:shd w:val="clear" w:color="auto" w:fill="FFFFFF"/>
        </w:rPr>
        <w:t>vs</w:t>
      </w:r>
      <w:r w:rsidR="00A20B07" w:rsidRPr="005B1A16">
        <w:rPr>
          <w:rFonts w:ascii="Book Antiqua" w:hAnsi="Book Antiqua"/>
          <w:color w:val="000000" w:themeColor="text1"/>
          <w:shd w:val="clear" w:color="auto" w:fill="FFFFFF"/>
        </w:rPr>
        <w:t xml:space="preserve"> 30% respectively</w:t>
      </w:r>
      <w:r w:rsidR="00E21BEE"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{"citationID":"a2iv3eqvhc1","properties":{"formattedCitation":"\\super [55]\\nosupersub{}","plainCitation":"[55]","noteIndex":0},"citationItems":[{"id":127,"uris":["http://zotero.org/users/4672422/items/Z2RXSHQT"],"uri":["http://zotero.org/users/4672422/items/Z2RXSHQT"],"itemData":{"id":127,"type":"article-journal","title":"Subcutaneous golimumab induces clinical response and remission in patients with moderate-to-severe ulcerative colitis","container-title":"Gastroenterology","page":"85-95; quiz e14-15","volume":"146","issue":"1","source":"PubMed","abstract":"BACKGROUND &amp; AIMS: Little is known about the efficacy of golimumab, a fully human monoclonal antibody to tumor necrosis factor (TNF) -α, for treatment of ulcerative colitis (UC). We evaluated subcutaneous golimumab induction therapy in TNF-α antagonist-naïve patients with moderate-to-severe UC despite conventional treatment.\nMETHODS: We integrated double-blind phase 2 dose-finding and phase 3 dose-confirmation trials in a study of 1064 adults with UC (Mayo score: 6-12; endoscopic subscore ≥ 2; 774 patients in phase 3). Patients were randomly assigned to groups given golimumab doses of 100 mg and then 50 mg (phase 2 only), 200 mg and then 100 mg, or 400 mg and then 200 mg, 2 weeks apart. The phase 3 primary end point was week-6 clinical response. Secondary end points included week-6 clinical remission, mucosal healing, and Inflammatory Bowel Disease Questionnaire (IBDQ) score change.\nRESULTS: In phase 2, median changes from baseline in the Mayo score were -1.0, -3.0, -2.0, and -3.0, in the groups given placebo, 100 mg/50 mg, 200/100 mg, and 400/200 mg golimumab, respectively. In phase 3, rates of clinical response at week 6 were 51.0% and 54.9% among patients given 200 mg/100 mg and 400 mg/200 mg golimumab, respectively, vs 30.3% among those given placebo (both, P ≤ .0001). Rates of clinical remission and mucosal healing and mean changes in IBDQ scores were significantly greater in both golimumab groups vs the placebo group (P ≤ .0014, all comparisons). Rates of serious adverse events were 6.1% and 3.0%, and rates of serious infection were 1.8% and 0.5%, in the placebo and golimumab groups, respectively. One patient in the 400 mg/200 mg group died as a result of surgical complications of an ischiorectal abscess.\nCONCLUSIONS: Treatment with subcutaneous golimumab induces clinical response, remission, and mucosal healing, and increases quality of life in larger percentages of patients with active UC than placebo. ClinicalTrials.gov Number: NCT00487539.","DOI":"10.1053/j.gastro.2013.05.048","ISSN":"1528-0012","note":"PMID: 23735746","journalAbbreviation":"Gastroenterology","language":"eng","author":[{"family":"Sandborn","given":"William J."},{"family":"Feagan","given":"Brian G."},{"family":"Marano","given":"Colleen"},{"family":"Zhang","given":"Hongyan"},{"family":"Strauss","given":"Richard"},{"family":"Johanns","given":"Jewel"},{"family":"Adedokun","given":"Omoniyi J."},{"family":"Guzzo","given":"Cynthia"},{"family":"Colombel","given":"Jean-Frederic"},{"family":"Reinisch","given":"Walter"},{"family":"Gibson","given":"Peter R."},{"family":"Collins","given":"Judith"},{"family":"Järnerot","given":"Gunnar"},{"family":"Hibi","given":"Toshifumi"},{"family":"Rutgeerts","given":"Paul"},{"literal":"PURSUIT-SC Study Group"}],"issued":{"date-parts":[["2014",1]]}}}],"schema":"https://github.com/citation-style-language/schema/raw/master/csl-citation.json"} </w:instrText>
      </w:r>
      <w:r w:rsidR="00E21BEE"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[55]</w:t>
      </w:r>
      <w:r w:rsidR="00E21BEE" w:rsidRPr="005B1A16">
        <w:rPr>
          <w:rFonts w:ascii="Book Antiqua" w:hAnsi="Book Antiqua"/>
          <w:color w:val="000000" w:themeColor="text1"/>
          <w:shd w:val="clear" w:color="auto" w:fill="FFFFFF"/>
        </w:rPr>
        <w:fldChar w:fldCharType="end"/>
      </w:r>
      <w:r w:rsidR="00A20B07" w:rsidRPr="005B1A16">
        <w:rPr>
          <w:rFonts w:ascii="Book Antiqua" w:hAnsi="Book Antiqua"/>
          <w:color w:val="000000" w:themeColor="text1"/>
          <w:shd w:val="clear" w:color="auto" w:fill="FFFFFF"/>
        </w:rPr>
        <w:t xml:space="preserve">. </w:t>
      </w:r>
      <w:r w:rsidR="004E7520" w:rsidRPr="005B1A16">
        <w:rPr>
          <w:rFonts w:ascii="Book Antiqua" w:hAnsi="Book Antiqua"/>
          <w:color w:val="000000" w:themeColor="text1"/>
          <w:shd w:val="clear" w:color="auto" w:fill="FFFFFF"/>
        </w:rPr>
        <w:t xml:space="preserve">The extension of this trial, PURSUIT-M, </w:t>
      </w:r>
      <w:r w:rsidR="006B3F4C" w:rsidRPr="005B1A16">
        <w:rPr>
          <w:rFonts w:ascii="Book Antiqua" w:hAnsi="Book Antiqua"/>
          <w:color w:val="000000" w:themeColor="text1"/>
          <w:shd w:val="clear" w:color="auto" w:fill="FFFFFF"/>
        </w:rPr>
        <w:t xml:space="preserve">which included 464 patients with moderate to severe UC whom had responded favorably to golimumab in the induction trial </w:t>
      </w:r>
      <w:r w:rsidR="004E7520" w:rsidRPr="005B1A16">
        <w:rPr>
          <w:rFonts w:ascii="Book Antiqua" w:hAnsi="Book Antiqua"/>
          <w:color w:val="000000" w:themeColor="text1"/>
          <w:shd w:val="clear" w:color="auto" w:fill="FFFFFF"/>
        </w:rPr>
        <w:t xml:space="preserve">also demonstrated greater efficacy than placebo at maintaining clinical remission following 54 </w:t>
      </w:r>
      <w:r w:rsidR="007F0284" w:rsidRPr="005B1A16">
        <w:rPr>
          <w:rFonts w:ascii="Book Antiqua" w:eastAsia="SimSun" w:hAnsi="Book Antiqua"/>
          <w:color w:val="000000" w:themeColor="text1"/>
          <w:shd w:val="clear" w:color="auto" w:fill="FFFFFF"/>
          <w:lang w:eastAsia="zh-CN"/>
        </w:rPr>
        <w:t>wk</w:t>
      </w:r>
      <w:r w:rsidR="004E7520" w:rsidRPr="005B1A16">
        <w:rPr>
          <w:rFonts w:ascii="Book Antiqua" w:hAnsi="Book Antiqua"/>
          <w:color w:val="000000" w:themeColor="text1"/>
          <w:shd w:val="clear" w:color="auto" w:fill="FFFFFF"/>
        </w:rPr>
        <w:t xml:space="preserve">. At study end, </w:t>
      </w:r>
      <w:r w:rsidR="00AA41A4" w:rsidRPr="005B1A16">
        <w:rPr>
          <w:rFonts w:ascii="Book Antiqua" w:hAnsi="Book Antiqua"/>
          <w:color w:val="000000" w:themeColor="text1"/>
          <w:shd w:val="clear" w:color="auto" w:fill="FFFFFF"/>
        </w:rPr>
        <w:t xml:space="preserve">42% of patients </w:t>
      </w:r>
      <w:r w:rsidR="00143E27" w:rsidRPr="005B1A16">
        <w:rPr>
          <w:rFonts w:ascii="Book Antiqua" w:hAnsi="Book Antiqua"/>
          <w:color w:val="000000" w:themeColor="text1"/>
          <w:shd w:val="clear" w:color="auto" w:fill="FFFFFF"/>
        </w:rPr>
        <w:t>taking golimumab 100</w:t>
      </w:r>
      <w:r w:rsidR="007F0284" w:rsidRPr="005B1A16">
        <w:rPr>
          <w:rFonts w:ascii="Book Antiqua" w:eastAsia="SimSun" w:hAnsi="Book Antiqua"/>
          <w:color w:val="000000" w:themeColor="text1"/>
          <w:shd w:val="clear" w:color="auto" w:fill="FFFFFF"/>
          <w:lang w:eastAsia="zh-CN"/>
        </w:rPr>
        <w:t xml:space="preserve"> </w:t>
      </w:r>
      <w:r w:rsidR="00143E27" w:rsidRPr="005B1A16">
        <w:rPr>
          <w:rFonts w:ascii="Book Antiqua" w:hAnsi="Book Antiqua"/>
          <w:color w:val="000000" w:themeColor="text1"/>
          <w:shd w:val="clear" w:color="auto" w:fill="FFFFFF"/>
        </w:rPr>
        <w:t xml:space="preserve">mg every 4 </w:t>
      </w:r>
      <w:r w:rsidR="007F0284" w:rsidRPr="005B1A16">
        <w:rPr>
          <w:rFonts w:ascii="Book Antiqua" w:eastAsia="SimSun" w:hAnsi="Book Antiqua"/>
          <w:color w:val="000000" w:themeColor="text1"/>
          <w:shd w:val="clear" w:color="auto" w:fill="FFFFFF"/>
          <w:lang w:eastAsia="zh-CN"/>
        </w:rPr>
        <w:t>wk</w:t>
      </w:r>
      <w:r w:rsidR="00143E27" w:rsidRPr="005B1A16">
        <w:rPr>
          <w:rFonts w:ascii="Book Antiqua" w:hAnsi="Book Antiqua"/>
          <w:color w:val="000000" w:themeColor="text1"/>
          <w:shd w:val="clear" w:color="auto" w:fill="FFFFFF"/>
        </w:rPr>
        <w:t xml:space="preserve"> </w:t>
      </w:r>
      <w:r w:rsidR="00AA41A4" w:rsidRPr="005B1A16">
        <w:rPr>
          <w:rFonts w:ascii="Book Antiqua" w:hAnsi="Book Antiqua"/>
          <w:color w:val="000000" w:themeColor="text1"/>
          <w:shd w:val="clear" w:color="auto" w:fill="FFFFFF"/>
        </w:rPr>
        <w:t>were found to be in clinical remission as compared to 27% of patients taking placebo</w:t>
      </w:r>
      <w:r w:rsidR="00E21BEE"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{"citationID":"a11bce99ukn","properties":{"formattedCitation":"\\super [56]\\nosupersub{}","plainCitation":"[56]","noteIndex":0},"citationItems":[{"id":129,"uris":["http://zotero.org/users/4672422/items/YIMNMHPU"],"uri":["http://zotero.org/users/4672422/items/YIMNMHPU"],"itemData":{"id":129,"type":"article-journal","title":"Subcutaneous Golimumab Maintains Clinical Response in Patients With Moderate-to-Severe Ulcerative Colitis","container-title":"Gastroenterology","page":"96-109.e1","volume":"146","issue":"1","source":"CrossRef","URL":"http://linkinghub.elsevier.com/retrieve/pii/S001650851300886X","DOI":"10.1053/j.gastro.2013.06.010","ISSN":"00165085","language":"en","author":[{"family":"Sandborn","given":"William J."},{"family":"Feagan","given":"Brian G."},{"family":"Marano","given":"Colleen"},{"family":"Zhang","given":"Hongyan"},{"family":"Strauss","given":"Richard"},{"family":"Johanns","given":"Jewel"},{"family":"Adedokun","given":"Omoniyi J."},{"family":"Guzzo","given":"Cynthia"},{"family":"Colombel","given":"Jean–Frederic"},{"family":"Reinisch","given":"Walter"},{"family":"Gibson","given":"Peter R."},{"family":"Collins","given":"Judith"},{"family":"Järnerot","given":"Gunnar"},{"family":"Rutgeerts","given":"Paul"}],"issued":{"date-parts":[["2014",1]]},"accessed":{"date-parts":[["2018",3,27]]}}}],"schema":"https://github.com/citation-style-language/schema/raw/master/csl-citation.json"} </w:instrText>
      </w:r>
      <w:r w:rsidR="00E21BEE"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[56]</w:t>
      </w:r>
      <w:r w:rsidR="00E21BEE" w:rsidRPr="005B1A16">
        <w:rPr>
          <w:rFonts w:ascii="Book Antiqua" w:hAnsi="Book Antiqua"/>
          <w:color w:val="000000" w:themeColor="text1"/>
          <w:shd w:val="clear" w:color="auto" w:fill="FFFFFF"/>
        </w:rPr>
        <w:fldChar w:fldCharType="end"/>
      </w:r>
      <w:r w:rsidR="00AA41A4" w:rsidRPr="005B1A16">
        <w:rPr>
          <w:rFonts w:ascii="Book Antiqua" w:hAnsi="Book Antiqua"/>
          <w:color w:val="000000" w:themeColor="text1"/>
          <w:shd w:val="clear" w:color="auto" w:fill="FFFFFF"/>
        </w:rPr>
        <w:t xml:space="preserve">. </w:t>
      </w:r>
      <w:r w:rsidR="00FD185A" w:rsidRPr="005B1A16">
        <w:rPr>
          <w:rFonts w:ascii="Book Antiqua" w:hAnsi="Book Antiqua"/>
          <w:color w:val="000000" w:themeColor="text1"/>
          <w:shd w:val="clear" w:color="auto" w:fill="FFFFFF"/>
        </w:rPr>
        <w:t>The rate of m</w:t>
      </w:r>
      <w:r w:rsidR="00143E27" w:rsidRPr="005B1A16">
        <w:rPr>
          <w:rFonts w:ascii="Book Antiqua" w:hAnsi="Book Antiqua"/>
          <w:color w:val="000000" w:themeColor="text1"/>
          <w:shd w:val="clear" w:color="auto" w:fill="FFFFFF"/>
        </w:rPr>
        <w:t xml:space="preserve">ucosal healing was significantly greater for patients taking </w:t>
      </w:r>
      <w:r w:rsidR="00143E27" w:rsidRPr="005B1A16">
        <w:rPr>
          <w:rFonts w:ascii="Book Antiqua" w:hAnsi="Book Antiqua"/>
          <w:color w:val="000000" w:themeColor="text1"/>
          <w:shd w:val="clear" w:color="auto" w:fill="FFFFFF"/>
        </w:rPr>
        <w:lastRenderedPageBreak/>
        <w:t xml:space="preserve">golimumab in both the induction and maintenance studies, </w:t>
      </w:r>
      <w:r w:rsidR="00C466A1" w:rsidRPr="005B1A16">
        <w:rPr>
          <w:rFonts w:ascii="Book Antiqua" w:hAnsi="Book Antiqua"/>
          <w:color w:val="000000" w:themeColor="text1"/>
          <w:shd w:val="clear" w:color="auto" w:fill="FFFFFF"/>
        </w:rPr>
        <w:t xml:space="preserve">the </w:t>
      </w:r>
      <w:r w:rsidR="00143E27" w:rsidRPr="005B1A16">
        <w:rPr>
          <w:rFonts w:ascii="Book Antiqua" w:hAnsi="Book Antiqua"/>
          <w:color w:val="000000" w:themeColor="text1"/>
          <w:shd w:val="clear" w:color="auto" w:fill="FFFFFF"/>
        </w:rPr>
        <w:t xml:space="preserve">differences were able to be appreciated as early as 2 </w:t>
      </w:r>
      <w:r w:rsidR="007F0284" w:rsidRPr="005B1A16">
        <w:rPr>
          <w:rFonts w:ascii="Book Antiqua" w:eastAsia="SimSun" w:hAnsi="Book Antiqua"/>
          <w:color w:val="000000" w:themeColor="text1"/>
          <w:shd w:val="clear" w:color="auto" w:fill="FFFFFF"/>
          <w:lang w:eastAsia="zh-CN"/>
        </w:rPr>
        <w:t>wk</w:t>
      </w:r>
      <w:r w:rsidR="00143E27" w:rsidRPr="005B1A16">
        <w:rPr>
          <w:rFonts w:ascii="Book Antiqua" w:hAnsi="Book Antiqua"/>
          <w:color w:val="000000" w:themeColor="text1"/>
          <w:shd w:val="clear" w:color="auto" w:fill="FFFFFF"/>
        </w:rPr>
        <w:t xml:space="preserve">. </w:t>
      </w:r>
      <w:r w:rsidR="008745AE" w:rsidRPr="005B1A16">
        <w:rPr>
          <w:rFonts w:ascii="Book Antiqua" w:hAnsi="Book Antiqua"/>
          <w:color w:val="000000" w:themeColor="text1"/>
          <w:shd w:val="clear" w:color="auto" w:fill="FFFFFF"/>
        </w:rPr>
        <w:t>Golimumab</w:t>
      </w:r>
      <w:r w:rsidR="00DD1F5E" w:rsidRPr="005B1A16">
        <w:rPr>
          <w:rFonts w:ascii="Book Antiqua" w:hAnsi="Book Antiqua"/>
          <w:color w:val="000000" w:themeColor="text1"/>
          <w:shd w:val="clear" w:color="auto" w:fill="FFFFFF"/>
        </w:rPr>
        <w:t>, although not formally assessed in clinical trials,</w:t>
      </w:r>
      <w:r w:rsidR="00FD185A" w:rsidRPr="005B1A16">
        <w:rPr>
          <w:rFonts w:ascii="Book Antiqua" w:hAnsi="Book Antiqua"/>
          <w:color w:val="000000" w:themeColor="text1"/>
          <w:shd w:val="clear" w:color="auto" w:fill="FFFFFF"/>
        </w:rPr>
        <w:t xml:space="preserve"> </w:t>
      </w:r>
      <w:r w:rsidR="008745AE" w:rsidRPr="005B1A16">
        <w:rPr>
          <w:rFonts w:ascii="Book Antiqua" w:hAnsi="Book Antiqua"/>
          <w:color w:val="000000" w:themeColor="text1"/>
          <w:shd w:val="clear" w:color="auto" w:fill="FFFFFF"/>
        </w:rPr>
        <w:t xml:space="preserve">has </w:t>
      </w:r>
      <w:r w:rsidR="00DD1F5E" w:rsidRPr="005B1A16">
        <w:rPr>
          <w:rFonts w:ascii="Book Antiqua" w:hAnsi="Book Antiqua"/>
          <w:color w:val="000000" w:themeColor="text1"/>
          <w:shd w:val="clear" w:color="auto" w:fill="FFFFFF"/>
        </w:rPr>
        <w:t xml:space="preserve">been reported to be efficacious </w:t>
      </w:r>
      <w:r w:rsidR="008745AE" w:rsidRPr="005B1A16">
        <w:rPr>
          <w:rFonts w:ascii="Book Antiqua" w:hAnsi="Book Antiqua"/>
          <w:color w:val="000000" w:themeColor="text1"/>
          <w:shd w:val="clear" w:color="auto" w:fill="FFFFFF"/>
        </w:rPr>
        <w:t xml:space="preserve">as a </w:t>
      </w:r>
      <w:r w:rsidR="00DE69C6" w:rsidRPr="005B1A16">
        <w:rPr>
          <w:rFonts w:ascii="Book Antiqua" w:hAnsi="Book Antiqua"/>
          <w:color w:val="000000" w:themeColor="text1"/>
          <w:shd w:val="clear" w:color="auto" w:fill="FFFFFF"/>
        </w:rPr>
        <w:t>secon</w:t>
      </w:r>
      <w:r w:rsidR="00FA251F" w:rsidRPr="005B1A16">
        <w:rPr>
          <w:rFonts w:ascii="Book Antiqua" w:hAnsi="Book Antiqua"/>
          <w:color w:val="000000" w:themeColor="text1"/>
          <w:shd w:val="clear" w:color="auto" w:fill="FFFFFF"/>
        </w:rPr>
        <w:t>d and third-line anti-TNF agent</w:t>
      </w:r>
      <w:r w:rsidR="00990075" w:rsidRPr="005B1A16">
        <w:rPr>
          <w:rFonts w:ascii="Book Antiqua" w:hAnsi="Book Antiqua"/>
          <w:color w:val="000000" w:themeColor="text1"/>
          <w:shd w:val="clear" w:color="auto" w:fill="FFFFFF"/>
        </w:rPr>
        <w:t xml:space="preserve"> </w:t>
      </w:r>
      <w:r w:rsidR="00DD1F5E" w:rsidRPr="005B1A16">
        <w:rPr>
          <w:rFonts w:ascii="Book Antiqua" w:hAnsi="Book Antiqua"/>
          <w:color w:val="000000" w:themeColor="text1"/>
          <w:shd w:val="clear" w:color="auto" w:fill="FFFFFF"/>
        </w:rPr>
        <w:t>in real life setting</w:t>
      </w:r>
      <w:r w:rsidR="00E21BEE" w:rsidRPr="005B1A16">
        <w:rPr>
          <w:rFonts w:ascii="Book Antiqua" w:hAnsi="Book Antiqua"/>
          <w:color w:val="000000" w:themeColor="text1"/>
          <w:shd w:val="clear" w:color="auto" w:fill="FFFFFF"/>
        </w:rPr>
        <w:t>s</w:t>
      </w:r>
      <w:r w:rsidR="00E21BEE"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{"citationID":"ajudf2752a","properties":{"formattedCitation":"\\super [57]\\nosupersub{}","plainCitation":"[57]","noteIndex":0},"citationItems":[{"id":130,"uris":["http://zotero.org/users/4672422/items/PYBYTD29"],"uri":["http://zotero.org/users/4672422/items/PYBYTD29"],"itemData":{"id":130,"type":"article-journal","title":"Clinical Outcomes of Golimumab as First, Second or Third Anti-TNF Agent in Patients with Moderate-to-Severe Ulcerative Colitis","container-title":"Inflammatory Bowel Diseases","page":"1394-1402","volume":"23","issue":"8","source":"PubMed","abstract":"BACKGROUND: Golimumab efficacy data in ulcerative colitis (UC) are limited to anti-tumor necrosis factor α (TNF)-naive patients. The aim of this study was to assess the short-term and long-term efficacy of golimumab used as first, second, or third anti-TNF in UC in a real-life clinical setting.\nMETHODS: This retrospective multicenter cohort study included patients with moderate-to-severe UC treated with golimumab. The primary efficacy endpoints were short-term partial Mayo score response, long-term golimumab failure-free survival, and colectomy-free survival.\nRESULTS: In 142 patients with UC, golimumab was administered as first (40%), second (23%), or third anti-TNF (37%). Ninety-two patients (65%, 95% confidence interval 56.6-73) achieved short-term clinical response. Forty-five patients (32%, 95% confidence interval 23.7-39.7) achieved clinical remission. Response rates for golimumab were 75% as first anti-TNF, 70% as second anti-TNF (ns versus first anti-TNF), and 50% as third anti-TNF (P = 0.007 versus first anti-TNF). After 12 months median follow-up (interquartile range 6-18), 60 patients (42%, 95% confidence interval 34-51) had golimumab failure, and 15 patients (11%) needed colectomy. Thirty-one patients (22%) needed golimumab dose escalation, and 71% of these regained response after escalation. Starting maintenance with 100 mg golimumab doses and short-term nonresponse were independent predictors of golimumab failure.\nCONCLUSIONS: In this real-life cohort of patients with UC, golimumab therapy was effective for inducing and maintaining clinical response. Although anti-TNF-naive patients had better outcomes, golimumab was also effective in anti-TNF-experienced patients. Only the patients given golimumab after previous failure of 2 anti-TNF agents had significantly worse outcomes. Golimumab dose escalation was beneficial and safe.","DOI":"10.1097/MIB.0000000000001144","ISSN":"1536-4844","note":"PMID: 28671873","journalAbbreviation":"Inflamm. Bowel Dis.","language":"eng","author":[{"family":"Taxonera","given":"Carlos"},{"family":"Rodríguez","given":"Cristina"},{"family":"Bertoletti","given":"Federico"},{"family":"Menchén","given":"Luís"},{"family":"Arribas","given":"Julia"},{"family":"Sierra","given":"Mónica"},{"family":"Arias","given":"Lara"},{"family":"Martínez-Montiel","given":"Pilar"},{"family":"Juan","given":"Alba"},{"family":"Iglesias","given":"Eva"},{"family":"Algaba","given":"Alicia"},{"family":"Manceñido","given":"Noemí"},{"family":"Rivero","given":"Montserrat"},{"family":"Barreiro-de Acosta","given":"Manuel"},{"family":"López-Serrano","given":"Pilar"},{"family":"Argüelles-Arias","given":"Federico"},{"family":"Gutierrez","given":"Ana"},{"family":"Busquets","given":"David"},{"family":"Gisbert","given":"Javier P."},{"family":"Olivares","given":"David"},{"family":"Calvo","given":"Marta"},{"family":"Alba","given":"Cristina"},{"literal":"Collaborators"}],"issued":{"date-parts":[["2017",8]]}}}],"schema":"https://github.com/citation-style-language/schema/raw/master/csl-citation.json"} </w:instrText>
      </w:r>
      <w:r w:rsidR="00E21BEE"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[57]</w:t>
      </w:r>
      <w:r w:rsidR="00E21BEE" w:rsidRPr="005B1A16">
        <w:rPr>
          <w:rFonts w:ascii="Book Antiqua" w:hAnsi="Book Antiqua"/>
          <w:color w:val="000000" w:themeColor="text1"/>
          <w:shd w:val="clear" w:color="auto" w:fill="FFFFFF"/>
        </w:rPr>
        <w:fldChar w:fldCharType="end"/>
      </w:r>
      <w:r w:rsidR="00FA251F" w:rsidRPr="005B1A16">
        <w:rPr>
          <w:rFonts w:ascii="Book Antiqua" w:hAnsi="Book Antiqua"/>
          <w:color w:val="000000" w:themeColor="text1"/>
          <w:shd w:val="clear" w:color="auto" w:fill="FFFFFF"/>
        </w:rPr>
        <w:t xml:space="preserve">. </w:t>
      </w:r>
    </w:p>
    <w:p w14:paraId="3645DC0E" w14:textId="26FCE816" w:rsidR="00EF5F25" w:rsidRPr="005B1A16" w:rsidRDefault="00EF5F25" w:rsidP="005B1A16">
      <w:pPr>
        <w:spacing w:line="360" w:lineRule="auto"/>
        <w:jc w:val="both"/>
        <w:rPr>
          <w:rFonts w:ascii="Book Antiqua" w:hAnsi="Book Antiqua"/>
          <w:color w:val="000000" w:themeColor="text1"/>
          <w:shd w:val="clear" w:color="auto" w:fill="FFFFFF"/>
        </w:rPr>
      </w:pPr>
    </w:p>
    <w:p w14:paraId="21073D08" w14:textId="6A944179" w:rsidR="004E7520" w:rsidRPr="005B1A16" w:rsidRDefault="00A515BF" w:rsidP="005B1A16">
      <w:pPr>
        <w:spacing w:line="360" w:lineRule="auto"/>
        <w:jc w:val="both"/>
        <w:outlineLvl w:val="0"/>
        <w:rPr>
          <w:rFonts w:ascii="Book Antiqua" w:hAnsi="Book Antiqua"/>
          <w:b/>
          <w:i/>
          <w:color w:val="000000" w:themeColor="text1"/>
          <w:shd w:val="clear" w:color="auto" w:fill="FFFFFF"/>
        </w:rPr>
      </w:pPr>
      <w:r w:rsidRPr="005B1A16">
        <w:rPr>
          <w:rFonts w:ascii="Book Antiqua" w:hAnsi="Book Antiqua"/>
          <w:b/>
          <w:i/>
          <w:color w:val="000000" w:themeColor="text1"/>
          <w:shd w:val="clear" w:color="auto" w:fill="FFFFFF"/>
        </w:rPr>
        <w:t>Anti-</w:t>
      </w:r>
      <w:r w:rsidR="007229EF" w:rsidRPr="005B1A16">
        <w:rPr>
          <w:rFonts w:ascii="Book Antiqua" w:hAnsi="Book Antiqua"/>
          <w:b/>
          <w:i/>
          <w:color w:val="000000" w:themeColor="text1"/>
          <w:shd w:val="clear" w:color="auto" w:fill="FFFFFF"/>
        </w:rPr>
        <w:t xml:space="preserve">integrin </w:t>
      </w:r>
      <w:r w:rsidRPr="005B1A16">
        <w:rPr>
          <w:rFonts w:ascii="Book Antiqua" w:hAnsi="Book Antiqua"/>
          <w:b/>
          <w:i/>
          <w:color w:val="000000" w:themeColor="text1"/>
          <w:shd w:val="clear" w:color="auto" w:fill="FFFFFF"/>
        </w:rPr>
        <w:t>agent</w:t>
      </w:r>
    </w:p>
    <w:p w14:paraId="6E67FAC3" w14:textId="3FAC3FA7" w:rsidR="00A515BF" w:rsidRPr="005B1A16" w:rsidRDefault="00A515BF" w:rsidP="005B1A16">
      <w:pPr>
        <w:spacing w:line="360" w:lineRule="auto"/>
        <w:jc w:val="both"/>
        <w:outlineLvl w:val="0"/>
        <w:rPr>
          <w:rFonts w:ascii="Book Antiqua" w:hAnsi="Book Antiqua"/>
          <w:i/>
          <w:color w:val="000000" w:themeColor="text1"/>
          <w:shd w:val="clear" w:color="auto" w:fill="FFFFFF"/>
        </w:rPr>
      </w:pPr>
      <w:r w:rsidRPr="005B1A16">
        <w:rPr>
          <w:rFonts w:ascii="Book Antiqua" w:hAnsi="Book Antiqua"/>
          <w:b/>
          <w:color w:val="000000" w:themeColor="text1"/>
          <w:shd w:val="clear" w:color="auto" w:fill="FFFFFF"/>
        </w:rPr>
        <w:t>Vedolizumab</w:t>
      </w:r>
      <w:r w:rsidR="007229EF" w:rsidRPr="005B1A16">
        <w:rPr>
          <w:rFonts w:ascii="Book Antiqua" w:eastAsia="SimSun" w:hAnsi="Book Antiqua"/>
          <w:b/>
          <w:color w:val="000000" w:themeColor="text1"/>
          <w:shd w:val="clear" w:color="auto" w:fill="FFFFFF"/>
          <w:lang w:eastAsia="zh-CN"/>
        </w:rPr>
        <w:t>:</w:t>
      </w:r>
      <w:r w:rsidR="007229EF" w:rsidRPr="005B1A16">
        <w:rPr>
          <w:rFonts w:ascii="Book Antiqua" w:eastAsia="SimSun" w:hAnsi="Book Antiqua"/>
          <w:i/>
          <w:color w:val="000000" w:themeColor="text1"/>
          <w:shd w:val="clear" w:color="auto" w:fill="FFFFFF"/>
          <w:lang w:eastAsia="zh-CN"/>
        </w:rPr>
        <w:t xml:space="preserve"> </w:t>
      </w:r>
      <w:r w:rsidR="0062756A" w:rsidRPr="005B1A16">
        <w:rPr>
          <w:rFonts w:ascii="Book Antiqua" w:hAnsi="Book Antiqua"/>
          <w:color w:val="000000" w:themeColor="text1"/>
          <w:shd w:val="clear" w:color="auto" w:fill="FFFFFF"/>
        </w:rPr>
        <w:t xml:space="preserve">GEMINI-1 evaluated the efficacy of vedolizumab in </w:t>
      </w:r>
      <w:r w:rsidR="00CB46C9" w:rsidRPr="005B1A16">
        <w:rPr>
          <w:rFonts w:ascii="Book Antiqua" w:hAnsi="Book Antiqua"/>
          <w:color w:val="000000" w:themeColor="text1"/>
          <w:shd w:val="clear" w:color="auto" w:fill="FFFFFF"/>
        </w:rPr>
        <w:t xml:space="preserve">a treatment resistant group of 895 moderate to severe UC </w:t>
      </w:r>
      <w:r w:rsidR="0062756A" w:rsidRPr="005B1A16">
        <w:rPr>
          <w:rFonts w:ascii="Book Antiqua" w:hAnsi="Book Antiqua"/>
          <w:color w:val="000000" w:themeColor="text1"/>
          <w:shd w:val="clear" w:color="auto" w:fill="FFFFFF"/>
        </w:rPr>
        <w:t xml:space="preserve">patients (approximately 40% of patients failed </w:t>
      </w:r>
      <w:r w:rsidR="0062756A" w:rsidRPr="005B1A16">
        <w:rPr>
          <w:rFonts w:ascii="Book Antiqua" w:hAnsi="Book Antiqua"/>
          <w:color w:val="000000" w:themeColor="text1"/>
          <w:shd w:val="clear" w:color="auto" w:fill="FFFFFF"/>
        </w:rPr>
        <w:sym w:font="Symbol" w:char="F0B3"/>
      </w:r>
      <w:r w:rsidR="0062756A" w:rsidRPr="005B1A16">
        <w:rPr>
          <w:rFonts w:ascii="Book Antiqua" w:hAnsi="Book Antiqua"/>
          <w:color w:val="000000" w:themeColor="text1"/>
          <w:shd w:val="clear" w:color="auto" w:fill="FFFFFF"/>
        </w:rPr>
        <w:t>1 anti-TNF therapy)</w:t>
      </w:r>
      <w:r w:rsidR="0029556C"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{"citationID":"a1ubom9oidp","properties":{"formattedCitation":"\\super [58]\\nosupersub{}","plainCitation":"[58]","noteIndex":0},"citationItems":[{"id":132,"uris":["http://zotero.org/users/4672422/items/SSRIGUZ4"],"uri":["http://zotero.org/users/4672422/items/SSRIGUZ4"],"itemData":{"id":132,"type":"article-journal","title":"Vedolizumab as Induction and Maintenance Therapy for Ulcerative Colitis","container-title":"New England Journal of Medicine","page":"699-710","volume":"369","issue":"8","source":"CrossRef","URL":"http://www.nejm.org/doi/10.1056/NEJMoa1215734","DOI":"10.1056/NEJMoa1215734","ISSN":"0028-4793, 1533-4406","language":"en","author":[{"family":"Feagan","given":"Brian G."},{"family":"Rutgeerts","given":"Paul"},{"family":"Sands","given":"Bruce E."},{"family":"Hanauer","given":"Stephen"},{"family":"Colombel","given":"Jean-Frédéric"},{"family":"Sandborn","given":"William J."},{"family":"Van Assche","given":"Gert"},{"family":"Axler","given":"Jeffrey"},{"family":"Kim","given":"Hyo-Jong"},{"family":"Danese","given":"Silvio"},{"family":"Fox","given":"Irving"},{"family":"Milch","given":"Catherine"},{"family":"Sankoh","given":"Serap"},{"family":"Wyant","given":"Tim"},{"family":"Xu","given":"Jing"},{"family":"Parikh","given":"Asit"}],"issued":{"date-parts":[["2013",8,22]]},"accessed":{"date-parts":[["2018",3,27]]}}}],"schema":"https://github.com/citation-style-language/schema/raw/master/csl-citation.json"} </w:instrText>
      </w:r>
      <w:r w:rsidR="0029556C"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[58]</w:t>
      </w:r>
      <w:r w:rsidR="0029556C" w:rsidRPr="005B1A16">
        <w:rPr>
          <w:rFonts w:ascii="Book Antiqua" w:hAnsi="Book Antiqua"/>
          <w:color w:val="000000" w:themeColor="text1"/>
          <w:shd w:val="clear" w:color="auto" w:fill="FFFFFF"/>
        </w:rPr>
        <w:fldChar w:fldCharType="end"/>
      </w:r>
      <w:r w:rsidR="00CB46C9" w:rsidRPr="005B1A16">
        <w:rPr>
          <w:rFonts w:ascii="Book Antiqua" w:hAnsi="Book Antiqua"/>
          <w:color w:val="000000" w:themeColor="text1"/>
          <w:shd w:val="clear" w:color="auto" w:fill="FFFFFF"/>
        </w:rPr>
        <w:t xml:space="preserve">. In the induction phase of the trial, 17% of patients taking vedolizumab were in clinical remission as compared to 5% of patients taking placebo by week 6. </w:t>
      </w:r>
      <w:r w:rsidR="00A84825" w:rsidRPr="005B1A16">
        <w:rPr>
          <w:rFonts w:ascii="Book Antiqua" w:hAnsi="Book Antiqua"/>
          <w:color w:val="000000" w:themeColor="text1"/>
          <w:shd w:val="clear" w:color="auto" w:fill="FFFFFF"/>
        </w:rPr>
        <w:t xml:space="preserve">Mucosal healing was also nearly twice as apparent in patients taking vedolizumab as compared to placebo (41% </w:t>
      </w:r>
      <w:r w:rsidR="00A84825" w:rsidRPr="005B1A16">
        <w:rPr>
          <w:rFonts w:ascii="Book Antiqua" w:hAnsi="Book Antiqua"/>
          <w:i/>
          <w:color w:val="000000" w:themeColor="text1"/>
          <w:shd w:val="clear" w:color="auto" w:fill="FFFFFF"/>
        </w:rPr>
        <w:t>vs</w:t>
      </w:r>
      <w:r w:rsidR="00A84825" w:rsidRPr="005B1A16">
        <w:rPr>
          <w:rFonts w:ascii="Book Antiqua" w:hAnsi="Book Antiqua"/>
          <w:color w:val="000000" w:themeColor="text1"/>
          <w:shd w:val="clear" w:color="auto" w:fill="FFFFFF"/>
        </w:rPr>
        <w:t xml:space="preserve"> 25% respectively). At 52 </w:t>
      </w:r>
      <w:r w:rsidR="007229EF" w:rsidRPr="005B1A16">
        <w:rPr>
          <w:rFonts w:ascii="Book Antiqua" w:eastAsia="SimSun" w:hAnsi="Book Antiqua"/>
          <w:color w:val="000000" w:themeColor="text1"/>
          <w:shd w:val="clear" w:color="auto" w:fill="FFFFFF"/>
          <w:lang w:eastAsia="zh-CN"/>
        </w:rPr>
        <w:t>wk</w:t>
      </w:r>
      <w:r w:rsidR="00A84825" w:rsidRPr="005B1A16">
        <w:rPr>
          <w:rFonts w:ascii="Book Antiqua" w:hAnsi="Book Antiqua"/>
          <w:color w:val="000000" w:themeColor="text1"/>
          <w:shd w:val="clear" w:color="auto" w:fill="FFFFFF"/>
        </w:rPr>
        <w:t xml:space="preserve">, clinical remission was maintained in approximately 44% of patients taking vedolizumab as compared to 16% of patients on placebo. No significant difference was identified between treatment groups receiving every 4 or 8 </w:t>
      </w:r>
      <w:r w:rsidR="007229EF" w:rsidRPr="005B1A16">
        <w:rPr>
          <w:rFonts w:ascii="Book Antiqua" w:eastAsia="SimSun" w:hAnsi="Book Antiqua"/>
          <w:color w:val="000000" w:themeColor="text1"/>
          <w:shd w:val="clear" w:color="auto" w:fill="FFFFFF"/>
          <w:lang w:eastAsia="zh-CN"/>
        </w:rPr>
        <w:t>wk</w:t>
      </w:r>
      <w:r w:rsidR="00A84825" w:rsidRPr="005B1A16">
        <w:rPr>
          <w:rFonts w:ascii="Book Antiqua" w:hAnsi="Book Antiqua"/>
          <w:color w:val="000000" w:themeColor="text1"/>
          <w:shd w:val="clear" w:color="auto" w:fill="FFFFFF"/>
        </w:rPr>
        <w:t xml:space="preserve"> dosing regimens. In contrast to GEMINI-II for CD, there was no difference in infection rates in the treatment group as compared to placebo</w:t>
      </w:r>
      <w:r w:rsidR="00A80B43"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{"citationID":"a1ahjmph8p5","properties":{"formattedCitation":"\\super [44,58]\\nosupersub{}","plainCitation":"[44,58]","noteIndex":0},"citationItems":[{"id":103,"uris":["http://zotero.org/users/4672422/items/4XRWMJ2W"],"uri":["http://zotero.org/users/4672422/items/4XRWMJ2W"],"itemData":{"id":103,"type":"article-journal","title":"Vedolizumab as induction and maintenance therapy for Crohn's disease","container-title":"The New England Journal of Medicine","page":"711-721","volume":"369","issue":"8","source":"PubMed","abstract":"BACKGROUND: The efficacy of vedolizumab, an α4β7 integrin antibody, in Crohn's disease is unknown.\nMETHODS: In an integrated study with separate induction and maintenance trials, we assessed intravenous vedolizumab therapy (300 mg) in adults with active Crohn's disease. In the induction trial, 368 patients were randomly assigned to receive vedolizumab or placebo at weeks 0 and 2 (cohort 1), and 747 patients received open-label vedolizumab at weeks 0 and 2 (cohort 2); disease status was assessed at week 6. In the maintenance trial, 461 patients who had had a response to vedolizumab were randomly assigned to receive placebo or vedolizumab every 8 or 4 weeks until week 52.\nRESULTS: At week 6, a total of 14.5% of the patients in cohort 1 who received vedolizumab and 6.8% who received placebo were in clinical remission (i.e., had a score on the Crohn's Disease Activity Index [CDAI] of ≤150, with scores ranging from 0 to approximately 600 and higher scores indicating greater disease activity) (P=0.02); a total of 31.4% and 25.7% of the patients, respectively, had a CDAI-100 response (≥100-point decrease in the CDAI score) (P=0.23). Among patients in cohorts 1 and 2 who had a response to induction therapy, 39.0% and 36.4% of those assigned to vedolizumab every 8 weeks and every 4 weeks, respectively, were in clinical remission at week 52, as compared with 21.6% assigned to placebo (P&lt;0.001 and P=0.004 for the two vedolizumab groups, respectively, vs. placebo). Antibodies against vedolizumab developed in 4.0% of the patients. Nasopharyngitis occurred more frequently, and headache and abdominal pain less frequently, in patients receiving vedolizumab than in patients receiving placebo. Vedolizumab, as compared with placebo, was associated with a higher rate of serious adverse events (24.4% vs. 15.3%), infections (44.1% vs. 40.2%), and serious infections (5.5% vs. 3.0%).\nCONCLUSIONS: Vedolizumab-treated patients with active Crohn's disease were more likely than patients receiving placebo to have a remission, but not a CDAI-100 response, at week 6; patients with a response to induction therapy who continued to receive vedolizumab (rather than switching to placebo) were more likely to be in remission at week 52. Adverse events were more common with vedolizumab. (Funded by Millennium Pharmaceuticals; GEMINI 2 ClinicalTrials.gov number, NCT00783692.).","DOI":"10.1056/NEJMoa1215739","ISSN":"1533-4406","note":"PMID: 23964933","journalAbbreviation":"N. Engl. J. Med.","language":"eng","author":[{"family":"Sandborn","given":"William J."},{"family":"Feagan","given":"Brian G."},{"family":"Rutgeerts","given":"Paul"},{"family":"Hanauer","given":"Stephen"},{"family":"Colombel","given":"Jean-Frédéric"},{"family":"Sands","given":"Bruce E."},{"family":"Lukas","given":"Milan"},{"family":"Fedorak","given":"Richard N."},{"family":"Lee","given":"Scott"},{"family":"Bressler","given":"Brian"},{"family":"Fox","given":"Irving"},{"family":"Rosario","given":"Maria"},{"family":"Sankoh","given":"Serap"},{"family":"Xu","given":"Jing"},{"family":"Stephens","given":"Kristin"},{"family":"Milch","given":"Catherine"},{"family":"Parikh","given":"Asit"},{"literal":"GEMINI 2 Study Group"}],"issued":{"date-parts":[["2013",8,22]]}}},{"id":132,"uris":["http://zotero.org/users/4672422/items/SSRIGUZ4"],"uri":["http://zotero.org/users/4672422/items/SSRIGUZ4"],"itemData":{"id":132,"type":"article-journal","title":"Vedolizumab as Induction and Maintenance Therapy for Ulcerative Colitis","container-title":"New England Journal of Medicine","page":"699-710","volume":"369","issue":"8","source":"CrossRef","URL":"http://www.nejm.org/doi/10.1056/NEJMoa1215734","DOI":"10.1056/NEJMoa1215734","ISSN":"0028-4793, 1533-4406","language":"en","author":[{"family":"Feagan","given":"Brian G."},{"family":"Rutgeerts","given":"Paul"},{"family":"Sands","given":"Bruce E."},{"family":"Hanauer","given":"Stephen"},{"family":"Colombel","given":"Jean-Frédéric"},{"family":"Sandborn","given":"William J."},{"family":"Van Assche","given":"Gert"},{"family":"Axler","given":"Jeffrey"},{"family":"Kim","given":"Hyo-Jong"},{"family":"Danese","given":"Silvio"},{"family":"Fox","given":"Irving"},{"family":"Milch","given":"Catherine"},{"family":"Sankoh","given":"Serap"},{"family":"Wyant","given":"Tim"},{"family":"Xu","given":"Jing"},{"family":"Parikh","given":"Asit"}],"issued":{"date-parts":[["2013",8,22]]},"accessed":{"date-parts":[["2018",3,27]]}}}],"schema":"https://github.com/citation-style-language/schema/raw/master/csl-citation.json"} </w:instrText>
      </w:r>
      <w:r w:rsidR="00A80B43"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[44,58]</w:t>
      </w:r>
      <w:r w:rsidR="00A80B43" w:rsidRPr="005B1A16">
        <w:rPr>
          <w:rFonts w:ascii="Book Antiqua" w:hAnsi="Book Antiqua"/>
          <w:color w:val="000000" w:themeColor="text1"/>
          <w:shd w:val="clear" w:color="auto" w:fill="FFFFFF"/>
        </w:rPr>
        <w:fldChar w:fldCharType="end"/>
      </w:r>
      <w:r w:rsidR="00A84825" w:rsidRPr="005B1A16">
        <w:rPr>
          <w:rFonts w:ascii="Book Antiqua" w:hAnsi="Book Antiqua"/>
          <w:color w:val="000000" w:themeColor="text1"/>
          <w:shd w:val="clear" w:color="auto" w:fill="FFFFFF"/>
        </w:rPr>
        <w:t xml:space="preserve">. </w:t>
      </w:r>
    </w:p>
    <w:p w14:paraId="7E96D658" w14:textId="7BA9D837" w:rsidR="001678DB" w:rsidRPr="005B1A16" w:rsidRDefault="001678DB" w:rsidP="005B1A16">
      <w:pPr>
        <w:spacing w:line="360" w:lineRule="auto"/>
        <w:jc w:val="both"/>
        <w:rPr>
          <w:rFonts w:ascii="Book Antiqua" w:hAnsi="Book Antiqua"/>
          <w:color w:val="000000" w:themeColor="text1"/>
          <w:shd w:val="clear" w:color="auto" w:fill="FFFFFF"/>
        </w:rPr>
      </w:pPr>
    </w:p>
    <w:p w14:paraId="68171B11" w14:textId="0EB57A49" w:rsidR="00E351AC" w:rsidRPr="005B1A16" w:rsidRDefault="007229EF" w:rsidP="005B1A16">
      <w:pPr>
        <w:spacing w:line="360" w:lineRule="auto"/>
        <w:jc w:val="both"/>
        <w:outlineLvl w:val="0"/>
        <w:rPr>
          <w:rFonts w:ascii="Book Antiqua" w:hAnsi="Book Antiqua"/>
          <w:b/>
          <w:color w:val="000000" w:themeColor="text1"/>
          <w:shd w:val="clear" w:color="auto" w:fill="FFFFFF"/>
        </w:rPr>
      </w:pPr>
      <w:r w:rsidRPr="005B1A16">
        <w:rPr>
          <w:rFonts w:ascii="Book Antiqua" w:hAnsi="Book Antiqua"/>
          <w:b/>
          <w:color w:val="000000" w:themeColor="text1"/>
          <w:shd w:val="clear" w:color="auto" w:fill="FFFFFF"/>
        </w:rPr>
        <w:t>SMALL MOLECULES</w:t>
      </w:r>
    </w:p>
    <w:p w14:paraId="3A92B735" w14:textId="0D509D0F" w:rsidR="00413C0B" w:rsidRPr="005B1A16" w:rsidRDefault="00B26ACA" w:rsidP="005B1A16">
      <w:pPr>
        <w:spacing w:line="360" w:lineRule="auto"/>
        <w:jc w:val="both"/>
        <w:outlineLvl w:val="0"/>
        <w:rPr>
          <w:rFonts w:ascii="Book Antiqua" w:hAnsi="Book Antiqua"/>
          <w:b/>
          <w:i/>
          <w:color w:val="000000" w:themeColor="text1"/>
          <w:shd w:val="clear" w:color="auto" w:fill="FFFFFF"/>
        </w:rPr>
      </w:pPr>
      <w:r w:rsidRPr="005B1A16">
        <w:rPr>
          <w:rFonts w:ascii="Book Antiqua" w:hAnsi="Book Antiqua"/>
          <w:b/>
          <w:i/>
          <w:color w:val="000000" w:themeColor="text1"/>
          <w:shd w:val="clear" w:color="auto" w:fill="FFFFFF"/>
        </w:rPr>
        <w:t xml:space="preserve">JAK inhibitors </w:t>
      </w:r>
    </w:p>
    <w:p w14:paraId="776BF2BC" w14:textId="7E81F193" w:rsidR="002050E9" w:rsidRPr="005B1A16" w:rsidRDefault="00A515BF" w:rsidP="005B1A16">
      <w:pPr>
        <w:spacing w:line="360" w:lineRule="auto"/>
        <w:jc w:val="both"/>
        <w:outlineLvl w:val="0"/>
        <w:rPr>
          <w:rFonts w:ascii="Book Antiqua" w:eastAsia="SimSun" w:hAnsi="Book Antiqua"/>
          <w:b/>
          <w:color w:val="000000" w:themeColor="text1"/>
          <w:shd w:val="clear" w:color="auto" w:fill="FFFFFF"/>
          <w:lang w:eastAsia="zh-CN"/>
        </w:rPr>
      </w:pPr>
      <w:r w:rsidRPr="005B1A16">
        <w:rPr>
          <w:rFonts w:ascii="Book Antiqua" w:hAnsi="Book Antiqua"/>
          <w:b/>
          <w:color w:val="000000" w:themeColor="text1"/>
          <w:shd w:val="clear" w:color="auto" w:fill="FFFFFF"/>
        </w:rPr>
        <w:t>Tofacitinib</w:t>
      </w:r>
      <w:r w:rsidR="007229EF" w:rsidRPr="005B1A16">
        <w:rPr>
          <w:rFonts w:ascii="Book Antiqua" w:eastAsia="SimSun" w:hAnsi="Book Antiqua"/>
          <w:b/>
          <w:color w:val="000000" w:themeColor="text1"/>
          <w:shd w:val="clear" w:color="auto" w:fill="FFFFFF"/>
          <w:lang w:eastAsia="zh-CN"/>
        </w:rPr>
        <w:t xml:space="preserve">: </w:t>
      </w:r>
      <w:r w:rsidR="002050E9" w:rsidRPr="005B1A16">
        <w:rPr>
          <w:rFonts w:ascii="Book Antiqua" w:hAnsi="Book Antiqua"/>
          <w:color w:val="000000" w:themeColor="text1"/>
          <w:lang w:val="en-US"/>
        </w:rPr>
        <w:t xml:space="preserve">Tofacitinib is a new oral medication which </w:t>
      </w:r>
      <w:r w:rsidR="002050E9" w:rsidRPr="005B1A16">
        <w:rPr>
          <w:rFonts w:ascii="Book Antiqua" w:hAnsi="Book Antiqua"/>
          <w:color w:val="000000" w:themeColor="text1"/>
        </w:rPr>
        <w:t>suppresses cytokine signalling in mucosal immune cells by inhibiting janus kinase’s 1 and 3 (JAK 1 and 3). The oral route of administration and ability to target multiple cytokine pathways makes JAK inhibitors an attractive therapeutic option.</w:t>
      </w:r>
    </w:p>
    <w:p w14:paraId="07692808" w14:textId="2E4251B8" w:rsidR="00EF409D" w:rsidRPr="005B1A16" w:rsidRDefault="00CB4B1C" w:rsidP="005B1A16">
      <w:pPr>
        <w:spacing w:line="360" w:lineRule="auto"/>
        <w:ind w:firstLineChars="100" w:firstLine="240"/>
        <w:jc w:val="both"/>
        <w:rPr>
          <w:rFonts w:ascii="Book Antiqua" w:hAnsi="Book Antiqua"/>
          <w:color w:val="000000" w:themeColor="text1"/>
          <w:shd w:val="clear" w:color="auto" w:fill="FFFFFF"/>
        </w:rPr>
      </w:pPr>
      <w:r w:rsidRPr="005B1A16">
        <w:rPr>
          <w:rFonts w:ascii="Book Antiqua" w:hAnsi="Book Antiqua"/>
          <w:color w:val="000000" w:themeColor="text1"/>
          <w:shd w:val="clear" w:color="auto" w:fill="FFFFFF"/>
        </w:rPr>
        <w:t xml:space="preserve">Although </w:t>
      </w:r>
      <w:r w:rsidR="001910B2" w:rsidRPr="005B1A16">
        <w:rPr>
          <w:rFonts w:ascii="Book Antiqua" w:hAnsi="Book Antiqua"/>
          <w:color w:val="000000" w:themeColor="text1"/>
          <w:shd w:val="clear" w:color="auto" w:fill="FFFFFF"/>
        </w:rPr>
        <w:t xml:space="preserve">the </w:t>
      </w:r>
      <w:r w:rsidRPr="005B1A16">
        <w:rPr>
          <w:rFonts w:ascii="Book Antiqua" w:hAnsi="Book Antiqua"/>
          <w:color w:val="000000" w:themeColor="text1"/>
          <w:shd w:val="clear" w:color="auto" w:fill="FFFFFF"/>
        </w:rPr>
        <w:t xml:space="preserve">efficacy </w:t>
      </w:r>
      <w:r w:rsidR="001910B2" w:rsidRPr="005B1A16">
        <w:rPr>
          <w:rFonts w:ascii="Book Antiqua" w:hAnsi="Book Antiqua"/>
          <w:color w:val="000000" w:themeColor="text1"/>
          <w:shd w:val="clear" w:color="auto" w:fill="FFFFFF"/>
        </w:rPr>
        <w:t>for</w:t>
      </w:r>
      <w:r w:rsidR="009958DD" w:rsidRPr="005B1A16">
        <w:rPr>
          <w:rFonts w:ascii="Book Antiqua" w:hAnsi="Book Antiqua"/>
          <w:color w:val="000000" w:themeColor="text1"/>
          <w:shd w:val="clear" w:color="auto" w:fill="FFFFFF"/>
        </w:rPr>
        <w:t xml:space="preserve"> tofacitinib </w:t>
      </w:r>
      <w:r w:rsidRPr="005B1A16">
        <w:rPr>
          <w:rFonts w:ascii="Book Antiqua" w:hAnsi="Book Antiqua"/>
          <w:color w:val="000000" w:themeColor="text1"/>
          <w:shd w:val="clear" w:color="auto" w:fill="FFFFFF"/>
        </w:rPr>
        <w:t>has not been established in CD</w:t>
      </w:r>
      <w:r w:rsidR="0046223E" w:rsidRPr="005B1A16">
        <w:rPr>
          <w:rFonts w:ascii="Book Antiqua" w:hAnsi="Book Antiqua"/>
          <w:color w:val="000000" w:themeColor="text1"/>
          <w:shd w:val="clear" w:color="auto" w:fill="FFFFFF"/>
        </w:rPr>
        <w:t xml:space="preserve"> yet</w:t>
      </w:r>
      <w:r w:rsidRPr="005B1A16">
        <w:rPr>
          <w:rFonts w:ascii="Book Antiqua" w:hAnsi="Book Antiqua"/>
          <w:color w:val="000000" w:themeColor="text1"/>
          <w:shd w:val="clear" w:color="auto" w:fill="FFFFFF"/>
        </w:rPr>
        <w:t xml:space="preserve">, </w:t>
      </w:r>
      <w:r w:rsidR="009958DD" w:rsidRPr="005B1A16">
        <w:rPr>
          <w:rFonts w:ascii="Book Antiqua" w:hAnsi="Book Antiqua"/>
          <w:color w:val="000000" w:themeColor="text1"/>
          <w:shd w:val="clear" w:color="auto" w:fill="FFFFFF"/>
        </w:rPr>
        <w:t xml:space="preserve">it has been established in UC as demonstrated </w:t>
      </w:r>
      <w:r w:rsidR="001910B2" w:rsidRPr="005B1A16">
        <w:rPr>
          <w:rFonts w:ascii="Book Antiqua" w:hAnsi="Book Antiqua"/>
          <w:color w:val="000000" w:themeColor="text1"/>
          <w:shd w:val="clear" w:color="auto" w:fill="FFFFFF"/>
        </w:rPr>
        <w:t>by</w:t>
      </w:r>
      <w:r w:rsidR="00540C6F" w:rsidRPr="005B1A16">
        <w:rPr>
          <w:rFonts w:ascii="Book Antiqua" w:hAnsi="Book Antiqua"/>
          <w:color w:val="000000" w:themeColor="text1"/>
          <w:shd w:val="clear" w:color="auto" w:fill="FFFFFF"/>
        </w:rPr>
        <w:t xml:space="preserve"> the OCTAVE trials</w:t>
      </w:r>
      <w:r w:rsidR="00651539"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{"citationID":"a1peqfj25p","properties":{"formattedCitation":"\\super [59]\\nosupersub{}","plainCitation":"[59]","noteIndex":0},"citationItems":[{"id":133,"uris":["http://zotero.org/users/4672422/items/4LF3A5RY"],"uri":["http://zotero.org/users/4672422/items/4LF3A5RY"],"itemData":{"id":133,"type":"article-journal","title":"Tofacitinib as Induction and Maintenance Therapy for Ulcerative Colitis","container-title":"New England Journal of Medicine","page":"1723-1736","volume":"376","issue":"18","source":"CrossRef","URL":"http://www.nejm.org/doi/10.1056/NEJMoa1606910","DOI":"10.1056/NEJMoa1606910","ISSN":"0028-4793, 1533-4406","language":"en","author":[{"family":"Sandborn","given":"William J."},{"family":"Su","given":"Chinyu"},{"family":"Sands","given":"Bruce E."},{"family":"D’Haens","given":"Geert R."},{"family":"Vermeire","given":"Séverine"},{"family":"Schreiber","given":"Stefan"},{"family":"Danese","given":"Silvio"},{"family":"Feagan","given":"Brian G."},{"family":"Reinisch","given":"Walter"},{"family":"Niezychowski","given":"Wojciech"},{"family":"Friedman","given":"Gary"},{"family":"Lawendy","given":"Nervin"},{"family":"Yu","given":"Dahong"},{"family":"Woodworth","given":"Deborah"},{"family":"Mukherjee","given":"Arnab"},{"family":"Zhang","given":"Haiying"},{"family":"Healey","given":"Paul"},{"family":"Panés","given":"Julian"}],"issued":{"date-parts":[["2017",5,4]]},"accessed":{"date-parts":[["2018",3,27]]}}}],"schema":"https://github.com/citation-style-language/schema/raw/master/csl-citation.json"} </w:instrText>
      </w:r>
      <w:r w:rsidR="00651539"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[59]</w:t>
      </w:r>
      <w:r w:rsidR="00651539" w:rsidRPr="005B1A16">
        <w:rPr>
          <w:rFonts w:ascii="Book Antiqua" w:hAnsi="Book Antiqua"/>
          <w:color w:val="000000" w:themeColor="text1"/>
          <w:shd w:val="clear" w:color="auto" w:fill="FFFFFF"/>
        </w:rPr>
        <w:fldChar w:fldCharType="end"/>
      </w:r>
      <w:r w:rsidR="00540C6F" w:rsidRPr="005B1A16">
        <w:rPr>
          <w:rFonts w:ascii="Book Antiqua" w:hAnsi="Book Antiqua"/>
          <w:color w:val="000000" w:themeColor="text1"/>
          <w:shd w:val="clear" w:color="auto" w:fill="FFFFFF"/>
        </w:rPr>
        <w:t xml:space="preserve">. </w:t>
      </w:r>
      <w:r w:rsidR="00501BB2" w:rsidRPr="005B1A16">
        <w:rPr>
          <w:rFonts w:ascii="Book Antiqua" w:hAnsi="Book Antiqua"/>
          <w:color w:val="000000" w:themeColor="text1"/>
          <w:shd w:val="clear" w:color="auto" w:fill="FFFFFF"/>
        </w:rPr>
        <w:t xml:space="preserve">Of the 905 patients </w:t>
      </w:r>
      <w:r w:rsidR="00BC33D4" w:rsidRPr="005B1A16">
        <w:rPr>
          <w:rFonts w:ascii="Book Antiqua" w:hAnsi="Book Antiqua"/>
          <w:color w:val="000000" w:themeColor="text1"/>
          <w:shd w:val="clear" w:color="auto" w:fill="FFFFFF"/>
        </w:rPr>
        <w:t xml:space="preserve">with moderate to severe UC </w:t>
      </w:r>
      <w:r w:rsidR="00501BB2" w:rsidRPr="005B1A16">
        <w:rPr>
          <w:rFonts w:ascii="Book Antiqua" w:hAnsi="Book Antiqua"/>
          <w:color w:val="000000" w:themeColor="text1"/>
          <w:shd w:val="clear" w:color="auto" w:fill="FFFFFF"/>
        </w:rPr>
        <w:t>randomized to treatment in the induction trials</w:t>
      </w:r>
      <w:r w:rsidR="0073343A" w:rsidRPr="005B1A16">
        <w:rPr>
          <w:rFonts w:ascii="Book Antiqua" w:hAnsi="Book Antiqua"/>
          <w:color w:val="000000" w:themeColor="text1"/>
          <w:shd w:val="clear" w:color="auto" w:fill="FFFFFF"/>
        </w:rPr>
        <w:t>, approximately 18% achieved clinical remission as compared to 6% of</w:t>
      </w:r>
      <w:r w:rsidR="00524774" w:rsidRPr="005B1A16">
        <w:rPr>
          <w:rFonts w:ascii="Book Antiqua" w:hAnsi="Book Antiqua"/>
          <w:color w:val="000000" w:themeColor="text1"/>
          <w:shd w:val="clear" w:color="auto" w:fill="FFFFFF"/>
        </w:rPr>
        <w:t xml:space="preserve"> patients in the placebo group at 8 </w:t>
      </w:r>
      <w:r w:rsidR="00A929DF" w:rsidRPr="005B1A16">
        <w:rPr>
          <w:rFonts w:ascii="Book Antiqua" w:eastAsia="SimSun" w:hAnsi="Book Antiqua"/>
          <w:color w:val="000000" w:themeColor="text1"/>
          <w:shd w:val="clear" w:color="auto" w:fill="FFFFFF"/>
          <w:lang w:eastAsia="zh-CN"/>
        </w:rPr>
        <w:t>wk</w:t>
      </w:r>
      <w:r w:rsidR="00524774" w:rsidRPr="005B1A16">
        <w:rPr>
          <w:rFonts w:ascii="Book Antiqua" w:hAnsi="Book Antiqua"/>
          <w:color w:val="000000" w:themeColor="text1"/>
          <w:shd w:val="clear" w:color="auto" w:fill="FFFFFF"/>
        </w:rPr>
        <w:t>.</w:t>
      </w:r>
      <w:r w:rsidR="00830827" w:rsidRPr="005B1A16">
        <w:rPr>
          <w:rFonts w:ascii="Book Antiqua" w:hAnsi="Book Antiqua"/>
          <w:color w:val="000000" w:themeColor="text1"/>
          <w:shd w:val="clear" w:color="auto" w:fill="FFFFFF"/>
        </w:rPr>
        <w:t xml:space="preserve"> Onset to effect was rapid, with improvements </w:t>
      </w:r>
      <w:r w:rsidR="0046223E" w:rsidRPr="005B1A16">
        <w:rPr>
          <w:rFonts w:ascii="Book Antiqua" w:hAnsi="Book Antiqua"/>
          <w:color w:val="000000" w:themeColor="text1"/>
          <w:shd w:val="clear" w:color="auto" w:fill="FFFFFF"/>
        </w:rPr>
        <w:t>in</w:t>
      </w:r>
      <w:r w:rsidR="00830827" w:rsidRPr="005B1A16">
        <w:rPr>
          <w:rFonts w:ascii="Book Antiqua" w:hAnsi="Book Antiqua"/>
          <w:color w:val="000000" w:themeColor="text1"/>
          <w:shd w:val="clear" w:color="auto" w:fill="FFFFFF"/>
        </w:rPr>
        <w:t xml:space="preserve"> the</w:t>
      </w:r>
      <w:r w:rsidR="0046223E" w:rsidRPr="005B1A16">
        <w:rPr>
          <w:rFonts w:ascii="Book Antiqua" w:hAnsi="Book Antiqua"/>
          <w:color w:val="000000" w:themeColor="text1"/>
          <w:shd w:val="clear" w:color="auto" w:fill="FFFFFF"/>
        </w:rPr>
        <w:t>ir</w:t>
      </w:r>
      <w:r w:rsidR="00830827" w:rsidRPr="005B1A16">
        <w:rPr>
          <w:rFonts w:ascii="Book Antiqua" w:hAnsi="Book Antiqua"/>
          <w:color w:val="000000" w:themeColor="text1"/>
          <w:shd w:val="clear" w:color="auto" w:fill="FFFFFF"/>
        </w:rPr>
        <w:t xml:space="preserve"> partial mayo score </w:t>
      </w:r>
      <w:r w:rsidR="00830827" w:rsidRPr="005B1A16">
        <w:rPr>
          <w:rFonts w:ascii="Book Antiqua" w:hAnsi="Book Antiqua"/>
          <w:color w:val="000000" w:themeColor="text1"/>
          <w:shd w:val="clear" w:color="auto" w:fill="FFFFFF"/>
        </w:rPr>
        <w:lastRenderedPageBreak/>
        <w:t xml:space="preserve">demonstrated as early as 2 </w:t>
      </w:r>
      <w:r w:rsidR="007229EF" w:rsidRPr="005B1A16">
        <w:rPr>
          <w:rFonts w:ascii="Book Antiqua" w:eastAsia="SimSun" w:hAnsi="Book Antiqua"/>
          <w:color w:val="000000" w:themeColor="text1"/>
          <w:shd w:val="clear" w:color="auto" w:fill="FFFFFF"/>
          <w:lang w:eastAsia="zh-CN"/>
        </w:rPr>
        <w:t>wk</w:t>
      </w:r>
      <w:r w:rsidR="00830827" w:rsidRPr="005B1A16">
        <w:rPr>
          <w:rFonts w:ascii="Book Antiqua" w:hAnsi="Book Antiqua"/>
          <w:color w:val="000000" w:themeColor="text1"/>
          <w:shd w:val="clear" w:color="auto" w:fill="FFFFFF"/>
        </w:rPr>
        <w:t>.</w:t>
      </w:r>
      <w:r w:rsidR="00524774" w:rsidRPr="005B1A16">
        <w:rPr>
          <w:rFonts w:ascii="Book Antiqua" w:hAnsi="Book Antiqua"/>
          <w:color w:val="000000" w:themeColor="text1"/>
          <w:shd w:val="clear" w:color="auto" w:fill="FFFFFF"/>
        </w:rPr>
        <w:t xml:space="preserve"> </w:t>
      </w:r>
      <w:r w:rsidR="00BE207D" w:rsidRPr="005B1A16">
        <w:rPr>
          <w:rFonts w:ascii="Book Antiqua" w:hAnsi="Book Antiqua"/>
          <w:color w:val="000000" w:themeColor="text1"/>
          <w:shd w:val="clear" w:color="auto" w:fill="FFFFFF"/>
        </w:rPr>
        <w:t>Although over 50% of patients within the induction groups had prior exposure to anti-TNF therapy, the treatment effect was similar in comparison to patients whom were biologic naïve</w:t>
      </w:r>
      <w:r w:rsidR="00DA0ABA" w:rsidRPr="005B1A16">
        <w:rPr>
          <w:rFonts w:ascii="Book Antiqua" w:hAnsi="Book Antiqua"/>
          <w:color w:val="000000" w:themeColor="text1"/>
          <w:shd w:val="clear" w:color="auto" w:fill="FFFFFF"/>
        </w:rPr>
        <w:t xml:space="preserve"> despite OCTAVE’s more stringent criteria for clinical remission as compared to the aforementioned trials (</w:t>
      </w:r>
      <w:r w:rsidR="00DA0ABA" w:rsidRPr="005B1A16">
        <w:rPr>
          <w:rFonts w:ascii="Book Antiqua" w:hAnsi="Book Antiqua"/>
          <w:i/>
          <w:color w:val="000000" w:themeColor="text1"/>
          <w:shd w:val="clear" w:color="auto" w:fill="FFFFFF"/>
        </w:rPr>
        <w:t>i.e.</w:t>
      </w:r>
      <w:r w:rsidR="007229EF" w:rsidRPr="005B1A16">
        <w:rPr>
          <w:rFonts w:ascii="Book Antiqua" w:eastAsia="SimSun" w:hAnsi="Book Antiqua"/>
          <w:color w:val="000000" w:themeColor="text1"/>
          <w:shd w:val="clear" w:color="auto" w:fill="FFFFFF"/>
          <w:lang w:eastAsia="zh-CN"/>
        </w:rPr>
        <w:t>,</w:t>
      </w:r>
      <w:r w:rsidR="00DA0ABA" w:rsidRPr="005B1A16">
        <w:rPr>
          <w:rFonts w:ascii="Book Antiqua" w:hAnsi="Book Antiqua"/>
          <w:color w:val="000000" w:themeColor="text1"/>
          <w:shd w:val="clear" w:color="auto" w:fill="FFFFFF"/>
        </w:rPr>
        <w:t xml:space="preserve"> partial mayo rectal bleeding subscore of 0)</w:t>
      </w:r>
      <w:r w:rsidR="00BE207D" w:rsidRPr="005B1A16">
        <w:rPr>
          <w:rFonts w:ascii="Book Antiqua" w:hAnsi="Book Antiqua"/>
          <w:color w:val="000000" w:themeColor="text1"/>
          <w:shd w:val="clear" w:color="auto" w:fill="FFFFFF"/>
        </w:rPr>
        <w:t xml:space="preserve">. </w:t>
      </w:r>
      <w:r w:rsidR="001324D3" w:rsidRPr="005B1A16">
        <w:rPr>
          <w:rFonts w:ascii="Book Antiqua" w:hAnsi="Book Antiqua"/>
          <w:color w:val="000000" w:themeColor="text1"/>
          <w:shd w:val="clear" w:color="auto" w:fill="FFFFFF"/>
        </w:rPr>
        <w:t xml:space="preserve">The OCTAVE-Sustain extension </w:t>
      </w:r>
      <w:r w:rsidR="00FF3006" w:rsidRPr="005B1A16">
        <w:rPr>
          <w:rFonts w:ascii="Book Antiqua" w:hAnsi="Book Antiqua"/>
          <w:color w:val="000000" w:themeColor="text1"/>
          <w:shd w:val="clear" w:color="auto" w:fill="FFFFFF"/>
        </w:rPr>
        <w:t>trial</w:t>
      </w:r>
      <w:r w:rsidR="00F676E1" w:rsidRPr="005B1A16">
        <w:rPr>
          <w:rFonts w:ascii="Book Antiqua" w:hAnsi="Book Antiqua"/>
          <w:color w:val="000000" w:themeColor="text1"/>
          <w:shd w:val="clear" w:color="auto" w:fill="FFFFFF"/>
        </w:rPr>
        <w:t>, which included 593 patients who had a clinical response to induction therapy,</w:t>
      </w:r>
      <w:r w:rsidR="00FF3006" w:rsidRPr="005B1A16">
        <w:rPr>
          <w:rFonts w:ascii="Book Antiqua" w:hAnsi="Book Antiqua"/>
          <w:color w:val="000000" w:themeColor="text1"/>
          <w:shd w:val="clear" w:color="auto" w:fill="FFFFFF"/>
        </w:rPr>
        <w:t xml:space="preserve"> </w:t>
      </w:r>
      <w:r w:rsidR="00DA0ABA" w:rsidRPr="005B1A16">
        <w:rPr>
          <w:rFonts w:ascii="Book Antiqua" w:hAnsi="Book Antiqua"/>
          <w:color w:val="000000" w:themeColor="text1"/>
          <w:shd w:val="clear" w:color="auto" w:fill="FFFFFF"/>
        </w:rPr>
        <w:t xml:space="preserve">also demonstrated </w:t>
      </w:r>
      <w:r w:rsidR="00504CC5" w:rsidRPr="005B1A16">
        <w:rPr>
          <w:rFonts w:ascii="Book Antiqua" w:hAnsi="Book Antiqua"/>
          <w:color w:val="000000" w:themeColor="text1"/>
          <w:shd w:val="clear" w:color="auto" w:fill="FFFFFF"/>
        </w:rPr>
        <w:t xml:space="preserve">good maintenance of remission after 52 </w:t>
      </w:r>
      <w:r w:rsidR="007229EF" w:rsidRPr="005B1A16">
        <w:rPr>
          <w:rFonts w:ascii="Book Antiqua" w:eastAsia="SimSun" w:hAnsi="Book Antiqua"/>
          <w:color w:val="000000" w:themeColor="text1"/>
          <w:shd w:val="clear" w:color="auto" w:fill="FFFFFF"/>
          <w:lang w:eastAsia="zh-CN"/>
        </w:rPr>
        <w:t>wk</w:t>
      </w:r>
      <w:r w:rsidR="00504CC5" w:rsidRPr="005B1A16">
        <w:rPr>
          <w:rFonts w:ascii="Book Antiqua" w:hAnsi="Book Antiqua"/>
          <w:color w:val="000000" w:themeColor="text1"/>
          <w:shd w:val="clear" w:color="auto" w:fill="FFFFFF"/>
        </w:rPr>
        <w:t xml:space="preserve"> in both 5</w:t>
      </w:r>
      <w:r w:rsidR="007229EF" w:rsidRPr="005B1A16">
        <w:rPr>
          <w:rFonts w:ascii="Book Antiqua" w:eastAsia="SimSun" w:hAnsi="Book Antiqua"/>
          <w:color w:val="000000" w:themeColor="text1"/>
          <w:shd w:val="clear" w:color="auto" w:fill="FFFFFF"/>
          <w:lang w:eastAsia="zh-CN"/>
        </w:rPr>
        <w:t xml:space="preserve"> </w:t>
      </w:r>
      <w:r w:rsidR="00504CC5" w:rsidRPr="005B1A16">
        <w:rPr>
          <w:rFonts w:ascii="Book Antiqua" w:hAnsi="Book Antiqua"/>
          <w:color w:val="000000" w:themeColor="text1"/>
          <w:shd w:val="clear" w:color="auto" w:fill="FFFFFF"/>
        </w:rPr>
        <w:t>mg and 10</w:t>
      </w:r>
      <w:r w:rsidR="007229EF" w:rsidRPr="005B1A16">
        <w:rPr>
          <w:rFonts w:ascii="Book Antiqua" w:eastAsia="SimSun" w:hAnsi="Book Antiqua"/>
          <w:color w:val="000000" w:themeColor="text1"/>
          <w:shd w:val="clear" w:color="auto" w:fill="FFFFFF"/>
          <w:lang w:eastAsia="zh-CN"/>
        </w:rPr>
        <w:t xml:space="preserve"> </w:t>
      </w:r>
      <w:r w:rsidR="00504CC5" w:rsidRPr="005B1A16">
        <w:rPr>
          <w:rFonts w:ascii="Book Antiqua" w:hAnsi="Book Antiqua"/>
          <w:color w:val="000000" w:themeColor="text1"/>
          <w:shd w:val="clear" w:color="auto" w:fill="FFFFFF"/>
        </w:rPr>
        <w:t xml:space="preserve">mg twice daily treatment groups as compared to placebo (34% and 41% </w:t>
      </w:r>
      <w:r w:rsidR="00504CC5" w:rsidRPr="005B1A16">
        <w:rPr>
          <w:rFonts w:ascii="Book Antiqua" w:hAnsi="Book Antiqua"/>
          <w:i/>
          <w:color w:val="000000" w:themeColor="text1"/>
          <w:shd w:val="clear" w:color="auto" w:fill="FFFFFF"/>
        </w:rPr>
        <w:t>vs</w:t>
      </w:r>
      <w:r w:rsidR="00504CC5" w:rsidRPr="005B1A16">
        <w:rPr>
          <w:rFonts w:ascii="Book Antiqua" w:hAnsi="Book Antiqua"/>
          <w:color w:val="000000" w:themeColor="text1"/>
          <w:shd w:val="clear" w:color="auto" w:fill="FFFFFF"/>
        </w:rPr>
        <w:t xml:space="preserve"> 11%, respectively). </w:t>
      </w:r>
      <w:r w:rsidR="00152A2B" w:rsidRPr="005B1A16">
        <w:rPr>
          <w:rFonts w:ascii="Book Antiqua" w:hAnsi="Book Antiqua"/>
          <w:color w:val="000000" w:themeColor="text1"/>
          <w:shd w:val="clear" w:color="auto" w:fill="FFFFFF"/>
        </w:rPr>
        <w:t xml:space="preserve">Mucosal healing and steroid-free remission was achieved and maintained in a similar proportion of patients. </w:t>
      </w:r>
      <w:r w:rsidR="008B3683" w:rsidRPr="005B1A16">
        <w:rPr>
          <w:rFonts w:ascii="Book Antiqua" w:hAnsi="Book Antiqua"/>
          <w:color w:val="000000" w:themeColor="text1"/>
          <w:shd w:val="clear" w:color="auto" w:fill="FFFFFF"/>
        </w:rPr>
        <w:t xml:space="preserve">With respect to adverse events, </w:t>
      </w:r>
      <w:r w:rsidR="00EF409D" w:rsidRPr="005B1A16">
        <w:rPr>
          <w:rFonts w:ascii="Book Antiqua" w:hAnsi="Book Antiqua"/>
          <w:color w:val="000000" w:themeColor="text1"/>
          <w:shd w:val="clear" w:color="auto" w:fill="FFFFFF"/>
        </w:rPr>
        <w:t xml:space="preserve">serious infections occurred more frequently in the </w:t>
      </w:r>
      <w:r w:rsidR="001B6803" w:rsidRPr="005B1A16">
        <w:rPr>
          <w:rFonts w:ascii="Book Antiqua" w:hAnsi="Book Antiqua"/>
          <w:color w:val="000000" w:themeColor="text1"/>
          <w:shd w:val="clear" w:color="auto" w:fill="FFFFFF"/>
        </w:rPr>
        <w:t xml:space="preserve">induction but not maintenance </w:t>
      </w:r>
      <w:r w:rsidR="00F452C5" w:rsidRPr="005B1A16">
        <w:rPr>
          <w:rFonts w:ascii="Book Antiqua" w:hAnsi="Book Antiqua"/>
          <w:color w:val="000000" w:themeColor="text1"/>
          <w:shd w:val="clear" w:color="auto" w:fill="FFFFFF"/>
        </w:rPr>
        <w:t>trial. However, herpes zoster infection did occur more frequently in the tofacitinib 10mg maintenance group as compared to placebo</w:t>
      </w:r>
      <w:r w:rsidR="009E0E22"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{"citationID":"a3np1eth79","properties":{"formattedCitation":"\\super [59]\\nosupersub{}","plainCitation":"[59]","noteIndex":0},"citationItems":[{"id":133,"uris":["http://zotero.org/users/4672422/items/4LF3A5RY"],"uri":["http://zotero.org/users/4672422/items/4LF3A5RY"],"itemData":{"id":133,"type":"article-journal","title":"Tofacitinib as Induction and Maintenance Therapy for Ulcerative Colitis","container-title":"New England Journal of Medicine","page":"1723-1736","volume":"376","issue":"18","source":"CrossRef","URL":"http://www.nejm.org/doi/10.1056/NEJMoa1606910","DOI":"10.1056/NEJMoa1606910","ISSN":"0028-4793, 1533-4406","language":"en","author":[{"family":"Sandborn","given":"William J."},{"family":"Su","given":"Chinyu"},{"family":"Sands","given":"Bruce E."},{"family":"D’Haens","given":"Geert R."},{"family":"Vermeire","given":"Séverine"},{"family":"Schreiber","given":"Stefan"},{"family":"Danese","given":"Silvio"},{"family":"Feagan","given":"Brian G."},{"family":"Reinisch","given":"Walter"},{"family":"Niezychowski","given":"Wojciech"},{"family":"Friedman","given":"Gary"},{"family":"Lawendy","given":"Nervin"},{"family":"Yu","given":"Dahong"},{"family":"Woodworth","given":"Deborah"},{"family":"Mukherjee","given":"Arnab"},{"family":"Zhang","given":"Haiying"},{"family":"Healey","given":"Paul"},{"family":"Panés","given":"Julian"}],"issued":{"date-parts":[["2017",5,4]]},"accessed":{"date-parts":[["2018",3,27]]}}}],"schema":"https://github.com/citation-style-language/schema/raw/master/csl-citation.json"} </w:instrText>
      </w:r>
      <w:r w:rsidR="009E0E22"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[59]</w:t>
      </w:r>
      <w:r w:rsidR="009E0E22" w:rsidRPr="005B1A16">
        <w:rPr>
          <w:rFonts w:ascii="Book Antiqua" w:hAnsi="Book Antiqua"/>
          <w:color w:val="000000" w:themeColor="text1"/>
          <w:shd w:val="clear" w:color="auto" w:fill="FFFFFF"/>
        </w:rPr>
        <w:fldChar w:fldCharType="end"/>
      </w:r>
      <w:r w:rsidR="00F452C5" w:rsidRPr="005B1A16">
        <w:rPr>
          <w:rFonts w:ascii="Book Antiqua" w:hAnsi="Book Antiqua"/>
          <w:color w:val="000000" w:themeColor="text1"/>
          <w:shd w:val="clear" w:color="auto" w:fill="FFFFFF"/>
        </w:rPr>
        <w:t>.</w:t>
      </w:r>
      <w:r w:rsidR="00FD07D8" w:rsidRPr="005B1A16">
        <w:rPr>
          <w:rFonts w:ascii="Book Antiqua" w:hAnsi="Book Antiqua"/>
          <w:color w:val="000000" w:themeColor="text1"/>
          <w:shd w:val="clear" w:color="auto" w:fill="FFFFFF"/>
        </w:rPr>
        <w:t xml:space="preserve"> Of note, tofacitinib received a </w:t>
      </w:r>
      <w:r w:rsidR="004C552E" w:rsidRPr="005B1A16">
        <w:rPr>
          <w:rFonts w:ascii="Book Antiqua" w:hAnsi="Book Antiqua"/>
          <w:color w:val="000000" w:themeColor="text1"/>
          <w:shd w:val="clear" w:color="auto" w:fill="FFFFFF"/>
        </w:rPr>
        <w:t>recommendation</w:t>
      </w:r>
      <w:r w:rsidR="00FD07D8" w:rsidRPr="005B1A16">
        <w:rPr>
          <w:rFonts w:ascii="Book Antiqua" w:hAnsi="Book Antiqua"/>
          <w:color w:val="000000" w:themeColor="text1"/>
          <w:shd w:val="clear" w:color="auto" w:fill="FFFFFF"/>
        </w:rPr>
        <w:t xml:space="preserve"> for the treatment of UC by the GIDAC-FDA in March 2018</w:t>
      </w:r>
      <w:r w:rsidR="004C552E" w:rsidRPr="005B1A16">
        <w:rPr>
          <w:rFonts w:ascii="Book Antiqua" w:hAnsi="Book Antiqua"/>
          <w:color w:val="000000" w:themeColor="text1"/>
          <w:shd w:val="clear" w:color="auto" w:fill="FFFFFF"/>
        </w:rPr>
        <w:t xml:space="preserve"> a final decision is antici</w:t>
      </w:r>
      <w:r w:rsidR="009E0E22" w:rsidRPr="005B1A16">
        <w:rPr>
          <w:rFonts w:ascii="Book Antiqua" w:hAnsi="Book Antiqua"/>
          <w:color w:val="000000" w:themeColor="text1"/>
          <w:shd w:val="clear" w:color="auto" w:fill="FFFFFF"/>
        </w:rPr>
        <w:t>pated by June 2018</w:t>
      </w:r>
      <w:r w:rsidR="009E0E22"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{"citationID":"a1nmr47pqhh","properties":{"formattedCitation":"\\super [60]\\nosupersub{}","plainCitation":"[60]","noteIndex":0},"citationItems":[{"id":134,"uris":["http://zotero.org/users/4672422/items/27YG7IRD"],"uri":["http://zotero.org/users/4672422/items/27YG7IRD"],"itemData":{"id":134,"type":"article-newspaper","title":"PFIZER ANNOUNCES FAVORABLE OUTCOME OF FDA ADVISORY COMMITTEE MEETING ON XELJANZ® (TOFACITINIB) FOR MODERATELY TO SEVERELY ACTIVE ULCERATIVE COLITIS","URL":"https://www.pfizer.com/news/press-release/press-release-detail/pfizer_announces_favorable_outcome_of_fda_advisory_committee_meeting_on_xeljanz_tofacitinib_for_moderately_to_severely_active_ulcerative_colitis","author":[{"family":"Pfizer","given":""}],"issued":{"date-parts":[["2018",3,8]]}}}],"schema":"https://github.com/citation-style-language/schema/raw/master/csl-citation.json"} </w:instrText>
      </w:r>
      <w:r w:rsidR="009E0E22"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[60]</w:t>
      </w:r>
      <w:r w:rsidR="009E0E22" w:rsidRPr="005B1A16">
        <w:rPr>
          <w:rFonts w:ascii="Book Antiqua" w:hAnsi="Book Antiqua"/>
          <w:color w:val="000000" w:themeColor="text1"/>
          <w:shd w:val="clear" w:color="auto" w:fill="FFFFFF"/>
        </w:rPr>
        <w:fldChar w:fldCharType="end"/>
      </w:r>
      <w:r w:rsidR="00FD07D8" w:rsidRPr="005B1A16">
        <w:rPr>
          <w:rFonts w:ascii="Book Antiqua" w:hAnsi="Book Antiqua"/>
          <w:color w:val="000000" w:themeColor="text1"/>
          <w:shd w:val="clear" w:color="auto" w:fill="FFFFFF"/>
        </w:rPr>
        <w:t>.</w:t>
      </w:r>
    </w:p>
    <w:p w14:paraId="17BDD51D" w14:textId="68A572B4" w:rsidR="00E531C6" w:rsidRPr="005B1A16" w:rsidRDefault="00E531C6" w:rsidP="005B1A16">
      <w:pPr>
        <w:spacing w:line="360" w:lineRule="auto"/>
        <w:jc w:val="both"/>
        <w:rPr>
          <w:rFonts w:ascii="Book Antiqua" w:hAnsi="Book Antiqua"/>
          <w:color w:val="000000" w:themeColor="text1"/>
          <w:shd w:val="clear" w:color="auto" w:fill="FFFFFF"/>
        </w:rPr>
      </w:pPr>
    </w:p>
    <w:p w14:paraId="5F4358E5" w14:textId="27115529" w:rsidR="00764D77" w:rsidRPr="005B1A16" w:rsidRDefault="002F7534" w:rsidP="005B1A16">
      <w:pPr>
        <w:spacing w:line="360" w:lineRule="auto"/>
        <w:jc w:val="both"/>
        <w:outlineLvl w:val="0"/>
        <w:rPr>
          <w:rFonts w:ascii="Book Antiqua" w:hAnsi="Book Antiqua"/>
          <w:color w:val="000000" w:themeColor="text1"/>
        </w:rPr>
      </w:pPr>
      <w:r w:rsidRPr="005B1A16">
        <w:rPr>
          <w:rFonts w:ascii="Book Antiqua" w:hAnsi="Book Antiqua"/>
          <w:b/>
          <w:color w:val="000000" w:themeColor="text1"/>
        </w:rPr>
        <w:t>BIOSIMILARS</w:t>
      </w:r>
      <w:r w:rsidRPr="005B1A16">
        <w:rPr>
          <w:rFonts w:ascii="Book Antiqua" w:hAnsi="Book Antiqua"/>
          <w:color w:val="000000" w:themeColor="text1"/>
        </w:rPr>
        <w:t xml:space="preserve"> </w:t>
      </w:r>
    </w:p>
    <w:p w14:paraId="6DF1EBAB" w14:textId="7327CD1F" w:rsidR="00764D77" w:rsidRPr="005B1A16" w:rsidRDefault="00764D77" w:rsidP="005B1A16">
      <w:pPr>
        <w:spacing w:line="360" w:lineRule="auto"/>
        <w:jc w:val="both"/>
        <w:rPr>
          <w:rFonts w:ascii="Book Antiqua" w:eastAsia="SimSun" w:hAnsi="Book Antiqua"/>
          <w:color w:val="000000" w:themeColor="text1"/>
          <w:lang w:eastAsia="zh-CN"/>
        </w:rPr>
      </w:pPr>
      <w:r w:rsidRPr="005B1A16">
        <w:rPr>
          <w:rFonts w:ascii="Book Antiqua" w:hAnsi="Book Antiqua"/>
          <w:color w:val="000000" w:themeColor="text1"/>
        </w:rPr>
        <w:t xml:space="preserve">According to the FDA, a biosimilar is defined as a biological product that is highly similar to the reference product notwithstanding minor differences in clinically inactive components which result in no clinically meaningful differences in the purity, safety </w:t>
      </w:r>
      <w:r w:rsidR="009E0E22" w:rsidRPr="005B1A16">
        <w:rPr>
          <w:rFonts w:ascii="Book Antiqua" w:hAnsi="Book Antiqua"/>
          <w:color w:val="000000" w:themeColor="text1"/>
        </w:rPr>
        <w:t>and efficacy of the product</w:t>
      </w:r>
      <w:r w:rsidR="009E0E22"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{"citationID":"a1eo6n3ssap","properties":{"formattedCitation":"\\super [61]\\nosupersub{}","plainCitation":"[61]","noteIndex":0},"citationItems":[{"id":135,"uris":["http://zotero.org/users/4672422/items/ADXV7HDW"],"uri":["http://zotero.org/users/4672422/items/ADXV7HDW"],"itemData":{"id":135,"type":"article","title":"Guidance for industry: quality considerations in demonstrating biosimilarity to a therapeutic protein product to a reference product.","URL":"https://www.fda.gov/downloads/drugs/guidances/ucm291134.pdf","author":[{"family":"US FDA","given":""}],"issued":{"date-parts":[["2015"]]}}}],"schema":"https://github.com/citation-style-language/schema/raw/master/csl-citation.json"} </w:instrText>
      </w:r>
      <w:r w:rsidR="009E0E22"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[61]</w:t>
      </w:r>
      <w:r w:rsidR="009E0E22" w:rsidRPr="005B1A16">
        <w:rPr>
          <w:rFonts w:ascii="Book Antiqua" w:hAnsi="Book Antiqua"/>
          <w:color w:val="000000" w:themeColor="text1"/>
        </w:rPr>
        <w:fldChar w:fldCharType="end"/>
      </w:r>
      <w:r w:rsidRPr="005B1A16">
        <w:rPr>
          <w:rFonts w:ascii="Book Antiqua" w:hAnsi="Book Antiqua"/>
          <w:color w:val="000000" w:themeColor="text1"/>
        </w:rPr>
        <w:t>. The use of biologic anti-inflammatory medications is increasing and the cost has become a significant economic burden on many national healthcare</w:t>
      </w:r>
      <w:r w:rsidR="009E0E22" w:rsidRPr="005B1A16">
        <w:rPr>
          <w:rFonts w:ascii="Book Antiqua" w:hAnsi="Book Antiqua"/>
          <w:color w:val="000000" w:themeColor="text1"/>
        </w:rPr>
        <w:t xml:space="preserve"> systems around the world</w:t>
      </w:r>
      <w:r w:rsidR="009E0E22"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{"citationID":"a1g2dirn31t","properties":{"formattedCitation":"\\super [62]\\nosupersub{}","plainCitation":"[62]","noteIndex":0},"citationItems":[{"id":136,"uris":["http://zotero.org/users/4672422/items/7NYS4J5A"],"uri":["http://zotero.org/users/4672422/items/7NYS4J5A"],"itemData":{"id":136,"type":"article","title":"Market Intelligence Report: Biologic Response Modifier Agents.","URL":"http://www.pmprb-cepmb.gc.ca/CMFiles/NPDUIS/PMBRB_16-240_MarketIntelligenceReport_E.pdf","author":[{"family":"Health Canada. Patented Medicine Prices Review Board","given":""}],"issued":{"date-parts":[["2016",10]]}}}],"schema":"https://github.com/citation-style-language/schema/raw/master/csl-citation.json"} </w:instrText>
      </w:r>
      <w:r w:rsidR="009E0E22"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[62]</w:t>
      </w:r>
      <w:r w:rsidR="009E0E22" w:rsidRPr="005B1A16">
        <w:rPr>
          <w:rFonts w:ascii="Book Antiqua" w:hAnsi="Book Antiqua"/>
          <w:color w:val="000000" w:themeColor="text1"/>
        </w:rPr>
        <w:fldChar w:fldCharType="end"/>
      </w:r>
      <w:r w:rsidRPr="005B1A16">
        <w:rPr>
          <w:rFonts w:ascii="Book Antiqua" w:hAnsi="Book Antiqua"/>
          <w:color w:val="000000" w:themeColor="text1"/>
        </w:rPr>
        <w:t>. In Canada, the growth of Canadian sales of biologic anti-inflammatory drugs ha</w:t>
      </w:r>
      <w:r w:rsidR="009E0E22" w:rsidRPr="005B1A16">
        <w:rPr>
          <w:rFonts w:ascii="Book Antiqua" w:hAnsi="Book Antiqua"/>
          <w:color w:val="000000" w:themeColor="text1"/>
        </w:rPr>
        <w:t>s nearly doubled since 2010</w:t>
      </w:r>
      <w:r w:rsidRPr="005B1A16">
        <w:rPr>
          <w:rFonts w:ascii="Book Antiqua" w:hAnsi="Book Antiqua"/>
          <w:color w:val="000000" w:themeColor="text1"/>
        </w:rPr>
        <w:t>. The top-selling biologic, remicade (infliximab), has cost the Canadian Government $224 million in 2015 and $4.8 billion since i</w:t>
      </w:r>
      <w:r w:rsidR="009E0E22" w:rsidRPr="005B1A16">
        <w:rPr>
          <w:rFonts w:ascii="Book Antiqua" w:hAnsi="Book Antiqua"/>
          <w:color w:val="000000" w:themeColor="text1"/>
        </w:rPr>
        <w:t>t was approved 10 years ago</w:t>
      </w:r>
      <w:r w:rsidRPr="005B1A16">
        <w:rPr>
          <w:rFonts w:ascii="Book Antiqua" w:hAnsi="Book Antiqua"/>
          <w:color w:val="000000" w:themeColor="text1"/>
        </w:rPr>
        <w:t>. Based on a Market Intelligence Report published by Health Canada, the use of a biosimilar such as Inflectra could have resulted in a $41.7 million reduction i</w:t>
      </w:r>
      <w:r w:rsidR="009E0E22" w:rsidRPr="005B1A16">
        <w:rPr>
          <w:rFonts w:ascii="Book Antiqua" w:hAnsi="Book Antiqua"/>
          <w:color w:val="000000" w:themeColor="text1"/>
        </w:rPr>
        <w:t>n drug expenditures in 2015</w:t>
      </w:r>
      <w:r w:rsidR="009E0E22"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{"citationID":"aj07be8071","properties":{"formattedCitation":"\\super [62]\\nosupersub{}","plainCitation":"[62]","noteIndex":0},"citationItems":[{"id":136,"uris":["http://zotero.org/users/4672422/items/7NYS4J5A"],"uri":["http://zotero.org/users/4672422/items/7NYS4J5A"],"itemData":{"id":136,"type":"article","title":"Market Intelligence Report: Biologic Response Modifier Agents.","URL":"http://www.pmprb-cepmb.gc.ca/CMFiles/NPDUIS/PMBRB_16-240_MarketIntelligenceReport_E.pdf","author":[{"family":"Health Canada. Patented Medicine Prices Review Board","given":""}],"issued":{"date-parts":[["2016",10]]}}}],"schema":"https://github.com/citation-style-language/schema/raw/master/csl-citation.json"} </w:instrText>
      </w:r>
      <w:r w:rsidR="009E0E22"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[62]</w:t>
      </w:r>
      <w:r w:rsidR="009E0E22" w:rsidRPr="005B1A16">
        <w:rPr>
          <w:rFonts w:ascii="Book Antiqua" w:hAnsi="Book Antiqua"/>
          <w:color w:val="000000" w:themeColor="text1"/>
        </w:rPr>
        <w:fldChar w:fldCharType="end"/>
      </w:r>
      <w:r w:rsidRPr="005B1A16">
        <w:rPr>
          <w:rFonts w:ascii="Book Antiqua" w:hAnsi="Book Antiqua"/>
          <w:color w:val="000000" w:themeColor="text1"/>
        </w:rPr>
        <w:t xml:space="preserve">. </w:t>
      </w:r>
      <w:r w:rsidR="00BF676D" w:rsidRPr="005B1A16">
        <w:rPr>
          <w:rFonts w:ascii="Book Antiqua" w:hAnsi="Book Antiqua"/>
          <w:color w:val="000000" w:themeColor="text1"/>
        </w:rPr>
        <w:t>Several biosimilars to remicade (flixabi, inflectra, remsima) and adalimumab (cyltezo and imraldi) have alread</w:t>
      </w:r>
      <w:r w:rsidR="007229EF" w:rsidRPr="005B1A16">
        <w:rPr>
          <w:rFonts w:ascii="Book Antiqua" w:hAnsi="Book Antiqua"/>
          <w:color w:val="000000" w:themeColor="text1"/>
        </w:rPr>
        <w:t>y been approved for use in IBD.</w:t>
      </w:r>
    </w:p>
    <w:p w14:paraId="76E19E6E" w14:textId="2DC99BC6" w:rsidR="00764D77" w:rsidRPr="005B1A16" w:rsidRDefault="00DD1F5E" w:rsidP="005B1A16">
      <w:pPr>
        <w:tabs>
          <w:tab w:val="left" w:pos="784"/>
        </w:tabs>
        <w:spacing w:line="360" w:lineRule="auto"/>
        <w:ind w:firstLineChars="100" w:firstLine="240"/>
        <w:jc w:val="both"/>
        <w:rPr>
          <w:rFonts w:ascii="Book Antiqua" w:eastAsia="SimSun" w:hAnsi="Book Antiqua"/>
          <w:color w:val="000000" w:themeColor="text1"/>
          <w:lang w:eastAsia="zh-CN"/>
        </w:rPr>
      </w:pPr>
      <w:r w:rsidRPr="005B1A16">
        <w:rPr>
          <w:rFonts w:ascii="Book Antiqua" w:hAnsi="Book Antiqua"/>
          <w:color w:val="000000" w:themeColor="text1"/>
        </w:rPr>
        <w:lastRenderedPageBreak/>
        <w:t>I</w:t>
      </w:r>
      <w:r w:rsidR="00764D77" w:rsidRPr="005B1A16">
        <w:rPr>
          <w:rFonts w:ascii="Book Antiqua" w:hAnsi="Book Antiqua"/>
          <w:color w:val="000000" w:themeColor="text1"/>
        </w:rPr>
        <w:t>nfliximab-dyyb</w:t>
      </w:r>
      <w:r w:rsidRPr="005B1A16">
        <w:rPr>
          <w:rFonts w:ascii="Book Antiqua" w:hAnsi="Book Antiqua"/>
          <w:color w:val="000000" w:themeColor="text1"/>
        </w:rPr>
        <w:t xml:space="preserve"> (or CT-P13)</w:t>
      </w:r>
      <w:r w:rsidR="00764D77" w:rsidRPr="005B1A16">
        <w:rPr>
          <w:rFonts w:ascii="Book Antiqua" w:hAnsi="Book Antiqua"/>
          <w:color w:val="000000" w:themeColor="text1"/>
        </w:rPr>
        <w:t>, was the first biosimilar for remicade (infliximab) to be approved and has the greatest amount of ‘real world’ observational data evaluat</w:t>
      </w:r>
      <w:r w:rsidR="0008028D" w:rsidRPr="005B1A16">
        <w:rPr>
          <w:rFonts w:ascii="Book Antiqua" w:hAnsi="Book Antiqua"/>
          <w:color w:val="000000" w:themeColor="text1"/>
        </w:rPr>
        <w:t>ing its efficacy and safety</w:t>
      </w:r>
      <w:r w:rsidR="0008028D"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{"citationID":"apdbndcv2r","properties":{"formattedCitation":"\\super [63]\\nosupersub{}","plainCitation":"[63]","noteIndex":0},"citationItems":[{"id":137,"uris":["http://zotero.org/users/4672422/items/L9JTAQJ9"],"uri":["http://zotero.org/users/4672422/items/L9JTAQJ9"],"itemData":{"id":137,"type":"article-journal","title":"Biosimilars in IBD: from theory to practice","container-title":"Nature Reviews. Gastroenterology &amp; Hepatology","page":"22-31","volume":"14","issue":"1","source":"PubMed","abstract":"Biologic agents have revolutionized the care management of many life-threatening and debilitating diseases. As patents for older biologic therapies have begun to expire, the market has opened to copy versions of the originators - commonly referred to as biosimilars, follow-on biologic agents or subsequent-entry biologic agents - which are expected to gain a portion of the market, reduce health-care spending and increase treatment access worldwide. Importantly for patients with IBD, CT-P13 was the first biosimilar to infliximab that obtained regulatory approval by the European Medicines Agency in September 2013 and by the FDA in April 2016. In May 2016, SB2 was the second biosimilar to infliximab receiving marketing authorization in Europe. Currently, &gt;20 other biosimilars to infliximab and adalimumab are in the development pipeline. Their similar-but-not-identical nature, and the concept of extrapolating efficacy and safety data from one therapeutic indication to another, seem to be confusing to physicians and cause concerns about the efficacy and safety of biosimilar products. A relevant debate is still ongoing in the field of IBD. This Review discusses the scientific principles underlying the biosimilar concept established in Europe and the USA, and discusses the current state of knowledge on biosimilar use in IBD.","DOI":"10.1038/nrgastro.2016.155","ISSN":"1759-5053","note":"PMID: 27729659","shortTitle":"Biosimilars in IBD","journalAbbreviation":"Nat Rev Gastroenterol Hepatol","language":"eng","author":[{"family":"Danese","given":"Silvio"},{"family":"Bonovas","given":"Stefanos"},{"family":"Peyrin-Biroulet","given":"Laurent"}],"issued":{"date-parts":[["2017",1]]}}}],"schema":"https://github.com/citation-style-language/schema/raw/master/csl-citation.json"} </w:instrText>
      </w:r>
      <w:r w:rsidR="0008028D"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[63]</w:t>
      </w:r>
      <w:r w:rsidR="0008028D" w:rsidRPr="005B1A16">
        <w:rPr>
          <w:rFonts w:ascii="Book Antiqua" w:hAnsi="Book Antiqua"/>
          <w:color w:val="000000" w:themeColor="text1"/>
        </w:rPr>
        <w:fldChar w:fldCharType="end"/>
      </w:r>
      <w:r w:rsidR="00764D77" w:rsidRPr="005B1A16">
        <w:rPr>
          <w:rFonts w:ascii="Book Antiqua" w:hAnsi="Book Antiqua"/>
          <w:color w:val="000000" w:themeColor="text1"/>
        </w:rPr>
        <w:t xml:space="preserve">. Infliximab-dyyb was first approved in </w:t>
      </w:r>
      <w:r w:rsidRPr="005B1A16">
        <w:rPr>
          <w:rFonts w:ascii="Book Antiqua" w:hAnsi="Book Antiqua"/>
          <w:color w:val="000000" w:themeColor="text1"/>
        </w:rPr>
        <w:t xml:space="preserve">South Korea and thereafter in </w:t>
      </w:r>
      <w:r w:rsidR="00764D77" w:rsidRPr="005B1A16">
        <w:rPr>
          <w:rFonts w:ascii="Book Antiqua" w:hAnsi="Book Antiqua"/>
          <w:color w:val="000000" w:themeColor="text1"/>
        </w:rPr>
        <w:t>Europe in 2013 following the results of two large randomized and double-blind clinical studies evaluating its safety and efficacy in rheumatoid arthritis as compared to remicade</w:t>
      </w:r>
      <w:r w:rsidR="002958A1" w:rsidRPr="005B1A16">
        <w:rPr>
          <w:rFonts w:ascii="Book Antiqua" w:hAnsi="Book Antiqua"/>
          <w:color w:val="000000" w:themeColor="text1"/>
        </w:rPr>
        <w:t>, PLANETRA and PLANETAS</w:t>
      </w:r>
      <w:r w:rsidR="00FF5D1B"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{"citationID":"a1nc9rlrde7","properties":{"formattedCitation":"\\super [64,65]\\nosupersub{}","plainCitation":"[64,65]","noteIndex":0},"citationItems":[{"id":140,"uris":["http://zotero.org/users/4672422/items/K9APRN2E"],"uri":["http://zotero.org/users/4672422/items/K9APRN2E"],"itemData":{"id":140,"type":"article-journal","title":"A randomised, double-blind, multicentre, parallel-group, prospective study comparing the pharmacokinetics, safety, and efficacy of CT-P13 and innovator infliximab in patients with ankylosing spondylitis: the PLANETAS study","container-title":"Annals of the Rheumatic Diseases","page":"1605-1612","volume":"72","issue":"10","source":"PubMed","abstract":"OBJECTIVES: To compare the pharmacokinetics (PK), safety and efficacy of innovator infliximab (INX) and CT-P13, a biosimilar to INX, in patients with active ankylosing spondylitis (AS).\nMETHODS: Phase 1 randomised, double-blind, multicentre, multinational, parallel-group study. Patients were randomised to receive 5 mg/kg of CT-P13 (n=125) or INX (n=125). Primary endpoints were area under the concentration-time curve (AUC) at steady state and observed maximum steady state serum concentration (Cmax,ss) between weeks 22 and 30. Additional PK, efficacy endpoints, including 20% and 40% improvement response according to Assessment in Ankylosing Spondylitis International Working Group criteria (ASAS20 and ASAS40), and safety outcomes were also assessed.\nRESULTS: Geometric mean AUC was 32 765.8 μgh/ml for CT-P13 and 31 359.3 μgh/ml for INX. Geometric mean Cmax,ss was 147.0 μg/ml for CT-P13 and 144.8 μg/ml for INX. The ratio of geometric means was 104.5% (90% CI 94% to 116%) for AUC and 101.5% (90% CI 95% to 109%) for Cmax,ss. ASAS20 and ASAS40 responses at week 30 were 70.5% and 51.8% for CT-P13 and 72.4% and 47.4% for INX, respectively. In the CT-P13 and INX groups more than one adverse event occurred in 64.8% and 63.9% of patients, infusion reactions occurred in 3.9% and 4.9%, active tuberculosis occurred in 1.6% and 0.8%, and 27.4% and 22.5% of patients tested positive for anti-drug antibodies, respectively.\nCONCLUSIONS: The PK profiles of CT-P13 and INX were equivalent in patients with active AS. CT-P13 was well tolerated, with an efficacy and safety profile comparable to that of INX up to week 30.","DOI":"10.1136/annrheumdis-2012-203091","ISSN":"1468-2060","note":"PMID: 23687259\nPMCID: PMC3786643","shortTitle":"A randomised, double-blind, multicentre, parallel-group, prospective study comparing the pharmacokinetics, safety, and efficacy of CT-P13 and innovator infliximab in patients with ankylosing spondylitis","journalAbbreviation":"Ann. Rheum. Dis.","language":"eng","author":[{"family":"Park","given":"Won"},{"family":"Hrycaj","given":"Pawel"},{"family":"Jeka","given":"Slawomir"},{"family":"Kovalenko","given":"Volodymyr"},{"family":"Lysenko","given":"Grygorii"},{"family":"Miranda","given":"Pedro"},{"family":"Mikazane","given":"Helena"},{"family":"Gutierrez-Ureña","given":"Sergio"},{"family":"Lim","given":"MieJin"},{"family":"Lee","given":"Yeon-Ah"},{"family":"Lee","given":"Sang Joon"},{"family":"Kim","given":"HoUng"},{"family":"Yoo","given":"Dae Hyun"},{"family":"Braun","given":"Jürgen"}],"issued":{"date-parts":[["2013",10]]}}},{"id":139,"uris":["http://zotero.org/users/4672422/items/5DGR73RN"],"uri":["http://zotero.org/users/4672422/items/5DGR73RN"],"itemData":{"id":139,"type":"article-journal","title":"A randomised, double-blind, parallel-group study to demonstrate equivalence in efficacy and safety of CT-P13 compared with innovator infliximab when coadministered with methotrexate in patients with active rheumatoid arthritis: the PLANETRA study","container-title":"Annals of the Rheumatic Diseases","page":"1613-1620","volume":"72","issue":"10","source":"CrossRef","URL":"http://ard.bmj.com/lookup/doi/10.1136/annrheumdis-2012-203090","DOI":"10.1136/annrheumdis-2012-203090","ISSN":"0003-4967, 1468-2060","shortTitle":"A randomised, double-blind, parallel-group study to demonstrate equivalence in efficacy and safety of CT-P13 compared with innovator infliximab when coadministered with methotrexate in patients with active rheumatoid arthritis","language":"en","author":[{"family":"Yoo","given":"Dae Hyun"},{"family":"Hrycaj","given":"Pawel"},{"family":"Miranda","given":"Pedro"},{"family":"Ramiterre","given":"Edgar"},{"family":"Piotrowski","given":"Mariusz"},{"family":"Shevchuk","given":"Sergii"},{"family":"Kovalenko","given":"Volodymyr"},{"family":"Prodanovic","given":"Nenad"},{"family":"Abello-Banfi","given":"Mauricio"},{"family":"Gutierrez-Ureña","given":"Sergio"},{"family":"Morales-Olazabal","given":"Luis"},{"family":"Tee","given":"Michael"},{"family":"Jimenez","given":"Renato"},{"family":"Zamani","given":"Omid"},{"family":"Lee","given":"Sang Joon"},{"family":"Kim","given":"HoUng"},{"family":"Park","given":"Won"},{"family":"Müller-Ladner","given":"Ulf"}],"issued":{"date-parts":[["2013",10]]},"accessed":{"date-parts":[["2018",3,27]]}}}],"schema":"https://github.com/citation-style-language/schema/raw/master/csl-citation.json"} </w:instrText>
      </w:r>
      <w:r w:rsidR="00FF5D1B"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[64,65]</w:t>
      </w:r>
      <w:r w:rsidR="00FF5D1B" w:rsidRPr="005B1A16">
        <w:rPr>
          <w:rFonts w:ascii="Book Antiqua" w:hAnsi="Book Antiqua"/>
          <w:color w:val="000000" w:themeColor="text1"/>
        </w:rPr>
        <w:fldChar w:fldCharType="end"/>
      </w:r>
      <w:r w:rsidR="00764D77" w:rsidRPr="005B1A16">
        <w:rPr>
          <w:rFonts w:ascii="Book Antiqua" w:hAnsi="Book Antiqua"/>
          <w:color w:val="000000" w:themeColor="text1"/>
        </w:rPr>
        <w:t>. No significant differences were found with respect to safety, efficacy and immunogenicity thus it was approved for use in all labelled indications remicade was approved for. However, small retrospective studies in IBD have de</w:t>
      </w:r>
      <w:r w:rsidR="00FF5D1B" w:rsidRPr="005B1A16">
        <w:rPr>
          <w:rFonts w:ascii="Book Antiqua" w:hAnsi="Book Antiqua"/>
          <w:color w:val="000000" w:themeColor="text1"/>
        </w:rPr>
        <w:t>monstrated mixed result</w:t>
      </w:r>
      <w:r w:rsidR="00C47EB8" w:rsidRPr="005B1A16">
        <w:rPr>
          <w:rFonts w:ascii="Book Antiqua" w:hAnsi="Book Antiqua"/>
          <w:color w:val="000000" w:themeColor="text1"/>
        </w:rPr>
        <w:t>s</w:t>
      </w:r>
      <w:r w:rsidR="00C47EB8"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{"citationID":"a2dpqhenpvq","properties":{"formattedCitation":"\\super [66\\uc0\\u8211{}68]\\nosupersub{}","plainCitation":"[66–68]","noteIndex":0},"citationItems":[{"id":142,"uris":["http://zotero.org/users/4672422/items/SCIHJYM5"],"uri":["http://zotero.org/users/4672422/items/SCIHJYM5"],"itemData":{"id":142,"type":"article-journal","title":"Biosimilar but not the same","container-title":"J Crohns Colitis","page":"S331–S332","volume":"9","author":[{"family":"Murphy C, Sugrue K, Mohamad G, McCarthy J, Buckley M","given":""}],"issued":{"date-parts":[["2015"]]}}},{"id":143,"uris":["http://zotero.org/users/4672422/items/395LN42G"],"uri":["http://zotero.org/users/4672422/items/395LN42G"],"itemData":{"id":143,"type":"article-journal","title":"Efficacy and safety of CT-P13, a biosimilar of infliximab, in patients with inflammatory bowel disease: A retrospective multicenter study","container-title":"Journal of Gastroenterology and Hepatology","page":"1705-1712","volume":"30","issue":"12","source":"PubMed","abstract":"BACKGROUND AND AIM: The biosimilar of infliximab, CT-P13, has recently been shown to be equivalent to infliximab in both efficacy and safety in the treatment of rheumatologic diseases. However, no data are available with respect to the drug's efficacy in patients with inflammatory bowel disease (IBD). We aimed to assess the efficacy and safety of CT-P13 in IBD patients\nMETHODS: This was a retrospective multicenter study including both anti-tumor necrosis factor (TNF) naïve patients and patients who switched from the biologic originator to CT-P13.\nRESULTS: In anti-TNF naïve Crohn's disease (CD) patients (n</w:instrText>
      </w:r>
      <w:r w:rsidR="00B71AF0" w:rsidRPr="005B1A16">
        <w:rPr>
          <w:rFonts w:ascii="Cambria Math" w:hAnsi="Cambria Math" w:cs="Cambria Math"/>
          <w:color w:val="000000" w:themeColor="text1"/>
        </w:rPr>
        <w:instrText> </w:instrText>
      </w:r>
      <w:r w:rsidR="00B71AF0" w:rsidRPr="005B1A16">
        <w:rPr>
          <w:rFonts w:ascii="Book Antiqua" w:hAnsi="Book Antiqua"/>
          <w:color w:val="000000" w:themeColor="text1"/>
        </w:rPr>
        <w:instrText>=</w:instrText>
      </w:r>
      <w:r w:rsidR="00B71AF0" w:rsidRPr="005B1A16">
        <w:rPr>
          <w:rFonts w:ascii="Cambria Math" w:hAnsi="Cambria Math" w:cs="Cambria Math"/>
          <w:color w:val="000000" w:themeColor="text1"/>
        </w:rPr>
        <w:instrText> </w:instrText>
      </w:r>
      <w:r w:rsidR="00B71AF0" w:rsidRPr="005B1A16">
        <w:rPr>
          <w:rFonts w:ascii="Book Antiqua" w:hAnsi="Book Antiqua"/>
          <w:color w:val="000000" w:themeColor="text1"/>
        </w:rPr>
        <w:instrText>32), clinical response and remission rates were 90.6% and 68.8% at week 2, 90.6% and 84.4% at week 8, 95.5% and 77.3% at week 30, and 87.5% and 75.0% at week 54, respectively. In anti-TNF naïve ulcerative colitis (UC) patients (n</w:instrText>
      </w:r>
      <w:r w:rsidR="00B71AF0" w:rsidRPr="005B1A16">
        <w:rPr>
          <w:rFonts w:ascii="Cambria Math" w:hAnsi="Cambria Math" w:cs="Cambria Math"/>
          <w:color w:val="000000" w:themeColor="text1"/>
        </w:rPr>
        <w:instrText> </w:instrText>
      </w:r>
      <w:r w:rsidR="00B71AF0" w:rsidRPr="005B1A16">
        <w:rPr>
          <w:rFonts w:ascii="Book Antiqua" w:hAnsi="Book Antiqua"/>
          <w:color w:val="000000" w:themeColor="text1"/>
        </w:rPr>
        <w:instrText>=</w:instrText>
      </w:r>
      <w:r w:rsidR="00B71AF0" w:rsidRPr="005B1A16">
        <w:rPr>
          <w:rFonts w:ascii="Cambria Math" w:hAnsi="Cambria Math" w:cs="Cambria Math"/>
          <w:color w:val="000000" w:themeColor="text1"/>
        </w:rPr>
        <w:instrText> </w:instrText>
      </w:r>
      <w:r w:rsidR="00B71AF0" w:rsidRPr="005B1A16">
        <w:rPr>
          <w:rFonts w:ascii="Book Antiqua" w:hAnsi="Book Antiqua"/>
          <w:color w:val="000000" w:themeColor="text1"/>
        </w:rPr>
        <w:instrText xml:space="preserve">42), clinical response and remission rates were 76.2% and 19.0% at week 2, 81.0% and 38.1% at week 8, 91.3% and 47.8% at week 30, and 100% and 50.0% at week 54, respectively, while mucosal healing rates were 58.3% at week 8, 66.7% at week 30, and 66.7% at week 54. The efficacy of CT-P13 was maintained in 92.6% (25/27) of CD patients and in 66.7% (6/9) of UC patients after switching from its originator. Adverse events related to CT-P13 occurred in 11.8% of UC patients.\nCONCLUSIONS: CT-P13 appears to have comparable efficacy, safety, and interchangeability with its originator in the treatment of IBD. Further prospective studies with long-term follow-up periods will be needed to confirm the biosimilarity of CT-P13.","DOI":"10.1111/jgh.12997","ISSN":"1440-1746","note":"PMID: 25974251","shortTitle":"Efficacy and safety of CT-P13, a biosimilar of infliximab, in patients with inflammatory bowel disease","journalAbbreviation":"J. Gastroenterol. Hepatol.","language":"eng","author":[{"family":"Jung","given":"Yoon Suk"},{"family":"Park","given":"Dong Il"},{"family":"Kim","given":"Young Ho"},{"family":"Lee","given":"Ji Hyun"},{"family":"Seo","given":"Pyoung Ju"},{"family":"Cheon","given":"Jae Hee"},{"family":"Kang","given":"Hyoun Woo"},{"family":"Kim","given":"Ji Won"}],"issued":{"date-parts":[["2015",12]]}}},{"id":145,"uris":["http://zotero.org/users/4672422/items/MRU3M8N7"],"uri":["http://zotero.org/users/4672422/items/MRU3M8N7"],"itemData":{"id":145,"type":"article-journal","title":"Clinical Experience of the Use of CT-P13, a Biosimilar to Infliximab in Patients with Inflammatory Bowel Disease: A Case Series","container-title":"Digestive Diseases and Sciences","page":"951-956","volume":"60","issue":"4","source":"PubMed","abstract":"BACKGROUND: CT-P13 is the first biosimilar monoclonal antibody to infliximab. However, the antibody was tested only in rheumatoid arthritis and ankylosing spondylitis, which demonstrated equivalence to the originator in efficacy, safety, and pharmacokinetic profile. Extrapolation of its efficacy and safety to other pathologies is tenuous. Interchangeability with its originator is another unclear area.\nAIM: We aimed to describe the experience of CT-P13 use in inflammatory bowel disease at a tertiary center.\nMETHODS: Seventeen subjects diagnosed with Crohn's disease (CD, n = 8) or ulcerative colitis (UC, n = 9) who were administered CT-P13 from November 2012 to October 2013 at Dongguk University Ilsan Hospital were retrospectively enrolled. Medical records analyzed included patients' characteristics, previous history of anti-tumor necrosis factor administration, response and remission to this biosimilar antibody, disease flare-up, and adverse drug reaction.\nRESULTS: Male-female ratio was 1.8. Mean age was 35.4 years (range 15-57). Mean number of CT-P13 administrations was 4.2 ± 1.9. Induction treatments were done in five UC and three CD patients. Clinical response and remission at 8 weeks were achieved in seven patients (five UC and two CD). One CD patient did not respond to CT-P13. Nine patients in maintenance with the originator were interchanged with CT-P13 (four UC and five CD patients). One UC patient experienced arthralgia and CT-P13 was discontinued. One patient experienced loss of response during the study period.\nCONCLUSIONS: CT-P13 may have biosimilarity and interchangeability with its originator in inflammatory bowel disease. A large, randomized, double-blind, prospective study is needed.","DOI":"10.1007/s10620-014-3392-z","ISSN":"1573-2568","note":"PMID: 25326115","shortTitle":"Clinical Experience of the Use of CT-P13, a Biosimilar to Infliximab in Patients with Inflammatory Bowel Disease","journalAbbreviation":"Dig. Dis. Sci.","language":"eng","author":[{"family":"Kang","given":"Yun-Seong"},{"family":"Moon","given":"Hyoung Ho"},{"family":"Lee","given":"Seung Eun"},{"family":"Lim","given":"Yun Jeong"},{"family":"Kang","given":"Hyoun Woo"}],"issued":{"date-parts":[["2015",4]]}}}],"schema":"https://github.com/citation-style-language/schema/raw/master/csl-citation.json"} </w:instrText>
      </w:r>
      <w:r w:rsidR="00C47EB8"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[66–68]</w:t>
      </w:r>
      <w:r w:rsidR="00C47EB8" w:rsidRPr="005B1A16">
        <w:rPr>
          <w:rFonts w:ascii="Book Antiqua" w:hAnsi="Book Antiqua"/>
          <w:color w:val="000000" w:themeColor="text1"/>
        </w:rPr>
        <w:fldChar w:fldCharType="end"/>
      </w:r>
      <w:r w:rsidR="00764D77" w:rsidRPr="005B1A16">
        <w:rPr>
          <w:rFonts w:ascii="Book Antiqua" w:hAnsi="Book Antiqua"/>
          <w:color w:val="000000" w:themeColor="text1"/>
        </w:rPr>
        <w:t>. A larger prospective nationwide multicenter study performed in Hungary involving 126 CD and 84 UC patients reporte</w:t>
      </w:r>
      <w:r w:rsidR="00C47EB8" w:rsidRPr="005B1A16">
        <w:rPr>
          <w:rFonts w:ascii="Book Antiqua" w:hAnsi="Book Antiqua"/>
          <w:color w:val="000000" w:themeColor="text1"/>
        </w:rPr>
        <w:t>d excellent induction rates</w:t>
      </w:r>
      <w:r w:rsidR="00C47EB8"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{"citationID":"a2qd8g8kph5","properties":{"formattedCitation":"\\super [69]\\nosupersub{}","plainCitation":"[69]","noteIndex":0},"citationItems":[{"id":147,"uris":["http://zotero.org/users/4672422/items/TVSDRN7T"],"uri":["http://zotero.org/users/4672422/items/TVSDRN7T"],"itemData":{"id":147,"type":"article-journal","title":"Efficacy and Safety of the Biosimilar Infliximab CT-P13 Treatment in Inflammatory Bowel Diseases: A Prospective, Multicentre, Nationwide Cohort","container-title":"Journal of Crohn's &amp; Colitis","page":"133-140","volume":"10","issue":"2","source":"PubMed","abstract":"BACKGROUND AND AIMS: Biosimilar infliximab CT-P13 is approved for all indications of the originator product in Europe. Prospective data on its efficacy, safety, and immunogenicity in inflammatory bowel diseases are lacking.\nMETHODS: A prospective, nationwide, multicentre, observational cohort was designed to examine the efficacy, safety, and immunogenicity of CT-P13 infliximab biosimilar in the induction treatment of Crohn's disease [CD] and ulcerative colitis [UC]. Demographic data were collected and a harmonised monitoring strategy was applied. Early clinical remission, response, and early biochemical response were evaluated at Week 14, steroid-free clinical remission was evaluated at Week 30. Therapeutic drug level was monitored using a conventional enzyme-linked immunosorbent assay.\nRESULTS: In all, 210 consecutive inflammatory bowel disease [126 CD and 84 UC] patients were included in the present cohort. At Week 14, 81.4% of CD and 77.6% of UC patients showed clinical response and 53.6% of CD and 58.6% of UC patients were in clinical remission. Clinical remission rates at Week 14 were significantly higher in CD and UC patients who were infliximab naïve, compared with those with previous exposure to the originator compound [p &lt; 0.05]. Until Week 30, adverse events were experienced in 17.1% of all patients. Infusion reactions and infectious adverse events occurred in 6.6% and 5.7% of all patients, respectively.\nCONCLUSIONS: This prospective multicentre cohort shows that CT-P13 is safe and effective in the induction of clinical remission and response in both CD and UC. Patients with previous infliximab exposure exhibited decreased response rates and were more likely to develop allergic reactions.","DOI":"10.1093/ecco-jcc/jjv220","ISSN":"1876-4479","note":"PMID: 26661272","shortTitle":"Efficacy and Safety of the Biosimilar Infliximab CT-P13 Treatment in Inflammatory Bowel Diseases","journalAbbreviation":"J Crohns Colitis","language":"eng","author":[{"family":"Gecse","given":"Krisztina B."},{"family":"Lovász","given":"Barbara D."},{"family":"Farkas","given":"Klaudia"},{"family":"Banai","given":"János"},{"family":"Bene","given":"László"},{"family":"Gasztonyi","given":"Beáta"},{"family":"Golovics","given":"Petra Anna"},{"family":"Kristóf","given":"Tünde"},{"family":"Lakatos","given":"László"},{"family":"Csontos","given":"Ágnes Anna"},{"family":"Juhász","given":"Márk"},{"family":"Nagy","given":"Ferenc"},{"family":"Palatka","given":"Károly"},{"family":"Papp","given":"Mária"},{"family":"Patai","given":"Árpád"},{"family":"Lakner","given":"Lilla"},{"family":"Salamon","given":"Ágnes"},{"family":"Szamosi","given":"Tamás"},{"family":"Szepes","given":"Zoltán"},{"family":"Tóth","given":"Gábor T."},{"family":"Vincze","given":"Áron"},{"family":"Szalay","given":"Balázs"},{"family":"Molnár","given":"Tamás"},{"family":"Lakatos","given":"Péter L."}],"issued":{"date-parts":[["2016",2]]}}}],"schema":"https://github.com/citation-style-language/schema/raw/master/csl-citation.json"} </w:instrText>
      </w:r>
      <w:r w:rsidR="00C47EB8"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[69]</w:t>
      </w:r>
      <w:r w:rsidR="00C47EB8" w:rsidRPr="005B1A16">
        <w:rPr>
          <w:rFonts w:ascii="Book Antiqua" w:hAnsi="Book Antiqua"/>
          <w:color w:val="000000" w:themeColor="text1"/>
        </w:rPr>
        <w:fldChar w:fldCharType="end"/>
      </w:r>
      <w:r w:rsidR="00764D77" w:rsidRPr="005B1A16">
        <w:rPr>
          <w:rFonts w:ascii="Book Antiqua" w:hAnsi="Book Antiqua"/>
          <w:color w:val="000000" w:themeColor="text1"/>
        </w:rPr>
        <w:t xml:space="preserve">. At week 14, 81% of patients with Crohn’s disease and 78% of patients with ulcerative colitis </w:t>
      </w:r>
      <w:r w:rsidR="008F7EBB" w:rsidRPr="005B1A16">
        <w:rPr>
          <w:rFonts w:ascii="Book Antiqua" w:hAnsi="Book Antiqua"/>
          <w:color w:val="000000" w:themeColor="text1"/>
        </w:rPr>
        <w:t xml:space="preserve">had a </w:t>
      </w:r>
      <w:r w:rsidR="00764D77" w:rsidRPr="005B1A16">
        <w:rPr>
          <w:rFonts w:ascii="Book Antiqua" w:hAnsi="Book Antiqua"/>
          <w:color w:val="000000" w:themeColor="text1"/>
        </w:rPr>
        <w:t>clinical response (CDAI reduction &gt;</w:t>
      </w:r>
      <w:r w:rsidR="007229EF" w:rsidRPr="005B1A16">
        <w:rPr>
          <w:rFonts w:ascii="Book Antiqua" w:eastAsia="SimSun" w:hAnsi="Book Antiqua"/>
          <w:color w:val="000000" w:themeColor="text1"/>
          <w:lang w:eastAsia="zh-CN"/>
        </w:rPr>
        <w:t xml:space="preserve"> </w:t>
      </w:r>
      <w:r w:rsidR="00764D77" w:rsidRPr="005B1A16">
        <w:rPr>
          <w:rFonts w:ascii="Book Antiqua" w:hAnsi="Book Antiqua"/>
          <w:color w:val="000000" w:themeColor="text1"/>
        </w:rPr>
        <w:t>70) and 54% and 59% respectively, were in clinical remission</w:t>
      </w:r>
      <w:r w:rsidR="00866B3D" w:rsidRPr="005B1A16">
        <w:rPr>
          <w:rFonts w:ascii="Book Antiqua" w:hAnsi="Book Antiqua"/>
          <w:color w:val="000000" w:themeColor="text1"/>
        </w:rPr>
        <w:t xml:space="preserve"> (CDAI &lt;</w:t>
      </w:r>
      <w:r w:rsidR="007229EF" w:rsidRPr="005B1A16">
        <w:rPr>
          <w:rFonts w:ascii="Book Antiqua" w:eastAsia="SimSun" w:hAnsi="Book Antiqua"/>
          <w:color w:val="000000" w:themeColor="text1"/>
          <w:lang w:eastAsia="zh-CN"/>
        </w:rPr>
        <w:t xml:space="preserve"> </w:t>
      </w:r>
      <w:r w:rsidR="00866B3D" w:rsidRPr="005B1A16">
        <w:rPr>
          <w:rFonts w:ascii="Book Antiqua" w:hAnsi="Book Antiqua"/>
          <w:color w:val="000000" w:themeColor="text1"/>
        </w:rPr>
        <w:t>150)</w:t>
      </w:r>
      <w:r w:rsidR="00764D77" w:rsidRPr="005B1A16">
        <w:rPr>
          <w:rFonts w:ascii="Book Antiqua" w:hAnsi="Book Antiqua"/>
          <w:color w:val="000000" w:themeColor="text1"/>
        </w:rPr>
        <w:t>. Comparable results were also seen in another large observational cohort study including</w:t>
      </w:r>
      <w:r w:rsidR="00866B3D" w:rsidRPr="005B1A16">
        <w:rPr>
          <w:rFonts w:ascii="Book Antiqua" w:hAnsi="Book Antiqua"/>
          <w:color w:val="000000" w:themeColor="text1"/>
        </w:rPr>
        <w:t xml:space="preserve"> 313 CD and 234 UC patients</w:t>
      </w:r>
      <w:r w:rsidR="00525874"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{"citationID":"a2frt827i3c","properties":{"formattedCitation":"\\super [70]\\nosupersub{}","plainCitation":"[70]","noteIndex":0},"citationItems":[{"id":149,"uris":["http://zotero.org/users/4672422/items/K8R2KVKZ"],"uri":["http://zotero.org/users/4672422/items/K8R2KVKZ"],"itemData":{"id":149,"type":"article-journal","title":"The PROSIT-BIO Cohort: A Prospective Observational Study of Patients with Inflammatory Bowel Disease Treated with Infliximab Biosimilar","container-title":"Inflammatory Bowel Diseases","page":"233-243","volume":"23","issue":"2","source":"PubMed","abstract":"BACKGROUND: Few data are available on the safety and efficacy of infliximab biosimilar CT-P13 in patients with ulcerative colitis and Crohn's disease.\nMETHODS: A prospective, multicenter, cohort study using a structured database.\nRESULTS: Consecutive patients (313 Crohn's disease and 234 ulcerative colitis) were enrolled from 31 referral centers; 311 patients were naive to anti-tumor necrosis factor alpha, 139 had a previous exposure to biologics, and the remaining 97 were switched to CT-P13 after a mean of 18 ± 14 infusions of infliximab. The mean follow-up was 4.3 ± 2.8 months, and the total follow-up time was 195 patient-years. After 2061 infusions, 66 serious adverse events were reported (12.1%), 38 (6.9%) of them were infusion-related reactions. The biosimilar had to be stopped in 29 (5.3%) cases for severe infusion reactions (8 naive, 19 previous exposed, and 2 switch), and in further 16 patients (2.9%) for other serious adverse events. Infusion reactions were significantly more frequent in patients pre-exposed to infliximab than to other anti-tumor necrosis factor alpha (incidence rate ratio = 2.82, 95% CI: 1.05-7.9). The efficacy of the biosimilar was evaluated in 434 patients who received treatment for at least 8 weeks, using time-to-event methods for censored observations: 35 patients were primary failures (8.1%). After further 8, 16, and 24 weeks, the efficacy estimations were 95.7%, 86.4%, and 73.7% for naive, 97.2%, 85.2%, and 62.2% for pre-exposed, and 94.5%, 90.8%, and 78.9% for switch, respectively (log-rank P = 0.64).\nCONCLUSIONS: Although no direct comparison was performed, preliminary data on efficacy and safety of CT-P13 were in line with those of infliximab.","DOI":"10.1097/MIB.0000000000000995","ISSN":"1536-4844","note":"PMID: 28092307","shortTitle":"The PROSIT-BIO Cohort","journalAbbreviation":"Inflamm. Bowel Dis.","language":"eng","author":[{"family":"Fiorino","given":"Gionata"},{"family":"Manetti","given":"Natalia"},{"family":"Armuzzi","given":"Alessandro"},{"family":"Orlando","given":"Ambrogio"},{"family":"Variola","given":"Angela"},{"family":"Bonovas","given":"Stefanos"},{"family":"Bossa","given":"Fabrizio"},{"family":"Maconi","given":"Giovanni"},{"family":"D</w:instrText>
      </w:r>
      <w:r w:rsidR="00B71AF0" w:rsidRPr="005B1A16">
        <w:rPr>
          <w:rFonts w:ascii="Cambria Math" w:hAnsi="Cambria Math" w:cs="Cambria Math"/>
          <w:color w:val="000000" w:themeColor="text1"/>
        </w:rPr>
        <w:instrText>ʼ</w:instrText>
      </w:r>
      <w:r w:rsidR="00B71AF0" w:rsidRPr="005B1A16">
        <w:rPr>
          <w:rFonts w:ascii="Book Antiqua" w:hAnsi="Book Antiqua"/>
          <w:color w:val="000000" w:themeColor="text1"/>
        </w:rPr>
        <w:instrText>Inc</w:instrText>
      </w:r>
      <w:r w:rsidR="00B71AF0" w:rsidRPr="005B1A16">
        <w:rPr>
          <w:rFonts w:ascii="Book Antiqua" w:hAnsi="Book Antiqua" w:cs="Book Antiqua"/>
          <w:color w:val="000000" w:themeColor="text1"/>
        </w:rPr>
        <w:instrText>à</w:instrText>
      </w:r>
      <w:r w:rsidR="00B71AF0" w:rsidRPr="005B1A16">
        <w:rPr>
          <w:rFonts w:ascii="Book Antiqua" w:hAnsi="Book Antiqua"/>
          <w:color w:val="000000" w:themeColor="text1"/>
        </w:rPr>
        <w:instrText xml:space="preserve">","given":"Renata"},{"family":"Lionetti","given":"Paolo"},{"family":"Cantoro","given":"Laura"},{"family":"Fries","given":"Walter"},{"family":"Annunziata","given":"Maria L."},{"family":"Costa","given":"Francesco"},{"family":"Terpin","given":"Maria M."},{"family":"Biancone","given":"Livia"},{"family":"Cortelezzi","given":"Claudio C."},{"family":"Amato","given":"Arnaldo"},{"family":"Ardizzone","given":"Sandro"},{"family":"Danese","given":"Silvio"},{"family":"Guidi","given":"Luisa"},{"family":"Rizzuto","given":"Giulia"},{"family":"Massella","given":"Arianna"},{"family":"Andriulli","given":"Angelo"},{"family":"Massari","given":"Alessandro"},{"family":"Lorenzon","given":"Greta"},{"family":"Ghione","given":"Silvia"},{"family":"Kohn","given":"Anna"},{"family":"Ventra","given":"Agostino"},{"family":"Annese","given":"Vito"},{"literal":"PROSIT-BIO Cohort"}],"issued":{"date-parts":[["2017",2]]}}}],"schema":"https://github.com/citation-style-language/schema/raw/master/csl-citation.json"} </w:instrText>
      </w:r>
      <w:r w:rsidR="00525874"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[70]</w:t>
      </w:r>
      <w:r w:rsidR="00525874" w:rsidRPr="005B1A16">
        <w:rPr>
          <w:rFonts w:ascii="Book Antiqua" w:hAnsi="Book Antiqua"/>
          <w:color w:val="000000" w:themeColor="text1"/>
        </w:rPr>
        <w:fldChar w:fldCharType="end"/>
      </w:r>
      <w:r w:rsidR="00764D77" w:rsidRPr="005B1A16">
        <w:rPr>
          <w:rFonts w:ascii="Book Antiqua" w:hAnsi="Book Antiqua"/>
          <w:color w:val="000000" w:themeColor="text1"/>
        </w:rPr>
        <w:t xml:space="preserve">. Response rates at 8 </w:t>
      </w:r>
      <w:r w:rsidR="00DC2F53" w:rsidRPr="005B1A16">
        <w:rPr>
          <w:rFonts w:ascii="Book Antiqua" w:eastAsia="SimSun" w:hAnsi="Book Antiqua"/>
          <w:color w:val="000000" w:themeColor="text1"/>
          <w:lang w:eastAsia="zh-CN"/>
        </w:rPr>
        <w:t>wk</w:t>
      </w:r>
      <w:r w:rsidR="00764D77" w:rsidRPr="005B1A16">
        <w:rPr>
          <w:rFonts w:ascii="Book Antiqua" w:hAnsi="Book Antiqua"/>
          <w:color w:val="000000" w:themeColor="text1"/>
        </w:rPr>
        <w:t xml:space="preserve"> were greater than 90% for all patient groups, including </w:t>
      </w:r>
      <w:r w:rsidR="008F7EBB" w:rsidRPr="005B1A16">
        <w:rPr>
          <w:rFonts w:ascii="Book Antiqua" w:hAnsi="Book Antiqua"/>
          <w:color w:val="000000" w:themeColor="text1"/>
        </w:rPr>
        <w:t>patients whom</w:t>
      </w:r>
      <w:r w:rsidR="00764D77" w:rsidRPr="005B1A16">
        <w:rPr>
          <w:rFonts w:ascii="Book Antiqua" w:hAnsi="Book Antiqua"/>
          <w:color w:val="000000" w:themeColor="text1"/>
        </w:rPr>
        <w:t xml:space="preserve"> switched from </w:t>
      </w:r>
      <w:r w:rsidR="008F7EBB" w:rsidRPr="005B1A16">
        <w:rPr>
          <w:rFonts w:ascii="Book Antiqua" w:hAnsi="Book Antiqua"/>
          <w:color w:val="000000" w:themeColor="text1"/>
        </w:rPr>
        <w:t>remicade</w:t>
      </w:r>
      <w:r w:rsidR="00764D77" w:rsidRPr="005B1A16">
        <w:rPr>
          <w:rFonts w:ascii="Book Antiqua" w:hAnsi="Book Antiqua"/>
          <w:color w:val="000000" w:themeColor="text1"/>
        </w:rPr>
        <w:t xml:space="preserve"> to infliximab-dyyb. At week 24, response rates were 73.7%, 62.2% and 78.9% for biologic naïve, pre-exposed and switched respectively. The efficacy, immunogenicity and safety profiles in both studies were considered comparable to that of the</w:t>
      </w:r>
      <w:r w:rsidR="00E04D7F" w:rsidRPr="005B1A16">
        <w:rPr>
          <w:rFonts w:ascii="Book Antiqua" w:hAnsi="Book Antiqua"/>
          <w:color w:val="000000" w:themeColor="text1"/>
        </w:rPr>
        <w:t xml:space="preserve"> originator drug infliximab</w:t>
      </w:r>
      <w:r w:rsidR="00764D77" w:rsidRPr="005B1A16">
        <w:rPr>
          <w:rFonts w:ascii="Book Antiqua" w:hAnsi="Book Antiqua"/>
          <w:color w:val="000000" w:themeColor="text1"/>
        </w:rPr>
        <w:t>.</w:t>
      </w:r>
    </w:p>
    <w:p w14:paraId="4D19639E" w14:textId="49E9C6D8" w:rsidR="00EF409D" w:rsidRPr="005B1A16" w:rsidRDefault="00764D77" w:rsidP="005B1A16">
      <w:pPr>
        <w:spacing w:line="360" w:lineRule="auto"/>
        <w:ind w:firstLineChars="100" w:firstLine="240"/>
        <w:jc w:val="both"/>
        <w:rPr>
          <w:rFonts w:ascii="Book Antiqua" w:hAnsi="Book Antiqua"/>
          <w:color w:val="000000" w:themeColor="text1"/>
        </w:rPr>
      </w:pPr>
      <w:r w:rsidRPr="005B1A16">
        <w:rPr>
          <w:rFonts w:ascii="Book Antiqua" w:hAnsi="Book Antiqua"/>
          <w:color w:val="000000" w:themeColor="text1"/>
        </w:rPr>
        <w:t>To date, studies which have evaluated switching from originator to biosimilar</w:t>
      </w:r>
      <w:r w:rsidR="00E04D7F" w:rsidRPr="005B1A16">
        <w:rPr>
          <w:rFonts w:ascii="Book Antiqua" w:hAnsi="Book Antiqua"/>
          <w:color w:val="000000" w:themeColor="text1"/>
        </w:rPr>
        <w:t xml:space="preserve"> have been largely positive</w:t>
      </w:r>
      <w:r w:rsidR="00E04D7F"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{"citationID":"ap80vpp2ht","properties":{"formattedCitation":"\\super [71,72]\\nosupersub{}","plainCitation":"[71,72]","noteIndex":0},"citationItems":[{"id":152,"uris":["http://zotero.org/users/4672422/items/QHICX5F8"],"uri":["http://zotero.org/users/4672422/items/QHICX5F8"],"itemData":{"id":152,"type":"article-journal","title":"ECCO Position Statement on the Use of Biosimilars for Inflammatory Bowel Disease—An Update","container-title":"Journal of Crohn's and Colitis","page":"26-34","volume":"11","issue":"1","source":"CrossRef","URL":"https://academic.oup.com/ecco-jcc/article-lookup/doi/10.1093/ecco-jcc/jjw198","DOI":"10.1093/ecco-jcc/jjw198","ISSN":"1873-9946, 1876-4479","language":"en","author":[{"family":"Danese","given":"Silvio"},{"family":"Fiorino","given":"Gionata"},{"family":"Raine","given":"Tim"},{"family":"Ferrante","given":"Marc"},{"family":"Kemp","given":"Karen"},{"family":"Kierkus","given":"Jaroslaw"},{"family":"Lakatos","given":"Peter L."},{"family":"Mantzaris","given":"Gerassimos"},{"family":"Woude","given":"Janneke","non-dropping-particle":"van der"},{"family":"Panes","given":"Julian"},{"family":"Peyrin-Biroulet","given":"Laurent"}],"issued":{"date-parts":[["2017",1]]},"accessed":{"date-parts":[["2018",3,27]]}}},{"id":151,"uris":["http://zotero.org/users/4672422/items/QBTU2I7V"],"uri":["http://zotero.org/users/4672422/items/QBTU2I7V"],"itemData":{"id":151,"type":"article-journal","title":"PHASE III RANDOMIZED CONTROLLED TRIAL TO COMPARE BIOSIMILAR INFLIXIMAB (CT-P13) WITH INNOVATOR INFLIXIMAB IN PATIENTS WITH ACTIVE CROHN’S DISEASE: 1-YEAR MAINTENANCE AND SWITCHING RESULTS","volume":"5","issue":"1","journalAbbreviation":"United European Gastroenterology J","author":[{"family":"Young-Ho Kim, Byong Duk Ye, Marina Pesegova, Olga Alexeeva, Marina Osipenko, Adi Lahat, Andriy Dorofeyev, Agnes Salamon, Sigal Fishman, Olena Levchenko, Jae Hee Cheon, Maria Lia Scribano, Radu-Bogdan Mateescu, Kang Moon Lee, Chang Soo Eun, Sang Joon Lee, Sung Young Lee, Alex Kudrin","given":""}]}}],"schema":"https://github.com/citation-style-language/schema/raw/master/csl-citation.json"} </w:instrText>
      </w:r>
      <w:r w:rsidR="00E04D7F"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[71,72]</w:t>
      </w:r>
      <w:r w:rsidR="00E04D7F" w:rsidRPr="005B1A16">
        <w:rPr>
          <w:rFonts w:ascii="Book Antiqua" w:hAnsi="Book Antiqua"/>
          <w:color w:val="000000" w:themeColor="text1"/>
        </w:rPr>
        <w:fldChar w:fldCharType="end"/>
      </w:r>
      <w:r w:rsidRPr="005B1A16">
        <w:rPr>
          <w:rFonts w:ascii="Book Antiqua" w:hAnsi="Book Antiqua"/>
          <w:color w:val="000000" w:themeColor="text1"/>
        </w:rPr>
        <w:t xml:space="preserve">. The longest evaluation period occurred over 52 </w:t>
      </w:r>
      <w:r w:rsidR="007229EF" w:rsidRPr="005B1A16">
        <w:rPr>
          <w:rFonts w:ascii="Book Antiqua" w:eastAsia="SimSun" w:hAnsi="Book Antiqua"/>
          <w:color w:val="000000" w:themeColor="text1"/>
          <w:lang w:eastAsia="zh-CN"/>
        </w:rPr>
        <w:t>wk</w:t>
      </w:r>
      <w:r w:rsidRPr="005B1A16">
        <w:rPr>
          <w:rFonts w:ascii="Book Antiqua" w:hAnsi="Book Antiqua"/>
          <w:color w:val="000000" w:themeColor="text1"/>
        </w:rPr>
        <w:t xml:space="preserve"> in the NOR-SWITCH study which was a randomised, non-inferiority, double-blind, phase 4 trial involving 482 patients across 40 Norwegian centres with various inflammatory diseases </w:t>
      </w:r>
      <w:r w:rsidR="008F7EBB" w:rsidRPr="005B1A16">
        <w:rPr>
          <w:rFonts w:ascii="Book Antiqua" w:hAnsi="Book Antiqua"/>
          <w:color w:val="000000" w:themeColor="text1"/>
        </w:rPr>
        <w:t xml:space="preserve">maintained </w:t>
      </w:r>
      <w:r w:rsidRPr="005B1A16">
        <w:rPr>
          <w:rFonts w:ascii="Book Antiqua" w:hAnsi="Book Antiqua"/>
          <w:color w:val="000000" w:themeColor="text1"/>
        </w:rPr>
        <w:t xml:space="preserve">in remission on infliximab for at least 6 </w:t>
      </w:r>
      <w:r w:rsidR="007229EF" w:rsidRPr="005B1A16">
        <w:rPr>
          <w:rFonts w:ascii="Book Antiqua" w:eastAsia="SimSun" w:hAnsi="Book Antiqua"/>
          <w:color w:val="000000" w:themeColor="text1"/>
          <w:lang w:eastAsia="zh-CN"/>
        </w:rPr>
        <w:t>mo</w:t>
      </w:r>
      <w:r w:rsidRPr="005B1A16">
        <w:rPr>
          <w:rFonts w:ascii="Book Antiqua" w:hAnsi="Book Antiqua"/>
          <w:color w:val="000000" w:themeColor="text1"/>
        </w:rPr>
        <w:t xml:space="preserve">. Of the 482 patients, 155 (32%) and 93 (19%) </w:t>
      </w:r>
      <w:r w:rsidR="00E04D7F" w:rsidRPr="005B1A16">
        <w:rPr>
          <w:rFonts w:ascii="Book Antiqua" w:hAnsi="Book Antiqua"/>
          <w:color w:val="000000" w:themeColor="text1"/>
        </w:rPr>
        <w:t>were CD and UC respectively</w:t>
      </w:r>
      <w:r w:rsidR="00E04D7F"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{"citationID":"a1jj5esd3nb","properties":{"formattedCitation":"\\super [73]\\nosupersub{}","plainCitation":"[73]","noteIndex":0},"citationItems":[{"id":153,"uris":["http://zotero.org/users/4672422/items/KV8LU4RY"],"uri":["http://zotero.org/users/4672422/items/KV8LU4RY"],"itemData":{"id":153,"type":"article-journal","title":"Switching from originator infliximab to biosimilar CT-P13 compared with maintained treatment with originator infliximab (NOR-SWITCH): a 52-week, randomised, double-blind, non-inferiority trial","container-title":"Lancet (London, England)","page":"2304-2316","volume":"389","issue":"10086","source":"PubMed","abstract":"BACKGROUND: TNF inhibitors have improved treatment of Crohn's disease, ulcerative colitis, spondyloarthritis, rheumatoid arthritis, psoriatic arthritis, and chronic plaque psoriasis, but are expensive therapies. The aim of NOR-SWITCH was to examine switching from originator infliximab to the less expensive biosimilar CT-P13 regarding efficacy, safety, and immunogenicity.\nMETHODS: The study is a randomised, non-inferiority, double-blind, phase 4 trial with 52 weeks of follow-up. Adult patients on stable treatment with infliximab originator treated in a hospital setting for at least 6 months were eligible for participation. Patients with informed consent were randomised in a 1:1 ratio to either continued infliximab originator or to switch to CT-P13 treatment, with unchanged dosing regimen. Data were collected at infusion visits in 40 Norwegian study centres. Patients, assessors, and patient care providers were masked to treatment allocation. The primary endpoint was disease worsening during 52-week follow-up. 394 patients in the primary per-protocol set were needed to show a non-inferiority margin of 15%, assuming 30% disease worsening in each group. This trial is registered with ClinicalTrials.gov, number NCT02148640.\nFINDINGS: Between Oct 24, 2014, and July 8, 2015, 482 patients were enrolled and randomised (241 to infliximab originator, 241 to CT-P13 group; one patient was excluded from the full analysis and safety set for CT-P13) and 408 were included in the per-protocol set (202 in the infliximab originator group and 206 in the CT-P13 group). 155 (32%) patients in the full analysis set had Crohn's disease, 93 (19%) had ulcerative colitis, 91 (19%) had spondyloarthritis, 77 (16%) had rheumatoid arthritis, 30 (6%) had psoriatic arthritis, and 35 (7%) had chronic plaque psoriasis. Disease worsening occurred in 53 (26%) patients in the infliximab originator group and 61 (30%) patients in the CT-P13 group (per-protocol set; adjusted treatment difference -4·4%, 95% CI -12·7 to 3·9). The frequency of adverse events was similar between groups (for serious adverse events, 24 [10%] for infliximab originator vs 21 [9%] for CT-P13; for overall adverse events, 168 [70%] vs 164 [68%]; and for adverse events leading to discontinuation, nine [4%] vs eight [3%], respectively).\nINTERPRETATION: The NOR-SWITCH trial showed that switching from infliximab originator to CT-P13 was not inferior to continued treatment with infliximab originator according to a prespecified non-inferiority margin of 15%. The study was not powered to show non-inferiority in individual diseases.\nFUNDING: Norwegian Ministry of Health and Care Services.","DOI":"10.1016/S0140-6736(17)30068-5","ISSN":"1474-547X","note":"PMID: 28502609","shortTitle":"Switching from originator infliximab to biosimilar CT-P13 compared with maintained treatment with originator infliximab (NOR-SWITCH)","journalAbbreviation":"Lancet","language":"eng","author":[{"family":"Jørgensen","given":"Kristin K."},{"family":"Olsen","given":"Inge C."},{"family":"Goll","given":"Guro L."},{"family":"Lorentzen","given":"Merete"},{"family":"Bolstad","given":"Nils"},{"family":"Haavardsholm","given":"Espen A."},{"family":"Lundin","given":"Knut E. A."},{"family":"Mørk","given":"Cato"},{"family":"Jahnsen","given":"Jørgen"},{"family":"Kvien","given":"Tore K."},{"literal":"NOR-SWITCH study group"}],"issued":{"date-parts":[["2017"]],"season":"10"}}}],"schema":"https://github.com/citation-style-language/schema/raw/master/csl-citation.json"} </w:instrText>
      </w:r>
      <w:r w:rsidR="00E04D7F"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[73]</w:t>
      </w:r>
      <w:r w:rsidR="00E04D7F" w:rsidRPr="005B1A16">
        <w:rPr>
          <w:rFonts w:ascii="Book Antiqua" w:hAnsi="Book Antiqua"/>
          <w:color w:val="000000" w:themeColor="text1"/>
        </w:rPr>
        <w:fldChar w:fldCharType="end"/>
      </w:r>
      <w:r w:rsidRPr="005B1A16">
        <w:rPr>
          <w:rFonts w:ascii="Book Antiqua" w:hAnsi="Book Antiqua"/>
          <w:color w:val="000000" w:themeColor="text1"/>
        </w:rPr>
        <w:t>. At study end, there was no difference in disease worsening, safety or immunogenicit</w:t>
      </w:r>
      <w:r w:rsidR="00E04D7F" w:rsidRPr="005B1A16">
        <w:rPr>
          <w:rFonts w:ascii="Book Antiqua" w:hAnsi="Book Antiqua"/>
          <w:color w:val="000000" w:themeColor="text1"/>
        </w:rPr>
        <w:t>y amongst any of the groups</w:t>
      </w:r>
      <w:r w:rsidRPr="005B1A16">
        <w:rPr>
          <w:rFonts w:ascii="Book Antiqua" w:hAnsi="Book Antiqua"/>
          <w:color w:val="000000" w:themeColor="text1"/>
        </w:rPr>
        <w:t>. Although switching therapies in the setting of controlled disease would be a reasonable option and is supported by the evidence as well as the European Croh</w:t>
      </w:r>
      <w:r w:rsidR="00E04D7F" w:rsidRPr="005B1A16">
        <w:rPr>
          <w:rFonts w:ascii="Book Antiqua" w:hAnsi="Book Antiqua"/>
          <w:color w:val="000000" w:themeColor="text1"/>
        </w:rPr>
        <w:t>ns and Colitis Organization</w:t>
      </w:r>
      <w:r w:rsidRPr="005B1A16">
        <w:rPr>
          <w:rFonts w:ascii="Book Antiqua" w:hAnsi="Book Antiqua"/>
          <w:color w:val="000000" w:themeColor="text1"/>
        </w:rPr>
        <w:t>; switching in the setting of failing the originator drug would be ill-</w:t>
      </w:r>
      <w:r w:rsidRPr="005B1A16">
        <w:rPr>
          <w:rFonts w:ascii="Book Antiqua" w:hAnsi="Book Antiqua"/>
          <w:color w:val="000000" w:themeColor="text1"/>
        </w:rPr>
        <w:lastRenderedPageBreak/>
        <w:t>advised</w:t>
      </w:r>
      <w:r w:rsidR="00E04D7F"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{"citationID":"afq7vegnda","properties":{"formattedCitation":"\\super [71]\\nosupersub{}","plainCitation":"[71]","noteIndex":0},"citationItems":[{"id":152,"uris":["http://zotero.org/users/4672422/items/QHICX5F8"],"uri":["http://zotero.org/users/4672422/items/QHICX5F8"],"itemData":{"id":152,"type":"article-journal","title":"ECCO Position Statement on the Use of Biosimilars for Inflammatory Bowel Disease—An Update","container-title":"Journal of Crohn's and Colitis","page":"26-34","volume":"11","issue":"1","source":"CrossRef","URL":"https://academic.oup.com/ecco-jcc/article-lookup/doi/10.1093/ecco-jcc/jjw198","DOI":"10.1093/ecco-jcc/jjw198","ISSN":"1873-9946, 1876-4479","language":"en","author":[{"family":"Danese","given":"Silvio"},{"family":"Fiorino","given":"Gionata"},{"family":"Raine","given":"Tim"},{"family":"Ferrante","given":"Marc"},{"family":"Kemp","given":"Karen"},{"family":"Kierkus","given":"Jaroslaw"},{"family":"Lakatos","given":"Peter L."},{"family":"Mantzaris","given":"Gerassimos"},{"family":"Woude","given":"Janneke","non-dropping-particle":"van der"},{"family":"Panes","given":"Julian"},{"family":"Peyrin-Biroulet","given":"Laurent"}],"issued":{"date-parts":[["2017",1]]},"accessed":{"date-parts":[["2018",3,27]]}}}],"schema":"https://github.com/citation-style-language/schema/raw/master/csl-citation.json"} </w:instrText>
      </w:r>
      <w:r w:rsidR="00E04D7F"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[71]</w:t>
      </w:r>
      <w:r w:rsidR="00E04D7F" w:rsidRPr="005B1A16">
        <w:rPr>
          <w:rFonts w:ascii="Book Antiqua" w:hAnsi="Book Antiqua"/>
          <w:color w:val="000000" w:themeColor="text1"/>
        </w:rPr>
        <w:fldChar w:fldCharType="end"/>
      </w:r>
      <w:r w:rsidR="007229EF" w:rsidRPr="005B1A16">
        <w:rPr>
          <w:rFonts w:ascii="Book Antiqua" w:hAnsi="Book Antiqua"/>
          <w:color w:val="000000" w:themeColor="text1"/>
        </w:rPr>
        <w:t xml:space="preserve">. Ben-Horin </w:t>
      </w:r>
      <w:r w:rsidR="007229EF" w:rsidRPr="005B1A16">
        <w:rPr>
          <w:rFonts w:ascii="Book Antiqua" w:hAnsi="Book Antiqua"/>
          <w:i/>
          <w:color w:val="000000" w:themeColor="text1"/>
        </w:rPr>
        <w:t>et al</w:t>
      </w:r>
      <w:r w:rsidR="007229EF" w:rsidRPr="005B1A16">
        <w:rPr>
          <w:rFonts w:ascii="Book Antiqua" w:hAnsi="Book Antiqua"/>
          <w:color w:val="000000" w:themeColor="text1"/>
        </w:rPr>
        <w:fldChar w:fldCharType="begin"/>
      </w:r>
      <w:r w:rsidR="007229EF" w:rsidRPr="005B1A16">
        <w:rPr>
          <w:rFonts w:ascii="Book Antiqua" w:hAnsi="Book Antiqua"/>
          <w:color w:val="000000" w:themeColor="text1"/>
        </w:rPr>
        <w:instrText xml:space="preserve"> ADDIN ZOTERO_ITEM CSL_CITATION {"citationID":"a12h33tvrsn","properties":{"formattedCitation":"\\super [74]\\nosupersub{}","plainCitation":"[74]","noteIndex":0},"citationItems":[{"id":155,"uris":["http://zotero.org/users/4672422/items/A2AAXA75"],"uri":["http://zotero.org/users/4672422/items/A2AAXA75"],"itemData":{"id":155,"type":"article-journal","title":"Cross-immunogenicity: antibodies to infliximab in Remicade-treated patients with IBD similarly recognise the biosimilar Remsima","container-title":"Gut","page":"1132-1138","volume":"65","issue":"7","source":"PubMed","abstract":"OBJECTIVE: The cross-immunogenicity of the recently approved infliximab-biosimilar Remsima (CT-P13) with the originator drug Remicade is still unknown.\nDESIGN: Sera of patients with IBD with or without measurable anti-Remicade antibodies to infliximab (ATI) were tested for their cross-reactivity to two batches of Remsima. Experiments were repeated after deglycosylation of Remicade/Remsima, IgG purification, excipients' dialysis and monomer purification by size exclusion chromatography. Anti-Remicade antibodies were tested for their functional inhibition of TNF-α binding by Remsima/Remicade by competition assay. Cross-reactivity of anti-adalimumab antibodies with Remicade/Remsima was also investigated.\nRESULTS: 125 patients' and controls' sera were tested (median age 31 years, IQR 24.5-39.5). All 56 anti-Remicade ATI-negative controls (14 healthy individuals, 42 patients with IBD) were also negative for anti-Remsima ATI. All 69 positive anti-Remicade IBD sera were cross-reactive with Remsima. ATI titres against Remicade or Remsima were strongly correlated (r values between 0.92 and 0.99, p&lt;0.001 for all experiments, Spearman's correlation test). The background ELISA signal for Remsima was slightly higher compared with Remicade in negative controls (1.25±0.6 µg/mL vs 0.76±0.5</w:instrText>
      </w:r>
      <w:r w:rsidR="007229EF" w:rsidRPr="005B1A16">
        <w:rPr>
          <w:rFonts w:ascii="Cambria Math" w:hAnsi="Cambria Math" w:cs="Cambria Math"/>
          <w:color w:val="000000" w:themeColor="text1"/>
        </w:rPr>
        <w:instrText> </w:instrText>
      </w:r>
      <w:r w:rsidR="007229EF" w:rsidRPr="005B1A16">
        <w:rPr>
          <w:rFonts w:ascii="Book Antiqua" w:hAnsi="Book Antiqua" w:cs="Book Antiqua"/>
          <w:color w:val="000000" w:themeColor="text1"/>
        </w:rPr>
        <w:instrText>µ</w:instrText>
      </w:r>
      <w:r w:rsidR="007229EF" w:rsidRPr="005B1A16">
        <w:rPr>
          <w:rFonts w:ascii="Book Antiqua" w:hAnsi="Book Antiqua"/>
          <w:color w:val="000000" w:themeColor="text1"/>
        </w:rPr>
        <w:instrText xml:space="preserve">g/mL, respectively, p&lt;0.001), and persisted after deglycosylation, dialysis or protein size filtration, but abolished by IgG purification and significantly diminished by monomer purification. Anti-Remicade ATIs of patients with IBD (n=10) exerted similar functional inhibition on Remsima or Remicade TNF-α binding capacity (p=NS for all inhibition curve points). Antibodies-to-adalimumab in adalimumab-treated patients with IBD (n=7) did not cross-react with either Remicade or Remsima.\nCONCLUSIONS: Anti-Remicade antibodies in patients with IBD recognise and functionally inhibit Remsima to a similar degree, suggesting similar immunogenicity and shared immunodominant epitopes on these two infliximab agents. In contrast, anti-adalimumab antibodies do not cross-react with Remsima or Remicade.","DOI":"10.1136/gutjnl-2015-309290","ISSN":"1468-3288","note":"PMID: 25897019","shortTitle":"Cross-immunogenicity","journalAbbreviation":"Gut","language":"eng","author":[{"family":"Ben-Horin","given":"Shomron"},{"family":"Yavzori","given":"Miri"},{"family":"Benhar","given":"Itai"},{"family":"Fudim","given":"Ella"},{"family":"Picard","given":"Orit"},{"family":"Ungar","given":"Bella"},{"family":"Lee","given":"SooYoung"},{"family":"Kim","given":"SungHwan"},{"family":"Eliakim","given":"Rami"},{"family":"Chowers","given":"Yehuda"}],"issued":{"date-parts":[["2016"]]}}}],"schema":"https://github.com/citation-style-language/schema/raw/master/csl-citation.json"} </w:instrText>
      </w:r>
      <w:r w:rsidR="007229EF" w:rsidRPr="005B1A16">
        <w:rPr>
          <w:rFonts w:ascii="Book Antiqua" w:hAnsi="Book Antiqua"/>
          <w:color w:val="000000" w:themeColor="text1"/>
        </w:rPr>
        <w:fldChar w:fldCharType="separate"/>
      </w:r>
      <w:r w:rsidR="007229EF" w:rsidRPr="005B1A16">
        <w:rPr>
          <w:rFonts w:ascii="Book Antiqua" w:hAnsi="Book Antiqua"/>
          <w:color w:val="000000" w:themeColor="text1"/>
          <w:vertAlign w:val="superscript"/>
          <w:lang w:val="en-US"/>
        </w:rPr>
        <w:t>[74]</w:t>
      </w:r>
      <w:r w:rsidR="007229EF" w:rsidRPr="005B1A16">
        <w:rPr>
          <w:rFonts w:ascii="Book Antiqua" w:hAnsi="Book Antiqua"/>
          <w:color w:val="000000" w:themeColor="text1"/>
        </w:rPr>
        <w:fldChar w:fldCharType="end"/>
      </w:r>
      <w:r w:rsidRPr="005B1A16">
        <w:rPr>
          <w:rFonts w:ascii="Book Antiqua" w:hAnsi="Book Antiqua"/>
          <w:i/>
          <w:color w:val="000000" w:themeColor="text1"/>
        </w:rPr>
        <w:t xml:space="preserve"> </w:t>
      </w:r>
      <w:r w:rsidRPr="005B1A16">
        <w:rPr>
          <w:rFonts w:ascii="Book Antiqua" w:hAnsi="Book Antiqua"/>
          <w:color w:val="000000" w:themeColor="text1"/>
        </w:rPr>
        <w:t xml:space="preserve">studied the cross reactivity of antibodies to </w:t>
      </w:r>
      <w:r w:rsidR="008F7EBB" w:rsidRPr="005B1A16">
        <w:rPr>
          <w:rFonts w:ascii="Book Antiqua" w:hAnsi="Book Antiqua"/>
          <w:color w:val="000000" w:themeColor="text1"/>
        </w:rPr>
        <w:t>remicade</w:t>
      </w:r>
      <w:r w:rsidRPr="005B1A16">
        <w:rPr>
          <w:rFonts w:ascii="Book Antiqua" w:hAnsi="Book Antiqua"/>
          <w:color w:val="000000" w:themeColor="text1"/>
        </w:rPr>
        <w:t xml:space="preserve"> and infliximab-dyyb in 125 patients with IBD and healthy indiv</w:t>
      </w:r>
      <w:r w:rsidR="00213E46" w:rsidRPr="005B1A16">
        <w:rPr>
          <w:rFonts w:ascii="Book Antiqua" w:hAnsi="Book Antiqua"/>
          <w:color w:val="000000" w:themeColor="text1"/>
        </w:rPr>
        <w:t>iduals as negative controls</w:t>
      </w:r>
      <w:r w:rsidRPr="005B1A16">
        <w:rPr>
          <w:rFonts w:ascii="Book Antiqua" w:hAnsi="Book Antiqua"/>
          <w:color w:val="000000" w:themeColor="text1"/>
        </w:rPr>
        <w:t>. They demonstrated that anti-</w:t>
      </w:r>
      <w:r w:rsidR="008F7EBB" w:rsidRPr="005B1A16">
        <w:rPr>
          <w:rFonts w:ascii="Book Antiqua" w:hAnsi="Book Antiqua"/>
          <w:color w:val="000000" w:themeColor="text1"/>
        </w:rPr>
        <w:t>remicade</w:t>
      </w:r>
      <w:r w:rsidRPr="005B1A16">
        <w:rPr>
          <w:rFonts w:ascii="Book Antiqua" w:hAnsi="Book Antiqua"/>
          <w:color w:val="000000" w:themeColor="text1"/>
        </w:rPr>
        <w:t xml:space="preserve"> antibodies recognize and inhibit infliximab-dyyb as well. These results suggested that there was similar immunogen</w:t>
      </w:r>
      <w:r w:rsidR="008F7EBB" w:rsidRPr="005B1A16">
        <w:rPr>
          <w:rFonts w:ascii="Book Antiqua" w:hAnsi="Book Antiqua"/>
          <w:color w:val="000000" w:themeColor="text1"/>
        </w:rPr>
        <w:t>icity and shared immunodominant</w:t>
      </w:r>
      <w:r w:rsidRPr="005B1A16">
        <w:rPr>
          <w:rFonts w:ascii="Book Antiqua" w:hAnsi="Book Antiqua"/>
          <w:color w:val="000000" w:themeColor="text1"/>
        </w:rPr>
        <w:t xml:space="preserve"> epitopes. Although this supported the safety of biosimilars and the use of the same assay as the originator drug to detect antibodies, this study also supported not using the biosimilar in th</w:t>
      </w:r>
      <w:r w:rsidR="00213E46" w:rsidRPr="005B1A16">
        <w:rPr>
          <w:rFonts w:ascii="Book Antiqua" w:hAnsi="Book Antiqua"/>
          <w:color w:val="000000" w:themeColor="text1"/>
        </w:rPr>
        <w:t>e setting of originator failure</w:t>
      </w:r>
      <w:r w:rsidR="00DD2E53"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{"citationID":"uA4mJz3N","properties":{"formattedCitation":"\\super [71,74,75]\\nosupersub{}","plainCitation":"[71,74,75]","noteIndex":0},"citationItems":[{"id":152,"uris":["http://zotero.org/users/4672422/items/QHICX5F8"],"uri":["http://zotero.org/users/4672422/items/QHICX5F8"],"itemData":{"id":152,"type":"article-journal","title":"ECCO Position Statement on the Use of Biosimilars for Inflammatory Bowel Disease—An Update","container-title":"Journal of Crohn's and Colitis","page":"26-34","volume":"11","issue":"1","source":"CrossRef","URL":"https://academic.oup.com/ecco-jcc/article-lookup/doi/10.1093/ecco-jcc/jjw198","DOI":"10.1093/ecco-jcc/jjw198","ISSN":"1873-9946, 1876-4479","language":"en","author":[{"family":"Danese","given":"Silvio"},{"family":"Fiorino","given":"Gionata"},{"family":"Raine","given":"Tim"},{"family":"Ferrante","given":"Marc"},{"family":"Kemp","given":"Karen"},{"family":"Kierkus","given":"Jaroslaw"},{"family":"Lakatos","given":"Peter L."},{"family":"Mantzaris","given":"Gerassimos"},{"family":"Woude","given":"Janneke","non-dropping-particle":"van der"},{"family":"Panes","given":"Julian"},{"family":"Peyrin-Biroulet","given":"Laurent"}],"issued":{"date-parts":[["2017",1]]},"accessed":{"date-parts":[["2018",3,27]]}}},{"id":155,"uris":["http://zotero.org/users/4672422/items/A2AAXA75"],"uri":["http://zotero.org/users/4672422/items/A2AAXA75"],"itemData":{"id":155,"type":"article-journal","title":"Cross-immunogenicity: antibodies to infliximab in Remicade-treated patients with IBD similarly recognise the biosimilar Remsima","container-title":"Gut","page":"1132-1138","volume":"65","issue":"7","source":"PubMed","abstract":"OBJECTIVE: The cross-immunogenicity of the recently approved infliximab-biosimilar Remsima (CT-P13) with the originator drug Remicade is still unknown.\nDESIGN: Sera of patients with IBD with or without measurable anti-Remicade antibodies to infliximab (ATI) were tested for their cross-reactivity to two batches of Remsima. Experiments were repeated after deglycosylation of Remicade/Remsima, IgG purification, excipients' dialysis and monomer purification by size exclusion chromatography. Anti-Remicade antibodies were tested for their functional inhibition of TNF-α binding by Remsima/Remicade by competition assay. Cross-reactivity of anti-adalimumab antibodies with Remicade/Remsima was also investigated.\nRESULTS: 125 patients' and controls' sera were tested (median age 31 years, IQR 24.5-39.5). All 56 anti-Remicade ATI-negative controls (14 healthy individuals, 42 patients with IBD) were also negative for anti-Remsima ATI. All 69 positive anti-Remicade IBD sera were cross-reactive with Remsima. ATI titres against Remicade or Remsima were strongly correlated (r values between 0.92 and 0.99, p&lt;0.001 for all experiments, Spearman's correlation test). The background ELISA signal for Remsima was slightly higher compared with Remicade in negative controls (1.25±0.6 µg/mL vs 0.76±0.5</w:instrText>
      </w:r>
      <w:r w:rsidR="00B71AF0" w:rsidRPr="005B1A16">
        <w:rPr>
          <w:rFonts w:ascii="Cambria Math" w:hAnsi="Cambria Math" w:cs="Cambria Math"/>
          <w:color w:val="000000" w:themeColor="text1"/>
        </w:rPr>
        <w:instrText> </w:instrText>
      </w:r>
      <w:r w:rsidR="00B71AF0" w:rsidRPr="005B1A16">
        <w:rPr>
          <w:rFonts w:ascii="Book Antiqua" w:hAnsi="Book Antiqua" w:cs="Book Antiqua"/>
          <w:color w:val="000000" w:themeColor="text1"/>
        </w:rPr>
        <w:instrText>µ</w:instrText>
      </w:r>
      <w:r w:rsidR="00B71AF0" w:rsidRPr="005B1A16">
        <w:rPr>
          <w:rFonts w:ascii="Book Antiqua" w:hAnsi="Book Antiqua"/>
          <w:color w:val="000000" w:themeColor="text1"/>
        </w:rPr>
        <w:instrText xml:space="preserve">g/mL, respectively, p&lt;0.001), and persisted after deglycosylation, dialysis or protein size filtration, but abolished by IgG purification and significantly diminished by monomer purification. Anti-Remicade ATIs of patients with IBD (n=10) exerted similar functional inhibition on Remsima or Remicade TNF-α binding capacity (p=NS for all inhibition curve points). Antibodies-to-adalimumab in adalimumab-treated patients with IBD (n=7) did not cross-react with either Remicade or Remsima.\nCONCLUSIONS: Anti-Remicade antibodies in patients with IBD recognise and functionally inhibit Remsima to a similar degree, suggesting similar immunogenicity and shared immunodominant epitopes on these two infliximab agents. In contrast, anti-adalimumab antibodies do not cross-react with Remsima or Remicade.","DOI":"10.1136/gutjnl-2015-309290","ISSN":"1468-3288","note":"PMID: 25897019","shortTitle":"Cross-immunogenicity","journalAbbreviation":"Gut","language":"eng","author":[{"family":"Ben-Horin","given":"Shomron"},{"family":"Yavzori","given":"Miri"},{"family":"Benhar","given":"Itai"},{"family":"Fudim","given":"Ella"},{"family":"Picard","given":"Orit"},{"family":"Ungar","given":"Bella"},{"family":"Lee","given":"SooYoung"},{"family":"Kim","given":"SungHwan"},{"family":"Eliakim","given":"Rami"},{"family":"Chowers","given":"Yehuda"}],"issued":{"date-parts":[["2016"]]}}},{"id":157,"uris":["http://zotero.org/users/4672422/items/ZVPYNXAA"],"uri":["http://zotero.org/users/4672422/items/ZVPYNXAA"],"itemData":{"id":157,"type":"article-journal","title":"Harmonization of Infliximab and Anti-Infliximab Assays Facilitates the Comparison Between Originators and Biosimilars in Clinical Samples","container-title":"Inflammatory Bowel Diseases","page":"969-975","volume":"22","issue":"4","source":"PubMed","abstract":"BACKGROUND: The availability of an infliximab ELISA for measuring the originator drug Remicade and its biosimilars, such as Remsima and Inflectra (CT-P13), would facilitate the implementation of therapeutic drug monitoring of biosimilars and enhance the extrapolation of treatment stratification algorithms established for Remicade. A universal calibrator for all anti-infliximab antibody bridging assays allows harmonization of anti-drug antibody titers.\nMETHODS: A panel of 55 mouse monoclonal antibodies raised against Remicade, including MA-IFX6B7 and MA-IFX10F9, were evaluated for their reactivity toward the biosimilars using a sandwich-type ELISA and surface plasmon resonance. To analyze the similarity of detection of the biosimilars and Remicade in the infliximab ELISA, quality control samples were used. Bridging assays to determine anti-infliximab antibodies were developed according to the bridging ELISA of Remicade using MA-IFX10F9 as calibrator. Serum of 36 patients treated with Remicade was analyzed for anti-infliximab antibodies toward Remicade, Remsima and Inflectra using their respective bridging ELISA.\nRESULTS: MA-IFX6B7 and MA-IFX10F9 exhibit equal reactivity toward Remicade, Remsima, and Inflectra. The infliximab ELISA quantifies the biosimilars equally well as Remicade. Quantification of anti-infliximab antibodies in the serum of patients treated with Remicade revealed highly correlated titers between biosimilars and Remicade.\nCONCLUSIONS: The assay for therapeutic drug monitoring of Remicade can also be used to determine Remsima and Inflectra concentrations. Anti-drug antibody assays for biosimilars were developed. Anti-Remicade antibodies cross-react with infliximab biosimilars and reveal consistent negative/positive anti-drug antibody responses and highly correlated titers.","DOI":"10.1097/MIB.0000000000000709","ISSN":"1536-4844","note":"PMID: 26954707","journalAbbreviation":"Inflamm. Bowel Dis.","language":"eng","author":[{"family":"Gils","given":"Ann"},{"family":"Van Stappen","given":"Thomas"},{"family":"Dreesen","given":"Erwin"},{"family":"Storme","given":"Ruth"},{"family":"Vermeire","given":"Séverine"},{"family":"Declerck","given":"Paul J."}],"issued":{"date-parts":[["2016",4]]}}}],"schema":"https://github.com/citation-style-language/schema/raw/master/csl-citation.json"} </w:instrText>
      </w:r>
      <w:r w:rsidR="00DD2E53"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[71,74,75]</w:t>
      </w:r>
      <w:r w:rsidR="00DD2E53" w:rsidRPr="005B1A16">
        <w:rPr>
          <w:rFonts w:ascii="Book Antiqua" w:hAnsi="Book Antiqua"/>
          <w:color w:val="000000" w:themeColor="text1"/>
        </w:rPr>
        <w:fldChar w:fldCharType="end"/>
      </w:r>
      <w:r w:rsidR="00213E46" w:rsidRPr="005B1A16">
        <w:rPr>
          <w:rFonts w:ascii="Book Antiqua" w:hAnsi="Book Antiqua"/>
          <w:color w:val="000000" w:themeColor="text1"/>
        </w:rPr>
        <w:t>.</w:t>
      </w:r>
    </w:p>
    <w:p w14:paraId="589D9007" w14:textId="2FAB2EE4" w:rsidR="00424F7C" w:rsidRPr="005B1A16" w:rsidRDefault="00424F7C" w:rsidP="005B1A16">
      <w:pPr>
        <w:spacing w:line="360" w:lineRule="auto"/>
        <w:jc w:val="both"/>
        <w:rPr>
          <w:rFonts w:ascii="Book Antiqua" w:hAnsi="Book Antiqua"/>
          <w:color w:val="000000" w:themeColor="text1"/>
          <w:shd w:val="clear" w:color="auto" w:fill="FFFFFF"/>
        </w:rPr>
      </w:pPr>
    </w:p>
    <w:p w14:paraId="418E1C2B" w14:textId="0CB0E47B" w:rsidR="005E6EC3" w:rsidRPr="005B1A16" w:rsidRDefault="002F7534" w:rsidP="005B1A16">
      <w:pPr>
        <w:spacing w:line="360" w:lineRule="auto"/>
        <w:jc w:val="both"/>
        <w:rPr>
          <w:rFonts w:ascii="Book Antiqua" w:hAnsi="Book Antiqua"/>
          <w:b/>
          <w:i/>
          <w:color w:val="000000" w:themeColor="text1"/>
          <w:lang w:eastAsia="en-US"/>
        </w:rPr>
      </w:pPr>
      <w:r w:rsidRPr="005B1A16">
        <w:rPr>
          <w:rFonts w:ascii="Book Antiqua" w:hAnsi="Book Antiqua"/>
          <w:b/>
          <w:i/>
          <w:color w:val="000000" w:themeColor="text1"/>
        </w:rPr>
        <w:t>Evolution of treatment strategies of IBD and positioning currently approved biologics and small molecules in clinical practice</w:t>
      </w:r>
    </w:p>
    <w:p w14:paraId="1335760E" w14:textId="02AABF52" w:rsidR="005E6EC3" w:rsidRPr="005B1A16" w:rsidRDefault="005E6EC3" w:rsidP="005B1A16">
      <w:pPr>
        <w:spacing w:line="360" w:lineRule="auto"/>
        <w:jc w:val="both"/>
        <w:rPr>
          <w:rFonts w:ascii="Book Antiqua" w:hAnsi="Book Antiqua"/>
          <w:color w:val="000000" w:themeColor="text1"/>
        </w:rPr>
      </w:pPr>
      <w:r w:rsidRPr="005B1A16">
        <w:rPr>
          <w:rFonts w:ascii="Book Antiqua" w:hAnsi="Book Antiqua"/>
          <w:color w:val="000000" w:themeColor="text1"/>
          <w:shd w:val="clear" w:color="auto" w:fill="FFFFFF"/>
        </w:rPr>
        <w:t>As the therapeutic armamentarium for IBD continues to expand, so follows the complexity associated with managing IBD patients in clinical practice. The need</w:t>
      </w:r>
      <w:r w:rsidR="004972FF" w:rsidRPr="005B1A16">
        <w:rPr>
          <w:rFonts w:ascii="Book Antiqua" w:eastAsia="SimSun" w:hAnsi="Book Antiqua"/>
          <w:color w:val="000000" w:themeColor="text1"/>
          <w:shd w:val="clear" w:color="auto" w:fill="FFFFFF"/>
          <w:lang w:eastAsia="zh-CN"/>
        </w:rPr>
        <w:t>s</w:t>
      </w:r>
      <w:r w:rsidRPr="005B1A16">
        <w:rPr>
          <w:rFonts w:ascii="Book Antiqua" w:hAnsi="Book Antiqua"/>
          <w:color w:val="000000" w:themeColor="text1"/>
          <w:shd w:val="clear" w:color="auto" w:fill="FFFFFF"/>
        </w:rPr>
        <w:t xml:space="preserve"> for algorithms are required in order to assist health care practitioners determine the relative positioning of each agent and their use in combination with other therapies. Until the results of head to head biologic and small molecule trials become available, we can only speculate the positioning of therapeutic agents based on the current available literature</w:t>
      </w:r>
      <w:r w:rsidR="000E4BF2" w:rsidRPr="005B1A16">
        <w:rPr>
          <w:rFonts w:ascii="Book Antiqua" w:hAnsi="Book Antiqua"/>
          <w:color w:val="000000" w:themeColor="text1"/>
          <w:shd w:val="clear" w:color="auto" w:fill="FFFFFF"/>
        </w:rPr>
        <w:t xml:space="preserve"> as summarized in this section</w:t>
      </w:r>
      <w:r w:rsidR="00B1683E" w:rsidRPr="005B1A16">
        <w:rPr>
          <w:rFonts w:ascii="Book Antiqua" w:eastAsia="SimSun" w:hAnsi="Book Antiqua"/>
          <w:color w:val="000000" w:themeColor="text1"/>
          <w:shd w:val="clear" w:color="auto" w:fill="FFFFFF"/>
          <w:lang w:eastAsia="zh-CN"/>
        </w:rPr>
        <w:t xml:space="preserve"> (Table 1)</w:t>
      </w:r>
      <w:r w:rsidR="000E4BF2" w:rsidRPr="005B1A16">
        <w:rPr>
          <w:rFonts w:ascii="Book Antiqua" w:hAnsi="Book Antiqua"/>
          <w:color w:val="000000" w:themeColor="text1"/>
          <w:shd w:val="clear" w:color="auto" w:fill="FFFFFF"/>
        </w:rPr>
        <w:t>.</w:t>
      </w:r>
      <w:r w:rsidR="006D2854" w:rsidRPr="005B1A16">
        <w:rPr>
          <w:rFonts w:ascii="Book Antiqua" w:hAnsi="Book Antiqua"/>
          <w:color w:val="000000" w:themeColor="text1"/>
          <w:shd w:val="clear" w:color="auto" w:fill="FFFFFF"/>
        </w:rPr>
        <w:t xml:space="preserve"> </w:t>
      </w:r>
    </w:p>
    <w:p w14:paraId="03E081E6" w14:textId="77777777" w:rsidR="00D95AEE" w:rsidRPr="005B1A16" w:rsidRDefault="00D95AEE" w:rsidP="005B1A16">
      <w:pPr>
        <w:spacing w:line="360" w:lineRule="auto"/>
        <w:jc w:val="both"/>
        <w:rPr>
          <w:rFonts w:ascii="Book Antiqua" w:hAnsi="Book Antiqua"/>
          <w:color w:val="000000" w:themeColor="text1"/>
        </w:rPr>
      </w:pPr>
    </w:p>
    <w:p w14:paraId="592E9039" w14:textId="0C3413E0" w:rsidR="00AC5EB7" w:rsidRPr="005B1A16" w:rsidRDefault="0006168E" w:rsidP="005B1A16">
      <w:pPr>
        <w:spacing w:line="360" w:lineRule="auto"/>
        <w:jc w:val="both"/>
        <w:rPr>
          <w:rFonts w:ascii="Book Antiqua" w:hAnsi="Book Antiqua"/>
          <w:i/>
          <w:color w:val="000000" w:themeColor="text1"/>
        </w:rPr>
      </w:pPr>
      <w:r w:rsidRPr="005B1A16">
        <w:rPr>
          <w:rFonts w:ascii="Book Antiqua" w:hAnsi="Book Antiqua"/>
          <w:b/>
          <w:i/>
          <w:color w:val="000000" w:themeColor="text1"/>
        </w:rPr>
        <w:t xml:space="preserve">Positioning the ‘old’ biologics: </w:t>
      </w:r>
      <w:r w:rsidR="004972FF" w:rsidRPr="005B1A16">
        <w:rPr>
          <w:rFonts w:ascii="Book Antiqua" w:hAnsi="Book Antiqua"/>
          <w:b/>
          <w:i/>
          <w:color w:val="000000" w:themeColor="text1"/>
        </w:rPr>
        <w:t>Anti</w:t>
      </w:r>
      <w:r w:rsidRPr="005B1A16">
        <w:rPr>
          <w:rFonts w:ascii="Book Antiqua" w:hAnsi="Book Antiqua"/>
          <w:b/>
          <w:i/>
          <w:color w:val="000000" w:themeColor="text1"/>
        </w:rPr>
        <w:t>-TNFs first, alone or in combination?</w:t>
      </w:r>
    </w:p>
    <w:p w14:paraId="126C1F7A" w14:textId="44EB3A3D" w:rsidR="00764366" w:rsidRPr="005B1A16" w:rsidRDefault="00D95AEE" w:rsidP="005B1A16">
      <w:pPr>
        <w:spacing w:line="360" w:lineRule="auto"/>
        <w:jc w:val="both"/>
        <w:rPr>
          <w:rFonts w:ascii="Book Antiqua" w:eastAsia="SimSun" w:hAnsi="Book Antiqua"/>
          <w:color w:val="000000" w:themeColor="text1"/>
          <w:lang w:eastAsia="zh-CN"/>
        </w:rPr>
      </w:pPr>
      <w:r w:rsidRPr="005B1A16">
        <w:rPr>
          <w:rFonts w:ascii="Book Antiqua" w:hAnsi="Book Antiqua"/>
          <w:color w:val="000000" w:themeColor="text1"/>
          <w:shd w:val="clear" w:color="auto" w:fill="FFFFFF"/>
        </w:rPr>
        <w:t xml:space="preserve">As newer and more targeted therapies in IBD become available, </w:t>
      </w:r>
      <w:r w:rsidR="001942A7" w:rsidRPr="005B1A16">
        <w:rPr>
          <w:rFonts w:ascii="Book Antiqua" w:hAnsi="Book Antiqua"/>
          <w:color w:val="000000" w:themeColor="text1"/>
          <w:shd w:val="clear" w:color="auto" w:fill="FFFFFF"/>
        </w:rPr>
        <w:t xml:space="preserve">questions related to maintaining anti-TNF agents as first line therapy arise. Based on decades of data, </w:t>
      </w:r>
      <w:r w:rsidR="001942A7" w:rsidRPr="005B1A16">
        <w:rPr>
          <w:rFonts w:ascii="Book Antiqua" w:hAnsi="Book Antiqua"/>
          <w:color w:val="000000" w:themeColor="text1"/>
        </w:rPr>
        <w:t>anti-TNFs currently provide the best long-term evidence of efficacy in CD and UC, with a known safety profile. They are effective for both induction and maintenance therapy, decrease corticosteroid exposure and promote sustained mucosal healing</w:t>
      </w:r>
      <w:r w:rsidR="00764366"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{"citationID":"ag3f185a4r","properties":{"formattedCitation":"\\super [76,77]\\nosupersub{}","plainCitation":"[76,77]","noteIndex":0},"citationItems":[{"id":160,"uris":["http://zotero.org/users/4672422/items/4XFXU9NK"],"uri":["http://zotero.org/users/4672422/items/4XFXU9NK"],"itemData":{"id":160,"type":"article-journal","title":"Systematic review with meta-analysis: comparative efficacy of immunosuppressants and biologics for reducing hospitalisation and surgery in Crohn's disease and ulcerative colitis","container-title":"Alimentary Pharmacology &amp; Therapeutics","page":"3-13","volume":"45","issue":"1","source":"CrossRef","URL":"http://doi.wiley.com/10.1111/apt.13847","DOI":"10.1111/apt.13847","ISSN":"02692813","shortTitle":"Systematic review with meta-analysis","language":"en","author":[{"family":"Mao","given":"E. J."},{"family":"Hazlewood","given":"G. S."},{"family":"Kaplan","given":"G. G."},{"family":"Peyrin-Biroulet","given":"L."},{"family":"Ananthakrishnan","given":"A. N."}],"issued":{"date-parts":[["2017",1]]},"accessed":{"date-parts":[["2018",3,28]]}}},{"id":159,"uris":["http://zotero.org/users/4672422/items/QAE6U9MK"],"uri":["http://zotero.org/users/4672422/items/QAE6U9MK"],"itemData":{"id":159,"type":"article-journal","title":"Biologic agents for IBD: practical insights","container-title":"Nature Reviews Gastroenterology &amp; Hepatology","page":"537-545","volume":"12","issue":"9","source":"CrossRef","URL":"http://www.nature.com/articles/nrgastro.2015.135","DOI":"10.1038/nrgastro.2015.135","ISSN":"1759-5045, 1759-5053","shortTitle":"Biologic agents for IBD","language":"en","author":[{"family":"Danese","given":"Silvio"},{"family":"Vuitton","given":"Lucine"},{"family":"Peyrin-Biroulet","given":"Laurent"}],"issued":{"date-parts":[["2015",9]]},"accessed":{"date-parts":[["2018",3,28]]}}}],"schema":"https://github.com/citation-style-language/schema/raw/master/csl-citation.json"} </w:instrText>
      </w:r>
      <w:r w:rsidR="00764366"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[76,77]</w:t>
      </w:r>
      <w:r w:rsidR="00764366" w:rsidRPr="005B1A16">
        <w:rPr>
          <w:rFonts w:ascii="Book Antiqua" w:hAnsi="Book Antiqua"/>
          <w:color w:val="000000" w:themeColor="text1"/>
        </w:rPr>
        <w:fldChar w:fldCharType="end"/>
      </w:r>
      <w:r w:rsidR="001942A7" w:rsidRPr="005B1A16">
        <w:rPr>
          <w:rFonts w:ascii="Book Antiqua" w:hAnsi="Book Antiqua"/>
          <w:color w:val="000000" w:themeColor="text1"/>
        </w:rPr>
        <w:t>.</w:t>
      </w:r>
      <w:r w:rsidR="001942A7" w:rsidRPr="005B1A16">
        <w:rPr>
          <w:rFonts w:ascii="Book Antiqua" w:hAnsi="Book Antiqua"/>
          <w:color w:val="000000" w:themeColor="text1"/>
          <w:vertAlign w:val="superscript"/>
        </w:rPr>
        <w:t xml:space="preserve"> </w:t>
      </w:r>
      <w:r w:rsidR="001942A7" w:rsidRPr="005B1A16">
        <w:rPr>
          <w:rFonts w:ascii="Book Antiqua" w:hAnsi="Book Antiqua"/>
          <w:color w:val="000000" w:themeColor="text1"/>
        </w:rPr>
        <w:t>The most important safety concern is the risk of serious infection. However, in younger patients without co-existing medical problems, this risk is fairly low</w:t>
      </w:r>
      <w:r w:rsidR="00675848"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{"citationID":"a21ufv2ch4k","properties":{"formattedCitation":"\\super [78]\\nosupersub{}","plainCitation":"[78]","noteIndex":0},"citationItems":[{"id":161,"uris":["http://zotero.org/users/4672422/items/IEPVKLMW"],"uri":["http://zotero.org/users/4672422/items/IEPVKLMW"],"itemData":{"id":161,"type":"article-journal","title":"Serious Infection and Mortality in Patients With Crohn's Disease: More Than 5 Years of Follow-Up in the TREAT™ Registry","container-title":"The American Journal of Gastroenterology","page":"1409-1422","volume":"107","issue":"9","source":"CrossRef","URL":"http://www.nature.com/articles/ajg2012218","DOI":"10.1038/ajg.2012.218","ISSN":"0002-9270, 1572-0241","shortTitle":"Serious Infection and Mortality in Patients With Crohn's Disease","language":"en","author":[{"family":"Lichtenstein","given":"Gary R"},{"family":"Feagan","given":"Brian G"},{"family":"Cohen","given":"Russell D"},{"family":"Salzberg","given":"Bruce A"},{"family":"Diamond","given":"Robert H"},{"family":"Price","given":"Samiyeh"},{"family":"Langholff","given":"Wayne"},{"family":"Londhe","given":"Anil"},{"family":"Sandborn","given":"William J"}],"issued":{"date-parts":[["2012",9]]},"accessed":{"date-parts":[["2018",3,28]]}}}],"schema":"https://github.com/citation-style-language/schema/raw/master/csl-citation.json"} </w:instrText>
      </w:r>
      <w:r w:rsidR="00675848"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[78]</w:t>
      </w:r>
      <w:r w:rsidR="00675848" w:rsidRPr="005B1A16">
        <w:rPr>
          <w:rFonts w:ascii="Book Antiqua" w:hAnsi="Book Antiqua"/>
          <w:color w:val="000000" w:themeColor="text1"/>
        </w:rPr>
        <w:fldChar w:fldCharType="end"/>
      </w:r>
      <w:r w:rsidR="00764366" w:rsidRPr="005B1A16">
        <w:rPr>
          <w:rFonts w:ascii="Book Antiqua" w:hAnsi="Book Antiqua"/>
          <w:color w:val="000000" w:themeColor="text1"/>
        </w:rPr>
        <w:t>.</w:t>
      </w:r>
    </w:p>
    <w:p w14:paraId="25A29A7D" w14:textId="1A8A332E" w:rsidR="007A49FD" w:rsidRPr="005B1A16" w:rsidRDefault="00AC5EB7" w:rsidP="005B1A16">
      <w:pPr>
        <w:spacing w:line="360" w:lineRule="auto"/>
        <w:ind w:firstLineChars="100" w:firstLine="240"/>
        <w:jc w:val="both"/>
        <w:rPr>
          <w:rFonts w:ascii="Book Antiqua" w:eastAsia="SimSun" w:hAnsi="Book Antiqua"/>
          <w:color w:val="000000" w:themeColor="text1"/>
          <w:lang w:eastAsia="zh-CN"/>
        </w:rPr>
      </w:pPr>
      <w:r w:rsidRPr="005B1A16">
        <w:rPr>
          <w:rFonts w:ascii="Book Antiqua" w:hAnsi="Book Antiqua"/>
          <w:color w:val="000000" w:themeColor="text1"/>
        </w:rPr>
        <w:t xml:space="preserve">Comparing efficacy of TNF inhibitors is difficult </w:t>
      </w:r>
      <w:r w:rsidR="007A49FD" w:rsidRPr="005B1A16">
        <w:rPr>
          <w:rFonts w:ascii="Book Antiqua" w:hAnsi="Book Antiqua"/>
          <w:color w:val="000000" w:themeColor="text1"/>
        </w:rPr>
        <w:t>due to the lack of</w:t>
      </w:r>
      <w:r w:rsidRPr="005B1A16">
        <w:rPr>
          <w:rFonts w:ascii="Book Antiqua" w:hAnsi="Book Antiqua"/>
          <w:color w:val="000000" w:themeColor="text1"/>
        </w:rPr>
        <w:t xml:space="preserve"> high-quality, head-to-head trials</w:t>
      </w:r>
      <w:r w:rsidR="00B81B84" w:rsidRPr="005B1A16">
        <w:rPr>
          <w:rFonts w:ascii="Book Antiqua" w:hAnsi="Book Antiqua"/>
          <w:color w:val="000000" w:themeColor="text1"/>
        </w:rPr>
        <w:t xml:space="preserve"> (Table 2)</w:t>
      </w:r>
      <w:r w:rsidRPr="005B1A16">
        <w:rPr>
          <w:rFonts w:ascii="Book Antiqua" w:hAnsi="Book Antiqua"/>
          <w:color w:val="000000" w:themeColor="text1"/>
        </w:rPr>
        <w:t xml:space="preserve">. </w:t>
      </w:r>
      <w:r w:rsidR="007A49FD" w:rsidRPr="005B1A16">
        <w:rPr>
          <w:rFonts w:ascii="Book Antiqua" w:hAnsi="Book Antiqua"/>
          <w:color w:val="000000" w:themeColor="text1"/>
          <w:shd w:val="clear" w:color="auto" w:fill="FFFFFF"/>
        </w:rPr>
        <w:t>Network meta-analyses indirectly comparing anti-TNF agents have reported mixed results</w:t>
      </w:r>
      <w:r w:rsidR="007972DE"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{"citationID":"a28u1pej0kh","properties":{"formattedCitation":"\\super [45,79\\uc0\\u8211{}81]\\nosupersub{}","plainCitation":"[45,79–81]","noteIndex":0},"citationItems":[{"id":105,"uris":["http://zotero.org/users/4672422/items/8JKC9CEF"],"uri":["http://zotero.org/users/4672422/items/8JKC9CEF"],"itemData":{"id":105,"type":"article-journal","title":"Comparative efficacy of biologic therapy in biologic-naïve patients with Crohn disease: a systematic review and network meta-analysis","container-title":"Mayo Clinic Proceedings","page":"1621-1635","volume":"89","issue":"12","source":"PubMed","abstract":"OBJECTIVE: To study the comparative efficacy of biologic therapy in the management of biologic-naïve patients with Crohn disease (CD).\nPATIENTS AND METHODS: We conducted a systematic review of randomized controlled trials published from January 1, 1985, through September 30, 2013, comparing biologic agents (infliximab [IFX], adalimumab [ADA], certolizumab pegol, natalizumab, vedolizumab, and ustekinumab) with each other or placebo for inducing and maintaining clinical remission in adults with moderate to severe CD. To increase comparability across trials, we focused on a subset of biologic-naïve patients for the induction end point and on responders to induction therapy for the maintenance end point. We followed a Bayesian network meta-analysis approach.\nRESULTS: We identified 17 randomized controlled trials of good methodological quality comparing 6 biologic agents with placebo, with no direct comparison of biologic agents. In network meta-analysis, we observed that IFX (relative risk [RR], 6.11; 95% credible interval [CrI], 2.49-18.29) and ADA (RR, 2.98; 95% CrI, 1.12-8.18), but not certolizumab pegol (RR, 1.48; 95% CrI, 0.76-2.93), natalizumab (RR, 1.36; 95% CrI, 0.69-2.86), vedolizumab (RR, 1.40; 95% CrI, 0.63-3.28), and ustekinumab (RR, 0.61; 95% CrI, 0.15-2.49), were more likely to induce remission than placebo. Similar results were observed for maintenance of remission. Infliximab had the highest probability of being ranked as the most efficacious agent for induction (86%) and ADA for maintenance of remission (48%).\nCONCLUSION: On the basis of network meta-analysis, IFX may be most efficacious agent for inducing remission in CD in biologic-naïve patients. In the absence of head-to-head treatment comparison, the confidence in these estimates is low. Future comparative efficacy studies are warranted.","DOI":"10.1016/j.mayocp.2014.08.019","ISSN":"1942-5546","note":"PMID: 25441399","shortTitle":"Comparative efficacy of biologic therapy in biologic-naïve patients with Crohn disease","journalAbbreviation":"Mayo Clin. Proc.","language":"eng","author":[{"family":"Singh","given":"Siddharth"},{"family":"Garg","given":"Sushil Kumar"},{"family":"Pardi","given":"Darrell S."},{"family":"Wang","given":"Zhen"},{"family":"Murad","given":"Mohammad Hassan"},{"family":"Loftus","given":"Edward V."}],"issued":{"date-parts":[["2014",12]]}}},{"id":162,"uris":["http://zotero.org/users/4672422/items/SKPUNC3H"],"uri":["http://zotero.org/users/4672422/items/SKPUNC3H"],"itemData":{"id":162,"type":"article-journal","title":"Comparative effectiveness of immunosuppressants and biologics for inducing and maintaining remission in Crohn's disease: a network meta-analysis","container-title":"Gastroenterology","page":"344-354.e5; quiz e14-15","volume":"148","issue":"2","source":"PubMed","abstract":"BACKGROUND &amp; AIMS: There is controversy regarding the best treatment for patients with Crohn's disease because of the lack of direct comparative trials. We compared therapies for induction and maintenance of remission in patients with Crohn's disease, based on direct and indirect evidence.\nMETHODS: We performed systematic reviews of MEDLINE, EMBASE, and Cochrane Central databases, through June 2014. We identified randomized controlled trials (N = 39) comparing methotrexate, azathioprine/6-mercaptopurine, infliximab, adalimumab, certolizumab, vedolizumab, or combined therapies with placebo or an active agent for induction and maintenance of remission in adult patients with Crohn's disease. Pairwise treatment effects were estimated through a Bayesian random-effects network meta-analysis and reported as odds ratios (OR) with a 95% credible interval (CrI).\nRESULTS: Infliximab, the combination of infliximab and azathioprine (infliximab + azathioprine), adalimumab, and vedolizumab were superior to placebo for induction of remission. In pair-wise comparisons of anti-tumor necrosis factor agents, infliximab + azathioprine (OR, 3.1; 95% CrI, 1.4-7.7) and adalimumab (OR, 2.1; 95% CrI, 1.0-4.6) were superior to certolizumab for induction of remission. All treatments were superior to placebo for maintaining remission, except for the combination of infliximab and methotrexate. Adalimumab, infliximab, and infliximab + azathioprine were superior to azathioprine/6-mercaptopurine: adalimumab (OR, 2.9; 95% CrI, 1.6-5.1), infliximab (OR, 1.6; 95% CrI, 1.0-2.5), infliximab + azathioprine (OR, 3.0; 95% CrI, 1.7-5.5) for maintenance of remission. Adalimumab and infliximab + azathioprine were superior to certolizumab: adalimumab (OR, 2.5; 95% CrI, 1.4-4.6) and infliximab + azathioprine (OR, 2.6; 95% CrI, 1.3-6.0). Adalimumab was superior to vedolizumab (OR, 2.4; 95% CrI, 1.2-4.6).\nCONCLUSIONS: Based on a network meta-analysis, adalimumab and infliximab + azathioprine are the most effective therapies for induction and maintenance of remission of Crohn's disease.","DOI":"10.1053/j.gastro.2014.10.011","ISSN":"1528-0012","note":"PMID: 25448924","shortTitle":"Comparative effectiveness of immunosuppressants and biologics for inducing and maintaining remission in Crohn's disease","journalAbbreviation":"Gastroenterology","language":"eng","author":[{"family":"Hazlewood","given":"Glen S."},{"family":"Rezaie","given":"Ali"},{"family":"Borman","given":"Meredith"},{"family":"Panaccione","given":"Remo"},{"family":"Ghosh","given":"Subrata"},{"family":"Seow","given":"Cynthia H."},{"family":"Kuenzig","given":"Ellen"},{"family":"Tomlinson","given":"George"},{"family":"Siegel","given":"Corey A."},{"family":"Melmed","given":"Gil Y."},{"family":"Kaplan","given":"Gilaad G."}],"issued":{"date-parts":[["2015",2]]}}},{"id":164,"uris":["http://zotero.org/users/4672422/items/FH8THC9S"],"uri":["http://zotero.org/users/4672422/items/FH8THC9S"],"itemData":{"id":164,"type":"article-journal","title":"Systematic review with network meta-analysis: the efficacy of anti-TNF agents for the treatment of Crohn's disease","container-title":"Alimentary Pharmacology &amp; Therapeutics","page":"1349-1362","volume":"39","issue":"12","source":"PubMed","abstract":"BACKGROUND: Anti-tumour necrosis factor-alpha agents (anti-TNF) are effective therapies for the treatment of Crohn's disease (CD), but their comparative efficacy is unknown.\nAIM: To perform a network meta-analysis comparing the efficacy of anti-TNF therapies in CD.\nMETHODS: After screening 506 studies, reviewers extracted information on 10 studies. Traditional meta-analysis (TMA) was used to compare each anti-TNF agent to placebo. Bayesian network meta-analysis (NMA) was performed to compare the effects of anti-TNF agents to placebo. In addition, sample sizes for comparative efficacy trials were calculated.\nRESULTS: Compared to placebo, TMA revealed that anti-TNF agents result in a higher likelihood of induction of remission and response (RR: 1.66, 95% CI: 1.17-2.36 and RR: 1.43, 95% CI: 1.17-1.73, respectively) as well as maintenance of remission and response (RR: 1.78, 95% CI: 1.51-2.09 and RR: 1.68, 95% CI: 1.46-1.93, respectively). NMA found nonsignificant trends between infliximab and adalimumab or certolizumab pegol. Among subcutaneous therapies, NMA demonstrated superiority of adalimumab to certolizumab pegol for induction of remission (RR: 2.93, 95% CrI: 1.21-7.75). Sample size calculations suggest that adequately powered head-to-head comparative efficacy trials would require greater than 3000 patients.\nCONCLUSIONS: All anti-TNF agents are effective for induction and maintenance of response and remission in the treatment of CD. Although adalimumab is superior to certolizumab pegol for induction of remission, there is no evidence of clinical superiority among anti-TNF agents. Head-to-head trials among the anti-TNF agents are impractical in terms of size and cost.","DOI":"10.1111/apt.12749","ISSN":"1365-2036","note":"PMID: 24749763","shortTitle":"Systematic review with network meta-analysis","journalAbbreviation":"Aliment. Pharmacol. Ther.","language":"eng","author":[{"family":"Stidham","given":"R. W."},{"family":"Lee","given":"T. C. H."},{"family":"Higgins","given":"P. D. R."},{"family":"Deshpande","given":"A. R."},{"family":"Sussman","given":"D. A."},{"family":"Singal","given":"A. G."},{"family":"Elmunzer","given":"B. J."},{"family":"Saini","given":"S. D."},{"family":"Vijan","given":"S."},{"family":"Waljee","given":"A. K."}],"issued":{"date-parts":[["2014",6]]}}},{"id":166,"uris":["http://zotero.org/users/4672422/items/YY79ABJ9"],"uri":["http://zotero.org/users/4672422/items/YY79ABJ9"],"itemData":{"id":166,"type":"article-journal","title":"Biological agents for moderately to severely active ulcerative colitis: a systematic review and network meta-analysis","container-title":"Annals of Internal Medicine","page":"704-711","volume":"160","issue":"10","source":"PubMed","abstract":"BACKGROUND: Biological agents are emerging treatment options for the management of ulcerative colitis (UC).\nPURPOSE: To assess the comparative efficacy and harm of biological agents in adult patients with moderately to severely active UC who are naive to biological agents.\nDATA SOURCES: MEDLINE, EMBASE, and Cochrane Library from inception through December 2013, without language restrictions, and ClinicalTrials.gov, European Medicines Agency, and U.S. Food and Drug Administration Web sites.\nSTUDY SELECTION: Randomized, placebo-controlled or head-to-head trials assessing biological agents as induction or maintenance therapy for moderately to severely active UC.\nDATA EXTRACTION: Two reviewers independently abstracted study data and outcomes and rated each trial's risk of bias.\nDATA SYNTHESIS: There were no head-to-head trials. There were 7 double-blind, placebo-controlled trials that were rated as low risk of bias and showed that all biological agents (adalimumab, golimumab, infliximab, and vedolizumab) resulted in more clinical responses, clinical remissions, and mucosal healings than placebo for induction therapy. The results of network meta-analysis suggested that infliximab is more effective to induce clinical response (odds ratio, 2.36 [95% credible interval, 1.22 to 4.63]) and mucosal healing (odds ratio, 2.02 [95% credible interval, 1.13 to 3.59]) than adalimumab. No other indirect comparison reached statistical significance. For maintenance, 6 double-blind, placebo-controlled trials that were rated high risk of bias showed that all biological agents have greater clinical efficacy than placebo. The occurrence of adverse events was not different between biological agents and placebo.\nLIMITATION: Few trials, no head-to-head comparisons, and inadequate follow-up in maintenance trials.\nCONCLUSION: Biological agents are effective treatments for UC, but head-to-head trials are warranted to establish the best therapeutic option.","DOI":"10.7326/M13-2403","ISSN":"1539-3704","note":"PMID: 24842416","shortTitle":"Biological agents for moderately to severely active ulcerative colitis","journalAbbreviation":"Ann. Intern. Med.","language":"eng","author":[{"family":"Danese","given":"Silvio"},{"family":"Fiorino","given":"Gionata"},{"family":"Peyrin-Biroulet","given":"Laurent"},{"family":"Lucenteforte","given":"Ersilia"},{"family":"Virgili","given":"Gianni"},{"family":"Moja","given":"Lorenzo"},{"family":"Bonovas","given":"Stefanos"}],"issued":{"date-parts":[["2014",5,20]]}}}],"schema":"https://github.com/citation-style-language/schema/raw/master/csl-citation.json"} </w:instrText>
      </w:r>
      <w:r w:rsidR="007972DE"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[45,79–81]</w:t>
      </w:r>
      <w:r w:rsidR="007972DE" w:rsidRPr="005B1A16">
        <w:rPr>
          <w:rFonts w:ascii="Book Antiqua" w:hAnsi="Book Antiqua"/>
          <w:color w:val="000000" w:themeColor="text1"/>
          <w:shd w:val="clear" w:color="auto" w:fill="FFFFFF"/>
        </w:rPr>
        <w:fldChar w:fldCharType="end"/>
      </w:r>
      <w:r w:rsidR="007A49FD" w:rsidRPr="005B1A16">
        <w:rPr>
          <w:rFonts w:ascii="Book Antiqua" w:hAnsi="Book Antiqua"/>
          <w:color w:val="000000" w:themeColor="text1"/>
          <w:shd w:val="clear" w:color="auto" w:fill="FFFFFF"/>
        </w:rPr>
        <w:t xml:space="preserve">. </w:t>
      </w:r>
      <w:r w:rsidR="00E467D8" w:rsidRPr="005B1A16">
        <w:rPr>
          <w:rFonts w:ascii="Book Antiqua" w:hAnsi="Book Antiqua"/>
          <w:color w:val="000000" w:themeColor="text1"/>
        </w:rPr>
        <w:t>Based on ‘real world’ data</w:t>
      </w:r>
      <w:r w:rsidR="007A49FD" w:rsidRPr="005B1A16">
        <w:rPr>
          <w:rFonts w:ascii="Book Antiqua" w:hAnsi="Book Antiqua"/>
          <w:color w:val="000000" w:themeColor="text1"/>
        </w:rPr>
        <w:t xml:space="preserve">, an analysis of </w:t>
      </w:r>
      <w:r w:rsidR="007A49FD" w:rsidRPr="005B1A16">
        <w:rPr>
          <w:rFonts w:ascii="Book Antiqua" w:hAnsi="Book Antiqua"/>
          <w:color w:val="000000" w:themeColor="text1"/>
        </w:rPr>
        <w:lastRenderedPageBreak/>
        <w:t>retrospective</w:t>
      </w:r>
      <w:r w:rsidR="00E467D8" w:rsidRPr="005B1A16">
        <w:rPr>
          <w:rFonts w:ascii="Book Antiqua" w:hAnsi="Book Antiqua"/>
          <w:color w:val="000000" w:themeColor="text1"/>
        </w:rPr>
        <w:t xml:space="preserve"> and</w:t>
      </w:r>
      <w:r w:rsidR="007A49FD" w:rsidRPr="005B1A16">
        <w:rPr>
          <w:rFonts w:ascii="Book Antiqua" w:hAnsi="Book Antiqua"/>
          <w:color w:val="000000" w:themeColor="text1"/>
        </w:rPr>
        <w:t xml:space="preserve"> comparative effectiveness database studies revealed subtle differences regarding hospitalisation and surgery rates </w:t>
      </w:r>
      <w:r w:rsidR="00E467D8" w:rsidRPr="005B1A16">
        <w:rPr>
          <w:rFonts w:ascii="Book Antiqua" w:hAnsi="Book Antiqua"/>
          <w:color w:val="000000" w:themeColor="text1"/>
        </w:rPr>
        <w:t>as well as</w:t>
      </w:r>
      <w:r w:rsidR="007A49FD" w:rsidRPr="005B1A16">
        <w:rPr>
          <w:rFonts w:ascii="Book Antiqua" w:hAnsi="Book Antiqua"/>
          <w:color w:val="000000" w:themeColor="text1"/>
        </w:rPr>
        <w:t xml:space="preserve"> </w:t>
      </w:r>
      <w:r w:rsidR="00E467D8" w:rsidRPr="005B1A16">
        <w:rPr>
          <w:rFonts w:ascii="Book Antiqua" w:hAnsi="Book Antiqua"/>
          <w:color w:val="000000" w:themeColor="text1"/>
        </w:rPr>
        <w:t xml:space="preserve">the </w:t>
      </w:r>
      <w:r w:rsidR="007A49FD" w:rsidRPr="005B1A16">
        <w:rPr>
          <w:rFonts w:ascii="Book Antiqua" w:hAnsi="Book Antiqua"/>
          <w:color w:val="000000" w:themeColor="text1"/>
        </w:rPr>
        <w:t>steroid sparing effect between infliximab and adalimumab, favouring infliximab at currently recommended doses.</w:t>
      </w:r>
      <w:r w:rsidR="007A49FD" w:rsidRPr="005B1A16">
        <w:rPr>
          <w:rStyle w:val="EndnoteReference"/>
          <w:rFonts w:ascii="Book Antiqua" w:hAnsi="Book Antiqua"/>
          <w:color w:val="000000" w:themeColor="text1"/>
        </w:rPr>
        <w:t xml:space="preserve"> </w:t>
      </w:r>
      <w:r w:rsidR="007A49FD" w:rsidRPr="005B1A16">
        <w:rPr>
          <w:rFonts w:ascii="Book Antiqua" w:hAnsi="Book Antiqua"/>
          <w:color w:val="000000" w:themeColor="text1"/>
        </w:rPr>
        <w:t>Of note, clinical t</w:t>
      </w:r>
      <w:r w:rsidRPr="005B1A16">
        <w:rPr>
          <w:rFonts w:ascii="Book Antiqua" w:hAnsi="Book Antiqua"/>
          <w:color w:val="000000" w:themeColor="text1"/>
        </w:rPr>
        <w:t>rials of higher-dose adalimumab for both UC and CD are currently underway</w:t>
      </w:r>
      <w:r w:rsidR="009877C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{"citationID":"ah0m76gscp","properties":{"formattedCitation":"\\super [82,83]\\nosupersub{}","plainCitation":"[82,83]","noteIndex":0},"citationItems":[{"id":171,"uris":["http://zotero.org/users/4672422/items/CWI9S2AT"],"uri":["http://zotero.org/users/4672422/items/CWI9S2AT"],"itemData":{"id":171,"type":"article-journal","title":"Study to Evaluate Efficacy and Safety of Two Drug Regimens in Subjects With Moderate to Severe Crohn's Disease","author":[{"family":"NCT02065570","given":""}]}},{"id":170,"uris":["http://zotero.org/users/4672422/items/HA5HG84G"],"uri":["http://zotero.org/users/4672422/items/HA5HG84G"],"itemData":{"id":170,"type":"article-journal","title":"Study to Evaluate the Safety and Efficacy of Two Drug Regimens in Subjects With Moderate to Severe Ulcerative Colitis","author":[{"family":"NCT02065622","given":""}]}}],"schema":"https://github.com/citation-style-language/schema/raw/master/csl-citation.json"} </w:instrText>
      </w:r>
      <w:r w:rsidR="009877C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[82,83]</w:t>
      </w:r>
      <w:r w:rsidR="009877CA" w:rsidRPr="005B1A16">
        <w:rPr>
          <w:rFonts w:ascii="Book Antiqua" w:hAnsi="Book Antiqua"/>
          <w:color w:val="000000" w:themeColor="text1"/>
        </w:rPr>
        <w:fldChar w:fldCharType="end"/>
      </w:r>
      <w:r w:rsidRPr="005B1A16">
        <w:rPr>
          <w:rFonts w:ascii="Book Antiqua" w:hAnsi="Book Antiqua"/>
          <w:color w:val="000000" w:themeColor="text1"/>
        </w:rPr>
        <w:t>.</w:t>
      </w:r>
    </w:p>
    <w:p w14:paraId="6A0D7DA8" w14:textId="42DA36A4" w:rsidR="007A49FD" w:rsidRPr="005B1A16" w:rsidRDefault="007A49FD" w:rsidP="005B1A16">
      <w:pPr>
        <w:spacing w:line="360" w:lineRule="auto"/>
        <w:ind w:firstLineChars="100" w:firstLine="240"/>
        <w:jc w:val="both"/>
        <w:rPr>
          <w:rFonts w:ascii="Book Antiqua" w:eastAsia="SimSun" w:hAnsi="Book Antiqua"/>
          <w:color w:val="000000" w:themeColor="text1"/>
          <w:shd w:val="clear" w:color="auto" w:fill="FFFFFF"/>
          <w:lang w:eastAsia="zh-CN"/>
        </w:rPr>
      </w:pPr>
      <w:r w:rsidRPr="005B1A16">
        <w:rPr>
          <w:rFonts w:ascii="Book Antiqua" w:hAnsi="Book Antiqua"/>
          <w:color w:val="000000" w:themeColor="text1"/>
          <w:shd w:val="clear" w:color="auto" w:fill="FFFFFF"/>
        </w:rPr>
        <w:t xml:space="preserve">Deciding between which anti-TNF agent to use depends on the clinical circumstances, treatment history and patient preference. </w:t>
      </w:r>
      <w:r w:rsidR="006E7C9A" w:rsidRPr="005B1A16">
        <w:rPr>
          <w:rFonts w:ascii="Book Antiqua" w:hAnsi="Book Antiqua"/>
          <w:color w:val="000000" w:themeColor="text1"/>
          <w:shd w:val="clear" w:color="auto" w:fill="FFFFFF"/>
        </w:rPr>
        <w:t>In the absence of head-to-head comparisons, there exists few specific scenarios in which the evidence supports the use of specific anti-TNF agents. I</w:t>
      </w:r>
      <w:r w:rsidRPr="005B1A16">
        <w:rPr>
          <w:rFonts w:ascii="Book Antiqua" w:hAnsi="Book Antiqua"/>
          <w:color w:val="000000" w:themeColor="text1"/>
          <w:shd w:val="clear" w:color="auto" w:fill="FFFFFF"/>
        </w:rPr>
        <w:t>n the setting of a hospitalized patient with severe UC, only infliximab has demonstrated its efficacy as a ‘rescue’ therapy</w:t>
      </w:r>
      <w:r w:rsidR="00BC3C02"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{"citationID":"a1ijfh1q8rj","properties":{"formattedCitation":"\\super [84]\\nosupersub{}","plainCitation":"[84]","noteIndex":0},"citationItems":[{"id":172,"uris":["http://zotero.org/users/4672422/items/6GKEA4XC"],"uri":["http://zotero.org/users/4672422/items/6GKEA4XC"],"itemData":{"id":172,"type":"article-journal","title":"Infliximab as rescue therapy in severe to moderately severe ulcerative colitis: a randomized, placebo-controlled study","container-title":"Gastroenterology","page":"1805-1811","volume":"128","issue":"7","source":"PubMed","abstract":"BACKGROUND &amp; AIMS: Despite treatment with corticosteroids, severe to moderately severe attacks of ulcerative colitis have a high colectomy rate. We intended to find a rescue therapy other than cyclosporin A, which imposes a high risk of side effects and cyclosporine-related mortality.\nMETHODS: This was a randomized double-blind trial of infliximab or placebo in severe to moderately severe ulcerative colitis not responding to conventional treatment. Patients were randomized to infliximab/placebo either on day 4 after the initiation of corticosteroid treatment if they fulfilled the index criteria for fulminant ulcerative colitis on day 3 or on day 6-8 if they fulfilled index criteria on day 5-7 for a severe or moderately severe acute attack of ulcerative colitis. Results were analyzed according to the intention-to-treat principle. The primary end point was colectomy or death 3 months after randomization. Secondary end points were clinical and endoscopic remission at that time in patients who did not undergo operation.\nRESULTS: Forty-five patients were included (24 infliximab and 21 placebo). No patient died. Seven patients in the infliximab group and 14 in the placebo group had a colectomy (P = .017; odds ratio, 4.9; 95% confidence interval, 1.4-17) within 3 months after randomization. No serious side effects occurred. Three patients in the placebo group required operation for septic complications.\nCONCLUSIONS: Infliximab 4-5 mg/kg is an effective and safe rescue therapy in patients experiencing an acute severe or moderately severe attack of ulcerative colitis not responding to conventional treatment.","ISSN":"0016-5085","note":"PMID: 15940615","shortTitle":"Infliximab as rescue therapy in severe to moderately severe ulcerative colitis","journalAbbreviation":"Gastroenterology","language":"eng","author":[{"family":"Järnerot","given":"Gunnar"},{"family":"Hertervig","given":"Erik"},{"family":"Friis-Liby","given":"Ingalill"},{"family":"Blomquist","given":"Lars"},{"family":"Karlén","given":"Per"},{"family":"Grännö","given":"Christer"},{"family":"Vilien","given":"Mogens"},{"family":"Ström","given":"Magnus"},{"family":"Danielsson","given":"Ake"},{"family":"Verbaan","given":"Hans"},{"family":"Hellström","given":"Per M."},{"family":"Magnuson","given":"Anders"},{"family":"Curman","given":"Bengt"}],"issued":{"date-parts":[["2005",6]]}}}],"schema":"https://github.com/citation-style-language/schema/raw/master/csl-citation.json"} </w:instrText>
      </w:r>
      <w:r w:rsidR="00BC3C02"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[84]</w:t>
      </w:r>
      <w:r w:rsidR="00BC3C02" w:rsidRPr="005B1A16">
        <w:rPr>
          <w:rFonts w:ascii="Book Antiqua" w:hAnsi="Book Antiqua"/>
          <w:color w:val="000000" w:themeColor="text1"/>
          <w:shd w:val="clear" w:color="auto" w:fill="FFFFFF"/>
        </w:rPr>
        <w:fldChar w:fldCharType="end"/>
      </w:r>
      <w:r w:rsidR="00BC3C02" w:rsidRPr="005B1A16">
        <w:rPr>
          <w:rFonts w:ascii="Book Antiqua" w:hAnsi="Book Antiqua"/>
          <w:color w:val="000000" w:themeColor="text1"/>
          <w:shd w:val="clear" w:color="auto" w:fill="FFFFFF"/>
        </w:rPr>
        <w:t>.</w:t>
      </w:r>
      <w:r w:rsidR="006D2854" w:rsidRPr="005B1A16">
        <w:rPr>
          <w:rFonts w:ascii="Book Antiqua" w:hAnsi="Book Antiqua"/>
          <w:color w:val="000000" w:themeColor="text1"/>
          <w:shd w:val="clear" w:color="auto" w:fill="FFFFFF"/>
        </w:rPr>
        <w:t xml:space="preserve"> </w:t>
      </w:r>
      <w:r w:rsidRPr="005B1A16">
        <w:rPr>
          <w:rFonts w:ascii="Book Antiqua" w:hAnsi="Book Antiqua"/>
          <w:color w:val="000000" w:themeColor="text1"/>
          <w:shd w:val="clear" w:color="auto" w:fill="FFFFFF"/>
        </w:rPr>
        <w:t>Patients with perianal disease can benefit from either infliximab or adalimumab, albeit the evidence is based on a post-hoc analysis for adalimumab and lacking for other anti-TNF agents</w:t>
      </w:r>
      <w:r w:rsidR="00BC3C02"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{"citationID":"a1ntj3inaq3","properties":{"formattedCitation":"\\super [23,85]\\nosupersub{}","plainCitation":"[23,85]","noteIndex":0},"citationItems":[{"id":49,"uris":["http://zotero.org/users/4672422/items/FVEXE8CI"],"uri":["http://zotero.org/users/4672422/items/FVEXE8CI"],"itemData":{"id":49,"type":"article-journal","title":"Infliximab maintenance treatment reduces hospitalizations, surgeries, and procedures in fistulizing Crohn's disease","container-title":"Gastroenterology","page":"862-869","volume":"128","issue":"4","source":"PubMed","abstract":"BACKGROUND &amp; AIMS: Infliximab is effective in closing fistulas in patients with Crohn's disease. We examined the effect of infliximab maintenance treatment on hospitalizations, surgeries, and procedures in patients with fistulizing Crohn's disease enrolled in the ACCENT II study.\nMETHODS: After 5 mg/kg infliximab at weeks 0, 2, and 6, a total of 282 patients were separately randomized at week 14 as responders (at least a 50% reduction from baseline in the number of draining fistulas at both weeks 10 and 14) or nonresponders to receive placebo or 5 mg/kg infliximab maintenance every 8 weeks. At week 22 and later, patients who lost response could be treated with a maintenance dose 5 mg/kg higher. Data on Crohn's disease-related hospitalizations, surgeries, and procedures were compared between the treatment groups for responders and all randomized patients.\nRESULTS: A total of 282 patients were randomized at week 14, of whom 195 were randomized as responders. Among patients randomized as responders, those who received infliximab maintenance had significantly fewer mean hospitalization days (0.5 vs. 2.5 days; P &lt; .05), mean numbers (per 100 patients) of hospitalizations (11 vs. 31; P &lt; .05), all surgeries and procedures (65 vs. 126; P &lt; .05), inpatient surgeries and procedures (7 vs. 41; P &lt; .01), and major surgeries (2 vs. 11; P &lt; .05), compared with those who received placebo maintenance.\nCONCLUSIONS: In patients with fistulizing Crohn's disease, infliximab 5 mg/kg every 8 weeks significantly reduced hospitalizations, surgeries, and procedures compared with placebo.","ISSN":"0016-5085","note":"PMID: 15825070","journalAbbreviation":"Gastroenterology","language":"eng","author":[{"family":"Lichtenstein","given":"Gary R."},{"family":"Yan","given":"Songkai"},{"family":"Bala","given":"Mohan"},{"family":"Blank","given":"Marion"},{"family":"Sands","given":"Bruce E."}],"issued":{"date-parts":[["2005",4]]}}},{"id":174,"uris":["http://zotero.org/users/4672422/items/69LXAPKG"],"uri":["http://zotero.org/users/4672422/items/69LXAPKG"],"itemData":{"id":174,"type":"article-journal","title":"Adalimumab for the treatment of fistulas in patients with Crohn's disease","container-title":"Gut","page":"940-948","volume":"58","issue":"7","source":"CrossRef","URL":"http://gut.bmj.com/cgi/doi/10.1136/gut.2008.159251","DOI":"10.1136/gut.2008.159251","ISSN":"0017-5749","language":"en","author":[{"family":"Colombel","given":"J-F"},{"family":"Schwartz","given":"D A"},{"family":"Sandborn","given":"W J"},{"family":"Kamm","given":"M A"},{"family":"D'Haens","given":"G"},{"family":"Rutgeerts","given":"P"},{"family":"Enns","given":"R"},{"family":"Panaccione","given":"R"},{"family":"Schreiber","given":"S"},{"family":"Li","given":"J"},{"family":"Kent","given":"J D"},{"family":"Lomax","given":"K G"},{"family":"Pollack","given":"P F"}],"issued":{"date-parts":[["2009",7,1]]},"accessed":{"date-parts":[["2018",3,28]]}}}],"schema":"https://github.com/citation-style-language/schema/raw/master/csl-citation.json"} </w:instrText>
      </w:r>
      <w:r w:rsidR="00BC3C02"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[23,85]</w:t>
      </w:r>
      <w:r w:rsidR="00BC3C02" w:rsidRPr="005B1A16">
        <w:rPr>
          <w:rFonts w:ascii="Book Antiqua" w:hAnsi="Book Antiqua"/>
          <w:color w:val="000000" w:themeColor="text1"/>
          <w:shd w:val="clear" w:color="auto" w:fill="FFFFFF"/>
        </w:rPr>
        <w:fldChar w:fldCharType="end"/>
      </w:r>
      <w:r w:rsidRPr="005B1A16">
        <w:rPr>
          <w:rFonts w:ascii="Book Antiqua" w:hAnsi="Book Antiqua"/>
          <w:color w:val="000000" w:themeColor="text1"/>
          <w:shd w:val="clear" w:color="auto" w:fill="FFFFFF"/>
        </w:rPr>
        <w:t xml:space="preserve">. Golimumab has demonstrated efficacy in UC </w:t>
      </w:r>
      <w:r w:rsidR="00FD59A7" w:rsidRPr="005B1A16">
        <w:rPr>
          <w:rFonts w:ascii="Book Antiqua" w:hAnsi="Book Antiqua"/>
          <w:color w:val="000000" w:themeColor="text1"/>
          <w:shd w:val="clear" w:color="auto" w:fill="FFFFFF"/>
        </w:rPr>
        <w:t xml:space="preserve">as </w:t>
      </w:r>
      <w:r w:rsidRPr="005B1A16">
        <w:rPr>
          <w:rFonts w:ascii="Book Antiqua" w:hAnsi="Book Antiqua"/>
          <w:color w:val="000000" w:themeColor="text1"/>
          <w:shd w:val="clear" w:color="auto" w:fill="FFFFFF"/>
        </w:rPr>
        <w:t>a second or third line anti-TNF agent in</w:t>
      </w:r>
      <w:r w:rsidR="007D5600" w:rsidRPr="005B1A16">
        <w:rPr>
          <w:rFonts w:ascii="Book Antiqua" w:hAnsi="Book Antiqua"/>
          <w:color w:val="000000" w:themeColor="text1"/>
          <w:shd w:val="clear" w:color="auto" w:fill="FFFFFF"/>
        </w:rPr>
        <w:t xml:space="preserve"> </w:t>
      </w:r>
      <w:r w:rsidRPr="005B1A16">
        <w:rPr>
          <w:rFonts w:ascii="Book Antiqua" w:hAnsi="Book Antiqua"/>
          <w:color w:val="000000" w:themeColor="text1"/>
          <w:shd w:val="clear" w:color="auto" w:fill="FFFFFF"/>
        </w:rPr>
        <w:t>small cohort</w:t>
      </w:r>
      <w:r w:rsidR="007D5600" w:rsidRPr="005B1A16">
        <w:rPr>
          <w:rFonts w:ascii="Book Antiqua" w:hAnsi="Book Antiqua"/>
          <w:color w:val="000000" w:themeColor="text1"/>
          <w:shd w:val="clear" w:color="auto" w:fill="FFFFFF"/>
        </w:rPr>
        <w:t>s</w:t>
      </w:r>
      <w:r w:rsidRPr="005B1A16">
        <w:rPr>
          <w:rFonts w:ascii="Book Antiqua" w:hAnsi="Book Antiqua"/>
          <w:color w:val="000000" w:themeColor="text1"/>
          <w:shd w:val="clear" w:color="auto" w:fill="FFFFFF"/>
        </w:rPr>
        <w:t xml:space="preserve"> of patients but not for CD. Similarly, certolizumab can be considered in the same context for CD but lacks evidence for UC. Ease of administration may influence one’s decision thus patients who would rather less frequent dosing may prefer the IV infusion infliximab as compared to the other anti-TNF agents which are delivered SC by the patient. </w:t>
      </w:r>
    </w:p>
    <w:p w14:paraId="45059824" w14:textId="486EFDA1" w:rsidR="00227C92" w:rsidRPr="005B1A16" w:rsidRDefault="00AC5EB7" w:rsidP="005B1A16">
      <w:pPr>
        <w:spacing w:line="360" w:lineRule="auto"/>
        <w:ind w:firstLineChars="100" w:firstLine="240"/>
        <w:jc w:val="both"/>
        <w:rPr>
          <w:rFonts w:ascii="Book Antiqua" w:eastAsia="SimSun" w:hAnsi="Book Antiqua"/>
          <w:color w:val="000000" w:themeColor="text1"/>
          <w:lang w:eastAsia="zh-CN"/>
        </w:rPr>
      </w:pPr>
      <w:r w:rsidRPr="005B1A16">
        <w:rPr>
          <w:rFonts w:ascii="Book Antiqua" w:hAnsi="Book Antiqua"/>
          <w:color w:val="000000" w:themeColor="text1"/>
        </w:rPr>
        <w:t>The relatively high costs of anti-TNFs and the expiration of patents have triggered the development of biosimilar monoclonal antibodies. Multiple regulatory agencies have approved the use of biosimilars in IBD based on extrapolation of data on safety and efficacy.</w:t>
      </w:r>
      <w:r w:rsidR="0046728B" w:rsidRPr="005B1A16">
        <w:rPr>
          <w:rFonts w:ascii="Book Antiqua" w:hAnsi="Book Antiqua"/>
          <w:color w:val="000000" w:themeColor="text1"/>
        </w:rPr>
        <w:t xml:space="preserve"> </w:t>
      </w:r>
      <w:r w:rsidRPr="005B1A16">
        <w:rPr>
          <w:rFonts w:ascii="Book Antiqua" w:hAnsi="Book Antiqua"/>
          <w:color w:val="000000" w:themeColor="text1"/>
        </w:rPr>
        <w:t>Since then, real-word data and randomised controlled trials on switching from originator to biosimilar infliximab has shown similar results in terms of efficacy and safety</w:t>
      </w:r>
      <w:r w:rsidR="00220E11"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{"citationID":"a207j728egk","properties":{"formattedCitation":"\\super [72]\\nosupersub{}","plainCitation":"[72]","noteIndex":0},"citationItems":[{"id":151,"uris":["http://zotero.org/users/4672422/items/QBTU2I7V"],"uri":["http://zotero.org/users/4672422/items/QBTU2I7V"],"itemData":{"id":151,"type":"article-journal","title":"PHASE III RANDOMIZED CONTROLLED TRIAL TO COMPARE BIOSIMILAR INFLIXIMAB (CT-P13) WITH INNOVATOR INFLIXIMAB IN PATIENTS WITH ACTIVE CROHN’S DISEASE: 1-YEAR MAINTENANCE AND SWITCHING RESULTS","volume":"5","issue":"1","journalAbbreviation":"United European Gastroenterology J","author":[{"family":"Young-Ho Kim, Byong Duk Ye, Marina Pesegova, Olga Alexeeva, Marina Osipenko, Adi Lahat, Andriy Dorofeyev, Agnes Salamon, Sigal Fishman, Olena Levchenko, Jae Hee Cheon, Maria Lia Scribano, Radu-Bogdan Mateescu, Kang Moon Lee, Chang Soo Eun, Sang Joon Lee, Sung Young Lee, Alex Kudrin","given":""}]}}],"schema":"https://github.com/citation-style-language/schema/raw/master/csl-citation.json"} </w:instrText>
      </w:r>
      <w:r w:rsidR="00220E11"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[72]</w:t>
      </w:r>
      <w:r w:rsidR="00220E11" w:rsidRPr="005B1A16">
        <w:rPr>
          <w:rFonts w:ascii="Book Antiqua" w:hAnsi="Book Antiqua"/>
          <w:color w:val="000000" w:themeColor="text1"/>
        </w:rPr>
        <w:fldChar w:fldCharType="end"/>
      </w:r>
      <w:r w:rsidRPr="005B1A16">
        <w:rPr>
          <w:rFonts w:ascii="Book Antiqua" w:hAnsi="Book Antiqua"/>
          <w:color w:val="000000" w:themeColor="text1"/>
        </w:rPr>
        <w:t>.</w:t>
      </w:r>
      <w:r w:rsidRPr="005B1A16">
        <w:rPr>
          <w:rFonts w:ascii="Book Antiqua" w:hAnsi="Book Antiqua"/>
          <w:color w:val="000000" w:themeColor="text1"/>
          <w:vertAlign w:val="superscript"/>
        </w:rPr>
        <w:t xml:space="preserve"> </w:t>
      </w:r>
      <w:r w:rsidRPr="005B1A16">
        <w:rPr>
          <w:rFonts w:ascii="Book Antiqua" w:hAnsi="Book Antiqua"/>
          <w:color w:val="000000" w:themeColor="text1"/>
        </w:rPr>
        <w:t>Following the introduction of vedoluzimab and ustekinumab, anti-TNF therapy may not be the first-line biologic agent in all IBD patients. However, the lower cost of biosimilars probably makes the use of anti-TNF agents still very attractive.</w:t>
      </w:r>
    </w:p>
    <w:p w14:paraId="6D871DC9" w14:textId="09AB6702" w:rsidR="0046728B" w:rsidRPr="005B1A16" w:rsidRDefault="004954C6" w:rsidP="005B1A16">
      <w:pPr>
        <w:spacing w:line="360" w:lineRule="auto"/>
        <w:ind w:firstLineChars="100" w:firstLine="240"/>
        <w:jc w:val="both"/>
        <w:rPr>
          <w:rFonts w:ascii="Book Antiqua" w:eastAsia="SimSun" w:hAnsi="Book Antiqua"/>
          <w:color w:val="000000" w:themeColor="text1"/>
          <w:lang w:eastAsia="zh-CN"/>
        </w:rPr>
      </w:pPr>
      <w:r w:rsidRPr="005B1A16">
        <w:rPr>
          <w:rFonts w:ascii="Book Antiqua" w:hAnsi="Book Antiqua"/>
          <w:color w:val="000000" w:themeColor="text1"/>
        </w:rPr>
        <w:t xml:space="preserve">Optimizing the efficacy of the initial </w:t>
      </w:r>
      <w:r w:rsidR="0006168E" w:rsidRPr="005B1A16">
        <w:rPr>
          <w:rFonts w:ascii="Book Antiqua" w:hAnsi="Book Antiqua"/>
          <w:color w:val="000000" w:themeColor="text1"/>
        </w:rPr>
        <w:t>anti-TNF</w:t>
      </w:r>
      <w:r w:rsidRPr="005B1A16">
        <w:rPr>
          <w:rFonts w:ascii="Book Antiqua" w:hAnsi="Book Antiqua"/>
          <w:color w:val="000000" w:themeColor="text1"/>
        </w:rPr>
        <w:t xml:space="preserve"> therapy prior to switching to another biologic, either in or out of class, is a critical principle when managing IBD patients. Studies have repeatedly demonstrated that patients failing their first biologic have </w:t>
      </w:r>
      <w:r w:rsidRPr="005B1A16">
        <w:rPr>
          <w:rFonts w:ascii="Book Antiqua" w:hAnsi="Book Antiqua"/>
          <w:color w:val="000000" w:themeColor="text1"/>
        </w:rPr>
        <w:lastRenderedPageBreak/>
        <w:t xml:space="preserve">poorer outcomes following </w:t>
      </w:r>
      <w:r w:rsidR="00251E79" w:rsidRPr="005B1A16">
        <w:rPr>
          <w:rFonts w:ascii="Book Antiqua" w:hAnsi="Book Antiqua"/>
          <w:color w:val="000000" w:themeColor="text1"/>
        </w:rPr>
        <w:t>initiation</w:t>
      </w:r>
      <w:r w:rsidRPr="005B1A16">
        <w:rPr>
          <w:rFonts w:ascii="Book Antiqua" w:hAnsi="Book Antiqua"/>
          <w:color w:val="000000" w:themeColor="text1"/>
        </w:rPr>
        <w:t xml:space="preserve"> of their secon</w:t>
      </w:r>
      <w:r w:rsidR="00251E79" w:rsidRPr="005B1A16">
        <w:rPr>
          <w:rFonts w:ascii="Book Antiqua" w:hAnsi="Book Antiqua"/>
          <w:color w:val="000000" w:themeColor="text1"/>
        </w:rPr>
        <w:t>d or third biologic</w:t>
      </w:r>
      <w:r w:rsidR="00454BEC"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{"citationID":"a23cml3ol7m","properties":{"formattedCitation":"\\super [50,58]\\nosupersub{}","plainCitation":"[50,58]","noteIndex":0},"citationItems":[{"id":119,"uris":["http://zotero.org/users/4672422/items/J5IHC6BK"],"uri":["http://zotero.org/users/4672422/items/J5IHC6BK"],"itemData":{"id":119,"type":"article-journal","title":"Ustekinumab as Induction and Maintenance Therapy for Crohn's Disease","container-title":"The New England Journal of Medicine","page":"1946-1960","volume":"375","issue":"20","source":"PubMed","abstract":"BACKGROUND: Ustekinumab, a monoclonal antibody to the p40 subunit of interleukin-12 and interleukin-23, was evaluated as an intravenous induction therapy in two populations with moderately to severely active Crohn's disease. Ustekinumab was also evaluated as subcutaneous maintenance therapy.\nMETHODS: We randomly assigned patients to receive a single intravenous dose of ustekinumab (either 130 mg or approximately 6 mg per kilogram of body weight) or placebo in two induction trials. The UNITI-1 trial included 741 patients who met the criteria for primary or secondary nonresponse to tumor necrosis factor (TNF) antagonists or had unacceptable side effects. The UNITI-2 trial included 628 patients in whom conventional therapy failed or unacceptable side effects occurred. Patients who completed these induction trials then participated in IM-UNITI, in which the 397 patients who had a response to ustekinumab were randomly assigned to receive subcutaneous maintenance injections of 90 mg of ustekinumab (either every 8 weeks or every 12 weeks) or placebo. The primary end point for the induction trials was a clinical response at week 6 (defined as a decrease from baseline in the Crohn's Disease Activity Index [CDAI] score of ≥100 points or a CDAI score &lt;150). The primary end point for the maintenance trial was remission at week 44 (CDAI score &lt;150).\nRESULTS: The rates of response at week 6 among patients receiving intravenous ustekinumab at a dose of either 130 mg or approximately 6 mg per kilogram were significantly higher than the rates among patients receiving placebo (in UNITI-1, 34.3%, 33.7%, and 21.5%, respectively, with P≤0.003 for both comparisons with placebo; in UNITI-2, 51.7%, 55.5%, and 28.7%, respectively, with P&lt;0.001 for both doses). In the groups receiving maintenance doses of ustekinumab every 8 weeks or every 12 weeks, 53.1% and 48.8%, respectively, were in remission at week 44, as compared with 35.9% of those receiving placebo (P=0.005 and P=0.04, respectively). Within each trial, adverse-event rates were similar among treatment groups.\nCONCLUSIONS: Among patients with moderately to severely active Crohn's disease, those receiving intravenous ustekinumab had a significantly higher rate of response than did those receiving placebo. Subcutaneous ustekinumab maintained remission in patients who had a clinical response to induction therapy. (Funded by Janssen Research and Development; ClinicalTrials.gov numbers, NCT01369329 , NCT01369342 , and NCT01369355 .).","DOI":"10.1056/NEJMoa1602773","ISSN":"1533-4406","note":"PMID: 27959607","journalAbbreviation":"N. Engl. J. Med.","language":"eng","author":[{"family":"Feagan","given":"Brian G."},{"family":"Sandborn","given":"William J."},{"family":"Gasink","given":"Christopher"},{"family":"Jacobstein","given":"Douglas"},{"family":"Lang","given":"Yinghua"},{"family":"Friedman","given":"Joshua R."},{"family":"Blank","given":"Marion A."},{"family":"Johanns","given":"Jewel"},{"family":"Gao","given":"Long-Long"},{"family":"Miao","given":"Ye"},{"family":"Adedokun","given":"Omoniyi J."},{"family":"Sands","given":"Bruce E."},{"family":"Hanauer","given":"Stephen B."},{"family":"Vermeire","given":"Severine"},{"family":"Targan","given":"Stephan"},{"family":"Ghosh","given":"Subrata"},{"family":"Villiers","given":"Willem J.","non-dropping-particle":"de"},{"family":"Colombel","given":"Jean-Frédéric"},{"family":"Tulassay","given":"Zsolt"},{"family":"Seidler","given":"Ursula"},{"family":"Salzberg","given":"Bruce A."},{"family":"Desreumaux","given":"Pierre"},{"family":"Lee","given":"Scott D."},{"family":"Loftus","given":"Edward V."},{"family":"Dieleman","given":"Levinus A."},{"family":"Katz","given":"Seymour"},{"family":"Rutgeerts","given":"Paul"},{"literal":"UNITI–IM-UNITI Study Group"}],"issued":{"date-parts":[["2016"]],"season":"17"}}},{"id":132,"uris":["http://zotero.org/users/4672422/items/SSRIGUZ4"],"uri":["http://zotero.org/users/4672422/items/SSRIGUZ4"],"itemData":{"id":132,"type":"article-journal","title":"Vedolizumab as Induction and Maintenance Therapy for Ulcerative Colitis","container-title":"New England Journal of Medicine","page":"699-710","volume":"369","issue":"8","source":"CrossRef","URL":"http://www.nejm.org/doi/10.1056/NEJMoa1215734","DOI":"10.1056/NEJMoa1215734","ISSN":"0028-4793, 1533-4406","language":"en","author":[{"family":"Feagan","given":"Brian G."},{"family":"Rutgeerts","given":"Paul"},{"family":"Sands","given":"Bruce E."},{"family":"Hanauer","given":"Stephen"},{"family":"Colombel","given":"Jean-Frédéric"},{"family":"Sandborn","given":"William J."},{"family":"Van Assche","given":"Gert"},{"family":"Axler","given":"Jeffrey"},{"family":"Kim","given":"Hyo-Jong"},{"family":"Danese","given":"Silvio"},{"family":"Fox","given":"Irving"},{"family":"Milch","given":"Catherine"},{"family":"Sankoh","given":"Serap"},{"family":"Wyant","given":"Tim"},{"family":"Xu","given":"Jing"},{"family":"Parikh","given":"Asit"}],"issued":{"date-parts":[["2013",8,22]]},"accessed":{"date-parts":[["2018",3,27]]}}}],"schema":"https://github.com/citation-style-language/schema/raw/master/csl-citation.json"} </w:instrText>
      </w:r>
      <w:r w:rsidR="00454BEC"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[50,58]</w:t>
      </w:r>
      <w:r w:rsidR="00454BEC" w:rsidRPr="005B1A16">
        <w:rPr>
          <w:rFonts w:ascii="Book Antiqua" w:hAnsi="Book Antiqua"/>
          <w:color w:val="000000" w:themeColor="text1"/>
        </w:rPr>
        <w:fldChar w:fldCharType="end"/>
      </w:r>
      <w:r w:rsidR="00251E79" w:rsidRPr="005B1A16">
        <w:rPr>
          <w:rFonts w:ascii="Book Antiqua" w:hAnsi="Book Antiqua"/>
          <w:color w:val="000000" w:themeColor="text1"/>
        </w:rPr>
        <w:t xml:space="preserve">. </w:t>
      </w:r>
      <w:r w:rsidR="003E4DCE" w:rsidRPr="005B1A16">
        <w:rPr>
          <w:rFonts w:ascii="Book Antiqua" w:hAnsi="Book Antiqua"/>
          <w:color w:val="000000" w:themeColor="text1"/>
        </w:rPr>
        <w:t xml:space="preserve">The </w:t>
      </w:r>
      <w:r w:rsidR="00076FB9" w:rsidRPr="005B1A16">
        <w:rPr>
          <w:rFonts w:ascii="Book Antiqua" w:hAnsi="Book Antiqua"/>
          <w:color w:val="000000" w:themeColor="text1"/>
        </w:rPr>
        <w:t>ability to differentiate the cause for a loss of response to anti-TNF therapy has been facilitated with therap</w:t>
      </w:r>
      <w:r w:rsidR="00024EA8" w:rsidRPr="005B1A16">
        <w:rPr>
          <w:rFonts w:ascii="Book Antiqua" w:hAnsi="Book Antiqua"/>
          <w:color w:val="000000" w:themeColor="text1"/>
        </w:rPr>
        <w:t>eutic drug monitoring (TDM)</w:t>
      </w:r>
      <w:r w:rsidR="00024EA8"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{"citationID":"a2loqap4bhh","properties":{"formattedCitation":"\\super [86]\\nosupersub{}","plainCitation":"[86]","noteIndex":0},"citationItems":[{"id":175,"uris":["http://zotero.org/users/4672422/items/DS6CANZR"],"uri":["http://zotero.org/users/4672422/items/DS6CANZR"],"itemData":{"id":175,"type":"article-journal","title":"Practical recommendations for the use of therapeutic drug monitoring of biopharmaceuticals in inflammatory diseases","container-title":"Clinical Pharmacology: Advances and Applications","page":"101-111","volume":"Volume 9","source":"CrossRef","URL":"https://www.dovepress.com/practical-recommendations-for-the-use-of-therapeutic-drug-monitoring-o-peer-reviewed-article-CPAA","DOI":"10.2147/CPAA.S138414","ISSN":"1179-1438","language":"en","author":[{"family":"Dreesen","given":"Erwin"},{"family":"Bossuyt","given":"Peter"},{"family":"Mulleman","given":"Denis"},{"family":"Gils","given":"Ann"},{"family":"Pascual-Salcedo","given":"Dora"}],"issued":{"date-parts":[["2017",10]]},"accessed":{"date-parts":[["2018",3,28]]}}}],"schema":"https://github.com/citation-style-language/schema/raw/master/csl-citation.json"} </w:instrText>
      </w:r>
      <w:r w:rsidR="00024EA8"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[86]</w:t>
      </w:r>
      <w:r w:rsidR="00024EA8" w:rsidRPr="005B1A16">
        <w:rPr>
          <w:rFonts w:ascii="Book Antiqua" w:hAnsi="Book Antiqua"/>
          <w:color w:val="000000" w:themeColor="text1"/>
        </w:rPr>
        <w:fldChar w:fldCharType="end"/>
      </w:r>
      <w:r w:rsidR="00076FB9" w:rsidRPr="005B1A16">
        <w:rPr>
          <w:rFonts w:ascii="Book Antiqua" w:hAnsi="Book Antiqua"/>
          <w:color w:val="000000" w:themeColor="text1"/>
        </w:rPr>
        <w:t>. Based on TDM results, an educated decision regarding dose optimization and switching in or out of</w:t>
      </w:r>
      <w:r w:rsidR="00024EA8" w:rsidRPr="005B1A16">
        <w:rPr>
          <w:rFonts w:ascii="Book Antiqua" w:hAnsi="Book Antiqua"/>
          <w:color w:val="000000" w:themeColor="text1"/>
        </w:rPr>
        <w:t xml:space="preserve"> class can now be determined</w:t>
      </w:r>
      <w:r w:rsidR="00024EA8"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{"citationID":"zz0bpeI3","properties":{"formattedCitation":"\\super [16,87]\\nosupersub{}","plainCitation":"[16,87]","noteIndex":0},"citationItems":[{"id":176,"uris":["http://zotero.org/users/4672422/items/M5JPZAIL"],"uri":["http://zotero.org/users/4672422/items/M5JPZAIL"],"itemData":{"id":176,"type":"article-journal","title":"3rd European Evidence-based Consensus on the Diagnosis and Management of Crohn’s Disease 2016: Part 1: Diagnosis and Medical Management","container-title":"Journal of Crohn's and Colitis","page":"3-25","volume":"11","issue":"1","source":"CrossRef","URL":"https://academic.oup.com/ecco-jcc/article-lookup/doi/10.1093/ecco-jcc/jjw168","DOI":"10.1093/ecco-jcc/jjw168","ISSN":"1873-9946, 1876-4479","shortTitle":"3rd European Evidence-based Consensus on the Diagnosis and Management of Crohn’s Disease 2016","language":"en","author":[{"family":"Gomollón","given":"Fernando"},{"family":"Dignass","given":"Axel"},{"family":"Annese","given":"Vito"},{"family":"Tilg","given":"Herbert"},{"family":"Van Assche","given":"Gert"},{"family":"Lindsay","given":"James O."},{"family":"Peyrin-Biroulet","given":"Laurent"},{"family":"Cullen","given":"Garret J."},{"family":"Daperno","given":"Marco"},{"family":"Kucharzik","given":"Torsten"},{"family":"Rieder","given":"Florian"},{"family":"Almer","given":"Sven"},{"family":"Armuzzi","given":"Alessandro"},{"family":"Harbord","given":"Marcus"},{"family":"Langhorst","given":"Jost"},{"family":"Sans","given":"Miquel"},{"family":"Chowers","given":"Yehuda"},{"family":"Fiorino","given":"Gionata"},{"family":"Juillerat","given":"Pascal"},{"family":"Mantzaris","given":"Gerassimos J."},{"family":"Rizzello","given":"Fernando"},{"family":"Vavricka","given":"Stephan"},{"family":"Gionchetti","given":"Paolo"},{"literal":"on behalf of ECCO"}],"issued":{"date-parts":[["2017",1]]},"accessed":{"date-parts":[["2018",3,28]]}}},{"id":177,"uris":["http://zotero.org/users/4672422/items/2GJTDBSK"],"uri":["http://zotero.org/users/4672422/items/2GJTDBSK"],"itemData":{"id":177,"type":"article-journal","title":"Trough concentrations of infliximab guide dosing for patients with inflammatory bowel disease","container-title":"Gastroenterology","page":"1320-1329.e3","volume":"148","issue":"7","source":"PubMed","abstract":"BACKGROUND &amp; AIMS: Infliximab, a tumor necrosis factor antagonist, is effective for treating patients with Crohn's disease (CD) and ulcerative colitis (UC). We aimed to determine whether dosing based on therapeutic drug monitoring increases rate of remission and whether continued concentration-based dosing is superior to clinically based dosing of infliximab for maintaining remission in patients with CD and UC.\nMETHODS: We performed a 1-year randomized controlled trial at a tertiary referral center, including 263 adults (178 with CD and 85 with UC) with stable responses to maintenance infliximab therapy. Doses were escalated or reduced using an algorithm to reach a target trough concentration (TC) of 3-7 μg/mL in all patients (optimization phase). Patients were randomly assigned (1:1) to groups that received infliximab dosing based on their clinical features (n = 123) or continued dosing based on TCs (n = 128) (maintenance phase). The primary end point was clinical and biochemical remission at 1 year after the optimization phase.\nRESULTS: At screening, 115 of 263 patients had a TC of infliximab of 3-7 μg/mL (43.7%). Of 76 patients with TCs &lt;3 μg/mL, 69 patients (91%) achieved TCs of 3-7 μg/mL after dose escalation. This resulted in a higher proportion of CD patients in remission than before dose escalation (88% vs 65%; P = .020) and a decrease in the median concentration of C-reactive protein, compared with before the dose increase (3.2 vs 4.3 mg/L; P &lt; .001); these changes were not observed in patients with UC. Of 72 patients with TCs &gt;7 μg/mL, 67 patients (93%) achieved TCs of 3-7 μg/mL after dose reduction. This resulted in a 28% reduction in drug cost from before dose reduction (P &lt; .001). Sixty-six percent of patients whose dosing was based on clinical features and 69% whose dosing was based on TC achieved remission, the primary end point (P = .686). Disease relapsed in 21 patients who received clinically based dosing (17%) and 9 patients who received concentration-based dosing (7%) (P = .018).\nCONCLUSIONS: Targeting patients' infliximab TCs to 3-7 μg/mL results in a more efficient use of the drug. After dose optimization, continued concentration-based dosing was not superior to clinically based dosing for achieving remission after 1 year, but was associated with fewer flares during the course of treatment. ClinicalTrialsRegister.eu number: 2011-002061-38.","DOI":"10.1053/j.gastro.2015.02.031","ISSN":"1528-0012","note":"PMID: 25724455","journalAbbreviation":"Gastroenterology","language":"eng","author":[{"family":"Vande Casteele","given":"Niels"},{"family":"Ferrante","given":"Marc"},{"family":"Van Assche","given":"Gert"},{"family":"Ballet","given":"Vera"},{"family":"Compernolle","given":"Griet"},{"family":"Van Steen","given":"Kristel"},{"family":"Simoens","given":"Steven"},{"family":"Rutgeerts","given":"Paul"},{"family":"Gils","given":"Ann"},{"family":"Vermeire","given":"Séverine"}],"issued":{"date-parts":[["2015",6]]}}}],"schema":"https://github.com/citation-style-language/schema/raw/master/csl-citation.json"} </w:instrText>
      </w:r>
      <w:r w:rsidR="00024EA8"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[16,87]</w:t>
      </w:r>
      <w:r w:rsidR="00024EA8" w:rsidRPr="005B1A16">
        <w:rPr>
          <w:rFonts w:ascii="Book Antiqua" w:hAnsi="Book Antiqua"/>
          <w:color w:val="000000" w:themeColor="text1"/>
        </w:rPr>
        <w:fldChar w:fldCharType="end"/>
      </w:r>
      <w:r w:rsidR="00076FB9" w:rsidRPr="005B1A16">
        <w:rPr>
          <w:rFonts w:ascii="Book Antiqua" w:hAnsi="Book Antiqua"/>
          <w:color w:val="000000" w:themeColor="text1"/>
        </w:rPr>
        <w:t xml:space="preserve">. </w:t>
      </w:r>
      <w:r w:rsidR="00DB200A" w:rsidRPr="005B1A16">
        <w:rPr>
          <w:rFonts w:ascii="Book Antiqua" w:hAnsi="Book Antiqua"/>
          <w:color w:val="000000" w:themeColor="text1"/>
        </w:rPr>
        <w:t>However, the frequency of TDM is still up for debate. Few retrospective studies have demonstrated benefit with proactive TDM</w:t>
      </w:r>
      <w:r w:rsidR="00E30B8C"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{"citationID":"a26jkas9c8q","properties":{"formattedCitation":"\\super [88,89]\\nosupersub{}","plainCitation":"[88,89]","noteIndex":0},"citationItems":[{"id":179,"uris":["http://zotero.org/users/4672422/items/64JFEC79"],"uri":["http://zotero.org/users/4672422/items/64JFEC79"],"itemData":{"id":179,"type":"article-journal","title":"OP11 Individualised infliximab treatment using therapeutic drug monitoring: A prospective controlled Trough level Adapted infliXImab Treatment (TAXIT) trial","container-title":"Journal of Crohn's and Colitis","page":"S6","volume":"6","source":"CrossRef","URL":"https://academic.oup.com/ecco-jcc/article-lookup/doi/10.1016/S1873-9946(12)60012-9","DOI":"10.1016/S1873-9946(12)60012-9","ISSN":"18739946","shortTitle":"OP11 Individualised infliximab treatment using therapeutic drug monitoring","language":"en","author":[{"family":"Vande Casteele","given":"N."},{"family":"Compernolle","given":"G."},{"family":"Ballet","given":"V."},{"family":"Van Assche","given":"G."},{"family":"Gils","given":"A."},{"family":"Vermeire","given":"S."},{"family":"Rutgeerts","given":"P."}],"issued":{"date-parts":[["2012",2]]},"accessed":{"date-parts":[["2018",3,28]]}}},{"id":180,"uris":["http://zotero.org/users/4672422/items/CFZJU5Y3"],"uri":["http://zotero.org/users/4672422/items/CFZJU5Y3"],"itemData":{"id":180,"type":"article-journal","title":"OP029. Drug-concentration versus symptom-driven dose adaptation of Infliximab in patients with active Crohn’s disease: a prospective, randomised, multicentre trial (Tailorix)","container-title":"Journal of Crohn's and Colitis","page":"S24.1-S24","volume":"10","issue":"suppl 1","source":"CrossRef","URL":"https://academic.oup.com/ecco-jcc/article-lookup/doi/10.1093/ecco-jcc/jjw019.028","DOI":"10.1093/ecco-jcc/jjw019.028","ISSN":"1873-9946, 1876-4479","shortTitle":"OP029. Drug-concentration versus symptom-driven dose adaptation of Infliximab in patients with active Crohn’s disease","language":"en","issued":{"date-parts":[["2016",3]]},"accessed":{"date-parts":[["2018",3,28]]}}}],"schema":"https://github.com/citation-style-language/schema/raw/master/csl-citation.json"} </w:instrText>
      </w:r>
      <w:r w:rsidR="00E30B8C"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[88,89]</w:t>
      </w:r>
      <w:r w:rsidR="00E30B8C" w:rsidRPr="005B1A16">
        <w:rPr>
          <w:rFonts w:ascii="Book Antiqua" w:hAnsi="Book Antiqua"/>
          <w:color w:val="000000" w:themeColor="text1"/>
        </w:rPr>
        <w:fldChar w:fldCharType="end"/>
      </w:r>
      <w:r w:rsidR="00786A7A" w:rsidRPr="005B1A16">
        <w:rPr>
          <w:rFonts w:ascii="Book Antiqua" w:hAnsi="Book Antiqua"/>
          <w:color w:val="000000" w:themeColor="text1"/>
        </w:rPr>
        <w:t xml:space="preserve">. The recent </w:t>
      </w:r>
      <w:r w:rsidR="00690C45" w:rsidRPr="005B1A16">
        <w:rPr>
          <w:rFonts w:ascii="Book Antiqua" w:hAnsi="Book Antiqua"/>
          <w:color w:val="000000" w:themeColor="text1"/>
        </w:rPr>
        <w:t xml:space="preserve">multicentre </w:t>
      </w:r>
      <w:r w:rsidR="00B21713" w:rsidRPr="005B1A16">
        <w:rPr>
          <w:rFonts w:ascii="Book Antiqua" w:hAnsi="Book Antiqua"/>
          <w:color w:val="000000" w:themeColor="text1"/>
        </w:rPr>
        <w:t>prospective RCT involving 167 patients with active CD</w:t>
      </w:r>
      <w:r w:rsidR="00863FC3" w:rsidRPr="005B1A16">
        <w:rPr>
          <w:rFonts w:ascii="Book Antiqua" w:hAnsi="Book Antiqua"/>
          <w:color w:val="000000" w:themeColor="text1"/>
        </w:rPr>
        <w:t>,</w:t>
      </w:r>
      <w:r w:rsidR="00B21713" w:rsidRPr="005B1A16">
        <w:rPr>
          <w:rFonts w:ascii="Book Antiqua" w:hAnsi="Book Antiqua"/>
          <w:color w:val="000000" w:themeColor="text1"/>
        </w:rPr>
        <w:t xml:space="preserve"> </w:t>
      </w:r>
      <w:r w:rsidR="00786A7A" w:rsidRPr="005B1A16">
        <w:rPr>
          <w:rFonts w:ascii="Book Antiqua" w:hAnsi="Book Antiqua"/>
          <w:color w:val="000000" w:themeColor="text1"/>
        </w:rPr>
        <w:t>TAILORIX</w:t>
      </w:r>
      <w:r w:rsidR="00863FC3" w:rsidRPr="005B1A16">
        <w:rPr>
          <w:rFonts w:ascii="Book Antiqua" w:hAnsi="Book Antiqua"/>
          <w:color w:val="000000" w:themeColor="text1"/>
        </w:rPr>
        <w:t>,</w:t>
      </w:r>
      <w:r w:rsidR="00786A7A" w:rsidRPr="005B1A16">
        <w:rPr>
          <w:rFonts w:ascii="Book Antiqua" w:hAnsi="Book Antiqua"/>
          <w:color w:val="000000" w:themeColor="text1"/>
        </w:rPr>
        <w:t xml:space="preserve"> demonstrated </w:t>
      </w:r>
      <w:r w:rsidR="00863FC3" w:rsidRPr="005B1A16">
        <w:rPr>
          <w:rFonts w:ascii="Book Antiqua" w:hAnsi="Book Antiqua"/>
          <w:color w:val="000000" w:themeColor="text1"/>
        </w:rPr>
        <w:t xml:space="preserve">that there was </w:t>
      </w:r>
      <w:r w:rsidR="00786A7A" w:rsidRPr="005B1A16">
        <w:rPr>
          <w:rFonts w:ascii="Book Antiqua" w:hAnsi="Book Antiqua"/>
          <w:color w:val="000000" w:themeColor="text1"/>
        </w:rPr>
        <w:t xml:space="preserve">no benefit in patients receiving </w:t>
      </w:r>
      <w:r w:rsidR="00863FC3" w:rsidRPr="005B1A16">
        <w:rPr>
          <w:rFonts w:ascii="Book Antiqua" w:hAnsi="Book Antiqua"/>
          <w:color w:val="000000" w:themeColor="text1"/>
        </w:rPr>
        <w:t xml:space="preserve">infliximab </w:t>
      </w:r>
      <w:r w:rsidR="00786A7A" w:rsidRPr="005B1A16">
        <w:rPr>
          <w:rFonts w:ascii="Book Antiqua" w:hAnsi="Book Antiqua"/>
          <w:color w:val="000000" w:themeColor="text1"/>
        </w:rPr>
        <w:t>dose escalation based on TDM as compared to clinical scoring</w:t>
      </w:r>
      <w:r w:rsidR="00E30B8C"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{"citationID":"atnbr64kc2","properties":{"formattedCitation":"\\super [89]\\nosupersub{}","plainCitation":"[89]","noteIndex":0},"citationItems":[{"id":180,"uris":["http://zotero.org/users/4672422/items/CFZJU5Y3"],"uri":["http://zotero.org/users/4672422/items/CFZJU5Y3"],"itemData":{"id":180,"type":"article-journal","title":"OP029. Drug-concentration versus symptom-driven dose adaptation of Infliximab in patients with active Crohn’s disease: a prospective, randomised, multicentre trial (Tailorix)","container-title":"Journal of Crohn's and Colitis","page":"S24.1-S24","volume":"10","issue":"suppl 1","source":"CrossRef","URL":"https://academic.oup.com/ecco-jcc/article-lookup/doi/10.1093/ecco-jcc/jjw019.028","DOI":"10.1093/ecco-jcc/jjw019.028","ISSN":"1873-9946, 1876-4479","shortTitle":"OP029. Drug-concentration versus symptom-driven dose adaptation of Infliximab in patients with active Crohn’s disease","language":"en","issued":{"date-parts":[["2016",3]]},"accessed":{"date-parts":[["2018",3,28]]}}}],"schema":"https://github.com/citation-style-language/schema/raw/master/csl-citation.json"} </w:instrText>
      </w:r>
      <w:r w:rsidR="00E30B8C"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[89]</w:t>
      </w:r>
      <w:r w:rsidR="00E30B8C" w:rsidRPr="005B1A16">
        <w:rPr>
          <w:rFonts w:ascii="Book Antiqua" w:hAnsi="Book Antiqua"/>
          <w:color w:val="000000" w:themeColor="text1"/>
        </w:rPr>
        <w:fldChar w:fldCharType="end"/>
      </w:r>
      <w:r w:rsidR="00786A7A" w:rsidRPr="005B1A16">
        <w:rPr>
          <w:rFonts w:ascii="Book Antiqua" w:hAnsi="Book Antiqua"/>
          <w:color w:val="000000" w:themeColor="text1"/>
        </w:rPr>
        <w:t xml:space="preserve">. Although more patients in the clinical dose escalation group received dose escalation as compared to the TDM group, thus the benefit seen from the clinical group may be over-inflated. </w:t>
      </w:r>
      <w:r w:rsidR="00893443" w:rsidRPr="005B1A16">
        <w:rPr>
          <w:rFonts w:ascii="Book Antiqua" w:hAnsi="Book Antiqua"/>
          <w:color w:val="000000" w:themeColor="text1"/>
        </w:rPr>
        <w:t>Similarly, the TAXIT study</w:t>
      </w:r>
      <w:r w:rsidR="009D6E87" w:rsidRPr="005B1A16">
        <w:rPr>
          <w:rFonts w:ascii="Book Antiqua" w:hAnsi="Book Antiqua"/>
          <w:color w:val="000000" w:themeColor="text1"/>
        </w:rPr>
        <w:t>, which</w:t>
      </w:r>
      <w:r w:rsidR="00893443" w:rsidRPr="005B1A16">
        <w:rPr>
          <w:rFonts w:ascii="Book Antiqua" w:hAnsi="Book Antiqua"/>
          <w:color w:val="000000" w:themeColor="text1"/>
        </w:rPr>
        <w:t xml:space="preserve"> </w:t>
      </w:r>
      <w:r w:rsidR="009D6E87" w:rsidRPr="005B1A16">
        <w:rPr>
          <w:rFonts w:ascii="Book Antiqua" w:hAnsi="Book Antiqua"/>
          <w:color w:val="000000" w:themeColor="text1"/>
        </w:rPr>
        <w:t xml:space="preserve">was a 1 year RCT involving 178 CD and 85 UC patients performed at a single tertiary referral center, </w:t>
      </w:r>
      <w:r w:rsidR="00893443" w:rsidRPr="005B1A16">
        <w:rPr>
          <w:rFonts w:ascii="Book Antiqua" w:hAnsi="Book Antiqua"/>
          <w:color w:val="000000" w:themeColor="text1"/>
        </w:rPr>
        <w:t>did not find benefit in proactive vs reactive</w:t>
      </w:r>
      <w:r w:rsidR="009D6E87" w:rsidRPr="005B1A16">
        <w:rPr>
          <w:rFonts w:ascii="Book Antiqua" w:hAnsi="Book Antiqua"/>
          <w:color w:val="000000" w:themeColor="text1"/>
        </w:rPr>
        <w:t xml:space="preserve"> (</w:t>
      </w:r>
      <w:r w:rsidR="009D6E87" w:rsidRPr="005B1A16">
        <w:rPr>
          <w:rFonts w:ascii="Book Antiqua" w:hAnsi="Book Antiqua"/>
          <w:i/>
          <w:color w:val="000000" w:themeColor="text1"/>
        </w:rPr>
        <w:t>i.e.</w:t>
      </w:r>
      <w:r w:rsidR="00FA16CE" w:rsidRPr="005B1A16">
        <w:rPr>
          <w:rFonts w:ascii="Book Antiqua" w:eastAsia="SimSun" w:hAnsi="Book Antiqua"/>
          <w:color w:val="000000" w:themeColor="text1"/>
          <w:lang w:eastAsia="zh-CN"/>
        </w:rPr>
        <w:t>,</w:t>
      </w:r>
      <w:r w:rsidR="009D6E87" w:rsidRPr="005B1A16">
        <w:rPr>
          <w:rFonts w:ascii="Book Antiqua" w:hAnsi="Book Antiqua"/>
          <w:color w:val="000000" w:themeColor="text1"/>
        </w:rPr>
        <w:t xml:space="preserve"> symptom based)</w:t>
      </w:r>
      <w:r w:rsidR="00893443" w:rsidRPr="005B1A16">
        <w:rPr>
          <w:rFonts w:ascii="Book Antiqua" w:hAnsi="Book Antiqua"/>
          <w:color w:val="000000" w:themeColor="text1"/>
        </w:rPr>
        <w:t xml:space="preserve"> TDM</w:t>
      </w:r>
      <w:r w:rsidR="00E30B8C"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{"citationID":"a1nt2s6e2sj","properties":{"formattedCitation":"\\super [88]\\nosupersub{}","plainCitation":"[88]","noteIndex":0},"citationItems":[{"id":179,"uris":["http://zotero.org/users/4672422/items/64JFEC79"],"uri":["http://zotero.org/users/4672422/items/64JFEC79"],"itemData":{"id":179,"type":"article-journal","title":"OP11 Individualised infliximab treatment using therapeutic drug monitoring: A prospective controlled Trough level Adapted infliXImab Treatment (TAXIT) trial","container-title":"Journal of Crohn's and Colitis","page":"S6","volume":"6","source":"CrossRef","URL":"https://academic.oup.com/ecco-jcc/article-lookup/doi/10.1016/S1873-9946(12)60012-9","DOI":"10.1016/S1873-9946(12)60012-9","ISSN":"18739946","shortTitle":"OP11 Individualised infliximab treatment using therapeutic drug monitoring","language":"en","author":[{"family":"Vande Casteele","given":"N."},{"family":"Compernolle","given":"G."},{"family":"Ballet","given":"V."},{"family":"Van Assche","given":"G."},{"family":"Gils","given":"A."},{"family":"Vermeire","given":"S."},{"family":"Rutgeerts","given":"P."}],"issued":{"date-parts":[["2012",2]]},"accessed":{"date-parts":[["2018",3,28]]}}}],"schema":"https://github.com/citation-style-language/schema/raw/master/csl-citation.json"} </w:instrText>
      </w:r>
      <w:r w:rsidR="00E30B8C"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[88]</w:t>
      </w:r>
      <w:r w:rsidR="00E30B8C" w:rsidRPr="005B1A16">
        <w:rPr>
          <w:rFonts w:ascii="Book Antiqua" w:hAnsi="Book Antiqua"/>
          <w:color w:val="000000" w:themeColor="text1"/>
        </w:rPr>
        <w:fldChar w:fldCharType="end"/>
      </w:r>
      <w:r w:rsidR="00893443" w:rsidRPr="005B1A16">
        <w:rPr>
          <w:rFonts w:ascii="Book Antiqua" w:hAnsi="Book Antiqua"/>
          <w:color w:val="000000" w:themeColor="text1"/>
        </w:rPr>
        <w:t xml:space="preserve">. </w:t>
      </w:r>
      <w:r w:rsidR="009D6E87" w:rsidRPr="005B1A16">
        <w:rPr>
          <w:rFonts w:ascii="Book Antiqua" w:hAnsi="Book Antiqua"/>
          <w:color w:val="000000" w:themeColor="text1"/>
        </w:rPr>
        <w:t>However,</w:t>
      </w:r>
      <w:r w:rsidR="00893443" w:rsidRPr="005B1A16">
        <w:rPr>
          <w:rFonts w:ascii="Book Antiqua" w:hAnsi="Book Antiqua"/>
          <w:color w:val="000000" w:themeColor="text1"/>
        </w:rPr>
        <w:t xml:space="preserve"> </w:t>
      </w:r>
      <w:r w:rsidR="009D6E87" w:rsidRPr="005B1A16">
        <w:rPr>
          <w:rFonts w:ascii="Book Antiqua" w:hAnsi="Book Antiqua"/>
          <w:color w:val="000000" w:themeColor="text1"/>
        </w:rPr>
        <w:t>the results from the TAXIT study should be interpreted with caution since dose optimisation occurred in both groups at study start</w:t>
      </w:r>
      <w:r w:rsidR="00893443" w:rsidRPr="005B1A16">
        <w:rPr>
          <w:rFonts w:ascii="Book Antiqua" w:hAnsi="Book Antiqua"/>
          <w:color w:val="000000" w:themeColor="text1"/>
        </w:rPr>
        <w:t xml:space="preserve">. </w:t>
      </w:r>
      <w:r w:rsidR="00786A7A" w:rsidRPr="005B1A16">
        <w:rPr>
          <w:rFonts w:ascii="Book Antiqua" w:hAnsi="Book Antiqua"/>
          <w:color w:val="000000" w:themeColor="text1"/>
        </w:rPr>
        <w:t xml:space="preserve">Prospective, multi-center studies are needed to further investigate the positioning of TDM. </w:t>
      </w:r>
    </w:p>
    <w:p w14:paraId="3F9DC9F4" w14:textId="4A9F2716" w:rsidR="0006168E" w:rsidRPr="005B1A16" w:rsidRDefault="00B021A7" w:rsidP="005B1A16">
      <w:pPr>
        <w:spacing w:line="360" w:lineRule="auto"/>
        <w:ind w:firstLineChars="100" w:firstLine="240"/>
        <w:jc w:val="both"/>
        <w:rPr>
          <w:rFonts w:ascii="Book Antiqua" w:hAnsi="Book Antiqua"/>
          <w:color w:val="000000" w:themeColor="text1"/>
          <w:shd w:val="clear" w:color="auto" w:fill="FFFFFF"/>
        </w:rPr>
      </w:pPr>
      <w:r w:rsidRPr="005B1A16">
        <w:rPr>
          <w:rFonts w:ascii="Book Antiqua" w:hAnsi="Book Antiqua"/>
          <w:color w:val="000000" w:themeColor="text1"/>
        </w:rPr>
        <w:t xml:space="preserve">The decision to initiate combination therapy involves balancing the benefits of improved efficacy and lower immunogenicity of therapy against the heightened risks for infection and malignancy. </w:t>
      </w:r>
      <w:r w:rsidR="009C2233" w:rsidRPr="005B1A16">
        <w:rPr>
          <w:rFonts w:ascii="Book Antiqua" w:hAnsi="Book Antiqua"/>
          <w:color w:val="000000" w:themeColor="text1"/>
          <w:shd w:val="clear" w:color="auto" w:fill="FFFFFF"/>
        </w:rPr>
        <w:t>The SONIC trial revealed the steroid-free remission rate in CD patients at week</w:t>
      </w:r>
      <w:r w:rsidR="00F33401" w:rsidRPr="005B1A16">
        <w:rPr>
          <w:rFonts w:ascii="Book Antiqua" w:hAnsi="Book Antiqua"/>
          <w:color w:val="000000" w:themeColor="text1"/>
          <w:shd w:val="clear" w:color="auto" w:fill="FFFFFF"/>
        </w:rPr>
        <w:t xml:space="preserve"> </w:t>
      </w:r>
      <w:r w:rsidR="009C2233" w:rsidRPr="005B1A16">
        <w:rPr>
          <w:rFonts w:ascii="Book Antiqua" w:hAnsi="Book Antiqua"/>
          <w:color w:val="000000" w:themeColor="text1"/>
          <w:shd w:val="clear" w:color="auto" w:fill="FFFFFF"/>
        </w:rPr>
        <w:t xml:space="preserve">26 was significantly greater in the combination azathioprine and infliximab group as compared to infliximab or azathioprine alone (57% </w:t>
      </w:r>
      <w:r w:rsidR="009C2233" w:rsidRPr="005B1A16">
        <w:rPr>
          <w:rFonts w:ascii="Book Antiqua" w:hAnsi="Book Antiqua"/>
          <w:i/>
          <w:color w:val="000000" w:themeColor="text1"/>
          <w:shd w:val="clear" w:color="auto" w:fill="FFFFFF"/>
        </w:rPr>
        <w:t>vs</w:t>
      </w:r>
      <w:r w:rsidR="009C2233" w:rsidRPr="005B1A16">
        <w:rPr>
          <w:rFonts w:ascii="Book Antiqua" w:hAnsi="Book Antiqua"/>
          <w:color w:val="000000" w:themeColor="text1"/>
          <w:shd w:val="clear" w:color="auto" w:fill="FFFFFF"/>
        </w:rPr>
        <w:t xml:space="preserve"> 44% </w:t>
      </w:r>
      <w:r w:rsidR="009C2233" w:rsidRPr="005B1A16">
        <w:rPr>
          <w:rFonts w:ascii="Book Antiqua" w:hAnsi="Book Antiqua"/>
          <w:i/>
          <w:color w:val="000000" w:themeColor="text1"/>
          <w:shd w:val="clear" w:color="auto" w:fill="FFFFFF"/>
        </w:rPr>
        <w:t>vs</w:t>
      </w:r>
      <w:r w:rsidR="009C2233" w:rsidRPr="005B1A16">
        <w:rPr>
          <w:rFonts w:ascii="Book Antiqua" w:hAnsi="Book Antiqua"/>
          <w:color w:val="000000" w:themeColor="text1"/>
          <w:shd w:val="clear" w:color="auto" w:fill="FFFFFF"/>
        </w:rPr>
        <w:t xml:space="preserve"> 30%, respectively)</w:t>
      </w:r>
      <w:r w:rsidR="00F33401" w:rsidRPr="005B1A16">
        <w:rPr>
          <w:rFonts w:ascii="Book Antiqua" w:hAnsi="Book Antiqua"/>
          <w:color w:val="000000" w:themeColor="text1"/>
          <w:shd w:val="clear" w:color="auto" w:fill="FFFFFF"/>
        </w:rPr>
        <w:fldChar w:fldCharType="begin"/>
      </w:r>
      <w:r w:rsidR="00832F54" w:rsidRPr="005B1A16">
        <w:rPr>
          <w:rFonts w:ascii="Book Antiqua" w:hAnsi="Book Antiqua"/>
          <w:color w:val="000000" w:themeColor="text1"/>
          <w:shd w:val="clear" w:color="auto" w:fill="FFFFFF"/>
        </w:rPr>
        <w:instrText xml:space="preserve"> ADDIN ZOTERO_ITEM CSL_CITATION {"citationID":"a1l8cm1c2ap","properties":{"formattedCitation":"\\super [14]\\nosupersub{}","plainCitation":"[14]","noteIndex":0},"citationItems":[{"id":57,"uris":["http://zotero.org/users/4672422/items/NCTKCCP5"],"uri":["http://zotero.org/users/4672422/items/NCTKCCP5"],"itemData":{"id":57,"type":"article-journal","title":"Infliximab, Azathioprine, or Combination Therapy for Crohn's Disease","container-title":"New England Journal of Medicine","page":"1383-1395","volume":"362","issue":"15","source":"CrossRef","URL":"http://www.nejm.org/doi/abs/10.1056/NEJMoa0904492","DOI":"10.1056/NEJMoa0904492","ISSN":"0028-4793, 1533-4406","language":"en","author":[{"family":"Colombel","given":"Jean Frédéric"},{"family":"Sandborn","given":"William J."},{"family":"Reinisch","given":"Walter"},{"family":"Mantzaris","given":"Gerassimos J."},{"family":"Kornbluth","given":"Asher"},{"family":"Rachmilewitz","given":"Daniel"},{"family":"Lichtiger","given":"Simon"},{"family":"D'Haens","given":"Geert"},{"family":"Diamond","given":"Robert H."},{"family":"Broussard","given":"Delma L."},{"family":"Tang","given":"Kezhen L."},{"family":"Woude","given":"C. Janneke","non-dropping-particle":"van der"},{"family":"Rutgeerts","given":"Paul"}],"issued":{"date-parts":[["2010",4,15]]},"accessed":{"date-parts":[["2018",3,27]]}}}],"schema":"https://github.com/citation-style-language/schema/raw/master/csl-citation.json"} </w:instrText>
      </w:r>
      <w:r w:rsidR="00F33401" w:rsidRPr="005B1A16">
        <w:rPr>
          <w:rFonts w:ascii="Book Antiqua" w:hAnsi="Book Antiqua"/>
          <w:color w:val="000000" w:themeColor="text1"/>
          <w:shd w:val="clear" w:color="auto" w:fill="FFFFFF"/>
        </w:rPr>
        <w:fldChar w:fldCharType="separate"/>
      </w:r>
      <w:r w:rsidR="00832F54" w:rsidRPr="005B1A16">
        <w:rPr>
          <w:rFonts w:ascii="Book Antiqua" w:hAnsi="Book Antiqua"/>
          <w:color w:val="000000" w:themeColor="text1"/>
          <w:vertAlign w:val="superscript"/>
          <w:lang w:val="en-US"/>
        </w:rPr>
        <w:t>[14]</w:t>
      </w:r>
      <w:r w:rsidR="00F33401" w:rsidRPr="005B1A16">
        <w:rPr>
          <w:rFonts w:ascii="Book Antiqua" w:hAnsi="Book Antiqua"/>
          <w:color w:val="000000" w:themeColor="text1"/>
          <w:shd w:val="clear" w:color="auto" w:fill="FFFFFF"/>
        </w:rPr>
        <w:fldChar w:fldCharType="end"/>
      </w:r>
      <w:r w:rsidR="009C2233" w:rsidRPr="005B1A16">
        <w:rPr>
          <w:rFonts w:ascii="Book Antiqua" w:hAnsi="Book Antiqua"/>
          <w:color w:val="000000" w:themeColor="text1"/>
          <w:shd w:val="clear" w:color="auto" w:fill="FFFFFF"/>
        </w:rPr>
        <w:t>. The SUCCESS trial</w:t>
      </w:r>
      <w:r w:rsidR="00106290" w:rsidRPr="005B1A16">
        <w:rPr>
          <w:rFonts w:ascii="Book Antiqua" w:hAnsi="Book Antiqua"/>
          <w:color w:val="000000" w:themeColor="text1"/>
          <w:shd w:val="clear" w:color="auto" w:fill="FFFFFF"/>
        </w:rPr>
        <w:t xml:space="preserve">, which was a 16 week RCT involving 239 patients with moderate to severe UC, </w:t>
      </w:r>
      <w:r w:rsidR="009C2233" w:rsidRPr="005B1A16">
        <w:rPr>
          <w:rFonts w:ascii="Book Antiqua" w:hAnsi="Book Antiqua"/>
          <w:color w:val="000000" w:themeColor="text1"/>
          <w:shd w:val="clear" w:color="auto" w:fill="FFFFFF"/>
        </w:rPr>
        <w:t>revealed similar results</w:t>
      </w:r>
      <w:r w:rsidR="00106290" w:rsidRPr="005B1A16">
        <w:rPr>
          <w:rFonts w:ascii="Book Antiqua" w:hAnsi="Book Antiqua"/>
          <w:color w:val="000000" w:themeColor="text1"/>
          <w:shd w:val="clear" w:color="auto" w:fill="FFFFFF"/>
        </w:rPr>
        <w:t>.</w:t>
      </w:r>
      <w:r w:rsidR="009C2233" w:rsidRPr="005B1A16">
        <w:rPr>
          <w:rFonts w:ascii="Book Antiqua" w:hAnsi="Book Antiqua"/>
          <w:color w:val="000000" w:themeColor="text1"/>
          <w:shd w:val="clear" w:color="auto" w:fill="FFFFFF"/>
        </w:rPr>
        <w:t xml:space="preserve"> </w:t>
      </w:r>
      <w:r w:rsidR="00106290" w:rsidRPr="005B1A16">
        <w:rPr>
          <w:rFonts w:ascii="Book Antiqua" w:hAnsi="Book Antiqua"/>
          <w:color w:val="000000" w:themeColor="text1"/>
          <w:shd w:val="clear" w:color="auto" w:fill="FFFFFF"/>
        </w:rPr>
        <w:t>Steroid</w:t>
      </w:r>
      <w:r w:rsidR="009C2233" w:rsidRPr="005B1A16">
        <w:rPr>
          <w:rFonts w:ascii="Book Antiqua" w:hAnsi="Book Antiqua"/>
          <w:color w:val="000000" w:themeColor="text1"/>
          <w:shd w:val="clear" w:color="auto" w:fill="FFFFFF"/>
        </w:rPr>
        <w:t>-free remission was achieved in 40% of patients on dual therapy as compared to 22% and 24% on infliximab and azathioprine monotherapy, respectively</w:t>
      </w:r>
      <w:r w:rsidR="00BC5639"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{"citationID":"a1ud1svmibd","properties":{"formattedCitation":"\\super [90]\\nosupersub{}","plainCitation":"[90]","noteIndex":0},"citationItems":[{"id":181,"uris":["http://zotero.org/users/4672422/items/V2VPNPNV"],"uri":["http://zotero.org/users/4672422/items/V2VPNPNV"],"itemData":{"id":181,"type":"article-journal","title":"Combination Therapy With Infliximab and Azathioprine Is Superior to Monotherapy With Either Agent in Ulcerative Colitis","container-title":"Gastroenterology","page":"392-400.e3","volume":"146","issue":"2","source":"CrossRef","URL":"http://linkinghub.elsevier.com/retrieve/pii/S0016508513015266","DOI":"10.1053/j.gastro.2013.10.052","ISSN":"00165085","language":"en","author":[{"family":"Panaccione","given":"Remo"},{"family":"Ghosh","given":"Subrata"},{"family":"Middleton","given":"Stephen"},{"family":"Márquez","given":"Juan R."},{"family":"Scott","given":"Boyd B."},{"family":"Flint","given":"Laurence"},{"family":"Hoogstraten","given":"Hubert J.F.","non-dropping-particle":"van"},{"family":"Chen","given":"Annie C."},{"family":"Zheng","given":"Hanzhe"},{"family":"Danese","given":"Silvio"},{"family":"Rutgeerts","given":"Paul"}],"issued":{"date-parts":[["2014",2]]},"accessed":{"date-parts":[["2018",3,28]]}}}],"schema":"https://github.com/citation-style-language/schema/raw/master/csl-citation.json"} </w:instrText>
      </w:r>
      <w:r w:rsidR="00BC5639"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[90]</w:t>
      </w:r>
      <w:r w:rsidR="00BC5639" w:rsidRPr="005B1A16">
        <w:rPr>
          <w:rFonts w:ascii="Book Antiqua" w:hAnsi="Book Antiqua"/>
          <w:color w:val="000000" w:themeColor="text1"/>
          <w:shd w:val="clear" w:color="auto" w:fill="FFFFFF"/>
        </w:rPr>
        <w:fldChar w:fldCharType="end"/>
      </w:r>
      <w:r w:rsidR="009C2233" w:rsidRPr="005B1A16">
        <w:rPr>
          <w:rFonts w:ascii="Book Antiqua" w:hAnsi="Book Antiqua"/>
          <w:color w:val="000000" w:themeColor="text1"/>
          <w:shd w:val="clear" w:color="auto" w:fill="FFFFFF"/>
        </w:rPr>
        <w:t xml:space="preserve">. Supporting this strategy was the </w:t>
      </w:r>
      <w:r w:rsidR="00492D39" w:rsidRPr="005B1A16">
        <w:rPr>
          <w:rFonts w:ascii="Book Antiqua" w:hAnsi="Book Antiqua"/>
          <w:color w:val="000000" w:themeColor="text1"/>
          <w:shd w:val="clear" w:color="auto" w:fill="FFFFFF"/>
        </w:rPr>
        <w:t xml:space="preserve">open label prospective </w:t>
      </w:r>
      <w:r w:rsidR="00A33431" w:rsidRPr="005B1A16">
        <w:rPr>
          <w:rFonts w:ascii="Book Antiqua" w:hAnsi="Book Antiqua"/>
          <w:color w:val="000000" w:themeColor="text1"/>
          <w:shd w:val="clear" w:color="auto" w:fill="FFFFFF"/>
        </w:rPr>
        <w:t xml:space="preserve">DIAMOND </w:t>
      </w:r>
      <w:r w:rsidR="009C2233" w:rsidRPr="005B1A16">
        <w:rPr>
          <w:rFonts w:ascii="Book Antiqua" w:hAnsi="Book Antiqua"/>
          <w:color w:val="000000" w:themeColor="text1"/>
          <w:shd w:val="clear" w:color="auto" w:fill="FFFFFF"/>
        </w:rPr>
        <w:t xml:space="preserve">study which </w:t>
      </w:r>
      <w:r w:rsidR="00A33431" w:rsidRPr="005B1A16">
        <w:rPr>
          <w:rFonts w:ascii="Book Antiqua" w:hAnsi="Book Antiqua"/>
          <w:color w:val="000000" w:themeColor="text1"/>
          <w:shd w:val="clear" w:color="auto" w:fill="FFFFFF"/>
        </w:rPr>
        <w:t xml:space="preserve">evaluated 176 </w:t>
      </w:r>
      <w:r w:rsidR="00CB7E48" w:rsidRPr="005B1A16">
        <w:rPr>
          <w:rFonts w:ascii="Book Antiqua" w:hAnsi="Book Antiqua"/>
          <w:color w:val="000000" w:themeColor="text1"/>
          <w:shd w:val="clear" w:color="auto" w:fill="FFFFFF"/>
        </w:rPr>
        <w:t xml:space="preserve">Japanese </w:t>
      </w:r>
      <w:r w:rsidR="00A33431" w:rsidRPr="005B1A16">
        <w:rPr>
          <w:rFonts w:ascii="Book Antiqua" w:hAnsi="Book Antiqua"/>
          <w:color w:val="000000" w:themeColor="text1"/>
          <w:shd w:val="clear" w:color="auto" w:fill="FFFFFF"/>
        </w:rPr>
        <w:t xml:space="preserve">patients with CD </w:t>
      </w:r>
      <w:r w:rsidR="00CB7E48" w:rsidRPr="005B1A16">
        <w:rPr>
          <w:rFonts w:ascii="Book Antiqua" w:hAnsi="Book Antiqua"/>
          <w:color w:val="000000" w:themeColor="text1"/>
          <w:shd w:val="clear" w:color="auto" w:fill="FFFFFF"/>
        </w:rPr>
        <w:t xml:space="preserve">over 52 </w:t>
      </w:r>
      <w:r w:rsidR="00FA16CE" w:rsidRPr="005B1A16">
        <w:rPr>
          <w:rFonts w:ascii="Book Antiqua" w:eastAsia="SimSun" w:hAnsi="Book Antiqua"/>
          <w:color w:val="000000" w:themeColor="text1"/>
          <w:shd w:val="clear" w:color="auto" w:fill="FFFFFF"/>
          <w:lang w:eastAsia="zh-CN"/>
        </w:rPr>
        <w:t>wk</w:t>
      </w:r>
      <w:r w:rsidR="00CB7E48" w:rsidRPr="005B1A16">
        <w:rPr>
          <w:rFonts w:ascii="Book Antiqua" w:hAnsi="Book Antiqua"/>
          <w:color w:val="000000" w:themeColor="text1"/>
          <w:shd w:val="clear" w:color="auto" w:fill="FFFFFF"/>
        </w:rPr>
        <w:t xml:space="preserve">. This study </w:t>
      </w:r>
      <w:r w:rsidR="009C2233" w:rsidRPr="005B1A16">
        <w:rPr>
          <w:rFonts w:ascii="Book Antiqua" w:hAnsi="Book Antiqua"/>
          <w:color w:val="000000" w:themeColor="text1"/>
          <w:shd w:val="clear" w:color="auto" w:fill="FFFFFF"/>
        </w:rPr>
        <w:t xml:space="preserve">demonstrated </w:t>
      </w:r>
      <w:r w:rsidR="00CB7E48" w:rsidRPr="005B1A16">
        <w:rPr>
          <w:rFonts w:ascii="Book Antiqua" w:hAnsi="Book Antiqua"/>
          <w:color w:val="000000" w:themeColor="text1"/>
          <w:shd w:val="clear" w:color="auto" w:fill="FFFFFF"/>
        </w:rPr>
        <w:t xml:space="preserve">that </w:t>
      </w:r>
      <w:r w:rsidR="009C2233" w:rsidRPr="005B1A16">
        <w:rPr>
          <w:rFonts w:ascii="Book Antiqua" w:hAnsi="Book Antiqua"/>
          <w:color w:val="000000" w:themeColor="text1"/>
          <w:shd w:val="clear" w:color="auto" w:fill="FFFFFF"/>
        </w:rPr>
        <w:t xml:space="preserve">the efficacy of using dual therapy was not limited to </w:t>
      </w:r>
      <w:r w:rsidR="00CB7E48" w:rsidRPr="005B1A16">
        <w:rPr>
          <w:rFonts w:ascii="Book Antiqua" w:hAnsi="Book Antiqua"/>
          <w:color w:val="000000" w:themeColor="text1"/>
          <w:shd w:val="clear" w:color="auto" w:fill="FFFFFF"/>
        </w:rPr>
        <w:t xml:space="preserve">only </w:t>
      </w:r>
      <w:r w:rsidR="009C2233" w:rsidRPr="005B1A16">
        <w:rPr>
          <w:rFonts w:ascii="Book Antiqua" w:hAnsi="Book Antiqua"/>
          <w:color w:val="000000" w:themeColor="text1"/>
          <w:shd w:val="clear" w:color="auto" w:fill="FFFFFF"/>
        </w:rPr>
        <w:t xml:space="preserve">infliximab but also to adalimumab. Mucosal healing was significantly better in the combination group as compared to the azathioprine monotherapy group at </w:t>
      </w:r>
      <w:r w:rsidR="009C2233" w:rsidRPr="005B1A16">
        <w:rPr>
          <w:rFonts w:ascii="Book Antiqua" w:hAnsi="Book Antiqua"/>
          <w:color w:val="000000" w:themeColor="text1"/>
          <w:shd w:val="clear" w:color="auto" w:fill="FFFFFF"/>
        </w:rPr>
        <w:lastRenderedPageBreak/>
        <w:t xml:space="preserve">week 26 (84% </w:t>
      </w:r>
      <w:r w:rsidR="009C2233" w:rsidRPr="005B1A16">
        <w:rPr>
          <w:rFonts w:ascii="Book Antiqua" w:hAnsi="Book Antiqua"/>
          <w:i/>
          <w:color w:val="000000" w:themeColor="text1"/>
          <w:shd w:val="clear" w:color="auto" w:fill="FFFFFF"/>
        </w:rPr>
        <w:t>vs</w:t>
      </w:r>
      <w:r w:rsidR="009C2233" w:rsidRPr="005B1A16">
        <w:rPr>
          <w:rFonts w:ascii="Book Antiqua" w:hAnsi="Book Antiqua"/>
          <w:color w:val="000000" w:themeColor="text1"/>
          <w:shd w:val="clear" w:color="auto" w:fill="FFFFFF"/>
        </w:rPr>
        <w:t xml:space="preserve"> 64%, respectively)</w:t>
      </w:r>
      <w:r w:rsidR="00BC5639"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{"citationID":"a1dnlj4crqj","properties":{"formattedCitation":"\\super [91]\\nosupersub{}","plainCitation":"[91]","noteIndex":0},"citationItems":[{"id":182,"uris":["http://zotero.org/users/4672422/items/XIVZX3J2"],"uri":["http://zotero.org/users/4672422/items/XIVZX3J2"],"itemData":{"id":182,"type":"article-journal","title":"Adalimumab Monotherapy and a Combination with Azathioprine for Crohn's Disease: A Prospective, Randomized Trial","container-title":"Journal of Crohn's &amp; Colitis","page":"1259-1266","volume":"10","issue":"11","source":"PubMed","abstract":"BACKGROUND AND AIMS: The efficacy of azathioprine for Crohn's disease under adalimumab treatment remains obscure.\nMETHODS: In an open-labelled prospective study, we evaluated the efficacy of adalimumab with and without azathioprine in patients with active Crohn's disease, who were naïve to biologics and thiopurines. The patients were randomly assigned to subcutaneous administration of adalimumab [monotherapy group] or to exactly the same schedule of adalimumab with azathioprine [25-100mg daily] [combination group] for 52 Weeks. The primary endpoint was clinical remission at WWeek 26. We also evaluated the score for simple endoscopic severity of Crohn's disease before the therapy and at WWeeks 26 and 52.\nRESULTS: A total of 176 patients were randomized to either the monotherapy group [n = 85] or to the combination group [n = 91]. Eighteen patients [21.2%] from the monotherapy group and 7 patients [7.7%] from the combination group withdrew owing to active disease, and 15 patients [16.5%] from the combination group and 1 patient [1.2%] from the monotherapy group withdrew due to side effects of the medications. Non-responder imputation analysis revealed that the remission rate at WWeek 26 did not differ between the monotherapy group and the combination group [71.8% vs 68.1%; OR 0.84, p = 0.63]. The rate of endoscopic improvement at WWeek 26 was significantly higher in the combination group [84.2%, n = 57] than in the monotherapy group [63.8%, n = 58] [p = 0.019].\nCONCLUSION: The clinical efficacy of a combination of adalimumab and azathioprine at WWeek 26 did not differ from that of adalimumab monotherapy in patients with Crohn's disease naïve to both medications.","DOI":"10.1093/ecco-jcc/jjw152","ISSN":"1876-4479","note":"PMID: 27566367","shortTitle":"Adalimumab Monotherapy and a Combination with Azathioprine for Crohn's Disease","journalAbbreviation":"J Crohns Colitis","language":"eng","author":[{"family":"Matsumoto","given":"Takayuki"},{"family":"Motoya","given":"Satoshi"},{"family":"Watanabe","given":"Kenji"},{"family":"Hisamatsu","given":"Tadakazu"},{"family":"Nakase","given":"Hiroshi"},{"family":"Yoshimura","given":"Naoki"},{"family":"Ishida","given":"Tetsuya"},{"family":"Kato","given":"Shingo"},{"family":"Nakagawa","given":"Tomoo"},{"family":"Esaki","given":"Motohiro"},{"family":"Nagahori","given":"Masakazu"},{"family":"Matsui","given":"Toshiyuki"},{"family":"Naito","given":"Yuji"},{"family":"Kanai","given":"Takanori"},{"family":"Suzuki","given":"Yasuo"},{"family":"Nojima","given":"Masanori"},{"family":"Watanabe","given":"Mamoru"},{"family":"Hibi","given":"Toshifumi"},{"literal":"DIAMOND study group"}],"issued":{"date-parts":[["2016",11]]}}}],"schema":"https://github.com/citation-style-language/schema/raw/master/csl-citation.json"} </w:instrText>
      </w:r>
      <w:r w:rsidR="00BC5639"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[91]</w:t>
      </w:r>
      <w:r w:rsidR="00BC5639" w:rsidRPr="005B1A16">
        <w:rPr>
          <w:rFonts w:ascii="Book Antiqua" w:hAnsi="Book Antiqua"/>
          <w:color w:val="000000" w:themeColor="text1"/>
          <w:shd w:val="clear" w:color="auto" w:fill="FFFFFF"/>
        </w:rPr>
        <w:fldChar w:fldCharType="end"/>
      </w:r>
      <w:r w:rsidR="009C2233" w:rsidRPr="005B1A16">
        <w:rPr>
          <w:rFonts w:ascii="Book Antiqua" w:hAnsi="Book Antiqua"/>
          <w:color w:val="000000" w:themeColor="text1"/>
          <w:shd w:val="clear" w:color="auto" w:fill="FFFFFF"/>
        </w:rPr>
        <w:t xml:space="preserve">. Although the difference in clinical remission was not significant, likely due to a small cohort and lower thiopurine dosing, a trend was maintained in favor of combination therapy. The infection and serious complication risks were not greater on dual therapy as compared to monotherapy in either of the aforementioned studies. In contrast, the SONIC trial demonstrated the lowest risk for infection to be present in the dual therapy group (3.9%) as compared to the infliximab or azathioprine monotherapy groups (4.9% and 5.6%, respectively). This suggests that poorly controlled disease is a stronger risk factor for infection instead of intensified immunosuppression. </w:t>
      </w:r>
      <w:r w:rsidR="007F656E" w:rsidRPr="005B1A16">
        <w:rPr>
          <w:rFonts w:ascii="Book Antiqua" w:hAnsi="Book Antiqua"/>
          <w:color w:val="000000" w:themeColor="text1"/>
          <w:shd w:val="clear" w:color="auto" w:fill="FFFFFF"/>
        </w:rPr>
        <w:t>Ultimately, the risk for hepatosplenic T-cell lymphoma (especially in young/adolescent males after 2 years of therapy), myelosuppression</w:t>
      </w:r>
      <w:r w:rsidR="007F656E" w:rsidRPr="005B1A16">
        <w:rPr>
          <w:rFonts w:ascii="Book Antiqua" w:hAnsi="Book Antiqua"/>
          <w:color w:val="000000" w:themeColor="text1"/>
        </w:rPr>
        <w:t xml:space="preserve"> and opportunistic infections must be weighted individually</w:t>
      </w:r>
      <w:r w:rsidR="007367CD"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{"citationID":"ap5b3utmbv","properties":{"formattedCitation":"\\super [92,93]\\nosupersub{}","plainCitation":"[92,93]","noteIndex":0},"citationItems":[{"id":184,"uris":["http://zotero.org/users/4672422/items/SIYL52JW"],"uri":["http://zotero.org/users/4672422/items/SIYL52JW"],"itemData":{"id":184,"type":"article-journal","title":"Risk of infections associated with biological treatment in inflammatory bowel disease","container-title":"World Journal of Gastroenterology","page":"16014","volume":"20","issue":"43","source":"CrossRef","URL":"http://www.wjgnet.com/1007-9327/full/v20/i43/16014.htm","DOI":"10.3748/wjg.v20.i43.16014","ISSN":"1007-9327","language":"en","author":[{"family":"Andersen","given":"Nynne Nyboe"},{"family":"Jess","given":"Tine"}],"issued":{"date-parts":[["2014"]]},"accessed":{"date-parts":[["2018",3,28]]}}},{"id":185,"uris":["http://zotero.org/users/4672422/items/2I6V9C8C"],"uri":["http://zotero.org/users/4672422/items/2I6V9C8C"],"itemData":{"id":185,"type":"article-journal","title":"Extra-intestinal malignancies in inflammatory bowel disease: Results of the 3rd ECCO Pathogenesis Scientific Workshop (III)","container-title":"Journal of Crohn's and Colitis","page":"31-44","volume":"8","issue":"1","source":"CrossRef","URL":"https://academic.oup.com/ecco-jcc/article-lookup/doi/10.1016/j.crohns.2013.04.006","DOI":"10.1016/j.crohns.2013.04.006","ISSN":"18739946","shortTitle":"Extra-intestinal malignancies in inflammatory bowel disease","language":"en","author":[{"family":"Magro","given":"Fernando"},{"family":"Peyrin-Biroulet","given":"Laurent"},{"family":"Sokol","given":"Harry"},{"family":"Aldeger","given":"Xavier"},{"family":"Costa","given":"Antonia"},{"family":"Higgins","given":"Peter D."},{"family":"Joyce","given":"Joel C."},{"family":"Katsanos","given":"Konstantinos H."},{"family":"Lopez","given":"Anthony"},{"family":"Xaxars","given":"Teresa Mas","non-dropping-particle":"de"},{"family":"Toader","given":"Elena"},{"family":"Beaugerie","given":"Laurent"}],"issued":{"date-parts":[["2014",1]]},"accessed":{"date-parts":[["2018",3,28]]}}}],"schema":"https://github.com/citation-style-language/schema/raw/master/csl-citation.json"} </w:instrText>
      </w:r>
      <w:r w:rsidR="007367CD"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[92,93]</w:t>
      </w:r>
      <w:r w:rsidR="007367CD" w:rsidRPr="005B1A16">
        <w:rPr>
          <w:rFonts w:ascii="Book Antiqua" w:hAnsi="Book Antiqua"/>
          <w:color w:val="000000" w:themeColor="text1"/>
        </w:rPr>
        <w:fldChar w:fldCharType="end"/>
      </w:r>
      <w:r w:rsidR="007F656E" w:rsidRPr="005B1A16">
        <w:rPr>
          <w:rFonts w:ascii="Book Antiqua" w:hAnsi="Book Antiqua"/>
          <w:color w:val="000000" w:themeColor="text1"/>
        </w:rPr>
        <w:t xml:space="preserve">. Consideration can be made to </w:t>
      </w:r>
      <w:r w:rsidR="00CE6FBA" w:rsidRPr="005B1A16">
        <w:rPr>
          <w:rFonts w:ascii="Book Antiqua" w:hAnsi="Book Antiqua"/>
          <w:color w:val="000000" w:themeColor="text1"/>
        </w:rPr>
        <w:t xml:space="preserve">initiating therapy with both combined thiopurine and anti-TNF therapy than </w:t>
      </w:r>
      <w:r w:rsidR="007F656E" w:rsidRPr="005B1A16">
        <w:rPr>
          <w:rFonts w:ascii="Book Antiqua" w:hAnsi="Book Antiqua"/>
          <w:color w:val="000000" w:themeColor="text1"/>
        </w:rPr>
        <w:t xml:space="preserve">stopping thiopurine therapy after 6 </w:t>
      </w:r>
      <w:r w:rsidR="00F04C8C" w:rsidRPr="005B1A16">
        <w:rPr>
          <w:rFonts w:ascii="Book Antiqua" w:eastAsia="SimSun" w:hAnsi="Book Antiqua"/>
          <w:color w:val="000000" w:themeColor="text1"/>
          <w:lang w:eastAsia="zh-CN"/>
        </w:rPr>
        <w:t>mo</w:t>
      </w:r>
      <w:r w:rsidR="007F656E" w:rsidRPr="005B1A16">
        <w:rPr>
          <w:rFonts w:ascii="Book Antiqua" w:hAnsi="Book Antiqua"/>
          <w:color w:val="000000" w:themeColor="text1"/>
        </w:rPr>
        <w:t xml:space="preserve"> in the setting of clinical and biochemical re</w:t>
      </w:r>
      <w:r w:rsidR="00CE6FBA" w:rsidRPr="005B1A16">
        <w:rPr>
          <w:rFonts w:ascii="Book Antiqua" w:hAnsi="Book Antiqua"/>
          <w:color w:val="000000" w:themeColor="text1"/>
        </w:rPr>
        <w:t>mission and a therapeutic drug level, which has been supported in the literature</w:t>
      </w:r>
      <w:r w:rsidR="0057664B"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{"citationID":"a19r2k3fgc5","properties":{"formattedCitation":"\\super [94,95]\\nosupersub{}","plainCitation":"[94,95]","noteIndex":0},"citationItems":[{"id":186,"uris":["http://zotero.org/users/4672422/items/TU6H2ESI"],"uri":["http://zotero.org/users/4672422/items/TU6H2ESI"],"itemData":{"id":186,"type":"article-journal","title":"Withdrawal of immunomodulators after co-treatment does not reduce trough level of infliximab in patients with Crohn's disease","container-title":"Clinical Gastroenterology and Hepatology: The Official Clinical Practice Journal of the American Gastroenterological Association","page":"514-521.e4","volume":"13","issue":"3","source":"PubMed","abstract":"BACKGROUND &amp; AIMS: The addition of immunomodulators increases the efficacy of maintenance therapy with infliximab for up to 1 year in patients with Crohn's disease who have not been previously treated with immunomodulators. However, there are questions about the effect of withdrawing immunomodulator therapy from these patients. We studied the effects of treatment with infliximab and immunomodulators (co-treatment) and then immunomodulator withdrawal on long-term outcomes of patients, as well as trough levels of infliximab and formation of anti-infliximab antibodies (ATI).\nMETHODS: In a retrospective study with the median follow-up period of 34 months (interquartile range, 19-58 months), we analyzed data from 223 patients treated for Crohn's disease between May 1999 and December 2010 at the University Hospitals, Leuven, Belgium (65 received infliximab monotherapy, 158 received infliximab and an immunomodulator). Trough levels of infliximab and levels of ATI were measured in blood samples collected from 117 patients throughout co-treatment, as well as the time of immunomodulator withdrawal and after withdrawal.\nRESULTS: Patients receiving co-treatment had higher trough levels of infliximab (adjusted mean increase, 1.44-fold) than those receiving infliximab monotherapy (95% confidence interval [CI], 1.07-1.92; P = .02). A smaller percentage of patients receiving co-treatment developed ATI (35 of 158, 22%) than those receiving infliximab monotherapy (25 of 65, 38%; P = .01). Among co-treated patients, levels of infliximab remained stable after immunomodulators were withdrawn (before: 3.2 μg/mL; 95% CI, 1.6-5.8 μg/mL and after: 3.7 μg/mL; 95% CI, 1.3-6.3 μg/mL; P = .70). After withdrawal of immunomodulators, 45 of 117 patients (38%) required increasing doses of infliximab, and 21 of 117 (18%) discontinued infliximab. At the time of immunomodulator withdrawal, trough levels of infliximab and C-reactive protein were most strongly associated with response to infliximab thereafter.\nCONCLUSIONS: In a retrospective analysis, we confirmed that withdrawal of immunomodulators after at least 6 months (median, 13 months) of co-treatment with infliximab does not reduce the trough levels of infliximab in patients with Crohn's disease. Detectable trough levels of infliximab at the time of immunomodulator withdrawal are associated with long-term response.","DOI":"10.1016/j.cgh.2014.07.027","ISSN":"1542-7714","note":"PMID: 25066841","journalAbbreviation":"Clin. Gastroenterol. Hepatol.","language":"eng","author":[{"family":"Drobne","given":"David"},{"family":"Bossuyt","given":"Peter"},{"family":"Breynaert","given":"Christine"},{"family":"Cattaert","given":"Tom"},{"family":"Vande Casteele","given":"Niels"},{"family":"Compernolle","given":"Griet"},{"family":"Jürgens","given":"Matthias"},{"family":"Ferrante","given":"Marc"},{"family":"Ballet","given":"Vera"},{"family":"Wollants","given":"Willem-Jan"},{"family":"Cleynen","given":"Isabelle"},{"family":"Van Steen","given":"Kristel"},{"family":"Gils","given":"Ann"},{"family":"Rutgeerts","given":"Paul"},{"family":"Vermeire","given":"Severine"},{"family":"Van Assche","given":"Gert"}],"issued":{"date-parts":[["2015",3]]}}},{"id":188,"uris":["http://zotero.org/users/4672422/items/A2GV9A93"],"uri":["http://zotero.org/users/4672422/items/A2GV9A93"],"itemData":{"id":188,"type":"article-journal","title":"Withdrawal of immunosuppression in Crohn's disease treated with scheduled infliximab maintenance: a randomized trial","container-title":"Gastroenterology","page":"1861-1868","volume":"134","issue":"7","source":"PubMed","abstract":"BACKGROUND &amp; AIMS: The benefit to risk ratio of concomitant immunosuppressives with scheduled infliximab (IFX) maintenance therapy for Crohn's disease is an issue of debate. We aimed to study the influence of immunosuppressives discontinuation in patients in remission with combination therapy in an open-label, randomized, controlled trial.\nMETHODS: Patients with controlled disease &gt; or = 6 months after the start of IFX (5 mg/kg intravenously) combined with immunosuppressives were randomized to continue (Con) or to interrupt (Dis) immunosuppressives, while all patients received scheduled IFX maintenance therapy for 104 weeks. Primary end point was the proportion of patients who required a decrease in IFX dosing interval or stopped IFX therapy. Secondary end points included IFX trough levels, safety, and mucosal healing.\nRESULTS: A similar proportion (24/40, 60% Con) and (22/40, 55% Dis) of patients needed a change in IFX dosing interval or stopped IFX therapy (11/40 Con, 9/40 Dis). C-reactive protein (CRP) was higher and IFX trough levels were lower in the Dis group (Dis: CRP, 2.8 mg/L; interquartile range [IQR], 1.0-8.0; Con: CRP, 1.6 mg/L; IQR, 1.0-5.6, P &lt; .005; trough IFX: Dis: 1.65 microg/mL; IQR, 0.54-3.68; Con: 2.87 microg/mL; IQR, 1.35-4.72, P &lt; .0001). Low IFX trough levels correlated with increased CRP and clinical score. Mucosal ulcers were absent at week 104 in 64% (Con) and 61% (Dis) of evaluated patients with ongoing response to IFX.\nCONCLUSIONS: Continuation of immunosuppressives beyond 6 months offers no clear benefit over scheduled IFX monotherapy but is associated with higher median IFX trough and decreased CRP levels. The impact of these observations on long-term outcomes needs to be explored further.","DOI":"10.1053/j.gastro.2008.03.004","ISSN":"1528-0012","note":"PMID: 18440315","shortTitle":"Withdrawal of immunosuppression in Crohn's disease treated with scheduled infliximab maintenance","journalAbbreviation":"Gastroenterology","language":"eng","author":[{"family":"Van Assche","given":"Gert"},{"family":"Magdelaine-Beuzelin","given":"Charlotte"},{"family":"D'Haens","given":"Geert"},{"family":"Baert","given":"Filip"},{"family":"Noman","given":"Maja"},{"family":"Vermeire","given":"Séverine"},{"family":"Ternant","given":"David"},{"family":"Watier","given":"Hervé"},{"family":"Paintaud","given":"Gilles"},{"family":"Rutgeerts","given":"Paul"}],"issued":{"date-parts":[["2008",6]]}}}],"schema":"https://github.com/citation-style-language/schema/raw/master/csl-citation.json"} </w:instrText>
      </w:r>
      <w:r w:rsidR="0057664B"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[94,95]</w:t>
      </w:r>
      <w:r w:rsidR="0057664B" w:rsidRPr="005B1A16">
        <w:rPr>
          <w:rFonts w:ascii="Book Antiqua" w:hAnsi="Book Antiqua"/>
          <w:color w:val="000000" w:themeColor="text1"/>
        </w:rPr>
        <w:fldChar w:fldCharType="end"/>
      </w:r>
      <w:r w:rsidR="00CE6FBA" w:rsidRPr="005B1A16">
        <w:rPr>
          <w:rFonts w:ascii="Book Antiqua" w:hAnsi="Book Antiqua"/>
          <w:color w:val="000000" w:themeColor="text1"/>
        </w:rPr>
        <w:t>.</w:t>
      </w:r>
    </w:p>
    <w:p w14:paraId="74FB8EF3" w14:textId="14CDB208" w:rsidR="00E467D8" w:rsidRPr="005B1A16" w:rsidRDefault="00E467D8" w:rsidP="005B1A16">
      <w:pPr>
        <w:spacing w:line="360" w:lineRule="auto"/>
        <w:jc w:val="both"/>
        <w:rPr>
          <w:rFonts w:ascii="Book Antiqua" w:hAnsi="Book Antiqua"/>
          <w:color w:val="000000" w:themeColor="text1"/>
          <w:shd w:val="clear" w:color="auto" w:fill="FFFFFF"/>
        </w:rPr>
      </w:pPr>
    </w:p>
    <w:p w14:paraId="5DE03911" w14:textId="22138AF8" w:rsidR="00AC5EB7" w:rsidRPr="005B1A16" w:rsidRDefault="00AC5EB7" w:rsidP="005B1A16">
      <w:pPr>
        <w:spacing w:line="360" w:lineRule="auto"/>
        <w:jc w:val="both"/>
        <w:outlineLvl w:val="0"/>
        <w:rPr>
          <w:rFonts w:ascii="Book Antiqua" w:hAnsi="Book Antiqua"/>
          <w:b/>
          <w:i/>
          <w:color w:val="000000" w:themeColor="text1"/>
        </w:rPr>
      </w:pPr>
      <w:r w:rsidRPr="005B1A16">
        <w:rPr>
          <w:rFonts w:ascii="Book Antiqua" w:hAnsi="Book Antiqua"/>
          <w:b/>
          <w:i/>
          <w:color w:val="000000" w:themeColor="text1"/>
        </w:rPr>
        <w:t>Positioning ‘new’ agents</w:t>
      </w:r>
      <w:r w:rsidR="00A7101B" w:rsidRPr="005B1A16">
        <w:rPr>
          <w:rFonts w:ascii="Book Antiqua" w:hAnsi="Book Antiqua"/>
          <w:b/>
          <w:i/>
          <w:color w:val="000000" w:themeColor="text1"/>
        </w:rPr>
        <w:t xml:space="preserve">: first or second-line? </w:t>
      </w:r>
    </w:p>
    <w:p w14:paraId="0052710C" w14:textId="5D70A069" w:rsidR="00227C92" w:rsidRPr="005B1A16" w:rsidRDefault="00AC5EB7" w:rsidP="005B1A16">
      <w:pPr>
        <w:spacing w:line="360" w:lineRule="auto"/>
        <w:jc w:val="both"/>
        <w:rPr>
          <w:rFonts w:ascii="Book Antiqua" w:eastAsia="SimSun" w:hAnsi="Book Antiqua"/>
          <w:color w:val="000000" w:themeColor="text1"/>
          <w:lang w:eastAsia="zh-CN"/>
        </w:rPr>
      </w:pPr>
      <w:r w:rsidRPr="005B1A16">
        <w:rPr>
          <w:rFonts w:ascii="Book Antiqua" w:hAnsi="Book Antiqua"/>
          <w:color w:val="000000" w:themeColor="text1"/>
        </w:rPr>
        <w:t>Vedolizumab has emerged as a first-line agent for induction of remission for moderately active UC patients failing conventional therapy</w:t>
      </w:r>
      <w:r w:rsidR="00D30EBC"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{"citationID":"a2mg8eo7nuu","properties":{"formattedCitation":"\\super [58]\\nosupersub{}","plainCitation":"[58]","noteIndex":0},"citationItems":[{"id":132,"uris":["http://zotero.org/users/4672422/items/SSRIGUZ4"],"uri":["http://zotero.org/users/4672422/items/SSRIGUZ4"],"itemData":{"id":132,"type":"article-journal","title":"Vedolizumab as Induction and Maintenance Therapy for Ulcerative Colitis","container-title":"New England Journal of Medicine","page":"699-710","volume":"369","issue":"8","source":"CrossRef","URL":"http://www.nejm.org/doi/10.1056/NEJMoa1215734","DOI":"10.1056/NEJMoa1215734","ISSN":"0028-4793, 1533-4406","language":"en","author":[{"family":"Feagan","given":"Brian G."},{"family":"Rutgeerts","given":"Paul"},{"family":"Sands","given":"Bruce E."},{"family":"Hanauer","given":"Stephen"},{"family":"Colombel","given":"Jean-Frédéric"},{"family":"Sandborn","given":"William J."},{"family":"Van Assche","given":"Gert"},{"family":"Axler","given":"Jeffrey"},{"family":"Kim","given":"Hyo-Jong"},{"family":"Danese","given":"Silvio"},{"family":"Fox","given":"Irving"},{"family":"Milch","given":"Catherine"},{"family":"Sankoh","given":"Serap"},{"family":"Wyant","given":"Tim"},{"family":"Xu","given":"Jing"},{"family":"Parikh","given":"Asit"}],"issued":{"date-parts":[["2013",8,22]]},"accessed":{"date-parts":[["2018",3,27]]}}}],"schema":"https://github.com/citation-style-language/schema/raw/master/csl-citation.json"} </w:instrText>
      </w:r>
      <w:r w:rsidR="00D30EBC"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[58]</w:t>
      </w:r>
      <w:r w:rsidR="00D30EBC" w:rsidRPr="005B1A16">
        <w:rPr>
          <w:rFonts w:ascii="Book Antiqua" w:hAnsi="Book Antiqua"/>
          <w:color w:val="000000" w:themeColor="text1"/>
        </w:rPr>
        <w:fldChar w:fldCharType="end"/>
      </w:r>
      <w:r w:rsidRPr="005B1A16">
        <w:rPr>
          <w:rFonts w:ascii="Book Antiqua" w:hAnsi="Book Antiqua"/>
          <w:color w:val="000000" w:themeColor="text1"/>
        </w:rPr>
        <w:t>. In CD, clinicians should be aware of the potentially slow</w:t>
      </w:r>
      <w:r w:rsidR="00227C92" w:rsidRPr="005B1A16">
        <w:rPr>
          <w:rFonts w:ascii="Book Antiqua" w:hAnsi="Book Antiqua"/>
          <w:color w:val="000000" w:themeColor="text1"/>
        </w:rPr>
        <w:t>er</w:t>
      </w:r>
      <w:r w:rsidRPr="005B1A16">
        <w:rPr>
          <w:rFonts w:ascii="Book Antiqua" w:hAnsi="Book Antiqua"/>
          <w:color w:val="000000" w:themeColor="text1"/>
        </w:rPr>
        <w:t xml:space="preserve"> onset of action of vedolizumab. Concomitant use of corticosteroids may be necessary duri</w:t>
      </w:r>
      <w:r w:rsidR="00227C92" w:rsidRPr="005B1A16">
        <w:rPr>
          <w:rFonts w:ascii="Book Antiqua" w:hAnsi="Book Antiqua"/>
          <w:color w:val="000000" w:themeColor="text1"/>
        </w:rPr>
        <w:t>ng the induction period. For these</w:t>
      </w:r>
      <w:r w:rsidRPr="005B1A16">
        <w:rPr>
          <w:rFonts w:ascii="Book Antiqua" w:hAnsi="Book Antiqua"/>
          <w:color w:val="000000" w:themeColor="text1"/>
        </w:rPr>
        <w:t xml:space="preserve"> reason</w:t>
      </w:r>
      <w:r w:rsidR="00227C92" w:rsidRPr="005B1A16">
        <w:rPr>
          <w:rFonts w:ascii="Book Antiqua" w:hAnsi="Book Antiqua"/>
          <w:color w:val="000000" w:themeColor="text1"/>
        </w:rPr>
        <w:t>s</w:t>
      </w:r>
      <w:r w:rsidRPr="005B1A16">
        <w:rPr>
          <w:rFonts w:ascii="Book Antiqua" w:hAnsi="Book Antiqua"/>
          <w:color w:val="000000" w:themeColor="text1"/>
        </w:rPr>
        <w:t xml:space="preserve">, anti-TNFs or ustekinumab may be </w:t>
      </w:r>
      <w:r w:rsidR="00227C92" w:rsidRPr="005B1A16">
        <w:rPr>
          <w:rFonts w:ascii="Book Antiqua" w:hAnsi="Book Antiqua"/>
          <w:color w:val="000000" w:themeColor="text1"/>
        </w:rPr>
        <w:t xml:space="preserve">more </w:t>
      </w:r>
      <w:r w:rsidRPr="005B1A16">
        <w:rPr>
          <w:rFonts w:ascii="Book Antiqua" w:hAnsi="Book Antiqua"/>
          <w:color w:val="000000" w:themeColor="text1"/>
        </w:rPr>
        <w:t>favourable</w:t>
      </w:r>
      <w:r w:rsidR="00227C92" w:rsidRPr="005B1A16">
        <w:rPr>
          <w:rFonts w:ascii="Book Antiqua" w:hAnsi="Book Antiqua"/>
          <w:color w:val="000000" w:themeColor="text1"/>
        </w:rPr>
        <w:t xml:space="preserve"> first line</w:t>
      </w:r>
      <w:r w:rsidRPr="005B1A16">
        <w:rPr>
          <w:rFonts w:ascii="Book Antiqua" w:hAnsi="Book Antiqua"/>
          <w:color w:val="000000" w:themeColor="text1"/>
        </w:rPr>
        <w:t xml:space="preserve"> choices in CD patients with severe disease activity</w:t>
      </w:r>
      <w:r w:rsidR="00227C92" w:rsidRPr="005B1A16">
        <w:rPr>
          <w:rFonts w:ascii="Book Antiqua" w:hAnsi="Book Antiqua"/>
          <w:color w:val="000000" w:themeColor="text1"/>
        </w:rPr>
        <w:t xml:space="preserve"> at present</w:t>
      </w:r>
      <w:r w:rsidRPr="005B1A16">
        <w:rPr>
          <w:rFonts w:ascii="Book Antiqua" w:hAnsi="Book Antiqua"/>
          <w:color w:val="000000" w:themeColor="text1"/>
        </w:rPr>
        <w:t>.</w:t>
      </w:r>
      <w:r w:rsidR="006D2854" w:rsidRPr="005B1A16">
        <w:rPr>
          <w:rFonts w:ascii="Book Antiqua" w:hAnsi="Book Antiqua"/>
          <w:color w:val="000000" w:themeColor="text1"/>
        </w:rPr>
        <w:t xml:space="preserve"> </w:t>
      </w:r>
      <w:r w:rsidRPr="005B1A16">
        <w:rPr>
          <w:rFonts w:ascii="Book Antiqua" w:hAnsi="Book Antiqua"/>
          <w:color w:val="000000" w:themeColor="text1"/>
        </w:rPr>
        <w:t xml:space="preserve">There is also no </w:t>
      </w:r>
      <w:r w:rsidR="00A7101B" w:rsidRPr="005B1A16">
        <w:rPr>
          <w:rFonts w:ascii="Book Antiqua" w:hAnsi="Book Antiqua"/>
          <w:color w:val="000000" w:themeColor="text1"/>
        </w:rPr>
        <w:t xml:space="preserve">considerable </w:t>
      </w:r>
      <w:r w:rsidRPr="005B1A16">
        <w:rPr>
          <w:rFonts w:ascii="Book Antiqua" w:hAnsi="Book Antiqua"/>
          <w:color w:val="000000" w:themeColor="text1"/>
        </w:rPr>
        <w:t xml:space="preserve">data from </w:t>
      </w:r>
      <w:r w:rsidR="00A7101B" w:rsidRPr="005B1A16">
        <w:rPr>
          <w:rFonts w:ascii="Book Antiqua" w:hAnsi="Book Antiqua"/>
          <w:color w:val="000000" w:themeColor="text1"/>
        </w:rPr>
        <w:t>RCTs</w:t>
      </w:r>
      <w:r w:rsidRPr="005B1A16">
        <w:rPr>
          <w:rFonts w:ascii="Book Antiqua" w:hAnsi="Book Antiqua"/>
          <w:color w:val="000000" w:themeColor="text1"/>
        </w:rPr>
        <w:t xml:space="preserve"> on the efficacy of vedolizumab in fistulizing </w:t>
      </w:r>
      <w:r w:rsidR="00227C92" w:rsidRPr="005B1A16">
        <w:rPr>
          <w:rFonts w:ascii="Book Antiqua" w:hAnsi="Book Antiqua"/>
          <w:color w:val="000000" w:themeColor="text1"/>
        </w:rPr>
        <w:t>CD and acute severe UC</w:t>
      </w:r>
      <w:r w:rsidRPr="005B1A16">
        <w:rPr>
          <w:rFonts w:ascii="Book Antiqua" w:hAnsi="Book Antiqua"/>
          <w:color w:val="000000" w:themeColor="text1"/>
        </w:rPr>
        <w:t>. Ongoing phase IV trial wil</w:t>
      </w:r>
      <w:r w:rsidR="00C56A5E" w:rsidRPr="005B1A16">
        <w:rPr>
          <w:rFonts w:ascii="Book Antiqua" w:hAnsi="Book Antiqua"/>
          <w:color w:val="000000" w:themeColor="text1"/>
        </w:rPr>
        <w:t>l determine its effectiveness</w:t>
      </w:r>
      <w:r w:rsidR="00C56A5E"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{"citationID":"a20sj2anblq","properties":{"formattedCitation":"\\super [96]\\nosupersub{}","plainCitation":"[96]","noteIndex":0},"citationItems":[{"id":190,"uris":["http://zotero.org/users/4672422/items/SY3TN6ZF"],"uri":["http://zotero.org/users/4672422/items/SY3TN6ZF"],"itemData":{"id":190,"type":"article-journal","title":"Vedolizumab IV 300 mg in the Treatment of Fistulizing Crohn's Disease (ENTERPRISE)","author":[{"family":"NCT02630966","given":""}]}}],"schema":"https://github.com/citation-style-language/schema/raw/master/csl-citation.json"} </w:instrText>
      </w:r>
      <w:r w:rsidR="00C56A5E"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[96]</w:t>
      </w:r>
      <w:r w:rsidR="00C56A5E" w:rsidRPr="005B1A16">
        <w:rPr>
          <w:rFonts w:ascii="Book Antiqua" w:hAnsi="Book Antiqua"/>
          <w:color w:val="000000" w:themeColor="text1"/>
        </w:rPr>
        <w:fldChar w:fldCharType="end"/>
      </w:r>
      <w:r w:rsidR="00C56A5E" w:rsidRPr="005B1A16">
        <w:rPr>
          <w:rFonts w:ascii="Book Antiqua" w:hAnsi="Book Antiqua"/>
          <w:color w:val="000000" w:themeColor="text1"/>
        </w:rPr>
        <w:t xml:space="preserve">. </w:t>
      </w:r>
      <w:r w:rsidRPr="005B1A16">
        <w:rPr>
          <w:rFonts w:ascii="Book Antiqua" w:hAnsi="Book Antiqua"/>
          <w:color w:val="000000" w:themeColor="text1"/>
        </w:rPr>
        <w:t>Vedolizumab is currently being positioned in some jurisdictions as a second-line biologic agent following anti-TNFs, although the ongoing LOVE studi</w:t>
      </w:r>
      <w:r w:rsidR="00C56A5E" w:rsidRPr="005B1A16">
        <w:rPr>
          <w:rFonts w:ascii="Book Antiqua" w:hAnsi="Book Antiqua"/>
          <w:color w:val="000000" w:themeColor="text1"/>
        </w:rPr>
        <w:t>es</w:t>
      </w:r>
      <w:r w:rsidRPr="005B1A16">
        <w:rPr>
          <w:rFonts w:ascii="Book Antiqua" w:hAnsi="Book Antiqua"/>
          <w:color w:val="000000" w:themeColor="text1"/>
        </w:rPr>
        <w:t xml:space="preserve"> are evaluating the use of vedolizumab in early vs. late UC and CD</w:t>
      </w:r>
      <w:r w:rsidR="00C56A5E"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{"citationID":"akd4mdr8cv","properties":{"formattedCitation":"\\super [97,98]\\nosupersub{}","plainCitation":"[97,98]","noteIndex":0},"citationItems":[{"id":192,"uris":["http://zotero.org/users/4672422/items/QSGXYTAM"],"uri":["http://zotero.org/users/4672422/items/QSGXYTAM"],"itemData":{"id":192,"type":"article-journal","title":"An Open Label Phase 4 Study to Evaluate Efficacy of Early Versus Late Use of Vedolizumab in Ulcerative Colitis (LOVE-UC)","author":[{"family":"NCT02646657","given":""}]}},{"id":191,"uris":["http://zotero.org/users/4672422/items/Y9PA4CA7"],"uri":["http://zotero.org/users/4672422/items/Y9PA4CA7"],"itemData":{"id":191,"type":"article-journal","title":"A Study to Evaluate Efficacy, of Early Versus Late Use of Vedolizumab in Crohn's Disease: the LOVE-CD Study (LOVE-CD)","author":[{"family":"NCT02646683","given":""}]}}],"schema":"https://github.com/citation-style-language/schema/raw/master/csl-citation.json"} </w:instrText>
      </w:r>
      <w:r w:rsidR="00C56A5E"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[97,98]</w:t>
      </w:r>
      <w:r w:rsidR="00C56A5E" w:rsidRPr="005B1A16">
        <w:rPr>
          <w:rFonts w:ascii="Book Antiqua" w:hAnsi="Book Antiqua"/>
          <w:color w:val="000000" w:themeColor="text1"/>
        </w:rPr>
        <w:fldChar w:fldCharType="end"/>
      </w:r>
      <w:r w:rsidRPr="005B1A16">
        <w:rPr>
          <w:rFonts w:ascii="Book Antiqua" w:hAnsi="Book Antiqua"/>
          <w:color w:val="000000" w:themeColor="text1"/>
        </w:rPr>
        <w:t xml:space="preserve">. Given their effectiveness in the medium to long term and the </w:t>
      </w:r>
      <w:r w:rsidR="00312289" w:rsidRPr="005B1A16">
        <w:rPr>
          <w:rFonts w:ascii="Book Antiqua" w:hAnsi="Book Antiqua"/>
          <w:color w:val="000000" w:themeColor="text1"/>
        </w:rPr>
        <w:t>favourable</w:t>
      </w:r>
      <w:r w:rsidRPr="005B1A16">
        <w:rPr>
          <w:rFonts w:ascii="Book Antiqua" w:hAnsi="Book Antiqua"/>
          <w:color w:val="000000" w:themeColor="text1"/>
        </w:rPr>
        <w:t xml:space="preserve"> safety profile, it is expected that gut-selective anti-integrin agents will increasingly be used as maintenance therapy</w:t>
      </w:r>
      <w:r w:rsidR="00312289" w:rsidRPr="005B1A16">
        <w:rPr>
          <w:rFonts w:ascii="Book Antiqua" w:hAnsi="Book Antiqua"/>
          <w:color w:val="000000" w:themeColor="text1"/>
        </w:rPr>
        <w:t xml:space="preserve"> or even as part of a combination biological therapy. A clinical trial </w:t>
      </w:r>
      <w:r w:rsidR="00312289" w:rsidRPr="005B1A16">
        <w:rPr>
          <w:rFonts w:ascii="Book Antiqua" w:hAnsi="Book Antiqua"/>
          <w:color w:val="000000" w:themeColor="text1"/>
        </w:rPr>
        <w:lastRenderedPageBreak/>
        <w:t>evaluating the efficacy of adalimumab</w:t>
      </w:r>
      <w:r w:rsidR="004E2FBE" w:rsidRPr="005B1A16">
        <w:rPr>
          <w:rFonts w:ascii="Book Antiqua" w:hAnsi="Book Antiqua"/>
          <w:color w:val="000000" w:themeColor="text1"/>
        </w:rPr>
        <w:t>, me</w:t>
      </w:r>
      <w:r w:rsidR="00961BC7" w:rsidRPr="005B1A16">
        <w:rPr>
          <w:rFonts w:ascii="Book Antiqua" w:hAnsi="Book Antiqua"/>
          <w:color w:val="000000" w:themeColor="text1"/>
        </w:rPr>
        <w:t>t</w:t>
      </w:r>
      <w:r w:rsidR="004E2FBE" w:rsidRPr="005B1A16">
        <w:rPr>
          <w:rFonts w:ascii="Book Antiqua" w:hAnsi="Book Antiqua"/>
          <w:color w:val="000000" w:themeColor="text1"/>
        </w:rPr>
        <w:t>hotrexate</w:t>
      </w:r>
      <w:r w:rsidR="00312289" w:rsidRPr="005B1A16">
        <w:rPr>
          <w:rFonts w:ascii="Book Antiqua" w:hAnsi="Book Antiqua"/>
          <w:color w:val="000000" w:themeColor="text1"/>
        </w:rPr>
        <w:t xml:space="preserve"> and vedolizumab </w:t>
      </w:r>
      <w:r w:rsidR="004E2FBE" w:rsidRPr="005B1A16">
        <w:rPr>
          <w:rFonts w:ascii="Book Antiqua" w:hAnsi="Book Antiqua"/>
          <w:color w:val="000000" w:themeColor="text1"/>
        </w:rPr>
        <w:t xml:space="preserve">triple </w:t>
      </w:r>
      <w:r w:rsidR="00312289" w:rsidRPr="005B1A16">
        <w:rPr>
          <w:rFonts w:ascii="Book Antiqua" w:hAnsi="Book Antiqua"/>
          <w:color w:val="000000" w:themeColor="text1"/>
        </w:rPr>
        <w:t>combinat</w:t>
      </w:r>
      <w:r w:rsidR="004E2FBE" w:rsidRPr="005B1A16">
        <w:rPr>
          <w:rFonts w:ascii="Book Antiqua" w:hAnsi="Book Antiqua"/>
          <w:color w:val="000000" w:themeColor="text1"/>
        </w:rPr>
        <w:t>ion therapy is ongoing</w:t>
      </w:r>
      <w:r w:rsidR="004E2FBE"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{"citationID":"a267k6b6hij","properties":{"formattedCitation":"\\super [99]\\nosupersub{}","plainCitation":"[99]","noteIndex":0},"citationItems":[{"id":193,"uris":["http://zotero.org/users/4672422/items/CRFWGLP9"],"uri":["http://zotero.org/users/4672422/items/CRFWGLP9"],"itemData":{"id":193,"type":"article-journal","title":"Triple Combination Therapy in High Risk Crohn's Disease","author":[{"family":"NCT02764762","given":""}]}}],"schema":"https://github.com/citation-style-language/schema/raw/master/csl-citation.json"} </w:instrText>
      </w:r>
      <w:r w:rsidR="004E2FBE"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[99]</w:t>
      </w:r>
      <w:r w:rsidR="004E2FBE" w:rsidRPr="005B1A16">
        <w:rPr>
          <w:rFonts w:ascii="Book Antiqua" w:hAnsi="Book Antiqua"/>
          <w:color w:val="000000" w:themeColor="text1"/>
        </w:rPr>
        <w:fldChar w:fldCharType="end"/>
      </w:r>
      <w:r w:rsidR="00312289" w:rsidRPr="005B1A16">
        <w:rPr>
          <w:rFonts w:ascii="Book Antiqua" w:hAnsi="Book Antiqua"/>
          <w:color w:val="000000" w:themeColor="text1"/>
        </w:rPr>
        <w:t>.</w:t>
      </w:r>
    </w:p>
    <w:p w14:paraId="0FC67B98" w14:textId="44C6CA84" w:rsidR="0046728B" w:rsidRPr="005B1A16" w:rsidRDefault="00AC5EB7" w:rsidP="005B1A16">
      <w:pPr>
        <w:spacing w:line="360" w:lineRule="auto"/>
        <w:ind w:firstLineChars="100" w:firstLine="240"/>
        <w:jc w:val="both"/>
        <w:rPr>
          <w:rFonts w:ascii="Book Antiqua" w:eastAsia="SimSun" w:hAnsi="Book Antiqua"/>
          <w:color w:val="000000" w:themeColor="text1"/>
          <w:lang w:eastAsia="zh-CN"/>
        </w:rPr>
      </w:pPr>
      <w:r w:rsidRPr="005B1A16">
        <w:rPr>
          <w:rFonts w:ascii="Book Antiqua" w:hAnsi="Book Antiqua"/>
          <w:color w:val="000000" w:themeColor="text1"/>
        </w:rPr>
        <w:t xml:space="preserve">Ustekinumab is the </w:t>
      </w:r>
      <w:r w:rsidR="00312289" w:rsidRPr="005B1A16">
        <w:rPr>
          <w:rFonts w:ascii="Book Antiqua" w:hAnsi="Book Antiqua"/>
          <w:color w:val="000000" w:themeColor="text1"/>
        </w:rPr>
        <w:t>most recently</w:t>
      </w:r>
      <w:r w:rsidRPr="005B1A16">
        <w:rPr>
          <w:rFonts w:ascii="Book Antiqua" w:hAnsi="Book Antiqua"/>
          <w:color w:val="000000" w:themeColor="text1"/>
        </w:rPr>
        <w:t xml:space="preserve"> approved biologic </w:t>
      </w:r>
      <w:r w:rsidR="00312289" w:rsidRPr="005B1A16">
        <w:rPr>
          <w:rFonts w:ascii="Book Antiqua" w:hAnsi="Book Antiqua"/>
          <w:color w:val="000000" w:themeColor="text1"/>
        </w:rPr>
        <w:t xml:space="preserve">agent for </w:t>
      </w:r>
      <w:r w:rsidRPr="005B1A16">
        <w:rPr>
          <w:rFonts w:ascii="Book Antiqua" w:hAnsi="Book Antiqua"/>
          <w:color w:val="000000" w:themeColor="text1"/>
        </w:rPr>
        <w:t>CD</w:t>
      </w:r>
      <w:r w:rsidR="004E2FBE"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{"citationID":"a17rlalt3m0","properties":{"formattedCitation":"\\super [50]\\nosupersub{}","plainCitation":"[50]","noteIndex":0},"citationItems":[{"id":119,"uris":["http://zotero.org/users/4672422/items/J5IHC6BK"],"uri":["http://zotero.org/users/4672422/items/J5IHC6BK"],"itemData":{"id":119,"type":"article-journal","title":"Ustekinumab as Induction and Maintenance Therapy for Crohn's Disease","container-title":"The New England Journal of Medicine","page":"1946-1960","volume":"375","issue":"20","source":"PubMed","abstract":"BACKGROUND: Ustekinumab, a monoclonal antibody to the p40 subunit of interleukin-12 and interleukin-23, was evaluated as an intravenous induction therapy in two populations with moderately to severely active Crohn's disease. Ustekinumab was also evaluated as subcutaneous maintenance therapy.\nMETHODS: We randomly assigned patients to receive a single intravenous dose of ustekinumab (either 130 mg or approximately 6 mg per kilogram of body weight) or placebo in two induction trials. The UNITI-1 trial included 741 patients who met the criteria for primary or secondary nonresponse to tumor necrosis factor (TNF) antagonists or had unacceptable side effects. The UNITI-2 trial included 628 patients in whom conventional therapy failed or unacceptable side effects occurred. Patients who completed these induction trials then participated in IM-UNITI, in which the 397 patients who had a response to ustekinumab were randomly assigned to receive subcutaneous maintenance injections of 90 mg of ustekinumab (either every 8 weeks or every 12 weeks) or placebo. The primary end point for the induction trials was a clinical response at week 6 (defined as a decrease from baseline in the Crohn's Disease Activity Index [CDAI] score of ≥100 points or a CDAI score &lt;150). The primary end point for the maintenance trial was remission at week 44 (CDAI score &lt;150).\nRESULTS: The rates of response at week 6 among patients receiving intravenous ustekinumab at a dose of either 130 mg or approximately 6 mg per kilogram were significantly higher than the rates among patients receiving placebo (in UNITI-1, 34.3%, 33.7%, and 21.5%, respectively, with P≤0.003 for both comparisons with placebo; in UNITI-2, 51.7%, 55.5%, and 28.7%, respectively, with P&lt;0.001 for both doses). In the groups receiving maintenance doses of ustekinumab every 8 weeks or every 12 weeks, 53.1% and 48.8%, respectively, were in remission at week 44, as compared with 35.9% of those receiving placebo (P=0.005 and P=0.04, respectively). Within each trial, adverse-event rates were similar among treatment groups.\nCONCLUSIONS: Among patients with moderately to severely active Crohn's disease, those receiving intravenous ustekinumab had a significantly higher rate of response than did those receiving placebo. Subcutaneous ustekinumab maintained remission in patients who had a clinical response to induction therapy. (Funded by Janssen Research and Development; ClinicalTrials.gov numbers, NCT01369329 , NCT01369342 , and NCT01369355 .).","DOI":"10.1056/NEJMoa1602773","ISSN":"1533-4406","note":"PMID: 27959607","journalAbbreviation":"N. Engl. J. Med.","language":"eng","author":[{"family":"Feagan","given":"Brian G."},{"family":"Sandborn","given":"William J."},{"family":"Gasink","given":"Christopher"},{"family":"Jacobstein","given":"Douglas"},{"family":"Lang","given":"Yinghua"},{"family":"Friedman","given":"Joshua R."},{"family":"Blank","given":"Marion A."},{"family":"Johanns","given":"Jewel"},{"family":"Gao","given":"Long-Long"},{"family":"Miao","given":"Ye"},{"family":"Adedokun","given":"Omoniyi J."},{"family":"Sands","given":"Bruce E."},{"family":"Hanauer","given":"Stephen B."},{"family":"Vermeire","given":"Severine"},{"family":"Targan","given":"Stephan"},{"family":"Ghosh","given":"Subrata"},{"family":"Villiers","given":"Willem J.","non-dropping-particle":"de"},{"family":"Colombel","given":"Jean-Frédéric"},{"family":"Tulassay","given":"Zsolt"},{"family":"Seidler","given":"Ursula"},{"family":"Salzberg","given":"Bruce A."},{"family":"Desreumaux","given":"Pierre"},{"family":"Lee","given":"Scott D."},{"family":"Loftus","given":"Edward V."},{"family":"Dieleman","given":"Levinus A."},{"family":"Katz","given":"Seymour"},{"family":"Rutgeerts","given":"Paul"},{"literal":"UNITI–IM-UNITI Study Group"}],"issued":{"date-parts":[["2016"]],"season":"17"}}}],"schema":"https://github.com/citation-style-language/schema/raw/master/csl-citation.json"} </w:instrText>
      </w:r>
      <w:r w:rsidR="004E2FBE"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[50]</w:t>
      </w:r>
      <w:r w:rsidR="004E2FBE" w:rsidRPr="005B1A16">
        <w:rPr>
          <w:rFonts w:ascii="Book Antiqua" w:hAnsi="Book Antiqua"/>
          <w:color w:val="000000" w:themeColor="text1"/>
        </w:rPr>
        <w:fldChar w:fldCharType="end"/>
      </w:r>
      <w:r w:rsidRPr="005B1A16">
        <w:rPr>
          <w:rFonts w:ascii="Book Antiqua" w:hAnsi="Book Antiqua"/>
          <w:color w:val="000000" w:themeColor="text1"/>
        </w:rPr>
        <w:t xml:space="preserve">. </w:t>
      </w:r>
      <w:r w:rsidR="00D739F0" w:rsidRPr="005B1A16">
        <w:rPr>
          <w:rFonts w:ascii="Book Antiqua" w:hAnsi="Book Antiqua"/>
          <w:color w:val="000000" w:themeColor="text1"/>
        </w:rPr>
        <w:t>Presently, there is no data available describing its efficacy in UC or fistulising CD. An indirect comparison amongst the anti-TNF and UNITI trial</w:t>
      </w:r>
      <w:r w:rsidR="00617739" w:rsidRPr="005B1A16">
        <w:rPr>
          <w:rFonts w:ascii="Book Antiqua" w:hAnsi="Book Antiqua"/>
          <w:color w:val="000000" w:themeColor="text1"/>
        </w:rPr>
        <w:t xml:space="preserve">s suggests ustekinumab may be safer and have a lower rate of immunogenicity which may make it the </w:t>
      </w:r>
      <w:r w:rsidR="00460A16" w:rsidRPr="005B1A16">
        <w:rPr>
          <w:rFonts w:ascii="Book Antiqua" w:hAnsi="Book Antiqua"/>
          <w:color w:val="000000" w:themeColor="text1"/>
        </w:rPr>
        <w:t>preferred</w:t>
      </w:r>
      <w:r w:rsidR="00617739" w:rsidRPr="005B1A16">
        <w:rPr>
          <w:rFonts w:ascii="Book Antiqua" w:hAnsi="Book Antiqua"/>
          <w:color w:val="000000" w:themeColor="text1"/>
        </w:rPr>
        <w:t xml:space="preserve"> biologic for some CD patients</w:t>
      </w:r>
      <w:r w:rsidR="004E2FBE"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{"citationID":"a1qg1skspjk","properties":{"formattedCitation":"\\super [77]\\nosupersub{}","plainCitation":"[77]","noteIndex":0},"citationItems":[{"id":159,"uris":["http://zotero.org/users/4672422/items/QAE6U9MK"],"uri":["http://zotero.org/users/4672422/items/QAE6U9MK"],"itemData":{"id":159,"type":"article-journal","title":"Biologic agents for IBD: practical insights","container-title":"Nature Reviews Gastroenterology &amp; Hepatology","page":"537-545","volume":"12","issue":"9","source":"CrossRef","URL":"http://www.nature.com/articles/nrgastro.2015.135","DOI":"10.1038/nrgastro.2015.135","ISSN":"1759-5045, 1759-5053","shortTitle":"Biologic agents for IBD","language":"en","author":[{"family":"Danese","given":"Silvio"},{"family":"Vuitton","given":"Lucine"},{"family":"Peyrin-Biroulet","given":"Laurent"}],"issued":{"date-parts":[["2015",9]]},"accessed":{"date-parts":[["2018",3,28]]}}}],"schema":"https://github.com/citation-style-language/schema/raw/master/csl-citation.json"} </w:instrText>
      </w:r>
      <w:r w:rsidR="004E2FBE"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[77]</w:t>
      </w:r>
      <w:r w:rsidR="004E2FBE" w:rsidRPr="005B1A16">
        <w:rPr>
          <w:rFonts w:ascii="Book Antiqua" w:hAnsi="Book Antiqua"/>
          <w:color w:val="000000" w:themeColor="text1"/>
        </w:rPr>
        <w:fldChar w:fldCharType="end"/>
      </w:r>
      <w:r w:rsidR="00617739" w:rsidRPr="005B1A16">
        <w:rPr>
          <w:rFonts w:ascii="Book Antiqua" w:hAnsi="Book Antiqua"/>
          <w:color w:val="000000" w:themeColor="text1"/>
        </w:rPr>
        <w:t>. More comprehensive data on efficacy in certain patient subgroups and mucosal healing is needed.</w:t>
      </w:r>
      <w:r w:rsidRPr="005B1A16">
        <w:rPr>
          <w:rFonts w:ascii="Book Antiqua" w:hAnsi="Book Antiqua"/>
          <w:color w:val="000000" w:themeColor="text1"/>
        </w:rPr>
        <w:tab/>
      </w:r>
    </w:p>
    <w:p w14:paraId="491F4792" w14:textId="7C0228C8" w:rsidR="001957D1" w:rsidRPr="005B1A16" w:rsidRDefault="00312289" w:rsidP="005B1A16">
      <w:pPr>
        <w:spacing w:line="360" w:lineRule="auto"/>
        <w:ind w:firstLineChars="100" w:firstLine="240"/>
        <w:jc w:val="both"/>
        <w:rPr>
          <w:rFonts w:ascii="Book Antiqua" w:hAnsi="Book Antiqua"/>
          <w:color w:val="000000" w:themeColor="text1"/>
        </w:rPr>
      </w:pPr>
      <w:r w:rsidRPr="005B1A16">
        <w:rPr>
          <w:rFonts w:ascii="Book Antiqua" w:hAnsi="Book Antiqua"/>
          <w:color w:val="000000" w:themeColor="text1"/>
        </w:rPr>
        <w:t xml:space="preserve">Finally, </w:t>
      </w:r>
      <w:r w:rsidR="001957D1" w:rsidRPr="005B1A16">
        <w:rPr>
          <w:rFonts w:ascii="Book Antiqua" w:hAnsi="Book Antiqua"/>
          <w:color w:val="000000" w:themeColor="text1"/>
        </w:rPr>
        <w:t>t</w:t>
      </w:r>
      <w:r w:rsidR="00AC5EB7" w:rsidRPr="005B1A16">
        <w:rPr>
          <w:rFonts w:ascii="Book Antiqua" w:hAnsi="Book Antiqua"/>
          <w:color w:val="000000" w:themeColor="text1"/>
        </w:rPr>
        <w:t xml:space="preserve">ofacitinib </w:t>
      </w:r>
      <w:r w:rsidR="001957D1" w:rsidRPr="005B1A16">
        <w:rPr>
          <w:rFonts w:ascii="Book Antiqua" w:hAnsi="Book Antiqua"/>
          <w:color w:val="000000" w:themeColor="text1"/>
        </w:rPr>
        <w:t>is a small molecule</w:t>
      </w:r>
      <w:r w:rsidR="00AC5EB7" w:rsidRPr="005B1A16">
        <w:rPr>
          <w:rFonts w:ascii="Book Antiqua" w:hAnsi="Book Antiqua"/>
          <w:color w:val="000000" w:themeColor="text1"/>
        </w:rPr>
        <w:t xml:space="preserve"> </w:t>
      </w:r>
      <w:r w:rsidRPr="005B1A16">
        <w:rPr>
          <w:rFonts w:ascii="Book Antiqua" w:hAnsi="Book Antiqua"/>
          <w:color w:val="000000" w:themeColor="text1"/>
        </w:rPr>
        <w:t xml:space="preserve">awaiting final </w:t>
      </w:r>
      <w:r w:rsidR="00AC5EB7" w:rsidRPr="005B1A16">
        <w:rPr>
          <w:rFonts w:ascii="Book Antiqua" w:hAnsi="Book Antiqua"/>
          <w:color w:val="000000" w:themeColor="text1"/>
        </w:rPr>
        <w:t xml:space="preserve">approval for the treatment </w:t>
      </w:r>
      <w:r w:rsidR="001957D1" w:rsidRPr="005B1A16">
        <w:rPr>
          <w:rFonts w:ascii="Book Antiqua" w:hAnsi="Book Antiqua"/>
          <w:color w:val="000000" w:themeColor="text1"/>
        </w:rPr>
        <w:t xml:space="preserve">of </w:t>
      </w:r>
      <w:r w:rsidR="00AC5EB7" w:rsidRPr="005B1A16">
        <w:rPr>
          <w:rFonts w:ascii="Book Antiqua" w:hAnsi="Book Antiqua"/>
          <w:color w:val="000000" w:themeColor="text1"/>
        </w:rPr>
        <w:t>UC</w:t>
      </w:r>
      <w:r w:rsidR="004E2FBE"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{"citationID":"at2jlut68o","properties":{"formattedCitation":"\\super [59,60]\\nosupersub{}","plainCitation":"[59,60]","noteIndex":0},"citationItems":[{"id":133,"uris":["http://zotero.org/users/4672422/items/4LF3A5RY"],"uri":["http://zotero.org/users/4672422/items/4LF3A5RY"],"itemData":{"id":133,"type":"article-journal","title":"Tofacitinib as Induction and Maintenance Therapy for Ulcerative Colitis","container-title":"New England Journal of Medicine","page":"1723-1736","volume":"376","issue":"18","source":"CrossRef","URL":"http://www.nejm.org/doi/10.1056/NEJMoa1606910","DOI":"10.1056/NEJMoa1606910","ISSN":"0028-4793, 1533-4406","language":"en","author":[{"family":"Sandborn","given":"William J."},{"family":"Su","given":"Chinyu"},{"family":"Sands","given":"Bruce E."},{"family":"D’Haens","given":"Geert R."},{"family":"Vermeire","given":"Séverine"},{"family":"Schreiber","given":"Stefan"},{"family":"Danese","given":"Silvio"},{"family":"Feagan","given":"Brian G."},{"family":"Reinisch","given":"Walter"},{"family":"Niezychowski","given":"Wojciech"},{"family":"Friedman","given":"Gary"},{"family":"Lawendy","given":"Nervin"},{"family":"Yu","given":"Dahong"},{"family":"Woodworth","given":"Deborah"},{"family":"Mukherjee","given":"Arnab"},{"family":"Zhang","given":"Haiying"},{"family":"Healey","given":"Paul"},{"family":"Panés","given":"Julian"}],"issued":{"date-parts":[["2017",5,4]]},"accessed":{"date-parts":[["2018",3,27]]}}},{"id":134,"uris":["http://zotero.org/users/4672422/items/27YG7IRD"],"uri":["http://zotero.org/users/4672422/items/27YG7IRD"],"itemData":{"id":134,"type":"article-newspaper","title":"PFIZER ANNOUNCES FAVORABLE OUTCOME OF FDA ADVISORY COMMITTEE MEETING ON XELJANZ® (TOFACITINIB) FOR MODERATELY TO SEVERELY ACTIVE ULCERATIVE COLITIS","URL":"https://www.pfizer.com/news/press-release/press-release-detail/pfizer_announces_favorable_outcome_of_fda_advisory_committee_meeting_on_xeljanz_tofacitinib_for_moderately_to_severely_active_ulcerative_colitis","author":[{"family":"Pfizer","given":""}],"issued":{"date-parts":[["2018",3,8]]}}}],"schema":"https://github.com/citation-style-language/schema/raw/master/csl-citation.json"} </w:instrText>
      </w:r>
      <w:r w:rsidR="004E2FBE"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[59,60]</w:t>
      </w:r>
      <w:r w:rsidR="004E2FBE" w:rsidRPr="005B1A16">
        <w:rPr>
          <w:rFonts w:ascii="Book Antiqua" w:hAnsi="Book Antiqua"/>
          <w:color w:val="000000" w:themeColor="text1"/>
        </w:rPr>
        <w:fldChar w:fldCharType="end"/>
      </w:r>
      <w:r w:rsidR="00AC5EB7" w:rsidRPr="005B1A16">
        <w:rPr>
          <w:rFonts w:ascii="Book Antiqua" w:hAnsi="Book Antiqua"/>
          <w:color w:val="000000" w:themeColor="text1"/>
        </w:rPr>
        <w:t xml:space="preserve">. </w:t>
      </w:r>
      <w:r w:rsidR="001957D1" w:rsidRPr="005B1A16">
        <w:rPr>
          <w:rFonts w:ascii="Book Antiqua" w:hAnsi="Book Antiqua"/>
          <w:color w:val="000000" w:themeColor="text1"/>
        </w:rPr>
        <w:t xml:space="preserve">Their oral route of administration makes them particularly attractive. Their safety profile has been suggested to be similar to that of thiopurines. Due to their mechanism of action, they are not limited by immunogenicity and subsequent loss of response. </w:t>
      </w:r>
      <w:r w:rsidR="00626E1B" w:rsidRPr="005B1A16">
        <w:rPr>
          <w:rFonts w:ascii="Book Antiqua" w:hAnsi="Book Antiqua"/>
          <w:color w:val="000000" w:themeColor="text1"/>
        </w:rPr>
        <w:t xml:space="preserve">Their positioning and use as mono- or combination therapy has yet to be elucidated. </w:t>
      </w:r>
    </w:p>
    <w:p w14:paraId="1A50442B" w14:textId="77777777" w:rsidR="001957D1" w:rsidRPr="005B1A16" w:rsidRDefault="001957D1" w:rsidP="005B1A16">
      <w:pPr>
        <w:spacing w:line="360" w:lineRule="auto"/>
        <w:jc w:val="both"/>
        <w:rPr>
          <w:rFonts w:ascii="Book Antiqua" w:hAnsi="Book Antiqua"/>
          <w:color w:val="000000" w:themeColor="text1"/>
        </w:rPr>
      </w:pPr>
    </w:p>
    <w:p w14:paraId="1D4635FD" w14:textId="7EA27B8E" w:rsidR="005E6EC3" w:rsidRPr="005B1A16" w:rsidRDefault="000622EF" w:rsidP="005B1A16">
      <w:pPr>
        <w:spacing w:line="360" w:lineRule="auto"/>
        <w:jc w:val="both"/>
        <w:outlineLvl w:val="0"/>
        <w:rPr>
          <w:rFonts w:ascii="Book Antiqua" w:hAnsi="Book Antiqua"/>
          <w:b/>
          <w:i/>
          <w:color w:val="000000" w:themeColor="text1"/>
        </w:rPr>
      </w:pPr>
      <w:r w:rsidRPr="005B1A16">
        <w:rPr>
          <w:rFonts w:ascii="Book Antiqua" w:hAnsi="Book Antiqua"/>
          <w:b/>
          <w:i/>
          <w:color w:val="000000" w:themeColor="text1"/>
        </w:rPr>
        <w:t>The e</w:t>
      </w:r>
      <w:r w:rsidR="005E6EC3" w:rsidRPr="005B1A16">
        <w:rPr>
          <w:rFonts w:ascii="Book Antiqua" w:hAnsi="Book Antiqua"/>
          <w:b/>
          <w:i/>
          <w:color w:val="000000" w:themeColor="text1"/>
        </w:rPr>
        <w:t>volution of treatment strategies</w:t>
      </w:r>
      <w:r w:rsidR="00545654" w:rsidRPr="005B1A16">
        <w:rPr>
          <w:rFonts w:ascii="Book Antiqua" w:hAnsi="Book Antiqua"/>
          <w:b/>
          <w:i/>
          <w:color w:val="000000" w:themeColor="text1"/>
        </w:rPr>
        <w:t xml:space="preserve"> and objective monitoring</w:t>
      </w:r>
      <w:r w:rsidR="00B0227E" w:rsidRPr="005B1A16">
        <w:rPr>
          <w:rFonts w:ascii="Book Antiqua" w:hAnsi="Book Antiqua"/>
          <w:b/>
          <w:i/>
          <w:color w:val="000000" w:themeColor="text1"/>
        </w:rPr>
        <w:t xml:space="preserve">: </w:t>
      </w:r>
      <w:r w:rsidR="00545654" w:rsidRPr="005B1A16">
        <w:rPr>
          <w:rFonts w:ascii="Book Antiqua" w:hAnsi="Book Antiqua"/>
          <w:b/>
          <w:i/>
          <w:color w:val="000000" w:themeColor="text1"/>
        </w:rPr>
        <w:t>early aggressive or tailored therapy?</w:t>
      </w:r>
    </w:p>
    <w:p w14:paraId="69B29178" w14:textId="2F6DC88A" w:rsidR="00CD11D4" w:rsidRPr="005B1A16" w:rsidRDefault="005E6EC3" w:rsidP="005B1A16">
      <w:pPr>
        <w:spacing w:line="360" w:lineRule="auto"/>
        <w:jc w:val="both"/>
        <w:rPr>
          <w:rFonts w:ascii="Book Antiqua" w:eastAsia="SimSun" w:hAnsi="Book Antiqua"/>
          <w:color w:val="000000" w:themeColor="text1"/>
          <w:shd w:val="clear" w:color="auto" w:fill="FFFFFF"/>
          <w:lang w:eastAsia="zh-CN"/>
        </w:rPr>
      </w:pPr>
      <w:r w:rsidRPr="005B1A16">
        <w:rPr>
          <w:rFonts w:ascii="Book Antiqua" w:hAnsi="Book Antiqua"/>
          <w:color w:val="000000" w:themeColor="text1"/>
        </w:rPr>
        <w:t xml:space="preserve">The </w:t>
      </w:r>
      <w:r w:rsidR="00B0227E" w:rsidRPr="005B1A16">
        <w:rPr>
          <w:rFonts w:ascii="Book Antiqua" w:hAnsi="Book Antiqua"/>
          <w:color w:val="000000" w:themeColor="text1"/>
        </w:rPr>
        <w:t xml:space="preserve">introduction of </w:t>
      </w:r>
      <w:r w:rsidRPr="005B1A16">
        <w:rPr>
          <w:rFonts w:ascii="Book Antiqua" w:hAnsi="Book Antiqua"/>
          <w:color w:val="000000" w:themeColor="text1"/>
        </w:rPr>
        <w:t xml:space="preserve">highly effective </w:t>
      </w:r>
      <w:r w:rsidR="00B0227E" w:rsidRPr="005B1A16">
        <w:rPr>
          <w:rFonts w:ascii="Book Antiqua" w:hAnsi="Book Antiqua"/>
          <w:color w:val="000000" w:themeColor="text1"/>
        </w:rPr>
        <w:t>therapies</w:t>
      </w:r>
      <w:r w:rsidRPr="005B1A16">
        <w:rPr>
          <w:rFonts w:ascii="Book Antiqua" w:hAnsi="Book Antiqua"/>
          <w:color w:val="000000" w:themeColor="text1"/>
        </w:rPr>
        <w:t xml:space="preserve"> early in the disease course </w:t>
      </w:r>
      <w:r w:rsidR="000622EF" w:rsidRPr="005B1A16">
        <w:rPr>
          <w:rFonts w:ascii="Book Antiqua" w:hAnsi="Book Antiqua"/>
          <w:color w:val="000000" w:themeColor="text1"/>
        </w:rPr>
        <w:t xml:space="preserve">alongside </w:t>
      </w:r>
      <w:r w:rsidR="0076167E" w:rsidRPr="005B1A16">
        <w:rPr>
          <w:rFonts w:ascii="Book Antiqua" w:hAnsi="Book Antiqua"/>
          <w:color w:val="000000" w:themeColor="text1"/>
        </w:rPr>
        <w:t xml:space="preserve">objective patient monitoring </w:t>
      </w:r>
      <w:r w:rsidR="000622EF" w:rsidRPr="005B1A16">
        <w:rPr>
          <w:rFonts w:ascii="Book Antiqua" w:hAnsi="Book Antiqua"/>
          <w:color w:val="000000" w:themeColor="text1"/>
        </w:rPr>
        <w:t xml:space="preserve">can </w:t>
      </w:r>
      <w:r w:rsidRPr="005B1A16">
        <w:rPr>
          <w:rFonts w:ascii="Book Antiqua" w:hAnsi="Book Antiqua"/>
          <w:color w:val="000000" w:themeColor="text1"/>
        </w:rPr>
        <w:t xml:space="preserve">modify the disease </w:t>
      </w:r>
      <w:r w:rsidR="000622EF" w:rsidRPr="005B1A16">
        <w:rPr>
          <w:rFonts w:ascii="Book Antiqua" w:hAnsi="Book Antiqua"/>
          <w:color w:val="000000" w:themeColor="text1"/>
        </w:rPr>
        <w:t xml:space="preserve">trajectory </w:t>
      </w:r>
      <w:r w:rsidRPr="005B1A16">
        <w:rPr>
          <w:rFonts w:ascii="Book Antiqua" w:hAnsi="Book Antiqua"/>
          <w:color w:val="000000" w:themeColor="text1"/>
        </w:rPr>
        <w:t xml:space="preserve">and reduce </w:t>
      </w:r>
      <w:r w:rsidR="000622EF" w:rsidRPr="005B1A16">
        <w:rPr>
          <w:rFonts w:ascii="Book Antiqua" w:hAnsi="Book Antiqua"/>
          <w:color w:val="000000" w:themeColor="text1"/>
        </w:rPr>
        <w:t>morbidity</w:t>
      </w:r>
      <w:r w:rsidRPr="005B1A16">
        <w:rPr>
          <w:rFonts w:ascii="Book Antiqua" w:hAnsi="Book Antiqua"/>
          <w:color w:val="000000" w:themeColor="text1"/>
        </w:rPr>
        <w:t xml:space="preserve">. </w:t>
      </w:r>
      <w:r w:rsidR="000622EF" w:rsidRPr="005B1A16">
        <w:rPr>
          <w:rFonts w:ascii="Book Antiqua" w:hAnsi="Book Antiqua"/>
          <w:color w:val="000000" w:themeColor="text1"/>
          <w:shd w:val="clear" w:color="auto" w:fill="FFFFFF"/>
        </w:rPr>
        <w:t>However, i</w:t>
      </w:r>
      <w:r w:rsidR="0076167E" w:rsidRPr="005B1A16">
        <w:rPr>
          <w:rFonts w:ascii="Book Antiqua" w:hAnsi="Book Antiqua"/>
          <w:color w:val="000000" w:themeColor="text1"/>
        </w:rPr>
        <w:t>t is also important to recognize that approximately 20% of patients with IBD may have an indolent disease course,</w:t>
      </w:r>
      <w:r w:rsidR="0046728B" w:rsidRPr="005B1A16">
        <w:rPr>
          <w:rFonts w:ascii="Book Antiqua" w:hAnsi="Book Antiqua"/>
          <w:color w:val="000000" w:themeColor="text1"/>
        </w:rPr>
        <w:t xml:space="preserve"> </w:t>
      </w:r>
      <w:r w:rsidR="0076167E" w:rsidRPr="005B1A16">
        <w:rPr>
          <w:rFonts w:ascii="Book Antiqua" w:hAnsi="Book Antiqua"/>
          <w:color w:val="000000" w:themeColor="text1"/>
        </w:rPr>
        <w:t>and available population-based data suggests that app</w:t>
      </w:r>
      <w:r w:rsidR="000622EF" w:rsidRPr="005B1A16">
        <w:rPr>
          <w:rFonts w:ascii="Book Antiqua" w:hAnsi="Book Antiqua"/>
          <w:color w:val="000000" w:themeColor="text1"/>
        </w:rPr>
        <w:t>roximately</w:t>
      </w:r>
      <w:r w:rsidR="0076167E" w:rsidRPr="005B1A16">
        <w:rPr>
          <w:rFonts w:ascii="Book Antiqua" w:hAnsi="Book Antiqua"/>
          <w:color w:val="000000" w:themeColor="text1"/>
        </w:rPr>
        <w:t xml:space="preserve"> half of patients with CD can be symptomatically controlled 10 years after diagnosis</w:t>
      </w:r>
      <w:r w:rsidR="00D02179"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{"citationID":"a2j72n056au","properties":{"formattedCitation":"\\super [100,101]\\nosupersub{}","plainCitation":"[100,101]","noteIndex":0},"citationItems":[{"id":194,"uris":["http://zotero.org/users/4672422/items/6E43K9PM"],"uri":["http://zotero.org/users/4672422/items/6E43K9PM"],"itemData":{"id":194,"type":"article-journal","title":"Changes in clinical characteristics, course, and prognosis of inflammatory bowel disease during the last 5 decades: a population-based study from Copenhagen, Denmark","container-title":"Inflammatory Bowel Diseases","page":"481-489","volume":"13","issue":"4","source":"PubMed","abstract":"BACKGROUND: It remains uncertain whether the increasing incidence of inflammatory bowel disease (IBD) during the last decades has been accompanied by an alteration in the presentation, course, and prognosis of the disease. To answer this question, 3 consecutive population-based IBD cohorts from Copenhagen, Denmark (1962-2005), were assessed and evaluated.\nMETHODS: Phenotype, initial disease course, use of medications, cumulative surgery rate, standardized incidence ratio of colorectal cancer (CRC), and standardized mortality ratio (SMR) were compared in the 3 cohorts, which had a total of 641 patients with Crohn's disease (CD) and 1575 patients with ulcerative colitis (UC).\nRESULTS: From 1962 to 2005, the proportion of IBD patients suffering from CD increased (P &lt; 0.001), time from onset of symptoms to diagnosis of CD decreased (P = 0.001), and median age at diagnosis of UC increased (P &lt; 0.01). The prevalence of upper gastrointestinal involvement and pure colonic CD varied significantly between cohorts. UC patients diagnosed in the 1990s had a higher prevalence of proctitis, received more medications, and had a milder initial disease course than did previous patients. The surgery rate decreased significantly in CD but not in UC. The risk of CRC in IBD was close to expected over the entire period, whereas the mortality of patients with CD increased (overall SMR, 1.31; 95% CI, 1.07-1.60).\nCONCLUSIONS: Despite variations in the presentation and initial course of IBD during the last 5 decades, its long-term prognosis remained fairly stable. Treatment of IBD changed recently, and future studies should address the effect of these changes on long-term prognosis.","DOI":"10.1002/ibd.20036","ISSN":"1078-0998","note":"PMID: 17206705","shortTitle":"Changes in clinical characteristics, course, and prognosis of inflammatory bowel disease during the last 5 decades","journalAbbreviation":"Inflamm. Bowel Dis.","language":"eng","author":[{"family":"Jess","given":"Tine"},{"family":"Riis","given":"Lene"},{"family":"Vind","given":"Ida"},{"family":"Winther","given":"Karen Vanessa"},{"family":"Borg","given":"Sixten"},{"family":"Binder","given":"Vibeke"},{"family":"Langholz","given":"Ebbe"},{"family":"Thomsen","given":"Ole Østergaard"},{"family":"Munkholm","given":"Pia"}],"issued":{"date-parts":[["2007",4]]}}},{"id":196,"uris":["http://zotero.org/users/4672422/items/C86QIQD2"],"uri":["http://zotero.org/users/4672422/items/C86QIQD2"],"itemData":{"id":196,"type":"article-journal","title":"Clinical course in Crohn's disease: results of a Norwegian population-based ten-year follow-up study","container-title":"Clinical Gastroenterology and Hepatology: The Official Clinical Practice Journal of the American Gastroenterological Association","page":"1430-1438","volume":"5","issue":"12","source":"PubMed","abstract":"BACKGROUND &amp; AIMS: Most studies concerning the clinical course in CD are retrospective or based on selected patient groups. Our aim was to assess the course of CD in a prospective population-based follow-up study and to identify possible prognostic risk factors for complications on the basis of information obtained at initial diagnosis.\nMETHODS: From 1990-1994, a population-based cohort of 843 new cases of inflammatory bowel disease was recruited in South-Eastern Norway. The cohort was systematically followed up at 1, 5, and 10 years after diagnosis.\nRESULTS: Of 237 patients classified as CD, 197 completed the 10 years of follow-up, 18 died, and 22 were lost to follow-up. The cumulative relapse rate during the first 10 years was 90% (95% confidence interval, 86%-94%), and the cumulative probability of surgery was 37.9% (95% confidence interval, 31.4%-44.4%). Terminal ileal location (P &lt; .001), stricturing (P = .004), penetrating behavior (P &lt; .001), and age younger than 40 years (P = .03) at diagnosis were independent risk factors for subsequent surgery. A total of 53% (n = 105) of the patients had developed stricturing or penetrating disease at 10 years. A large proportion of patients (44%) were in clinical remission during the last 5 years of follow-up.\nCONCLUSIONS: The prognosis for CD seems better than previously reported. The probability of surgery was low, and fewer than expected developed complicated disease behavior. Nevertheless, the cumulative relapse rate of 90% and the finding of prognostic risk factors for subsequent surgery might call for attention to early effective medical treatment strategies.","DOI":"10.1016/j.cgh.2007.09.002","ISSN":"1542-7714","note":"PMID: 18054751","shortTitle":"Clinical course in Crohn's disease","journalAbbreviation":"Clin. Gastroenterol. Hepatol.","language":"eng","author":[{"family":"Solberg","given":"Inger Camilla"},{"family":"Vatn","given":"Morten H."},{"family":"Høie","given":"Ole"},{"family":"Stray","given":"Njaal"},{"family":"Sauar","given":"Jostein"},{"family":"Jahnsen","given":"Jørgen"},{"family":"Moum","given":"Bjørn"},{"family":"Lygren","given":"Idar"},{"literal":"IBSEN Study Group"}],"issued":{"date-parts":[["2007",12]]}}}],"schema":"https://github.com/citation-style-language/schema/raw/master/csl-citation.json"} </w:instrText>
      </w:r>
      <w:r w:rsidR="00D02179"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[100,101]</w:t>
      </w:r>
      <w:r w:rsidR="00D02179" w:rsidRPr="005B1A16">
        <w:rPr>
          <w:rFonts w:ascii="Book Antiqua" w:hAnsi="Book Antiqua"/>
          <w:color w:val="000000" w:themeColor="text1"/>
        </w:rPr>
        <w:fldChar w:fldCharType="end"/>
      </w:r>
      <w:r w:rsidR="0076167E" w:rsidRPr="005B1A16">
        <w:rPr>
          <w:rFonts w:ascii="Book Antiqua" w:hAnsi="Book Antiqua"/>
          <w:color w:val="000000" w:themeColor="text1"/>
        </w:rPr>
        <w:t>.</w:t>
      </w:r>
      <w:r w:rsidR="0046728B" w:rsidRPr="005B1A16">
        <w:rPr>
          <w:rFonts w:ascii="Book Antiqua" w:hAnsi="Book Antiqua"/>
          <w:color w:val="000000" w:themeColor="text1"/>
        </w:rPr>
        <w:t xml:space="preserve"> </w:t>
      </w:r>
      <w:r w:rsidR="0076167E" w:rsidRPr="005B1A16">
        <w:rPr>
          <w:rFonts w:ascii="Book Antiqua" w:hAnsi="Book Antiqua"/>
          <w:color w:val="000000" w:themeColor="text1"/>
        </w:rPr>
        <w:t>Risk stratification can guide early introduction of highly effective therapy in patients with a poor prognosis and prevent overtreatment in low-risk patients. Unfortunately, current patient stratification relies on clinical factors</w:t>
      </w:r>
      <w:r w:rsidR="000622EF" w:rsidRPr="005B1A16">
        <w:rPr>
          <w:rFonts w:ascii="Book Antiqua" w:hAnsi="Book Antiqua"/>
          <w:color w:val="000000" w:themeColor="text1"/>
        </w:rPr>
        <w:t>.</w:t>
      </w:r>
      <w:r w:rsidR="0076167E" w:rsidRPr="005B1A16">
        <w:rPr>
          <w:rFonts w:ascii="Book Antiqua" w:hAnsi="Book Antiqua"/>
          <w:color w:val="000000" w:themeColor="text1"/>
        </w:rPr>
        <w:t xml:space="preserve"> </w:t>
      </w:r>
      <w:r w:rsidR="000622EF" w:rsidRPr="005B1A16">
        <w:rPr>
          <w:rFonts w:ascii="Book Antiqua" w:hAnsi="Book Antiqua"/>
          <w:color w:val="000000" w:themeColor="text1"/>
        </w:rPr>
        <w:t>M</w:t>
      </w:r>
      <w:r w:rsidR="0076167E" w:rsidRPr="005B1A16">
        <w:rPr>
          <w:rFonts w:ascii="Book Antiqua" w:hAnsi="Book Antiqua"/>
          <w:color w:val="000000" w:themeColor="text1"/>
        </w:rPr>
        <w:t xml:space="preserve">ost of these are indicators </w:t>
      </w:r>
      <w:r w:rsidR="000622EF" w:rsidRPr="005B1A16">
        <w:rPr>
          <w:rFonts w:ascii="Book Antiqua" w:hAnsi="Book Antiqua"/>
          <w:color w:val="000000" w:themeColor="text1"/>
        </w:rPr>
        <w:t xml:space="preserve">rather </w:t>
      </w:r>
      <w:r w:rsidR="0076167E" w:rsidRPr="005B1A16">
        <w:rPr>
          <w:rFonts w:ascii="Book Antiqua" w:hAnsi="Book Antiqua"/>
          <w:color w:val="000000" w:themeColor="text1"/>
        </w:rPr>
        <w:t xml:space="preserve">than predictors of a complicated disease </w:t>
      </w:r>
      <w:r w:rsidR="000622EF" w:rsidRPr="005B1A16">
        <w:rPr>
          <w:rFonts w:ascii="Book Antiqua" w:hAnsi="Book Antiqua"/>
          <w:color w:val="000000" w:themeColor="text1"/>
        </w:rPr>
        <w:t xml:space="preserve">course </w:t>
      </w:r>
      <w:r w:rsidR="00355586" w:rsidRPr="005B1A16">
        <w:rPr>
          <w:rFonts w:ascii="Book Antiqua" w:hAnsi="Book Antiqua"/>
          <w:color w:val="000000" w:themeColor="text1"/>
          <w:shd w:val="clear" w:color="auto" w:fill="FFFFFF"/>
        </w:rPr>
        <w:t>(</w:t>
      </w:r>
      <w:r w:rsidR="00355586" w:rsidRPr="005B1A16">
        <w:rPr>
          <w:rFonts w:ascii="Book Antiqua" w:hAnsi="Book Antiqua"/>
          <w:i/>
          <w:color w:val="000000" w:themeColor="text1"/>
          <w:shd w:val="clear" w:color="auto" w:fill="FFFFFF"/>
        </w:rPr>
        <w:t>e.g</w:t>
      </w:r>
      <w:r w:rsidR="00355586" w:rsidRPr="005B1A16">
        <w:rPr>
          <w:rFonts w:ascii="Book Antiqua" w:hAnsi="Book Antiqua"/>
          <w:color w:val="000000" w:themeColor="text1"/>
          <w:shd w:val="clear" w:color="auto" w:fill="FFFFFF"/>
        </w:rPr>
        <w:t>.</w:t>
      </w:r>
      <w:r w:rsidR="008423FA" w:rsidRPr="005B1A16">
        <w:rPr>
          <w:rFonts w:ascii="Book Antiqua" w:eastAsia="SimSun" w:hAnsi="Book Antiqua"/>
          <w:color w:val="000000" w:themeColor="text1"/>
          <w:shd w:val="clear" w:color="auto" w:fill="FFFFFF"/>
          <w:lang w:eastAsia="zh-CN"/>
        </w:rPr>
        <w:t>,</w:t>
      </w:r>
      <w:r w:rsidR="00355586" w:rsidRPr="005B1A16">
        <w:rPr>
          <w:rFonts w:ascii="Book Antiqua" w:hAnsi="Book Antiqua"/>
          <w:color w:val="000000" w:themeColor="text1"/>
          <w:shd w:val="clear" w:color="auto" w:fill="FFFFFF"/>
        </w:rPr>
        <w:t xml:space="preserve"> presence of perianal disease, age &lt;</w:t>
      </w:r>
      <w:r w:rsidR="008423FA" w:rsidRPr="005B1A16">
        <w:rPr>
          <w:rFonts w:ascii="Book Antiqua" w:eastAsia="SimSun" w:hAnsi="Book Antiqua"/>
          <w:color w:val="000000" w:themeColor="text1"/>
          <w:shd w:val="clear" w:color="auto" w:fill="FFFFFF"/>
          <w:lang w:eastAsia="zh-CN"/>
        </w:rPr>
        <w:t xml:space="preserve"> </w:t>
      </w:r>
      <w:r w:rsidR="00355586" w:rsidRPr="005B1A16">
        <w:rPr>
          <w:rFonts w:ascii="Book Antiqua" w:hAnsi="Book Antiqua"/>
          <w:color w:val="000000" w:themeColor="text1"/>
          <w:shd w:val="clear" w:color="auto" w:fill="FFFFFF"/>
        </w:rPr>
        <w:t>40 years old at diagnosis and need for steroids during the first flare)</w:t>
      </w:r>
      <w:r w:rsidR="00D02179"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{"citationID":"a1tq8s1pp0o","properties":{"formattedCitation":"\\super [102]\\nosupersub{}","plainCitation":"[102]","noteIndex":0},"citationItems":[{"id":198,"uris":["http://zotero.org/users/4672422/items/TJK73G5R"],"uri":["http://zotero.org/users/4672422/items/TJK73G5R"],"itemData":{"id":198,"type":"article-journal","title":"Prediction of disease course in inflammatory bowel diseases","container-title":"World Journal of Gastroenterology","page":"2589","volume":"16","issue":"21","source":"CrossRef","URL":"http://www.wjgnet.com/1007-9327/full/v16/i21/2589.htm","DOI":"10.3748/wjg.v16.i21.2589","ISSN":"1007-9327","language":"en","author":[{"family":"Lakatos","given":"Peter Laszlo"}],"issued":{"date-parts":[["2010"]]},"accessed":{"date-parts":[["2018",3,28]]}}}],"schema":"https://github.com/citation-style-language/schema/raw/master/csl-citation.json"} </w:instrText>
      </w:r>
      <w:r w:rsidR="00D02179"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[102]</w:t>
      </w:r>
      <w:r w:rsidR="00D02179" w:rsidRPr="005B1A16">
        <w:rPr>
          <w:rFonts w:ascii="Book Antiqua" w:hAnsi="Book Antiqua"/>
          <w:color w:val="000000" w:themeColor="text1"/>
          <w:shd w:val="clear" w:color="auto" w:fill="FFFFFF"/>
        </w:rPr>
        <w:fldChar w:fldCharType="end"/>
      </w:r>
      <w:r w:rsidR="00355586" w:rsidRPr="005B1A16">
        <w:rPr>
          <w:rFonts w:ascii="Book Antiqua" w:hAnsi="Book Antiqua"/>
          <w:color w:val="000000" w:themeColor="text1"/>
          <w:shd w:val="clear" w:color="auto" w:fill="FFFFFF"/>
        </w:rPr>
        <w:t>. Molecular makers for predicting an aggressive phenotype have yet to be identified but studies are ongoing</w:t>
      </w:r>
      <w:r w:rsidR="00D02179"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{"citationID":"a2et0u053qg","properties":{"formattedCitation":"\\super [103,104]\\nosupersub{}","plainCitation":"[103,104]","noteIndex":0},"citationItems":[{"id":200,"uris":["http://zotero.org/users/4672422/items/GFPN9G2R"],"uri":["http://zotero.org/users/4672422/items/GFPN9G2R"],"itemData":{"id":200,"type":"article-journal","title":"In vivo imaging using fluorescent antibodies to tumor necrosis factor predicts therapeutic response in Crohn's disease","container-title":"Nature Medicine","page":"313-318","volume":"20","issue":"3","source":"PubMed","abstract":"As antibodies to tumor necrosis factor (TNF) suppress immune responses in Crohn's disease by binding to membrane-bound TNF (mTNF), we created a fluorescent antibody for molecular mTNF imaging in this disease. Topical antibody administration in 25 patients with Crohn's disease led to detection of intestinal mTNF(+) immune cells during confocal laser endomicroscopy. Patients with high numbers of mTNF(+) cells showed significantly higher short-term response rates (92%) at week 12 upon subsequent anti-TNF therapy as compared to patients with low amounts of mTNF(+) cells (15%). This clinical response in the former patients was sustained over a follow-up period of 1 year and was associated with mucosal healing observed in follow-up endoscopy. These data indicate that molecular imaging with fluorescent antibodies has the potential to predict therapeutic responses to biological treatment and can be used for personalized medicine in Crohn's disease and autoimmune or inflammatory disorders.","DOI":"10.1038/nm.3462","ISSN":"1546-170X","note":"PMID: 24562382\nPMCID: PMC4479137","journalAbbreviation":"Nat. Med.","language":"eng","author":[{"family":"Atreya","given":"Raja"},{"family":"Neumann","given":"Helmut"},{"family":"Neufert","given":"Clemens"},{"family":"Waldner","given":"Maximilian J."},{"family":"Billmeier","given":"Ulrike"},{"family":"Zopf","given":"Yurdagül"},{"family":"Willma","given":"Marcus"},{"family":"App","given":"Christine"},{"family":"Münster","given":"Tino"},{"family":"Kessler","given":"Hermann"},{"family":"Maas","given":"Stefanie"},{"family":"Gebhardt","given":"Bernd"},{"family":"Heimke-Brinck","given":"Ralph"},{"family":"Reuter","given":"Eva"},{"family":"Dörje","given":"Frank"},{"family":"Rau","given":"Tilman T."},{"family":"Uter","given":"Wolfgang"},{"family":"Wang","given":"Thomas D."},{"family":"Kiesslich","given":"Ralf"},{"family":"Vieth","given":"Michael"},{"family":"Hannappel","given":"Ewald"},{"family":"Neurath","given":"Markus F."}],"issued":{"date-parts":[["2014",3]]}}},{"id":199,"uris":["http://zotero.org/users/4672422/items/2HE7MH6C"],"uri":["http://zotero.org/users/4672422/items/2HE7MH6C"],"itemData":{"id":199,"type":"article-journal","title":"Prediction of antitumour necrosis factor clinical efficacy by real-time visualisation of apoptosis in patients with Crohn's disease","container-title":"Gut","page":"509-517","volume":"56","issue":"4","source":"CrossRef","URL":"http://gut.bmj.com/cgi/doi/10.1136/gut.2006.105379","DOI":"10.1136/gut.2006.105379","ISSN":"0017-5749","language":"en","author":[{"family":"Van den Brande","given":"J. M H"},{"family":"Koehler","given":"T. C"},{"family":"Zelinkova","given":"Z."},{"family":"Bennink","given":"R. J"},{"family":"Velde","given":"A. A","non-dropping-particle":"te"},{"family":"Cate","given":"F. J W","non-dropping-particle":"ten"},{"family":"Deventer","given":"S. J H","non-dropping-particle":"van"},{"family":"Peppelenbosch","given":"M. P"},{"family":"Hommes","given":"D. W"}],"issued":{"date-parts":[["2007",4,1]]},"accessed":{"date-parts":[["2018",3,28]]}}}],"schema":"https://github.com/citation-style-language/schema/raw/master/csl-citation.json"} </w:instrText>
      </w:r>
      <w:r w:rsidR="00D02179"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[103,104]</w:t>
      </w:r>
      <w:r w:rsidR="00D02179" w:rsidRPr="005B1A16">
        <w:rPr>
          <w:rFonts w:ascii="Book Antiqua" w:hAnsi="Book Antiqua"/>
          <w:color w:val="000000" w:themeColor="text1"/>
          <w:shd w:val="clear" w:color="auto" w:fill="FFFFFF"/>
        </w:rPr>
        <w:fldChar w:fldCharType="end"/>
      </w:r>
      <w:r w:rsidR="008423FA" w:rsidRPr="005B1A16">
        <w:rPr>
          <w:rFonts w:ascii="Book Antiqua" w:hAnsi="Book Antiqua"/>
          <w:color w:val="000000" w:themeColor="text1"/>
          <w:shd w:val="clear" w:color="auto" w:fill="FFFFFF"/>
        </w:rPr>
        <w:t xml:space="preserve">. </w:t>
      </w:r>
    </w:p>
    <w:p w14:paraId="2CE52B67" w14:textId="14B34BE0" w:rsidR="00D704B4" w:rsidRPr="005B1A16" w:rsidRDefault="004D59C2" w:rsidP="005B1A16">
      <w:pPr>
        <w:spacing w:line="360" w:lineRule="auto"/>
        <w:ind w:firstLineChars="100" w:firstLine="240"/>
        <w:jc w:val="both"/>
        <w:rPr>
          <w:rFonts w:ascii="Book Antiqua" w:eastAsia="SimSun" w:hAnsi="Book Antiqua"/>
          <w:color w:val="000000" w:themeColor="text1"/>
          <w:lang w:eastAsia="zh-CN"/>
        </w:rPr>
      </w:pPr>
      <w:r w:rsidRPr="005B1A16">
        <w:rPr>
          <w:rFonts w:ascii="Book Antiqua" w:hAnsi="Book Antiqua"/>
          <w:color w:val="000000" w:themeColor="text1"/>
        </w:rPr>
        <w:lastRenderedPageBreak/>
        <w:t>In the absence of objective predictors for disease severity, studies have attempted to better elucidate the risks and benefits of aggressive therapy.</w:t>
      </w:r>
      <w:r w:rsidR="006D2854" w:rsidRPr="005B1A16">
        <w:rPr>
          <w:rFonts w:ascii="Book Antiqua" w:hAnsi="Book Antiqua"/>
          <w:color w:val="000000" w:themeColor="text1"/>
        </w:rPr>
        <w:t xml:space="preserve"> </w:t>
      </w:r>
      <w:r w:rsidR="00CD11D4" w:rsidRPr="005B1A16">
        <w:rPr>
          <w:rFonts w:ascii="Book Antiqua" w:hAnsi="Book Antiqua"/>
          <w:color w:val="000000" w:themeColor="text1"/>
        </w:rPr>
        <w:t>The TOP-DOWN trial was the first to assess and compare different treatment algorithms in IBD</w:t>
      </w:r>
      <w:r w:rsidR="0060380B"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{"citationID":"afm7sclk8u","properties":{"formattedCitation":"\\super [105]\\nosupersub{}","plainCitation":"[105]","noteIndex":0},"citationItems":[{"id":202,"uris":["http://zotero.org/users/4672422/items/KIYCJMB2"],"uri":["http://zotero.org/users/4672422/items/KIYCJMB2"],"itemData":{"id":202,"type":"article-journal","title":"Early combined immunosuppression or conventional management in patients with newly diagnosed Crohn's disease: an open randomised trial","container-title":"Lancet (London, England)","page":"660-667","volume":"371","issue":"9613","source":"PubMed","abstract":"BACKGROUND: Most patients who have active Crohn's disease are treated initially with corticosteroids. Although this approach usually controls symptoms, many patients become resistant to or dependent on corticosteroids, and long exposure is associated with an increased risk of mortality. We aimed to compare the effectiveness of early use of combined immunosuppression with conventional management in patients with active Crohn's disease who had not previously received glucocorticoids, antimetabolites, or infliximab.\nMETHODS: We did a 2-year open-label randomised trial at 18 centres in Belgium, Holland, and Germany between May, 2001, and January, 2004. We randomly assigned 133 patients to either early combined immunosuppression or conventional treatment. The 67 patients assigned to combined immunosuppression received three infusions of infliximab (5 mg/kg of bodyweight) at weeks 0, 2, and 6, with azathioprine. We gave additional treatment with infliximab and, if necessary, corticosteroids, to control disease activity. 66 patients assigned to conventional management received corticosteroids, followed, in sequence, by azathioprine and infliximab. The primary outcome measures were remission without corticosteroids and without bowel resection at weeks 26 and 52. Analysis was by modified intention to treat. This trial was registered with ClinicalTrials.gov, number NCT00554710.\nFINDINGS: Four patients (two in each group) did not receive treatment as per protocol. At week 26, 39 (60.0%) of 65 patients in the combined immunosuppression group were in remission without corticosteroids and without surgical resection, compared with 23 (35.9%) of 64 controls, for an absolute difference of 24.1% (95% CI 7.3-40.8, p=0.0062). Corresponding rates at week 52 were 40/65 (61.5%) and 27/64 (42.2%) (absolute difference 19.3%, 95% CI 2.4-36.3, p=0.0278). 20 of the 65 patients (30.8%) in the early combined immunosuppression group had serious adverse events, compared with 19 of 64 (25.3%) controls (p=1.0).\nINTERPRETATION: Combined immunosuppression was more effective than conventional management for induction of remission and reduction of corticosteroid use in patients who had been recently diagnosed with Crohn's disease. Initiation of more intensive treatment early in the course of the disease could result in better outcomes.","DOI":"10.1016/S0140-6736(08)60304-9","ISSN":"1474-547X","note":"PMID: 18295023","shortTitle":"Early combined immunosuppression or conventional management in patients with newly diagnosed Crohn's disease","journalAbbreviation":"Lancet","language":"eng","author":[{"family":"D'Haens","given":"Geert"},{"family":"Baert","given":"Filip"},{"family":"Assche","given":"Gert","non-dropping-particle":"van"},{"family":"Caenepeel","given":"Philip"},{"family":"Vergauwe","given":"Philippe"},{"family":"Tuynman","given":"Hans"},{"family":"De Vos","given":"Martine"},{"family":"Deventer","given":"Sander","non-dropping-particle":"van"},{"family":"Stitt","given":"Larry"},{"family":"Donner","given":"Allan"},{"family":"Vermeire","given":"Severine"},{"family":"Van De Mierop","given":"Frank J."},{"family":"Coche","given":"Jean-Charles R."},{"family":"Woude","given":"Janneke","non-dropping-particle":"van der"},{"family":"Ochsenkühn","given":"Thomas"},{"family":"Bodegraven","given":"Ad A.","non-dropping-particle":"van"},{"family":"Van Hootegem","given":"Philippe P."},{"family":"Lambrecht","given":"Guy L."},{"family":"Mana","given":"Fazia"},{"family":"Rutgeerts","given":"Paul"},{"family":"Feagan","given":"Brian G."},{"family":"Hommes","given":"Daniel"},{"literal":"Belgian Inflammatory Bowel Disease Research Group"},{"literal":"North-Holland Gut Club"}],"issued":{"date-parts":[["2008",2,23]]}}}],"schema":"https://github.com/citation-style-language/schema/raw/master/csl-citation.json"} </w:instrText>
      </w:r>
      <w:r w:rsidR="0060380B"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[105]</w:t>
      </w:r>
      <w:r w:rsidR="0060380B" w:rsidRPr="005B1A16">
        <w:rPr>
          <w:rFonts w:ascii="Book Antiqua" w:hAnsi="Book Antiqua"/>
          <w:color w:val="000000" w:themeColor="text1"/>
        </w:rPr>
        <w:fldChar w:fldCharType="end"/>
      </w:r>
      <w:r w:rsidR="00CD11D4" w:rsidRPr="005B1A16">
        <w:rPr>
          <w:rFonts w:ascii="Book Antiqua" w:hAnsi="Book Antiqua"/>
          <w:color w:val="000000" w:themeColor="text1"/>
        </w:rPr>
        <w:t xml:space="preserve">. Treatment-naïve early CD patients were randomly assigned to receive early aggressive therapy (‘top-down’) with an immunosuppressant and anti-TNF agent or less aggressive (‘step-up’) therapy with steroids and a possible transition to immunosuppressant and biologics if necessary. </w:t>
      </w:r>
      <w:r w:rsidRPr="005B1A16">
        <w:rPr>
          <w:rFonts w:ascii="Book Antiqua" w:hAnsi="Book Antiqua"/>
          <w:color w:val="000000" w:themeColor="text1"/>
        </w:rPr>
        <w:t>The a</w:t>
      </w:r>
      <w:r w:rsidR="00CD11D4" w:rsidRPr="005B1A16">
        <w:rPr>
          <w:rFonts w:ascii="Book Antiqua" w:hAnsi="Book Antiqua"/>
          <w:color w:val="000000" w:themeColor="text1"/>
        </w:rPr>
        <w:t xml:space="preserve">uthors found that the ‘top-down’ strategy was more effective than the conventional ‘step-up’ strategy for achieving corticosteroid-free remission at week 52 (61.5 </w:t>
      </w:r>
      <w:r w:rsidR="00CD11D4" w:rsidRPr="005B1A16">
        <w:rPr>
          <w:rFonts w:ascii="Book Antiqua" w:hAnsi="Book Antiqua"/>
          <w:i/>
          <w:color w:val="000000" w:themeColor="text1"/>
        </w:rPr>
        <w:t>vs</w:t>
      </w:r>
      <w:r w:rsidR="008423FA" w:rsidRPr="005B1A16">
        <w:rPr>
          <w:rFonts w:ascii="Book Antiqua" w:hAnsi="Book Antiqua"/>
          <w:color w:val="000000" w:themeColor="text1"/>
        </w:rPr>
        <w:t xml:space="preserve"> 42.2%</w:t>
      </w:r>
      <w:r w:rsidR="008423FA" w:rsidRPr="005B1A16">
        <w:rPr>
          <w:rFonts w:ascii="Book Antiqua" w:eastAsia="SimSun" w:hAnsi="Book Antiqua"/>
          <w:color w:val="000000" w:themeColor="text1"/>
          <w:lang w:eastAsia="zh-CN"/>
        </w:rPr>
        <w:t>,</w:t>
      </w:r>
      <w:r w:rsidR="00CD11D4" w:rsidRPr="005B1A16">
        <w:rPr>
          <w:rFonts w:ascii="Book Antiqua" w:hAnsi="Book Antiqua"/>
          <w:color w:val="000000" w:themeColor="text1"/>
        </w:rPr>
        <w:t xml:space="preserve"> </w:t>
      </w:r>
      <w:r w:rsidR="008423FA" w:rsidRPr="005B1A16">
        <w:rPr>
          <w:rFonts w:ascii="Book Antiqua" w:hAnsi="Book Antiqua"/>
          <w:i/>
          <w:color w:val="000000" w:themeColor="text1"/>
        </w:rPr>
        <w:t>P</w:t>
      </w:r>
      <w:r w:rsidR="008423FA" w:rsidRPr="005B1A16">
        <w:rPr>
          <w:rFonts w:ascii="Book Antiqua" w:eastAsia="SimSun" w:hAnsi="Book Antiqua"/>
          <w:i/>
          <w:color w:val="000000" w:themeColor="text1"/>
          <w:lang w:eastAsia="zh-CN"/>
        </w:rPr>
        <w:t xml:space="preserve"> </w:t>
      </w:r>
      <w:r w:rsidR="00CD11D4" w:rsidRPr="005B1A16">
        <w:rPr>
          <w:rFonts w:ascii="Book Antiqua" w:hAnsi="Book Antiqua"/>
          <w:color w:val="000000" w:themeColor="text1"/>
        </w:rPr>
        <w:t>=</w:t>
      </w:r>
      <w:r w:rsidR="008423FA" w:rsidRPr="005B1A16">
        <w:rPr>
          <w:rFonts w:ascii="Book Antiqua" w:eastAsia="SimSun" w:hAnsi="Book Antiqua"/>
          <w:color w:val="000000" w:themeColor="text1"/>
          <w:lang w:eastAsia="zh-CN"/>
        </w:rPr>
        <w:t xml:space="preserve"> </w:t>
      </w:r>
      <w:r w:rsidR="00CD11D4" w:rsidRPr="005B1A16">
        <w:rPr>
          <w:rFonts w:ascii="Book Antiqua" w:hAnsi="Book Antiqua"/>
          <w:color w:val="000000" w:themeColor="text1"/>
        </w:rPr>
        <w:t>0.027). Similar conclusions were demonstrated in both the SONIC and UC-SUCCESS trials</w:t>
      </w:r>
      <w:r w:rsidRPr="005B1A16">
        <w:rPr>
          <w:rFonts w:ascii="Book Antiqua" w:hAnsi="Book Antiqua"/>
          <w:color w:val="000000" w:themeColor="text1"/>
        </w:rPr>
        <w:t xml:space="preserve"> whereby the efficacy of therapy was improved despite comparable </w:t>
      </w:r>
      <w:r w:rsidR="00D03F31" w:rsidRPr="005B1A16">
        <w:rPr>
          <w:rFonts w:ascii="Book Antiqua" w:hAnsi="Book Antiqua"/>
          <w:color w:val="000000" w:themeColor="text1"/>
        </w:rPr>
        <w:t>adverse events</w:t>
      </w:r>
      <w:r w:rsidRPr="005B1A16">
        <w:rPr>
          <w:rFonts w:ascii="Book Antiqua" w:hAnsi="Book Antiqua"/>
          <w:color w:val="000000" w:themeColor="text1"/>
        </w:rPr>
        <w:t xml:space="preserve"> between groups</w:t>
      </w:r>
      <w:r w:rsidR="00CD11D4" w:rsidRPr="005B1A16">
        <w:rPr>
          <w:rFonts w:ascii="Book Antiqua" w:hAnsi="Book Antiqua"/>
          <w:color w:val="000000" w:themeColor="text1"/>
        </w:rPr>
        <w:t xml:space="preserve">. </w:t>
      </w:r>
    </w:p>
    <w:p w14:paraId="679E27FA" w14:textId="4DB2B490" w:rsidR="00D704B4" w:rsidRPr="005B1A16" w:rsidRDefault="00D704B4" w:rsidP="005B1A16">
      <w:pPr>
        <w:spacing w:line="360" w:lineRule="auto"/>
        <w:ind w:firstLineChars="100" w:firstLine="240"/>
        <w:jc w:val="both"/>
        <w:rPr>
          <w:rFonts w:ascii="Book Antiqua" w:eastAsia="SimSun" w:hAnsi="Book Antiqua"/>
          <w:color w:val="000000" w:themeColor="text1"/>
          <w:lang w:eastAsia="zh-CN"/>
        </w:rPr>
      </w:pPr>
      <w:r w:rsidRPr="005B1A16">
        <w:rPr>
          <w:rFonts w:ascii="Book Antiqua" w:hAnsi="Book Antiqua"/>
          <w:color w:val="000000" w:themeColor="text1"/>
          <w:shd w:val="clear" w:color="auto" w:fill="FFFFFF"/>
        </w:rPr>
        <w:t xml:space="preserve">The strengths of objective patient monitoring are becoming more evident as study designs continue to </w:t>
      </w:r>
      <w:r w:rsidR="00230B1C" w:rsidRPr="005B1A16">
        <w:rPr>
          <w:rFonts w:ascii="Book Antiqua" w:hAnsi="Book Antiqua"/>
          <w:color w:val="000000" w:themeColor="text1"/>
          <w:shd w:val="clear" w:color="auto" w:fill="FFFFFF"/>
        </w:rPr>
        <w:t>improve</w:t>
      </w:r>
      <w:r w:rsidRPr="005B1A16">
        <w:rPr>
          <w:rFonts w:ascii="Book Antiqua" w:hAnsi="Book Antiqua"/>
          <w:color w:val="000000" w:themeColor="text1"/>
          <w:shd w:val="clear" w:color="auto" w:fill="FFFFFF"/>
        </w:rPr>
        <w:t xml:space="preserve"> </w:t>
      </w:r>
      <w:r w:rsidR="00230B1C" w:rsidRPr="005B1A16">
        <w:rPr>
          <w:rFonts w:ascii="Book Antiqua" w:hAnsi="Book Antiqua"/>
          <w:color w:val="000000" w:themeColor="text1"/>
          <w:shd w:val="clear" w:color="auto" w:fill="FFFFFF"/>
        </w:rPr>
        <w:t xml:space="preserve">and </w:t>
      </w:r>
      <w:r w:rsidRPr="005B1A16">
        <w:rPr>
          <w:rFonts w:ascii="Book Antiqua" w:hAnsi="Book Antiqua"/>
          <w:color w:val="000000" w:themeColor="text1"/>
          <w:shd w:val="clear" w:color="auto" w:fill="FFFFFF"/>
        </w:rPr>
        <w:t>include more objective markers of disease seve</w:t>
      </w:r>
      <w:r w:rsidR="00230B1C" w:rsidRPr="005B1A16">
        <w:rPr>
          <w:rFonts w:ascii="Book Antiqua" w:hAnsi="Book Antiqua"/>
          <w:color w:val="000000" w:themeColor="text1"/>
          <w:shd w:val="clear" w:color="auto" w:fill="FFFFFF"/>
        </w:rPr>
        <w:t>r</w:t>
      </w:r>
      <w:r w:rsidRPr="005B1A16">
        <w:rPr>
          <w:rFonts w:ascii="Book Antiqua" w:hAnsi="Book Antiqua"/>
          <w:color w:val="000000" w:themeColor="text1"/>
          <w:shd w:val="clear" w:color="auto" w:fill="FFFFFF"/>
        </w:rPr>
        <w:t xml:space="preserve">ity and response to therapy. </w:t>
      </w:r>
      <w:r w:rsidR="00230B1C" w:rsidRPr="005B1A16">
        <w:rPr>
          <w:rFonts w:ascii="Book Antiqua" w:hAnsi="Book Antiqua"/>
          <w:color w:val="000000" w:themeColor="text1"/>
          <w:shd w:val="clear" w:color="auto" w:fill="FFFFFF"/>
        </w:rPr>
        <w:t>An example is the cluster randomisation trial, REACT</w:t>
      </w:r>
      <w:r w:rsidR="003F18DA" w:rsidRPr="005B1A16">
        <w:rPr>
          <w:rFonts w:ascii="Book Antiqua" w:hAnsi="Book Antiqua"/>
          <w:color w:val="000000" w:themeColor="text1"/>
          <w:shd w:val="clear" w:color="auto" w:fill="FFFFFF"/>
        </w:rPr>
        <w:fldChar w:fldCharType="begin"/>
      </w:r>
      <w:r w:rsidR="00B71AF0" w:rsidRPr="005B1A16">
        <w:rPr>
          <w:rFonts w:ascii="Book Antiqua" w:hAnsi="Book Antiqua"/>
          <w:color w:val="000000" w:themeColor="text1"/>
          <w:shd w:val="clear" w:color="auto" w:fill="FFFFFF"/>
        </w:rPr>
        <w:instrText xml:space="preserve"> ADDIN ZOTERO_ITEM CSL_CITATION {"citationID":"a1s1nhho70s","properties":{"formattedCitation":"\\super [106]\\nosupersub{}","plainCitation":"[106]","noteIndex":0},"citationItems":[{"id":42,"uris":["http://zotero.org/users/4672422/items/9RXR4WEN"],"uri":["http://zotero.org/users/4672422/items/9RXR4WEN"],"itemData":{"id":42,"type":"article-journal","title":"Early combined immunosuppression for the management of Crohn's disease (REACT): a cluster randomised controlled trial","container-title":"Lancet (London, England)","page":"1825-1834","volume":"386","issue":"10006","source":"PubMed","abstract":"BACKGROUND: Conventional management of Crohn's disease features incremental use of therapies. However, early combined immunosuppression (ECI), with a TNF antagonist and antimetabolite might be a more effective strategy. We compared the efficacy of ECI with that of conventional management for treatment of Crohn's disease.\nMETHODS: In this open-label cluster randomised controlled trial (Randomised Evaluation of an Algorithm for Crohn's Treatment, REACT), we included community gastroenterology practices from Belgium and Canada that were willing to be assigned to either of the study groups, participate in all aspects of the study, and provide data on up to 60 patients with Crohn's disease. These practices were randomly assigned (1:1) to either ECI or conventional management. The computer-generated randomisation was minimised by country and practice size. Up to 60 consecutive adult patients were assessed within practices. Patients who were aged 18 years or older; documented to have Crohn's disease; able to speak or understand English, French, or Dutch; able to access a telephone; and able to provide written informed consent were followed up for 2 years. The primary outcome was the proportion of patients in corticosteroid-free remission (Harvey-Bradshaw Index score ≤ 4) at 12 months at the practice level. This trial is registered with ClinicalTrials.gov, number NCT01030809.\nFINDINGS: This study took place between March 15, 2010, and Oct 1, 2013. Of the 60 practices screened, 41 were randomly assigned to either ECI (n=22) or conventional management (n=19). Two practices (one in each group) discontinued because of insufficient resources. 921 (85%) of the 1084 patients at ECI practices and 806 (90%) of 898 patients at conventional management practices completed 12 months follow-up and were included in an intention-to-treat analysis. The 12 month practice-level remission rates were similar at ECI and conventional management practices (66·0% [SD 14·0] and 61·9% [16·9]; adjusted difference 2·5%, 95% CI -5·2% to 10·2%, p=0·5169). The 24 month patient-level composite rate of major adverse outcomes defined as occurrence of surgery, hospital admission, or serious disease-related complications was lower at ECI practices than at conventional management practices (27·7% and 35·1%, absolute difference [AD] 7·3%, hazard ratio [HR]: 0·73, 95% CI 0·62 to 0·86, p=0·0003). There were no differences in serious drug-related adverse events.\nINTERPRETATION: Although ECI was not more effective than conventional management for controlling Crohn's disease symptoms, the risk of major adverse outcomes was lower. The latter finding should be considered hypothesis-generating for future trials. ECI was not associated with an increased risk of serious drug-related adverse events or mortality.\nFUNDING: AbbVie Pharmaceuticals.","DOI":"10.1016/S0140-6736(15)00068-9","ISSN":"1474-547X","note":"PMID: 26342731","shortTitle":"Early combined immunosuppression for the management of Crohn's disease (REACT)","journalAbbreviation":"Lancet","language":"eng","author":[{"family":"Khanna","given":"Reena"},{"family":"Bressler","given":"Brian"},{"family":"Levesque","given":"Barrett G."},{"family":"Zou","given":"Guangyong"},{"family":"Stitt","given":"Larry W."},{"family":"Greenberg","given":"Gordon R."},{"family":"Panaccione","given":"Remo"},{"family":"Bitton","given":"Alain"},{"family":"Paré","given":"Pierre"},{"family":"Vermeire","given":"Séverine"},{"family":"D'Haens","given":"Geert"},{"family":"MacIntosh","given":"Donald"},{"family":"Sandborn","given":"William J."},{"family":"Donner","given":"Allan"},{"family":"Vandervoort","given":"Margaret K."},{"family":"Morris","given":"Joan C."},{"family":"Feagan","given":"Brian G."},{"literal":"REACT Study Investigators"}],"issued":{"date-parts":[["2015",11,7]]}}}],"schema":"https://github.com/citation-style-language/schema/raw/master/csl-citation.json"} </w:instrText>
      </w:r>
      <w:r w:rsidR="003F18DA" w:rsidRPr="005B1A16">
        <w:rPr>
          <w:rFonts w:ascii="Book Antiqua" w:hAnsi="Book Antiqua"/>
          <w:color w:val="000000" w:themeColor="text1"/>
          <w:shd w:val="clear" w:color="auto" w:fill="FFFFFF"/>
        </w:rPr>
        <w:fldChar w:fldCharType="separate"/>
      </w:r>
      <w:r w:rsidR="00B71AF0" w:rsidRPr="005B1A16">
        <w:rPr>
          <w:rFonts w:ascii="Book Antiqua" w:hAnsi="Book Antiqua"/>
          <w:color w:val="000000" w:themeColor="text1"/>
          <w:vertAlign w:val="superscript"/>
          <w:lang w:val="en-US"/>
        </w:rPr>
        <w:t>[106]</w:t>
      </w:r>
      <w:r w:rsidR="003F18DA" w:rsidRPr="005B1A16">
        <w:rPr>
          <w:rFonts w:ascii="Book Antiqua" w:hAnsi="Book Antiqua"/>
          <w:color w:val="000000" w:themeColor="text1"/>
          <w:shd w:val="clear" w:color="auto" w:fill="FFFFFF"/>
        </w:rPr>
        <w:fldChar w:fldCharType="end"/>
      </w:r>
      <w:r w:rsidR="00230B1C" w:rsidRPr="005B1A16">
        <w:rPr>
          <w:rFonts w:ascii="Book Antiqua" w:hAnsi="Book Antiqua"/>
          <w:color w:val="000000" w:themeColor="text1"/>
          <w:shd w:val="clear" w:color="auto" w:fill="FFFFFF"/>
        </w:rPr>
        <w:t xml:space="preserve">. </w:t>
      </w:r>
      <w:r w:rsidR="00230B1C" w:rsidRPr="005B1A16">
        <w:rPr>
          <w:rFonts w:ascii="Book Antiqua" w:hAnsi="Book Antiqua"/>
          <w:color w:val="000000" w:themeColor="text1"/>
        </w:rPr>
        <w:t xml:space="preserve">In this trial, 1982 patients with CD were randomized to receive either </w:t>
      </w:r>
      <w:r w:rsidR="00AD456D" w:rsidRPr="005B1A16">
        <w:rPr>
          <w:rFonts w:ascii="Book Antiqua" w:hAnsi="Book Antiqua"/>
          <w:color w:val="000000" w:themeColor="text1"/>
        </w:rPr>
        <w:t>algorithm</w:t>
      </w:r>
      <w:r w:rsidR="00230B1C" w:rsidRPr="005B1A16">
        <w:rPr>
          <w:rFonts w:ascii="Book Antiqua" w:hAnsi="Book Antiqua"/>
          <w:color w:val="000000" w:themeColor="text1"/>
        </w:rPr>
        <w:t xml:space="preserve">-based treatment optimization vs. conventional management (therapeutic decisions based on community physician assessment). The composite endpoint of hospitalization, surgery and serious disease related complications was lower in </w:t>
      </w:r>
      <w:r w:rsidR="00AD456D" w:rsidRPr="005B1A16">
        <w:rPr>
          <w:rFonts w:ascii="Book Antiqua" w:hAnsi="Book Antiqua"/>
          <w:color w:val="000000" w:themeColor="text1"/>
        </w:rPr>
        <w:t>patients treated with the algori</w:t>
      </w:r>
      <w:r w:rsidR="00230B1C" w:rsidRPr="005B1A16">
        <w:rPr>
          <w:rFonts w:ascii="Book Antiqua" w:hAnsi="Book Antiqua"/>
          <w:color w:val="000000" w:themeColor="text1"/>
        </w:rPr>
        <w:t xml:space="preserve">thm-based strategy at 24 </w:t>
      </w:r>
      <w:r w:rsidR="008423FA" w:rsidRPr="005B1A16">
        <w:rPr>
          <w:rFonts w:ascii="Book Antiqua" w:eastAsia="SimSun" w:hAnsi="Book Antiqua"/>
          <w:color w:val="000000" w:themeColor="text1"/>
          <w:lang w:eastAsia="zh-CN"/>
        </w:rPr>
        <w:t>mo</w:t>
      </w:r>
      <w:r w:rsidR="00230B1C" w:rsidRPr="005B1A16">
        <w:rPr>
          <w:rFonts w:ascii="Book Antiqua" w:hAnsi="Book Antiqua"/>
          <w:color w:val="000000" w:themeColor="text1"/>
        </w:rPr>
        <w:t xml:space="preserve"> (27.7</w:t>
      </w:r>
      <w:r w:rsidR="008423FA" w:rsidRPr="005B1A16">
        <w:rPr>
          <w:rFonts w:ascii="Book Antiqua" w:eastAsia="SimSun" w:hAnsi="Book Antiqua"/>
          <w:color w:val="000000" w:themeColor="text1"/>
          <w:lang w:eastAsia="zh-CN"/>
        </w:rPr>
        <w:t>%</w:t>
      </w:r>
      <w:r w:rsidR="00230B1C" w:rsidRPr="005B1A16">
        <w:rPr>
          <w:rFonts w:ascii="Book Antiqua" w:hAnsi="Book Antiqua"/>
          <w:color w:val="000000" w:themeColor="text1"/>
        </w:rPr>
        <w:t xml:space="preserve"> and 35.1%, </w:t>
      </w:r>
      <w:r w:rsidR="008423FA" w:rsidRPr="005B1A16">
        <w:rPr>
          <w:rFonts w:ascii="Book Antiqua" w:hAnsi="Book Antiqua"/>
          <w:color w:val="000000" w:themeColor="text1"/>
          <w:shd w:val="clear" w:color="auto" w:fill="FFFFFF"/>
        </w:rPr>
        <w:t>hazard ratio: 0.73, 95%</w:t>
      </w:r>
      <w:r w:rsidR="00230B1C" w:rsidRPr="005B1A16">
        <w:rPr>
          <w:rFonts w:ascii="Book Antiqua" w:hAnsi="Book Antiqua"/>
          <w:color w:val="000000" w:themeColor="text1"/>
          <w:shd w:val="clear" w:color="auto" w:fill="FFFFFF"/>
        </w:rPr>
        <w:t>CI</w:t>
      </w:r>
      <w:r w:rsidR="008423FA" w:rsidRPr="005B1A16">
        <w:rPr>
          <w:rFonts w:ascii="Book Antiqua" w:eastAsia="SimSun" w:hAnsi="Book Antiqua"/>
          <w:color w:val="000000" w:themeColor="text1"/>
          <w:shd w:val="clear" w:color="auto" w:fill="FFFFFF"/>
          <w:lang w:eastAsia="zh-CN"/>
        </w:rPr>
        <w:t>:</w:t>
      </w:r>
      <w:r w:rsidR="00230B1C" w:rsidRPr="005B1A16">
        <w:rPr>
          <w:rFonts w:ascii="Book Antiqua" w:hAnsi="Book Antiqua"/>
          <w:color w:val="000000" w:themeColor="text1"/>
          <w:shd w:val="clear" w:color="auto" w:fill="FFFFFF"/>
        </w:rPr>
        <w:t xml:space="preserve"> 0.62 to 0.86, </w:t>
      </w:r>
      <w:r w:rsidR="008423FA" w:rsidRPr="005B1A16">
        <w:rPr>
          <w:rFonts w:ascii="Book Antiqua" w:hAnsi="Book Antiqua"/>
          <w:i/>
          <w:color w:val="000000" w:themeColor="text1"/>
        </w:rPr>
        <w:t>P</w:t>
      </w:r>
      <w:r w:rsidR="008423FA" w:rsidRPr="005B1A16">
        <w:rPr>
          <w:rFonts w:ascii="Book Antiqua" w:eastAsia="SimSun" w:hAnsi="Book Antiqua"/>
          <w:i/>
          <w:color w:val="000000" w:themeColor="text1"/>
          <w:lang w:eastAsia="zh-CN"/>
        </w:rPr>
        <w:t xml:space="preserve"> </w:t>
      </w:r>
      <w:r w:rsidR="00230B1C" w:rsidRPr="005B1A16">
        <w:rPr>
          <w:rFonts w:ascii="Book Antiqua" w:hAnsi="Book Antiqua"/>
          <w:color w:val="000000" w:themeColor="text1"/>
        </w:rPr>
        <w:t>&lt;</w:t>
      </w:r>
      <w:r w:rsidR="008423FA" w:rsidRPr="005B1A16">
        <w:rPr>
          <w:rFonts w:ascii="Book Antiqua" w:eastAsia="SimSun" w:hAnsi="Book Antiqua"/>
          <w:color w:val="000000" w:themeColor="text1"/>
          <w:lang w:eastAsia="zh-CN"/>
        </w:rPr>
        <w:t xml:space="preserve"> </w:t>
      </w:r>
      <w:r w:rsidR="00230B1C" w:rsidRPr="005B1A16">
        <w:rPr>
          <w:rFonts w:ascii="Book Antiqua" w:hAnsi="Book Antiqua"/>
          <w:color w:val="000000" w:themeColor="text1"/>
        </w:rPr>
        <w:t xml:space="preserve">0.001), </w:t>
      </w:r>
      <w:r w:rsidR="00230B1C" w:rsidRPr="005B1A16">
        <w:rPr>
          <w:rFonts w:ascii="Book Antiqua" w:hAnsi="Book Antiqua"/>
          <w:color w:val="000000" w:themeColor="text1"/>
          <w:shd w:val="clear" w:color="auto" w:fill="FFFFFF"/>
        </w:rPr>
        <w:t xml:space="preserve">despite no differences in serious drug-related adverse events as compared to the conventional treatment group. </w:t>
      </w:r>
      <w:r w:rsidR="00BC78D7" w:rsidRPr="005B1A16">
        <w:rPr>
          <w:rFonts w:ascii="Book Antiqua" w:hAnsi="Book Antiqua"/>
          <w:color w:val="000000" w:themeColor="text1"/>
        </w:rPr>
        <w:t>In UC, evidence is less straightforward on whether ‘top-down’ therapy alters the</w:t>
      </w:r>
      <w:r w:rsidR="003F18DA" w:rsidRPr="005B1A16">
        <w:rPr>
          <w:rFonts w:ascii="Book Antiqua" w:hAnsi="Book Antiqua"/>
          <w:color w:val="000000" w:themeColor="text1"/>
        </w:rPr>
        <w:t xml:space="preserve"> long-term disease ou</w:t>
      </w:r>
      <w:r w:rsidR="00AD456D" w:rsidRPr="005B1A16">
        <w:rPr>
          <w:rFonts w:ascii="Book Antiqua" w:hAnsi="Book Antiqua"/>
          <w:color w:val="000000" w:themeColor="text1"/>
        </w:rPr>
        <w:t>t</w:t>
      </w:r>
      <w:r w:rsidR="003F18DA" w:rsidRPr="005B1A16">
        <w:rPr>
          <w:rFonts w:ascii="Book Antiqua" w:hAnsi="Book Antiqua"/>
          <w:color w:val="000000" w:themeColor="text1"/>
        </w:rPr>
        <w:t>comes</w:t>
      </w:r>
      <w:r w:rsidR="00BC78D7" w:rsidRPr="005B1A16">
        <w:rPr>
          <w:rFonts w:ascii="Book Antiqua" w:hAnsi="Book Antiqua"/>
          <w:color w:val="000000" w:themeColor="text1"/>
        </w:rPr>
        <w:t>. Although several studies have shown that the severity and extent of UC at diagnosis may have a major impact on the subsequent course of the disease with elevated risks of recurrent hospitalization, colectomy, cancer and mortality</w:t>
      </w:r>
      <w:r w:rsidR="003F18D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{"citationID":"a1t0v9p2rnp","properties":{"formattedCitation":"\\super [101,107,108]\\nosupersub{}","plainCitation":"[101,107,108]","noteIndex":0},"citationItems":[{"id":196,"uris":["http://zotero.org/users/4672422/items/C86QIQD2"],"uri":["http://zotero.org/users/4672422/items/C86QIQD2"],"itemData":{"id":196,"type":"article-journal","title":"Clinical course in Crohn's disease: results of a Norwegian population-based ten-year follow-up study","container-title":"Clinical Gastroenterology and Hepatology: The Official Clinical Practice Journal of the American Gastroenterological Association","page":"1430-1438","volume":"5","issue":"12","source":"PubMed","abstract":"BACKGROUND &amp; AIMS: Most studies concerning the clinical course in CD are retrospective or based on selected patient groups. Our aim was to assess the course of CD in a prospective population-based follow-up study and to identify possible prognostic risk factors for complications on the basis of information obtained at initial diagnosis.\nMETHODS: From 1990-1994, a population-based cohort of 843 new cases of inflammatory bowel disease was recruited in South-Eastern Norway. The cohort was systematically followed up at 1, 5, and 10 years after diagnosis.\nRESULTS: Of 237 patients classified as CD, 197 completed the 10 years of follow-up, 18 died, and 22 were lost to follow-up. The cumulative relapse rate during the first 10 years was 90% (95% confidence interval, 86%-94%), and the cumulative probability of surgery was 37.9% (95% confidence interval, 31.4%-44.4%). Terminal ileal location (P &lt; .001), stricturing (P = .004), penetrating behavior (P &lt; .001), and age younger than 40 years (P = .03) at diagnosis were independent risk factors for subsequent surgery. A total of 53% (n = 105) of the patients had developed stricturing or penetrating disease at 10 years. A large proportion of patients (44%) were in clinical remission during the last 5 years of follow-up.\nCONCLUSIONS: The prognosis for CD seems better than previously reported. The probability of surgery was low, and fewer than expected developed complicated disease behavior. Nevertheless, the cumulative relapse rate of 90% and the finding of prognostic risk factors for subsequent surgery might call for attention to early effective medical treatment strategies.","DOI":"10.1016/j.cgh.2007.09.002","ISSN":"1542-7714","note":"PMID: 18054751","shortTitle":"Clinical course in Crohn's disease","journalAbbreviation":"Clin. Gastroenterol. Hepatol.","language":"eng","author":[{"family":"Solberg","given":"Inger Camilla"},{"family":"Vatn","given":"Morten H."},{"family":"Høie","given":"Ole"},{"family":"Stray","given":"Njaal"},{"family":"Sauar","given":"Jostein"},{"family":"Jahnsen","given":"Jørgen"},{"family":"Moum","given":"Bjørn"},{"family":"Lygren","given":"Idar"},{"literal":"IBSEN Study Group"}],"issued":{"date-parts":[["2007",12]]}}},{"id":206,"uris":["http://zotero.org/users/4672422/items/MWKA8XZM"],"uri":["http://zotero.org/users/4672422/items/MWKA8XZM"],"itemData":{"id":206,"type":"article-journal","title":"Ulcerative colitis: patient characteristics may predict 10-yr disease recurrence in a European-wide population-based cohort","container-title":"The American Journal of Gastroenterology","page":"1692-1701","volume":"102","issue":"8","source":"PubMed","abstract":"OBJECTIVES: Cumulative 10-yr relapse rates in ulcerative colitis (UC) of 70% to almost 100% have been reported in regional studies. The aim of this study was to determine the relapse rate in UC in a European population-based cohort 10 yr after diagnosis and to identify factors that may influence the risk of relapse.\nMETHODS: From 1991 to 1993, 771 patients with UC from seven European countries and Israel were prospectively included in a population-based inception cohort and followed for 10 yr. A relapse was defined as an increase in UC-related symptoms leading to changes in medical treatment or surgery. The cumulative relapse rate, time to first relapse, and number of relapses in the follow-up period were recorded and possible causative factors were investigated.\nRESULTS: The cumulative relapse rate of patients with at least one relapse was 0.67 (95% CI 0.63-0.71). The time to first relapse showed a greater hazard ratio (HR) (1.2, CI 1.0-1.5) for women and for patients with a high level of education (1.4, CI 1.1-1.8). The number of relapses decreased with age, and current smokers had a lower relapse rate (0.8, CI 0.6-0.9) than nonsmokers. The relapse rate in women was 1.2 (CI 1.1-1.3) times higher than in men. An inverse relation was found between the time to the first relapse and the total number of relapses.\nCONCLUSION: In 67% of patients, there was at least one relapse. Smoking status, level of education, and possibly female gender were found to influence the risk of relapse.","DOI":"10.1111/j.1572-0241.2007.01265.x","ISSN":"0002-9270","note":"PMID: 17555460","shortTitle":"Ulcerative colitis","journalAbbreviation":"Am. J. Gastroenterol.","language":"eng","author":[{"family":"Höie","given":"Ole"},{"family":"Wolters","given":"Frank"},{"family":"Riis","given":"Lene"},{"family":"Aamodt","given":"Geir"},{"family":"Solberg","given":"Camilla"},{"family":"Bernklev","given":"Tomm"},{"family":"Odes","given":"Selwyn"},{"family":"Mouzas","given":"Iannis A."},{"family":"Beltrami","given":"Marina"},{"family":"Langholz","given":"Ebbe"},{"family":"Stockbrügger","given":"Reinhold"},{"family":"Vatn","given":"Morten"},{"family":"Moum","given":"Bjorn"},{"literal":"European Collaborative Study Group of Inflammatory Bowel Disease (EC-IBD)"}],"issued":{"date-parts":[["2007",8]]}}},{"id":208,"uris":["http://zotero.org/users/4672422/items/WTQRN3DI"],"uri":["http://zotero.org/users/4672422/items/WTQRN3DI"],"itemData":{"id":208,"type":"article-journal","title":"Risk of colorectal cancer in patients with ulcerative colitis: a meta-analysis of population-based cohort studies","container-title":"Clinical Gastroenterology and Hepatology: The Official Clinical Practice Journal of the American Gastroenterological Association","page":"639-645","volume":"10","issue":"6","source":"PubMed","abstract":"BACKGROUND &amp; AIMS: Patients with ulcerative colitis (UC) have an increased risk of developing colorectal cancer (CRC). Studies examining the magnitude of this association have yielded conflicting results. We performed a meta-analysis of population-based cohort studies to determine the risk of CRC in patients with UC.\nMETHODS: We used MEDLINE, EMBASE, Cochrane, and CINAHL to perform a systematic literature search. We included 8 studies in the meta-analysis on the basis of strict inclusion and exclusion criteria. We calculated pooled standardized incidence ratios (SIRs) with 95% confidence intervals (CIs) for risk of CRC in patients with UC and performed meta-regression analyses of the effect of cohort size, calendar period, observation time, percentage with proctitis, and rates of colectomy on the risk of CRC.\nRESULTS: An average of 1.6% of patients with UC was diagnosed with CRC during 14 years of follow-up. SIRs ranged from 1.05 to 3.1, with a pooled SIR of 2.4 (95% CI, 2.1-2.7). Men with UC had a greater risk of CRC (SIR, 2.6; 95% CI, 2.2-3.0) than women (SIR, 1.9; 95% CI, 1.5-2.3). Young age was a risk factor for CRC (SIR, 8.6; 95% CI, 3.8-19.5; although this might have resulted from small numbers), as was extensive colitis (SIR, 4.8; 95% CI, 3.9-5.9). In meta-regression analyses, only cohort size was associated with risk of CRC.\nCONCLUSIONS: In population-based cohorts, UC increases the risk of CRC 2.4-fold. Male sex, young age at diagnosis with UC, and extensive colitis increase the risk.","DOI":"10.1016/j.cgh.2012.01.010","ISSN":"1542-7714","note":"PMID: 22289873","shortTitle":"Risk of colorectal cancer in patients with ulcerative colitis","journalAbbreviation":"Clin. Gastroenterol. Hepatol.","language":"eng","author":[{"family":"Jess","given":"Tine"},{"family":"Rungoe","given":"Christine"},{"family":"Peyrin-Biroulet","given":"Laurent"}],"issued":{"date-parts":[["2012",6]]}}}],"schema":"https://github.com/citation-style-language/schema/raw/master/csl-citation.json"} </w:instrText>
      </w:r>
      <w:r w:rsidR="003F18D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[101,107,108]</w:t>
      </w:r>
      <w:r w:rsidR="003F18DA" w:rsidRPr="005B1A16">
        <w:rPr>
          <w:rFonts w:ascii="Book Antiqua" w:hAnsi="Book Antiqua"/>
          <w:color w:val="000000" w:themeColor="text1"/>
        </w:rPr>
        <w:fldChar w:fldCharType="end"/>
      </w:r>
      <w:r w:rsidR="00BC78D7" w:rsidRPr="005B1A16">
        <w:rPr>
          <w:rFonts w:ascii="Book Antiqua" w:hAnsi="Book Antiqua"/>
          <w:color w:val="000000" w:themeColor="text1"/>
        </w:rPr>
        <w:t>.</w:t>
      </w:r>
      <w:r w:rsidR="0046728B" w:rsidRPr="005B1A16">
        <w:rPr>
          <w:rFonts w:ascii="Book Antiqua" w:hAnsi="Book Antiqua"/>
          <w:color w:val="000000" w:themeColor="text1"/>
        </w:rPr>
        <w:t xml:space="preserve"> </w:t>
      </w:r>
      <w:r w:rsidR="00BC78D7" w:rsidRPr="005B1A16">
        <w:rPr>
          <w:rFonts w:ascii="Book Antiqua" w:hAnsi="Book Antiqua"/>
          <w:color w:val="000000" w:themeColor="text1"/>
        </w:rPr>
        <w:t>In a population-based inception cohort from Norway, the extent of disease, need for systemic steroids and high CRP at diagnosis were independently associated with colectomy</w:t>
      </w:r>
      <w:r w:rsidR="003F18D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{"citationID":"a1fm4qmg8ns","properties":{"formattedCitation":"\\super [109]\\nosupersub{}","plainCitation":"[109]","noteIndex":0},"citationItems":[{"id":212,"uris":["http://zotero.org/users/4672422/items/WK8R6GR9"],"uri":["http://zotero.org/users/4672422/items/WK8R6GR9"],"itemData":{"id":212,"type":"article-journal","title":"Risk matrix model for prediction of colectomy in a population-based study of ulcerative colitis patients (the IBSEN study)","container-title":"Scandinavian Journal of Gastroenterology","page":"1456-1462","volume":"50","issue":"12","source":"PubMed","abstract":"OBJECTIVES: Identifying ulcerative colitis (UC) patients with increased risk of colectomy is essential for appropriate treatment. We aimed to develop a prediction model assessing the risk of having colectomy within the first 10 years after diagnosis.\nMATERIAL AND METHODS: A population-based inception cohort of UC patients diagnosed in south-eastern Norway between 1990 and 1994 has been followed for 10 years. Altogether 519 patients were recruited including 49 patients who were colectomized. Based on the best-fitted multivariate model, the probabilities of colectomy were computed for selected levels of baseline covariates, and the results arranged in a prediction matrix. The following risk factors at diagnosis were analyzed: age, smoking, sex, disease extent, weight loss and fever and need for systemic steroids. Biochemical markers included C-reactive protein (CRP, &lt;30 or ≥30 mg/l); erythrocyte sedimentation rate (ESR, &lt;30 or ≥30 mm/h) and hemoglobin (Hgb, &lt;10.5 or ≥ 10.5 g/dL).\nRESULTS: Extent of disease, age (&lt;40 years, ≥40 years), need for systemic steroids and CRP or ESR (&lt;30 or ≥30) at diagnosis were independently associated with colectomy and were combined in a prediction matrix. The probabilities of colectomy during the follow-up period ranged from 2.6% to 40.1% depending on the combination of predictors at diagnosis.\nCONCLUSIONS: Our prediction model revealed significant differences in the probability of undergoing colectomy during a 10-years course of disease, which supports an early individualized treatment approach in UC.","DOI":"10.3109/00365521.2015.1064991","ISSN":"1502-7708","note":"PMID: 26139389","journalAbbreviation":"Scand. J. Gastroenterol.","language":"eng","author":[{"family":"Solberg","given":"Inger Camilla"},{"family":"Høivik","given":"Marte Lie"},{"family":"Cvancarova","given":"Milada"},{"family":"Moum","given":"Bjørn"},{"literal":"IBSEN Study Group"}],"issued":{"date-parts":[["2015"]]}}}],"schema":"https://github.com/citation-style-language/schema/raw/master/csl-citation.json"} </w:instrText>
      </w:r>
      <w:r w:rsidR="003F18D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[109]</w:t>
      </w:r>
      <w:r w:rsidR="003F18DA" w:rsidRPr="005B1A16">
        <w:rPr>
          <w:rFonts w:ascii="Book Antiqua" w:hAnsi="Book Antiqua"/>
          <w:color w:val="000000" w:themeColor="text1"/>
        </w:rPr>
        <w:fldChar w:fldCharType="end"/>
      </w:r>
      <w:r w:rsidR="00BC78D7" w:rsidRPr="005B1A16">
        <w:rPr>
          <w:rFonts w:ascii="Book Antiqua" w:hAnsi="Book Antiqua"/>
          <w:color w:val="000000" w:themeColor="text1"/>
        </w:rPr>
        <w:t>.</w:t>
      </w:r>
      <w:r w:rsidR="0046728B" w:rsidRPr="005B1A16">
        <w:rPr>
          <w:rFonts w:ascii="Book Antiqua" w:hAnsi="Book Antiqua"/>
          <w:color w:val="000000" w:themeColor="text1"/>
        </w:rPr>
        <w:t xml:space="preserve"> </w:t>
      </w:r>
      <w:r w:rsidR="00BC78D7" w:rsidRPr="005B1A16">
        <w:rPr>
          <w:rFonts w:ascii="Book Antiqua" w:hAnsi="Book Antiqua"/>
          <w:color w:val="000000" w:themeColor="text1"/>
        </w:rPr>
        <w:t>Consequently, patients presenting with extensive colitis and signs of severe disease at diagnosis could benefit from top-down therapy.</w:t>
      </w:r>
    </w:p>
    <w:p w14:paraId="3722A8BD" w14:textId="037A7CB9" w:rsidR="008423FA" w:rsidRPr="005B1A16" w:rsidRDefault="005401E8" w:rsidP="005B1A16">
      <w:pPr>
        <w:spacing w:line="360" w:lineRule="auto"/>
        <w:ind w:firstLineChars="100" w:firstLine="240"/>
        <w:jc w:val="both"/>
        <w:rPr>
          <w:rFonts w:ascii="Book Antiqua" w:eastAsia="SimSun" w:hAnsi="Book Antiqua"/>
          <w:color w:val="000000" w:themeColor="text1"/>
          <w:lang w:eastAsia="zh-CN"/>
        </w:rPr>
      </w:pPr>
      <w:r w:rsidRPr="005B1A16">
        <w:rPr>
          <w:rFonts w:ascii="Book Antiqua" w:hAnsi="Book Antiqua"/>
          <w:color w:val="000000" w:themeColor="text1"/>
        </w:rPr>
        <w:lastRenderedPageBreak/>
        <w:t xml:space="preserve">‘Treat to target’, a strategy that uses objective clinical and biochemical outcome measures to assist </w:t>
      </w:r>
      <w:r w:rsidR="00137EBF" w:rsidRPr="005B1A16">
        <w:rPr>
          <w:rFonts w:ascii="Book Antiqua" w:hAnsi="Book Antiqua"/>
          <w:color w:val="000000" w:themeColor="text1"/>
        </w:rPr>
        <w:t>clinicians in making decisions related to</w:t>
      </w:r>
      <w:r w:rsidRPr="005B1A16">
        <w:rPr>
          <w:rFonts w:ascii="Book Antiqua" w:hAnsi="Book Antiqua"/>
          <w:color w:val="000000" w:themeColor="text1"/>
        </w:rPr>
        <w:t xml:space="preserve"> modifying </w:t>
      </w:r>
      <w:r w:rsidR="00137EBF" w:rsidRPr="005B1A16">
        <w:rPr>
          <w:rFonts w:ascii="Book Antiqua" w:hAnsi="Book Antiqua"/>
          <w:color w:val="000000" w:themeColor="text1"/>
        </w:rPr>
        <w:t>therapy</w:t>
      </w:r>
      <w:r w:rsidRPr="005B1A16">
        <w:rPr>
          <w:rFonts w:ascii="Book Antiqua" w:hAnsi="Book Antiqua"/>
          <w:color w:val="000000" w:themeColor="text1"/>
        </w:rPr>
        <w:t xml:space="preserve">, has been gaining popularity since the REACT study demonstrated </w:t>
      </w:r>
      <w:r w:rsidR="00137EBF" w:rsidRPr="005B1A16">
        <w:rPr>
          <w:rFonts w:ascii="Book Antiqua" w:hAnsi="Book Antiqua"/>
          <w:color w:val="000000" w:themeColor="text1"/>
        </w:rPr>
        <w:t>that disease activity correlates relatively poorly with objective measures of inflammation, and clinical remission in the absence of mucosal healing may not necessarily decrease the risk of future complications in CD</w:t>
      </w:r>
      <w:r w:rsidR="003F18D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{"citationID":"a24f69tqpcs","properties":{"formattedCitation":"\\super [106]\\nosupersub{}","plainCitation":"[106]","noteIndex":0},"citationItems":[{"id":42,"uris":["http://zotero.org/users/4672422/items/9RXR4WEN"],"uri":["http://zotero.org/users/4672422/items/9RXR4WEN"],"itemData":{"id":42,"type":"article-journal","title":"Early combined immunosuppression for the management of Crohn's disease (REACT): a cluster randomised controlled trial","container-title":"Lancet (London, England)","page":"1825-1834","volume":"386","issue":"10006","source":"PubMed","abstract":"BACKGROUND: Conventional management of Crohn's disease features incremental use of therapies. However, early combined immunosuppression (ECI), with a TNF antagonist and antimetabolite might be a more effective strategy. We compared the efficacy of ECI with that of conventional management for treatment of Crohn's disease.\nMETHODS: In this open-label cluster randomised controlled trial (Randomised Evaluation of an Algorithm for Crohn's Treatment, REACT), we included community gastroenterology practices from Belgium and Canada that were willing to be assigned to either of the study groups, participate in all aspects of the study, and provide data on up to 60 patients with Crohn's disease. These practices were randomly assigned (1:1) to either ECI or conventional management. The computer-generated randomisation was minimised by country and practice size. Up to 60 consecutive adult patients were assessed within practices. Patients who were aged 18 years or older; documented to have Crohn's disease; able to speak or understand English, French, or Dutch; able to access a telephone; and able to provide written informed consent were followed up for 2 years. The primary outcome was the proportion of patients in corticosteroid-free remission (Harvey-Bradshaw Index score ≤ 4) at 12 months at the practice level. This trial is registered with ClinicalTrials.gov, number NCT01030809.\nFINDINGS: This study took place between March 15, 2010, and Oct 1, 2013. Of the 60 practices screened, 41 were randomly assigned to either ECI (n=22) or conventional management (n=19). Two practices (one in each group) discontinued because of insufficient resources. 921 (85%) of the 1084 patients at ECI practices and 806 (90%) of 898 patients at conventional management practices completed 12 months follow-up and were included in an intention-to-treat analysis. The 12 month practice-level remission rates were similar at ECI and conventional management practices (66·0% [SD 14·0] and 61·9% [16·9]; adjusted difference 2·5%, 95% CI -5·2% to 10·2%, p=0·5169). The 24 month patient-level composite rate of major adverse outcomes defined as occurrence of surgery, hospital admission, or serious disease-related complications was lower at ECI practices than at conventional management practices (27·7% and 35·1%, absolute difference [AD] 7·3%, hazard ratio [HR]: 0·73, 95% CI 0·62 to 0·86, p=0·0003). There were no differences in serious drug-related adverse events.\nINTERPRETATION: Although ECI was not more effective than conventional management for controlling Crohn's disease symptoms, the risk of major adverse outcomes was lower. The latter finding should be considered hypothesis-generating for future trials. ECI was not associated with an increased risk of serious drug-related adverse events or mortality.\nFUNDING: AbbVie Pharmaceuticals.","DOI":"10.1016/S0140-6736(15)00068-9","ISSN":"1474-547X","note":"PMID: 26342731","shortTitle":"Early combined immunosuppression for the management of Crohn's disease (REACT)","journalAbbreviation":"Lancet","language":"eng","author":[{"family":"Khanna","given":"Reena"},{"family":"Bressler","given":"Brian"},{"family":"Levesque","given":"Barrett G."},{"family":"Zou","given":"Guangyong"},{"family":"Stitt","given":"Larry W."},{"family":"Greenberg","given":"Gordon R."},{"family":"Panaccione","given":"Remo"},{"family":"Bitton","given":"Alain"},{"family":"Paré","given":"Pierre"},{"family":"Vermeire","given":"Séverine"},{"family":"D'Haens","given":"Geert"},{"family":"MacIntosh","given":"Donald"},{"family":"Sandborn","given":"William J."},{"family":"Donner","given":"Allan"},{"family":"Vandervoort","given":"Margaret K."},{"family":"Morris","given":"Joan C."},{"family":"Feagan","given":"Brian G."},{"literal":"REACT Study Investigators"}],"issued":{"date-parts":[["2015",11,7]]}}}],"schema":"https://github.com/citation-style-language/schema/raw/master/csl-citation.json"} </w:instrText>
      </w:r>
      <w:r w:rsidR="003F18D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[106]</w:t>
      </w:r>
      <w:r w:rsidR="003F18DA" w:rsidRPr="005B1A16">
        <w:rPr>
          <w:rFonts w:ascii="Book Antiqua" w:hAnsi="Book Antiqua"/>
          <w:color w:val="000000" w:themeColor="text1"/>
        </w:rPr>
        <w:fldChar w:fldCharType="end"/>
      </w:r>
      <w:r w:rsidR="00137EBF" w:rsidRPr="005B1A16">
        <w:rPr>
          <w:rFonts w:ascii="Book Antiqua" w:hAnsi="Book Antiqua"/>
          <w:color w:val="000000" w:themeColor="text1"/>
        </w:rPr>
        <w:t xml:space="preserve">. </w:t>
      </w:r>
      <w:r w:rsidR="00CF1116" w:rsidRPr="005B1A16">
        <w:rPr>
          <w:rFonts w:ascii="Book Antiqua" w:hAnsi="Book Antiqua"/>
          <w:color w:val="000000" w:themeColor="text1"/>
        </w:rPr>
        <w:t xml:space="preserve">The CALM study </w:t>
      </w:r>
      <w:r w:rsidR="009D2F9A" w:rsidRPr="005B1A16">
        <w:rPr>
          <w:rFonts w:ascii="Book Antiqua" w:hAnsi="Book Antiqua"/>
          <w:color w:val="000000" w:themeColor="text1"/>
        </w:rPr>
        <w:t>supported this logic as well and demonstrated that early and stringent control of disease using objective markers of inflammation (</w:t>
      </w:r>
      <w:r w:rsidR="009D2F9A" w:rsidRPr="005B1A16">
        <w:rPr>
          <w:rFonts w:ascii="Book Antiqua" w:hAnsi="Book Antiqua"/>
          <w:i/>
          <w:color w:val="000000" w:themeColor="text1"/>
        </w:rPr>
        <w:t>e.g.</w:t>
      </w:r>
      <w:r w:rsidR="008423FA" w:rsidRPr="005B1A16">
        <w:rPr>
          <w:rFonts w:ascii="Book Antiqua" w:eastAsia="SimSun" w:hAnsi="Book Antiqua"/>
          <w:color w:val="000000" w:themeColor="text1"/>
          <w:lang w:eastAsia="zh-CN"/>
        </w:rPr>
        <w:t>,</w:t>
      </w:r>
      <w:r w:rsidR="009D2F9A" w:rsidRPr="005B1A16">
        <w:rPr>
          <w:rFonts w:ascii="Book Antiqua" w:hAnsi="Book Antiqua"/>
          <w:color w:val="000000" w:themeColor="text1"/>
        </w:rPr>
        <w:t xml:space="preserve"> CRP and fecal calprotectin) was efficacious and safe</w:t>
      </w:r>
      <w:r w:rsidR="000C7FA8" w:rsidRPr="005B1A16">
        <w:rPr>
          <w:rFonts w:ascii="Book Antiqua" w:hAnsi="Book Antiqua"/>
          <w:color w:val="000000" w:themeColor="text1"/>
        </w:rPr>
        <w:t xml:space="preserve"> in </w:t>
      </w:r>
      <w:r w:rsidR="006302CE" w:rsidRPr="005B1A16">
        <w:rPr>
          <w:rFonts w:ascii="Book Antiqua" w:hAnsi="Book Antiqua"/>
          <w:color w:val="000000" w:themeColor="text1"/>
        </w:rPr>
        <w:t>their sample population of 244 patients with CD</w:t>
      </w:r>
      <w:r w:rsidR="003F18D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{"citationID":"a19r52m6o8t","properties":{"formattedCitation":"\\super [18]\\nosupersub{}","plainCitation":"[18]","noteIndex":0},"citationItems":[{"id":44,"uris":["http://zotero.org/users/4672422/items/FRUGFNZL"],"uri":["http://zotero.org/users/4672422/items/FRUGFNZL"],"itemData":{"id":44,"type":"article-journal","title":"Effect of tight control management on Crohn's disease (CALM): a multicentre, randomised, controlled phase 3 trial","container-title":"The Lancet","page":"2779-2789","volume":"390","issue":"10114","source":"CrossRef","URL":"http://linkinghub.elsevier.com/retrieve/pii/S0140673617326417","DOI":"10.1016/S0140-6736(17)32641-7","ISSN":"01406736","shortTitle":"Effect of tight control management on Crohn's disease (CALM)","language":"en","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B"},{"family":"D'Haens","given":"Geert"}],"issued":{"date-parts":[["2017",12]]},"accessed":{"date-parts":[["2018",3,27]]}}}],"schema":"https://github.com/citation-style-language/schema/raw/master/csl-citation.json"} </w:instrText>
      </w:r>
      <w:r w:rsidR="003F18D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[18]</w:t>
      </w:r>
      <w:r w:rsidR="003F18DA" w:rsidRPr="005B1A16">
        <w:rPr>
          <w:rFonts w:ascii="Book Antiqua" w:hAnsi="Book Antiqua"/>
          <w:color w:val="000000" w:themeColor="text1"/>
        </w:rPr>
        <w:fldChar w:fldCharType="end"/>
      </w:r>
      <w:r w:rsidR="009D2F9A" w:rsidRPr="005B1A16">
        <w:rPr>
          <w:rFonts w:ascii="Book Antiqua" w:hAnsi="Book Antiqua"/>
          <w:color w:val="000000" w:themeColor="text1"/>
        </w:rPr>
        <w:t xml:space="preserve">. </w:t>
      </w:r>
      <w:r w:rsidR="00827A6A" w:rsidRPr="005B1A16">
        <w:rPr>
          <w:rFonts w:ascii="Book Antiqua" w:hAnsi="Book Antiqua"/>
          <w:color w:val="000000" w:themeColor="text1"/>
          <w:shd w:val="clear" w:color="auto" w:fill="FFFFFF"/>
        </w:rPr>
        <w:t xml:space="preserve">Their primary end-point, mucosal healing at 48 </w:t>
      </w:r>
      <w:r w:rsidR="001505E1" w:rsidRPr="005B1A16">
        <w:rPr>
          <w:rFonts w:ascii="Book Antiqua" w:eastAsia="SimSun" w:hAnsi="Book Antiqua"/>
          <w:color w:val="000000" w:themeColor="text1"/>
          <w:shd w:val="clear" w:color="auto" w:fill="FFFFFF"/>
          <w:lang w:eastAsia="zh-CN"/>
        </w:rPr>
        <w:t>wk</w:t>
      </w:r>
      <w:r w:rsidR="00827A6A" w:rsidRPr="005B1A16">
        <w:rPr>
          <w:rFonts w:ascii="Book Antiqua" w:hAnsi="Book Antiqua"/>
          <w:color w:val="000000" w:themeColor="text1"/>
          <w:shd w:val="clear" w:color="auto" w:fill="FFFFFF"/>
        </w:rPr>
        <w:t xml:space="preserve">, was achieved in 46% </w:t>
      </w:r>
      <w:r w:rsidR="00827A6A" w:rsidRPr="005B1A16">
        <w:rPr>
          <w:rFonts w:ascii="Book Antiqua" w:hAnsi="Book Antiqua"/>
          <w:i/>
          <w:color w:val="000000" w:themeColor="text1"/>
          <w:shd w:val="clear" w:color="auto" w:fill="FFFFFF"/>
        </w:rPr>
        <w:t>vs</w:t>
      </w:r>
      <w:r w:rsidR="00827A6A" w:rsidRPr="005B1A16">
        <w:rPr>
          <w:rFonts w:ascii="Book Antiqua" w:hAnsi="Book Antiqua"/>
          <w:color w:val="000000" w:themeColor="text1"/>
          <w:shd w:val="clear" w:color="auto" w:fill="FFFFFF"/>
        </w:rPr>
        <w:t xml:space="preserve"> 30% of the patients in the ‘tight control’ group as compared to the ‘clinical management’ group. Deep, biological and steroid-free remissions were greater in the ‘tight control’ group as well, whilst the adverse events not significantly different between groups. </w:t>
      </w:r>
      <w:r w:rsidR="00827A6A" w:rsidRPr="005B1A16">
        <w:rPr>
          <w:rFonts w:ascii="Book Antiqua" w:hAnsi="Book Antiqua"/>
          <w:color w:val="000000" w:themeColor="text1"/>
        </w:rPr>
        <w:t xml:space="preserve">The recent </w:t>
      </w:r>
      <w:r w:rsidR="006302CE" w:rsidRPr="005B1A16">
        <w:rPr>
          <w:rFonts w:ascii="Book Antiqua" w:hAnsi="Book Antiqua"/>
          <w:color w:val="000000" w:themeColor="text1"/>
        </w:rPr>
        <w:t xml:space="preserve">systematic review and expert opinion of 28 IBD specialists </w:t>
      </w:r>
      <w:r w:rsidR="008438C3" w:rsidRPr="005B1A16">
        <w:rPr>
          <w:rFonts w:ascii="Book Antiqua" w:hAnsi="Book Antiqua"/>
          <w:color w:val="000000" w:themeColor="text1"/>
        </w:rPr>
        <w:t>on ‘</w:t>
      </w:r>
      <w:r w:rsidR="005E6EC3" w:rsidRPr="005B1A16">
        <w:rPr>
          <w:rFonts w:ascii="Book Antiqua" w:hAnsi="Book Antiqua"/>
          <w:color w:val="000000" w:themeColor="text1"/>
        </w:rPr>
        <w:t>Selecting Therapeutic Targets in Inflammatory Bowel Disease</w:t>
      </w:r>
      <w:r w:rsidR="008438C3" w:rsidRPr="005B1A16">
        <w:rPr>
          <w:rFonts w:ascii="Book Antiqua" w:hAnsi="Book Antiqua"/>
          <w:color w:val="000000" w:themeColor="text1"/>
        </w:rPr>
        <w:t>’</w:t>
      </w:r>
      <w:r w:rsidR="005E6EC3" w:rsidRPr="005B1A16">
        <w:rPr>
          <w:rFonts w:ascii="Book Antiqua" w:hAnsi="Book Antiqua"/>
          <w:color w:val="000000" w:themeColor="text1"/>
        </w:rPr>
        <w:t xml:space="preserve"> (STRIDE) </w:t>
      </w:r>
      <w:r w:rsidR="00137EBF" w:rsidRPr="005B1A16">
        <w:rPr>
          <w:rFonts w:ascii="Book Antiqua" w:hAnsi="Book Antiqua"/>
          <w:color w:val="000000" w:themeColor="text1"/>
        </w:rPr>
        <w:t xml:space="preserve">also </w:t>
      </w:r>
      <w:r w:rsidR="008438C3" w:rsidRPr="005B1A16">
        <w:rPr>
          <w:rFonts w:ascii="Book Antiqua" w:hAnsi="Book Antiqua"/>
          <w:color w:val="000000" w:themeColor="text1"/>
        </w:rPr>
        <w:t xml:space="preserve">suggested </w:t>
      </w:r>
      <w:r w:rsidR="00137EBF" w:rsidRPr="005B1A16">
        <w:rPr>
          <w:rFonts w:ascii="Book Antiqua" w:hAnsi="Book Antiqua"/>
          <w:color w:val="000000" w:themeColor="text1"/>
        </w:rPr>
        <w:t xml:space="preserve">the importance of using objective markers and </w:t>
      </w:r>
      <w:r w:rsidR="005E6EC3" w:rsidRPr="005B1A16">
        <w:rPr>
          <w:rFonts w:ascii="Book Antiqua" w:hAnsi="Book Antiqua"/>
          <w:color w:val="000000" w:themeColor="text1"/>
        </w:rPr>
        <w:t>recommends that therapeutic targets for CD and UC should move away from composite disease activity indices to separate patient-reported outcomes and objective measurements of inflammation</w:t>
      </w:r>
      <w:r w:rsidR="00B81B84" w:rsidRPr="005B1A16">
        <w:rPr>
          <w:rFonts w:ascii="Book Antiqua" w:hAnsi="Book Antiqua"/>
          <w:color w:val="000000" w:themeColor="text1"/>
        </w:rPr>
        <w:t xml:space="preserve"> (Table 3</w:t>
      </w:r>
      <w:r w:rsidR="00137EBF" w:rsidRPr="005B1A16">
        <w:rPr>
          <w:rFonts w:ascii="Book Antiqua" w:hAnsi="Book Antiqua"/>
          <w:color w:val="000000" w:themeColor="text1"/>
        </w:rPr>
        <w:t>)</w:t>
      </w:r>
      <w:r w:rsidR="003F18DA"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{"citationID":"a2rk02cbeu","properties":{"formattedCitation":"\\super [19]\\nosupersub{}","plainCitation":"[19]","noteIndex":0},"citationItems":[{"id":40,"uris":["http://zotero.org/users/4672422/items/TS32XL45"],"uri":["http://zotero.org/users/4672422/items/TS32XL45"],"itemData":{"id":40,"type":"article-journal","title":"Selecting Therapeutic Targets in Inflammatory Bowel Disease (STRIDE): Determining Therapeutic Goals for Treat-to-Target","container-title":"The American Journal of Gastroenterology","page":"1324-1338","volume":"110","issue":"9","source":"PubMed","abstract":"OBJECTIVES: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\"treat-to-target\" clinical management strategy using an evidence-based expert consensus process.\nMETHODS: A Steering Committee of 28 IBD specialists developed recommendations based on a systematic literature review and expert opinion. Consensus was gained if ≥75% of participants scored the recommendation as 7-10 on a 10-point rating scale (where 10=agree completely).\nRESULTS: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target.\nCONCLUSIONS: Evidence- and consensus-based recommendations for selecting the goals for treat-to-target strategies in patients with IBD are made available. Prospective studies are needed to determine how these targets will change disease course and patients' quality of life.","DOI":"10.1038/ajg.2015.233","ISSN":"1572-0241","note":"PMID: 26303131","shortTitle":"Selecting Therapeutic Targets in Inflammatory Bowel Disease (STRIDE)","journalAbbreviation":"Am. J. Gastroenterol.","language":"eng","author":[{"family":"Peyrin-Biroulet","given":"L."},{"family":"Sandborn","given":"W."},{"family":"Sands","given":"B.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F."}],"issued":{"date-parts":[["2015",9]]}}}],"schema":"https://github.com/citation-style-language/schema/raw/master/csl-citation.json"} </w:instrText>
      </w:r>
      <w:r w:rsidR="003F18DA"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[19]</w:t>
      </w:r>
      <w:r w:rsidR="003F18DA" w:rsidRPr="005B1A16">
        <w:rPr>
          <w:rFonts w:ascii="Book Antiqua" w:hAnsi="Book Antiqua"/>
          <w:color w:val="000000" w:themeColor="text1"/>
        </w:rPr>
        <w:fldChar w:fldCharType="end"/>
      </w:r>
      <w:r w:rsidR="005E6EC3" w:rsidRPr="005B1A16">
        <w:rPr>
          <w:rFonts w:ascii="Book Antiqua" w:hAnsi="Book Antiqua"/>
          <w:color w:val="000000" w:themeColor="text1"/>
        </w:rPr>
        <w:t>.</w:t>
      </w:r>
      <w:r w:rsidR="00827A6A" w:rsidRPr="005B1A16">
        <w:rPr>
          <w:rFonts w:ascii="Book Antiqua" w:hAnsi="Book Antiqua"/>
          <w:color w:val="000000" w:themeColor="text1"/>
        </w:rPr>
        <w:t xml:space="preserve"> However, </w:t>
      </w:r>
      <w:r w:rsidR="00A71CC3" w:rsidRPr="005B1A16">
        <w:rPr>
          <w:rFonts w:ascii="Book Antiqua" w:hAnsi="Book Antiqua"/>
          <w:color w:val="000000" w:themeColor="text1"/>
        </w:rPr>
        <w:t>the open-label multicentre RCT ‘CALM’ suggested</w:t>
      </w:r>
      <w:r w:rsidR="00827A6A" w:rsidRPr="005B1A16">
        <w:rPr>
          <w:rFonts w:ascii="Book Antiqua" w:hAnsi="Book Antiqua"/>
          <w:color w:val="000000" w:themeColor="text1"/>
        </w:rPr>
        <w:t xml:space="preserve"> that biomarkers such as fecal calprotectin be considered as additional targets to therapy</w:t>
      </w:r>
      <w:r w:rsidR="00A71CC3" w:rsidRPr="005B1A16">
        <w:rPr>
          <w:rFonts w:ascii="Book Antiqua" w:hAnsi="Book Antiqua"/>
          <w:color w:val="000000" w:themeColor="text1"/>
        </w:rPr>
        <w:t xml:space="preserve"> in their cohort of 244 patients with active CD</w:t>
      </w:r>
      <w:r w:rsidR="00827A6A" w:rsidRPr="005B1A16">
        <w:rPr>
          <w:rFonts w:ascii="Book Antiqua" w:hAnsi="Book Antiqua"/>
          <w:color w:val="000000" w:themeColor="text1"/>
        </w:rPr>
        <w:t xml:space="preserve">. </w:t>
      </w:r>
      <w:r w:rsidR="00137EBF" w:rsidRPr="005B1A16">
        <w:rPr>
          <w:rFonts w:ascii="Book Antiqua" w:hAnsi="Book Antiqua"/>
          <w:color w:val="000000" w:themeColor="text1"/>
        </w:rPr>
        <w:t>Besides acting as a treatment target, b</w:t>
      </w:r>
      <w:r w:rsidR="00467DDA" w:rsidRPr="005B1A16">
        <w:rPr>
          <w:rFonts w:ascii="Book Antiqua" w:hAnsi="Book Antiqua"/>
          <w:color w:val="000000" w:themeColor="text1"/>
        </w:rPr>
        <w:t xml:space="preserve">iomarkers </w:t>
      </w:r>
      <w:r w:rsidR="00AC5EB7" w:rsidRPr="005B1A16">
        <w:rPr>
          <w:rFonts w:ascii="Book Antiqua" w:hAnsi="Book Antiqua"/>
          <w:color w:val="000000" w:themeColor="text1"/>
        </w:rPr>
        <w:t xml:space="preserve">can </w:t>
      </w:r>
      <w:r w:rsidR="00467DDA" w:rsidRPr="005B1A16">
        <w:rPr>
          <w:rFonts w:ascii="Book Antiqua" w:hAnsi="Book Antiqua"/>
          <w:color w:val="000000" w:themeColor="text1"/>
        </w:rPr>
        <w:t>facilitate the monitoring of a patient</w:t>
      </w:r>
      <w:r w:rsidR="00137EBF" w:rsidRPr="005B1A16">
        <w:rPr>
          <w:rFonts w:ascii="Book Antiqua" w:hAnsi="Book Antiqua"/>
          <w:color w:val="000000" w:themeColor="text1"/>
        </w:rPr>
        <w:t xml:space="preserve">. </w:t>
      </w:r>
      <w:r w:rsidR="009D0666" w:rsidRPr="005B1A16">
        <w:rPr>
          <w:rFonts w:ascii="Book Antiqua" w:hAnsi="Book Antiqua"/>
          <w:color w:val="000000" w:themeColor="text1"/>
        </w:rPr>
        <w:t xml:space="preserve">For example, elevated c-reactive protein or fecal calprotectin should prompt further endoscopic and/or radiologic evaluation irrespective of clinical scores. Although intensified regimens are efficacious, they are also more likely to encounter difficulties with patient compliance. </w:t>
      </w:r>
      <w:r w:rsidR="00827A6A" w:rsidRPr="005B1A16">
        <w:rPr>
          <w:rFonts w:ascii="Book Antiqua" w:hAnsi="Book Antiqua"/>
          <w:color w:val="000000" w:themeColor="text1"/>
        </w:rPr>
        <w:t>Additional guidance regarding the use of endoscopic findings as treatment targets will come following the completion of the REACT-II prospective trial.</w:t>
      </w:r>
    </w:p>
    <w:p w14:paraId="6749E852" w14:textId="77777777" w:rsidR="006555F2" w:rsidRPr="005B1A16" w:rsidRDefault="006555F2" w:rsidP="005B1A16">
      <w:pPr>
        <w:spacing w:line="360" w:lineRule="auto"/>
        <w:ind w:firstLineChars="100" w:firstLine="240"/>
        <w:jc w:val="both"/>
        <w:rPr>
          <w:rFonts w:ascii="Book Antiqua" w:eastAsia="SimSun" w:hAnsi="Book Antiqua"/>
          <w:color w:val="000000" w:themeColor="text1"/>
          <w:lang w:eastAsia="zh-CN"/>
        </w:rPr>
      </w:pPr>
    </w:p>
    <w:p w14:paraId="5204862C" w14:textId="18B3DF4E" w:rsidR="005E6EC3" w:rsidRPr="005B1A16" w:rsidRDefault="008423FA" w:rsidP="005B1A16">
      <w:pPr>
        <w:spacing w:line="360" w:lineRule="auto"/>
        <w:jc w:val="both"/>
        <w:rPr>
          <w:rFonts w:ascii="Book Antiqua" w:hAnsi="Book Antiqua"/>
          <w:color w:val="000000" w:themeColor="text1"/>
        </w:rPr>
      </w:pPr>
      <w:r w:rsidRPr="005B1A16">
        <w:rPr>
          <w:rFonts w:ascii="Book Antiqua" w:hAnsi="Book Antiqua"/>
          <w:b/>
          <w:color w:val="000000" w:themeColor="text1"/>
        </w:rPr>
        <w:t>FUTURE PERSPECTIVES</w:t>
      </w:r>
    </w:p>
    <w:p w14:paraId="3CAEEE60" w14:textId="478A78B8" w:rsidR="004920D1" w:rsidRPr="005B1A16" w:rsidRDefault="004920D1" w:rsidP="005B1A16">
      <w:pPr>
        <w:spacing w:line="360" w:lineRule="auto"/>
        <w:jc w:val="both"/>
        <w:rPr>
          <w:rFonts w:ascii="Book Antiqua" w:hAnsi="Book Antiqua"/>
          <w:color w:val="000000" w:themeColor="text1"/>
        </w:rPr>
      </w:pPr>
      <w:r w:rsidRPr="005B1A16">
        <w:rPr>
          <w:rFonts w:ascii="Book Antiqua" w:hAnsi="Book Antiqua"/>
          <w:color w:val="000000" w:themeColor="text1"/>
        </w:rPr>
        <w:lastRenderedPageBreak/>
        <w:t xml:space="preserve">Data obtained from head to head biologic and small molecule trials will eventually be applied to clinical practice in order to better individualize and optimize therapy. </w:t>
      </w:r>
      <w:r w:rsidR="0007523B" w:rsidRPr="005B1A16">
        <w:rPr>
          <w:rFonts w:ascii="Book Antiqua" w:hAnsi="Book Antiqua"/>
          <w:color w:val="000000" w:themeColor="text1"/>
        </w:rPr>
        <w:t>The determination of which therapies can be combined best will be further elucidated as well. For instance, combining anti-TNF therapy with vedolizumab is being evaluated in studies for patients with refractory disease because it combines a rapidly acting systemic agent with a slower acting gut-specific therapy. The development of oral medications with specific targets (</w:t>
      </w:r>
      <w:r w:rsidR="0007523B" w:rsidRPr="005B1A16">
        <w:rPr>
          <w:rFonts w:ascii="Book Antiqua" w:hAnsi="Book Antiqua"/>
          <w:i/>
          <w:color w:val="000000" w:themeColor="text1"/>
        </w:rPr>
        <w:t>e.g.</w:t>
      </w:r>
      <w:r w:rsidR="008423FA" w:rsidRPr="005B1A16">
        <w:rPr>
          <w:rFonts w:ascii="Book Antiqua" w:eastAsia="SimSun" w:hAnsi="Book Antiqua"/>
          <w:color w:val="000000" w:themeColor="text1"/>
          <w:lang w:eastAsia="zh-CN"/>
        </w:rPr>
        <w:t>,</w:t>
      </w:r>
      <w:r w:rsidR="0007523B" w:rsidRPr="005B1A16">
        <w:rPr>
          <w:rFonts w:ascii="Book Antiqua" w:hAnsi="Book Antiqua"/>
          <w:color w:val="000000" w:themeColor="text1"/>
        </w:rPr>
        <w:t xml:space="preserve"> </w:t>
      </w:r>
      <w:r w:rsidR="000B49A6" w:rsidRPr="005B1A16">
        <w:rPr>
          <w:rFonts w:ascii="Book Antiqua" w:hAnsi="Book Antiqua"/>
          <w:color w:val="000000" w:themeColor="text1"/>
        </w:rPr>
        <w:t>filgotinib</w:t>
      </w:r>
      <w:r w:rsidR="0007523B" w:rsidRPr="005B1A16">
        <w:rPr>
          <w:rFonts w:ascii="Book Antiqua" w:hAnsi="Book Antiqua"/>
          <w:color w:val="000000" w:themeColor="text1"/>
        </w:rPr>
        <w:t>) will open the door to a large range of potential therapeutic combinations which will enable therapy to be individualized further</w:t>
      </w:r>
      <w:r w:rsidR="000B49A6"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{"citationID":"apmbonhjoo","properties":{"formattedCitation":"\\super [110]\\nosupersub{}","plainCitation":"[110]","noteIndex":0},"citationItems":[{"id":217,"uris":["http://zotero.org/users/4672422/items/SD5AZ8C7"],"uri":["http://zotero.org/users/4672422/items/SD5AZ8C7"],"itemData":{"id":217,"type":"article-journal","title":"A Study of Safety and Effectiveness of JNJ-54781532 in Patients With Moderately to Severely Active Ulcerative Colitis","author":[{"family":"NCT01959282","given":""}]}}],"schema":"https://github.com/citation-style-language/schema/raw/master/csl-citation.json"} </w:instrText>
      </w:r>
      <w:r w:rsidR="000B49A6"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[110]</w:t>
      </w:r>
      <w:r w:rsidR="000B49A6" w:rsidRPr="005B1A16">
        <w:rPr>
          <w:rFonts w:ascii="Book Antiqua" w:hAnsi="Book Antiqua"/>
          <w:color w:val="000000" w:themeColor="text1"/>
        </w:rPr>
        <w:fldChar w:fldCharType="end"/>
      </w:r>
      <w:r w:rsidR="0007523B" w:rsidRPr="005B1A16">
        <w:rPr>
          <w:rFonts w:ascii="Book Antiqua" w:hAnsi="Book Antiqua"/>
          <w:color w:val="000000" w:themeColor="text1"/>
        </w:rPr>
        <w:t xml:space="preserve">. </w:t>
      </w:r>
      <w:r w:rsidR="00B05B3D" w:rsidRPr="005B1A16">
        <w:rPr>
          <w:rFonts w:ascii="Book Antiqua" w:hAnsi="Book Antiqua"/>
          <w:color w:val="000000" w:themeColor="text1"/>
        </w:rPr>
        <w:t>Specific t</w:t>
      </w:r>
      <w:r w:rsidR="00D01A84" w:rsidRPr="005B1A16">
        <w:rPr>
          <w:rFonts w:ascii="Book Antiqua" w:hAnsi="Book Antiqua"/>
          <w:color w:val="000000" w:themeColor="text1"/>
        </w:rPr>
        <w:t xml:space="preserve">herapies such as anti-fibrotics, SMAD7 inhibitors, </w:t>
      </w:r>
      <w:r w:rsidR="00B05B3D" w:rsidRPr="005B1A16">
        <w:rPr>
          <w:rFonts w:ascii="Book Antiqua" w:hAnsi="Book Antiqua"/>
          <w:color w:val="000000" w:themeColor="text1"/>
        </w:rPr>
        <w:t>sphingosine 1-phosphate receptor modulators and phosphodiesterase inhibitors are quickly making their way through trial phases and can be expected to hold a place in the IBD arm</w:t>
      </w:r>
      <w:r w:rsidR="00AD456D" w:rsidRPr="005B1A16">
        <w:rPr>
          <w:rFonts w:ascii="Book Antiqua" w:hAnsi="Book Antiqua"/>
          <w:color w:val="000000" w:themeColor="text1"/>
        </w:rPr>
        <w:t>am</w:t>
      </w:r>
      <w:r w:rsidR="00B05B3D" w:rsidRPr="005B1A16">
        <w:rPr>
          <w:rFonts w:ascii="Book Antiqua" w:hAnsi="Book Antiqua"/>
          <w:color w:val="000000" w:themeColor="text1"/>
        </w:rPr>
        <w:t>entarium in the near future</w:t>
      </w:r>
      <w:r w:rsidR="000B49A6"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{"citationID":"a20k1dtldu6","properties":{"formattedCitation":"\\super [111\\uc0\\u8211{}113]\\nosupersub{}","plainCitation":"[111–113]","noteIndex":0},"citationItems":[{"id":220,"uris":["http://zotero.org/users/4672422/items/V275J3H8"],"uri":["http://zotero.org/users/4672422/items/V275J3H8"],"itemData":{"id":220,"type":"article-journal","title":"Mongersen, an Oral &lt;i&gt;SMAD7&lt;/i&gt; Antisense Oligonucleotide, and Crohn’s Disease","container-title":"New England Journal of Medicine","page":"1104-1113","volume":"372","issue":"12","source":"CrossRef","URL":"http://www.nejm.org/doi/10.1056/NEJMoa1407250","DOI":"10.1056/NEJMoa1407250","ISSN":"0028-4793, 1533-4406","language":"en","author":[{"family":"Monteleone","given":"Giovanni"},{"family":"Neurath","given":"Markus F."},{"family":"Ardizzone","given":"Sandro"},{"family":"Di Sabatino","given":"Antonio"},{"family":"Fantini","given":"Massimo C."},{"family":"Castiglione","given":"Fabiana"},{"family":"Scribano","given":"Maria L."},{"family":"Armuzzi","given":"Alessandro"},{"family":"Caprioli","given":"Flavio"},{"family":"Sturniolo","given":"Giacomo C."},{"family":"Rogai","given":"Francesca"},{"family":"Vecchi","given":"Maurizio"},{"family":"Atreya","given":"Raja"},{"family":"Bossa","given":"Fabrizio"},{"family":"Onali","given":"Sara"},{"family":"Fichera","given":"Maria"},{"family":"Corazza","given":"Gino R."},{"family":"Biancone","given":"Livia"},{"family":"Savarino","given":"Vincenzo"},{"family":"Pica","given":"Roberta"},{"family":"Orlando","given":"Ambrogio"},{"family":"Pallone","given":"Francesco"}],"issued":{"date-parts":[["2015",3,19]]},"accessed":{"date-parts":[["2018",3,28]]}}},{"id":221,"uris":["http://zotero.org/users/4672422/items/5PUYYZU3"],"uri":["http://zotero.org/users/4672422/items/5PUYYZU3"],"itemData":{"id":221,"type":"article-journal","title":"Therapeutic Potential of the Modulation of Sphingosine-1-Phosphate Receptors","container-title":"Current Medicinal Chemistry","page":"242-264","volume":"23","issue":"3","source":"PubMed","abstract":"It is accepted that sphingolipids (SL) are not only structural lipids in cellular membranes, but also key regulators of different cell process. Sphingosine-1-phosphate (S1P) is a member of this family involved, inter alia, in cell migration, angiogenesis and cell proliferation processes, being able to play different intracellular and extracellular roles. When S1P is transported out of the cell, it binds S1P specific G protein-coupled receptors, which are mainly involved in the regulation of the immune, vascular and nervous systems. These effects account for the vast diversity of functions that arise from the activation of S1P receptors. Deregulation of S1P levels is correlated with several pathologies, such as autoimmune disorders and cancer. Consequently, the correct modulation of these receptors represents a valuable approach for the development of new therapeutic strategies. Along this line, the non-selective S1P receptor agonist fingolimod (FTY720) has been commercialized recently for the treatment of multiple sclerosis and several related S1P receptor modulators are ongoing clinical trials. However, despite the progress in this field, the biological functions of S1P receptors are not still well elucidated. For this reason, several studies are being developed in order to better understand the functions of these receptors, making use of new selective S1P receptor agonists and antagonists as pharmacological tools.","ISSN":"1875-533X","note":"PMID: 26639095","journalAbbreviation":"Curr. Med. Chem.","language":"eng","author":[{"family":"Delgado","given":"Antonio"},{"family":"Martínez-Cartro","given":"Miriam"}],"issued":{"date-parts":[["2016"]]}}},{"id":218,"uris":["http://zotero.org/users/4672422/items/P9Z6ASKA"],"uri":["http://zotero.org/users/4672422/items/P9Z6ASKA"],"itemData":{"id":218,"type":"article-journal","title":"TGF-Beta signaling manipulation as potential therapy for IBD","container-title":"Current Drug Targets","page":"1400-1404","volume":"14","issue":"12","source":"PubMed","abstract":"Crohn's disease (CD) and ulcerative colitis (UC), two chronic and relapsing inflammatory bowel diseases (IBD), are supposed to develop in genetically-predisposed individuals as a result of an excessive immune mucosal response directed against normal components of the gut microbiota. There is also evidence that defects in counter-regulatory mechanisms play a major role in the pathogenesis of IBD. One such a defect involves TGF-β1, a cytokine produced by multiple cells types and able to inhibit pathogenic responses in the gut. In both CD and UC, TGF-β1 is highly produced but unable to signal through the TGF-β receptor-associated Smad pathway and suppress production of inflammatory molecules. Abrogation of TGF-β1 activity has been related to Smad7, an intracellular protein that binds to TGF-β receptor and inhibits TGF-β1-driven Smad-dependent signalling. Indeed, silencing of Smad7 with a specific antisense oligonucleotide restores TGF-β1/Smad signalling, thereby down-regulating inflammatory cytokine production and ameliorating experimental colitis in mice. Altogether these observations led to the development of an oral pharmaceutical compound containing the specific Smad7 antisense oligonucleotide (herein termed GED0301), which seems to be safe and well tolerated in CD patients. In this article we summarize the data supporting the pathogenic role of Smad7 in IBD and discuss the recent results of the use of GED0301 in CD.","ISSN":"1873-5592","note":"PMID: 23489130","journalAbbreviation":"Curr Drug Targets","language":"eng","author":[{"family":"Marafini","given":"Irene"},{"family":"Zorzi","given":"Francesca"},{"family":"Codazza","given":"Sefora"},{"family":"Pallone","given":"Francesco"},{"family":"Monteleone","given":"Giovanni"}],"issued":{"date-parts":[["2013",11]]}}}],"schema":"https://github.com/citation-style-language/schema/raw/master/csl-citation.json"} </w:instrText>
      </w:r>
      <w:r w:rsidR="000B49A6"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[111–113]</w:t>
      </w:r>
      <w:r w:rsidR="000B49A6" w:rsidRPr="005B1A16">
        <w:rPr>
          <w:rFonts w:ascii="Book Antiqua" w:hAnsi="Book Antiqua"/>
          <w:color w:val="000000" w:themeColor="text1"/>
        </w:rPr>
        <w:fldChar w:fldCharType="end"/>
      </w:r>
      <w:r w:rsidR="00B05B3D" w:rsidRPr="005B1A16">
        <w:rPr>
          <w:rFonts w:ascii="Book Antiqua" w:hAnsi="Book Antiqua"/>
          <w:color w:val="000000" w:themeColor="text1"/>
        </w:rPr>
        <w:t xml:space="preserve">. </w:t>
      </w:r>
      <w:r w:rsidR="00C5734B" w:rsidRPr="005B1A16">
        <w:rPr>
          <w:rFonts w:ascii="Book Antiqua" w:hAnsi="Book Antiqua"/>
          <w:color w:val="000000" w:themeColor="text1"/>
        </w:rPr>
        <w:t>As in Oncology, o</w:t>
      </w:r>
      <w:r w:rsidRPr="005B1A16">
        <w:rPr>
          <w:rFonts w:ascii="Book Antiqua" w:hAnsi="Book Antiqua"/>
          <w:color w:val="000000" w:themeColor="text1"/>
        </w:rPr>
        <w:t xml:space="preserve">mics </w:t>
      </w:r>
      <w:r w:rsidR="00C5734B" w:rsidRPr="005B1A16">
        <w:rPr>
          <w:rFonts w:ascii="Book Antiqua" w:hAnsi="Book Antiqua"/>
          <w:color w:val="000000" w:themeColor="text1"/>
        </w:rPr>
        <w:t>will enable us to determine which patients are at greatest risk for a complicated disease course thus provide a rationale for initiating intensified immunotherapy at diagnosis and individualize therapy best</w:t>
      </w:r>
      <w:r w:rsidR="000B49A6"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{"citationID":"a4nb544pgo","properties":{"formattedCitation":"\\super [114]\\nosupersub{}","plainCitation":"[114]","noteIndex":0},"citationItems":[{"id":223,"uris":["http://zotero.org/users/4672422/items/PPUFX38E"],"uri":["http://zotero.org/users/4672422/items/PPUFX38E"],"itemData":{"id":223,"type":"article-journal","title":"Meta-omics in Inflammatory Bowel Disease Research: Applications, Challenges, and Guidelines","container-title":"Journal of Crohn's and Colitis","page":"735-746","volume":"10","issue":"6","source":"CrossRef","URL":"https://academic.oup.com/ecco-jcc/article-lookup/doi/10.1093/ecco-jcc/jjw024","DOI":"10.1093/ecco-jcc/jjw024","ISSN":"1873-9946, 1876-4479","shortTitle":"Meta-omics in Inflammatory Bowel Disease Research","language":"en","author":[{"family":"Valles-Colomer","given":"Mireia"},{"family":"Darzi","given":"Youssef"},{"family":"Vieira-Silva","given":"Sara"},{"family":"Falony","given":"Gwen"},{"family":"Raes","given":"Jeroen"},{"family":"Joossens","given":"Marie"}],"issued":{"date-parts":[["2016",6]]},"accessed":{"date-parts":[["2018",3,28]]}}}],"schema":"https://github.com/citation-style-language/schema/raw/master/csl-citation.json"} </w:instrText>
      </w:r>
      <w:r w:rsidR="000B49A6"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[114]</w:t>
      </w:r>
      <w:r w:rsidR="000B49A6" w:rsidRPr="005B1A16">
        <w:rPr>
          <w:rFonts w:ascii="Book Antiqua" w:hAnsi="Book Antiqua"/>
          <w:color w:val="000000" w:themeColor="text1"/>
        </w:rPr>
        <w:fldChar w:fldCharType="end"/>
      </w:r>
      <w:r w:rsidR="00C5734B" w:rsidRPr="005B1A16">
        <w:rPr>
          <w:rFonts w:ascii="Book Antiqua" w:hAnsi="Book Antiqua"/>
          <w:color w:val="000000" w:themeColor="text1"/>
        </w:rPr>
        <w:t>. Molecular imaging and pre-treatment genetic and biomarker analysis may be able to predict response to a proposed therapy in the future and are currently being investigate</w:t>
      </w:r>
      <w:r w:rsidR="000B49A6" w:rsidRPr="005B1A16">
        <w:rPr>
          <w:rFonts w:ascii="Book Antiqua" w:hAnsi="Book Antiqua"/>
          <w:color w:val="000000" w:themeColor="text1"/>
        </w:rPr>
        <w:t>d</w:t>
      </w:r>
      <w:r w:rsidR="000B49A6" w:rsidRPr="005B1A16">
        <w:rPr>
          <w:rFonts w:ascii="Book Antiqua" w:hAnsi="Book Antiqua"/>
          <w:color w:val="000000" w:themeColor="text1"/>
        </w:rPr>
        <w:fldChar w:fldCharType="begin"/>
      </w:r>
      <w:r w:rsidR="00B71AF0" w:rsidRPr="005B1A16">
        <w:rPr>
          <w:rFonts w:ascii="Book Antiqua" w:hAnsi="Book Antiqua"/>
          <w:color w:val="000000" w:themeColor="text1"/>
        </w:rPr>
        <w:instrText xml:space="preserve"> ADDIN ZOTERO_ITEM CSL_CITATION {"citationID":"a2bomp21tq9","properties":{"formattedCitation":"\\super [103,104,115,116]\\nosupersub{}","plainCitation":"[103,104,115,116]","noteIndex":0},"citationItems":[{"id":200,"uris":["http://zotero.org/users/4672422/items/GFPN9G2R"],"uri":["http://zotero.org/users/4672422/items/GFPN9G2R"],"itemData":{"id":200,"type":"article-journal","title":"In vivo imaging using fluorescent antibodies to tumor necrosis factor predicts therapeutic response in Crohn's disease","container-title":"Nature Medicine","page":"313-318","volume":"20","issue":"3","source":"PubMed","abstract":"As antibodies to tumor necrosis factor (TNF) suppress immune responses in Crohn's disease by binding to membrane-bound TNF (mTNF), we created a fluorescent antibody for molecular mTNF imaging in this disease. Topical antibody administration in 25 patients with Crohn's disease led to detection of intestinal mTNF(+) immune cells during confocal laser endomicroscopy. Patients with high numbers of mTNF(+) cells showed significantly higher short-term response rates (92%) at week 12 upon subsequent anti-TNF therapy as compared to patients with low amounts of mTNF(+) cells (15%). This clinical response in the former patients was sustained over a follow-up period of 1 year and was associated with mucosal healing observed in follow-up endoscopy. These data indicate that molecular imaging with fluorescent antibodies has the potential to predict therapeutic responses to biological treatment and can be used for personalized medicine in Crohn's disease and autoimmune or inflammatory disorders.","DOI":"10.1038/nm.3462","ISSN":"1546-170X","note":"PMID: 24562382\nPMCID: PMC4479137","journalAbbreviation":"Nat. Med.","language":"eng","author":[{"family":"Atreya","given":"Raja"},{"family":"Neumann","given":"Helmut"},{"family":"Neufert","given":"Clemens"},{"family":"Waldner","given":"Maximilian J."},{"family":"Billmeier","given":"Ulrike"},{"family":"Zopf","given":"Yurdagül"},{"family":"Willma","given":"Marcus"},{"family":"App","given":"Christine"},{"family":"Münster","given":"Tino"},{"family":"Kessler","given":"Hermann"},{"family":"Maas","given":"Stefanie"},{"family":"Gebhardt","given":"Bernd"},{"family":"Heimke-Brinck","given":"Ralph"},{"family":"Reuter","given":"Eva"},{"family":"Dörje","given":"Frank"},{"family":"Rau","given":"Tilman T."},{"family":"Uter","given":"Wolfgang"},{"family":"Wang","given":"Thomas D."},{"family":"Kiesslich","given":"Ralf"},{"family":"Vieth","given":"Michael"},{"family":"Hannappel","given":"Ewald"},{"family":"Neurath","given":"Markus F."}],"issued":{"date-parts":[["2014",3]]}}},{"id":199,"uris":["http://zotero.org/users/4672422/items/2HE7MH6C"],"uri":["http://zotero.org/users/4672422/items/2HE7MH6C"],"itemData":{"id":199,"type":"article-journal","title":"Prediction of antitumour necrosis factor clinical efficacy by real-time visualisation of apoptosis in patients with Crohn's disease","container-title":"Gut","page":"509-517","volume":"56","issue":"4","source":"CrossRef","URL":"http://gut.bmj.com/cgi/doi/10.1136/gut.2006.105379","DOI":"10.1136/gut.2006.105379","ISSN":"0017-5749","language":"en","author":[{"family":"Van den Brande","given":"J. M H"},{"family":"Koehler","given":"T. C"},{"family":"Zelinkova","given":"Z."},{"family":"Bennink","given":"R. J"},{"family":"Velde","given":"A. A","non-dropping-particle":"te"},{"family":"Cate","given":"F. J W","non-dropping-particle":"ten"},{"family":"Deventer","given":"S. J H","non-dropping-particle":"van"},{"family":"Peppelenbosch","given":"M. P"},{"family":"Hommes","given":"D. W"}],"issued":{"date-parts":[["2007",4,1]]},"accessed":{"date-parts":[["2018",3,28]]}}},{"id":224,"uris":["http://zotero.org/users/4672422/items/PRBVMT94"],"uri":["http://zotero.org/users/4672422/items/PRBVMT94"],"itemData":{"id":224,"type":"article-journal","title":"Association between polymorphism in IgG Fc receptor IIIa coding gene and biological response to infliximab in Crohn's disease","container-title":"Alimentary Pharmacology &amp; Therapeutics","page":"511-519","volume":"19","issue":"5","source":"PubMed","abstract":"AIM: To test the hypothesis of an association between polymorphism in FCGR3A (the gene coding for FcgammaRIIIa, which is expressed on macrophages and natural killer cells, is involved in antibody-dependent cell-mediated cytotoxicity and has recently been associated with a positive response to rituximab, a recombinant immunoglobulin G1 antibody used in non-Hodgkin's lymphomas) and response to infliximab in Crohn's disease.\nMETHODS: FCGR3A-158 polymorphism was determined using an allele-specific polymerase chain reaction assay in 200 Crohn's disease patients who had received infliximab for either refractory luminal (n = 142) or fistulizing (n = 58) Crohn's disease. Clinical and biological responses (according to C-reactive protein levels) were assessed in 200 and 145 patients, respectively.\nRESULTS: There were 82.9% clinical responders in V/V patients vs. 72.7% in V/F and F/F patients (N.S.). Globally, the decrease in C-reactive protein was significantly higher in V/V patients than in F carriers (P = 0.0078). A biological response was observed in 100% of V/V patients, compared with 69.8% of F carriers (P = 0.0002; relative risk, 1.43; 95% confidence interval, 1.27-1.61). In the sub-group of patients with elevated C-reactive protein before treatment, the multivariate analysis selected the use of immunosuppressive drugs and FCGR3A genotype as independent factors influencing the clinical response to infliximab (P = 0.003).\nCONCLUSION: Crohn's disease patients with FCGR3A-158 V/V genotype have a better biological and, possibly, clinical response to infliximab.","ISSN":"0269-2813","note":"PMID: 14987319","journalAbbreviation":"Aliment. Pharmacol. Ther.","language":"eng","author":[{"family":"Louis","given":"E."},{"family":"El Ghoul","given":"Z."},{"family":"Vermeire","given":"S."},{"family":"Dall'Ozzo","given":"S."},{"family":"Rutgeerts","given":"P."},{"family":"Paintaud","given":"G."},{"family":"Belaiche","given":"J."},{"family":"De Vos","given":"M."},{"family":"Van Gossum","given":"A."},{"family":"Colombel","given":"J.-F."},{"family":"Watier","given":"H."}],"issued":{"date-parts":[["2004",3,1]]}}},{"id":226,"uris":["http://zotero.org/users/4672422/items/THYFHISQ"],"uri":["http://zotero.org/users/4672422/items/THYFHISQ"],"itemData":{"id":226,"type":"article-journal","title":"IBD5 polymorphisms in inflammatory bowel disease: association with response to infliximab","container-title":"World Journal of Gastroenterology","page":"1187-1192","volume":"11","issue":"8","source":"PubMed","abstract":"AIM: Inflammatory bowel diseases (IBD) are multifactorial pathologies of unknown etiology. One susceptibility locus, IBD5, has been mapped to chromosome 5q31. We analyzed our Spanish cohorts of Crohn's disease (CD) and ulcerative colitis (UC) patients to determine whether this locus is associated with IBD, and to ascertain the main clinical phenotype influenced by this risk factor. The kind of interaction, either genetic heterogeneity or epistasis, between this IBD5 susceptibility region and the NOD2/CARD15 gene mutations was studied as well. Finally, we assessed whether this locus can predict response to infliximab therapy.\nMETHODS: A case control study was performed with 274 CD and 211 UC patients recruited from a single center and 511 healthy ethnically matched controls. Two polymorphisms were genotyped in the IBD5 locus and three in the CARD15/NOD2 gene.\nRESULTS: Our results evidence association only with CD especially with the fistulizing phenotype and in the absence of NOD2/CARD15 variants (mutant allele frequency in patients vs controls: OR = 2.03, 95% CI = 1.35-3.06, P&lt;0.01). The frequency of the IBD5 homozygous mutant genotype significantly increased in CD patients lacking response to infliximab (RR = 3.88, 95% CI = 1.18-12.0, P&lt;0.05). UC patients overall do not show association with 5q31 polymorphisms, although a similar trend to the one observed in CD is found within the worse prognosis group.\nCONCLUSION: The IBD5 variants may enhance an individual carrier's risk for CD, mainly in the absence of the NOD2/CARD15 mutations and in fistulizing patients. The data presented suggest the potential role of the 5q31 polymorphisms as markers of response to infliximab.","ISSN":"1007-9327","note":"PMID: 15754402\nPMCID: PMC4250711","shortTitle":"IBD5 polymorphisms in inflammatory bowel disease","journalAbbreviation":"World J. Gastroenterol.","language":"eng","author":[{"family":"Urcelay","given":"Elena"},{"family":"Mendoza","given":"Juan-Luis"},{"family":"Martinez","given":"Alfonso"},{"family":"Fernandez","given":"Laura"},{"family":"Taxonera","given":"Carlos"},{"family":"Diaz-Rubio","given":"Manuel"},{"family":"Concha","given":"Emilio-G.","non-dropping-particle":"de la"}],"issued":{"date-parts":[["2005",2,28]]}}}],"schema":"https://github.com/citation-style-language/schema/raw/master/csl-citation.json"} </w:instrText>
      </w:r>
      <w:r w:rsidR="000B49A6" w:rsidRPr="005B1A16">
        <w:rPr>
          <w:rFonts w:ascii="Book Antiqua" w:hAnsi="Book Antiqua"/>
          <w:color w:val="000000" w:themeColor="text1"/>
        </w:rPr>
        <w:fldChar w:fldCharType="separate"/>
      </w:r>
      <w:r w:rsidR="00B71AF0" w:rsidRPr="005B1A16">
        <w:rPr>
          <w:rFonts w:ascii="Book Antiqua" w:hAnsi="Book Antiqua"/>
          <w:color w:val="000000" w:themeColor="text1"/>
          <w:vertAlign w:val="superscript"/>
          <w:lang w:val="en-US"/>
        </w:rPr>
        <w:t>[103,104,115,116]</w:t>
      </w:r>
      <w:r w:rsidR="000B49A6" w:rsidRPr="005B1A16">
        <w:rPr>
          <w:rFonts w:ascii="Book Antiqua" w:hAnsi="Book Antiqua"/>
          <w:color w:val="000000" w:themeColor="text1"/>
        </w:rPr>
        <w:fldChar w:fldCharType="end"/>
      </w:r>
      <w:r w:rsidR="000B49A6" w:rsidRPr="005B1A16">
        <w:rPr>
          <w:rFonts w:ascii="Book Antiqua" w:hAnsi="Book Antiqua"/>
          <w:color w:val="000000" w:themeColor="text1"/>
        </w:rPr>
        <w:t>.</w:t>
      </w:r>
    </w:p>
    <w:p w14:paraId="1F4771AD" w14:textId="63354272" w:rsidR="004B33FF" w:rsidRPr="005B1A16" w:rsidRDefault="004B33FF" w:rsidP="005B1A16">
      <w:pPr>
        <w:spacing w:line="360" w:lineRule="auto"/>
        <w:jc w:val="both"/>
        <w:rPr>
          <w:rFonts w:ascii="Book Antiqua" w:hAnsi="Book Antiqua"/>
          <w:color w:val="000000" w:themeColor="text1"/>
        </w:rPr>
      </w:pPr>
    </w:p>
    <w:p w14:paraId="6BA050D8" w14:textId="1ED4297F" w:rsidR="005E6EC3" w:rsidRPr="005B1A16" w:rsidRDefault="008423FA" w:rsidP="005B1A16">
      <w:pPr>
        <w:spacing w:line="360" w:lineRule="auto"/>
        <w:jc w:val="both"/>
        <w:outlineLvl w:val="0"/>
        <w:rPr>
          <w:rFonts w:ascii="Book Antiqua" w:hAnsi="Book Antiqua"/>
          <w:b/>
          <w:color w:val="000000" w:themeColor="text1"/>
        </w:rPr>
      </w:pPr>
      <w:r w:rsidRPr="005B1A16">
        <w:rPr>
          <w:rFonts w:ascii="Book Antiqua" w:hAnsi="Book Antiqua"/>
          <w:b/>
          <w:color w:val="000000" w:themeColor="text1"/>
        </w:rPr>
        <w:t>CONCLUSION</w:t>
      </w:r>
    </w:p>
    <w:p w14:paraId="56A5C60C" w14:textId="6F9C2251" w:rsidR="00B05B3D" w:rsidRPr="005B1A16" w:rsidRDefault="00D01A84" w:rsidP="005B1A16">
      <w:pPr>
        <w:spacing w:line="360" w:lineRule="auto"/>
        <w:jc w:val="both"/>
        <w:rPr>
          <w:rFonts w:ascii="Book Antiqua" w:hAnsi="Book Antiqua"/>
          <w:color w:val="000000" w:themeColor="text1"/>
        </w:rPr>
      </w:pPr>
      <w:r w:rsidRPr="005B1A16">
        <w:rPr>
          <w:rFonts w:ascii="Book Antiqua" w:hAnsi="Book Antiqua"/>
          <w:color w:val="000000" w:themeColor="text1"/>
        </w:rPr>
        <w:t>As the quality of trial designs improved over the decades, so followed our understanding of IBD. This has enabled us to tailor therapy and develop effective treatment algorithms using PROs, biomarkers and endoscopic indices to help guide therapy.</w:t>
      </w:r>
      <w:r w:rsidR="00B05B3D" w:rsidRPr="005B1A16">
        <w:rPr>
          <w:rFonts w:ascii="Book Antiqua" w:hAnsi="Book Antiqua"/>
          <w:color w:val="000000" w:themeColor="text1"/>
        </w:rPr>
        <w:t xml:space="preserve"> </w:t>
      </w:r>
      <w:r w:rsidR="00BF26A9" w:rsidRPr="005B1A16">
        <w:rPr>
          <w:rFonts w:ascii="Book Antiqua" w:hAnsi="Book Antiqua"/>
          <w:color w:val="000000" w:themeColor="text1"/>
        </w:rPr>
        <w:t xml:space="preserve">Anti-TNF therapy remains an important component of IBD therapy with the most real-life evidence and should be considered as first-line therapy in patients with complicated CD and in acute-severe UC. </w:t>
      </w:r>
      <w:r w:rsidRPr="005B1A16">
        <w:rPr>
          <w:rFonts w:ascii="Book Antiqua" w:hAnsi="Book Antiqua"/>
          <w:color w:val="000000" w:themeColor="text1"/>
        </w:rPr>
        <w:t>Novel</w:t>
      </w:r>
      <w:r w:rsidR="00B05B3D" w:rsidRPr="005B1A16">
        <w:rPr>
          <w:rFonts w:ascii="Book Antiqua" w:hAnsi="Book Antiqua"/>
          <w:color w:val="000000" w:themeColor="text1"/>
        </w:rPr>
        <w:t xml:space="preserve"> mono- and combination</w:t>
      </w:r>
      <w:r w:rsidRPr="005B1A16">
        <w:rPr>
          <w:rFonts w:ascii="Book Antiqua" w:hAnsi="Book Antiqua"/>
          <w:color w:val="000000" w:themeColor="text1"/>
        </w:rPr>
        <w:t xml:space="preserve"> therapies have only begun to be approved and </w:t>
      </w:r>
      <w:r w:rsidR="00B05B3D" w:rsidRPr="005B1A16">
        <w:rPr>
          <w:rFonts w:ascii="Book Antiqua" w:hAnsi="Book Antiqua"/>
          <w:color w:val="000000" w:themeColor="text1"/>
        </w:rPr>
        <w:t>offer the ability to tailor therapy further. However, clinicians will be faced with important challenges in defining the optimal use of these new therapies and their relative position in treatment algorithms. The next generation of clinical trials will need to ascertain the answers to these questions.</w:t>
      </w:r>
    </w:p>
    <w:p w14:paraId="18FFC21E" w14:textId="47B955B2" w:rsidR="00B01DD0" w:rsidRPr="005B1A16" w:rsidRDefault="00B01DD0" w:rsidP="005B1A16">
      <w:pPr>
        <w:spacing w:line="360" w:lineRule="auto"/>
        <w:jc w:val="both"/>
        <w:rPr>
          <w:rFonts w:ascii="Book Antiqua" w:hAnsi="Book Antiqua"/>
          <w:color w:val="000000" w:themeColor="text1"/>
        </w:rPr>
      </w:pPr>
    </w:p>
    <w:p w14:paraId="63D7F787" w14:textId="57E7D072" w:rsidR="004C2E0C" w:rsidRPr="005B1A16" w:rsidRDefault="002F7534"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REFERENCES</w:t>
      </w:r>
    </w:p>
    <w:p w14:paraId="5940C91A"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 </w:t>
      </w:r>
      <w:r w:rsidRPr="00A8296A">
        <w:rPr>
          <w:rFonts w:ascii="Book Antiqua" w:hAnsi="Book Antiqua"/>
          <w:b/>
        </w:rPr>
        <w:t>Wilks S</w:t>
      </w:r>
      <w:r w:rsidRPr="005B1A16">
        <w:rPr>
          <w:rFonts w:ascii="Book Antiqua" w:hAnsi="Book Antiqua"/>
        </w:rPr>
        <w:t xml:space="preserve">. Morbid appearances in the intestines of Miss Bankes. </w:t>
      </w:r>
      <w:r w:rsidRPr="00A8296A">
        <w:rPr>
          <w:rFonts w:ascii="Book Antiqua" w:hAnsi="Book Antiqua"/>
          <w:i/>
        </w:rPr>
        <w:t>Lond Med Gaz</w:t>
      </w:r>
      <w:r w:rsidRPr="005B1A16">
        <w:rPr>
          <w:rFonts w:ascii="Book Antiqua" w:hAnsi="Book Antiqua"/>
        </w:rPr>
        <w:t xml:space="preserve"> 1859; </w:t>
      </w:r>
      <w:r w:rsidRPr="00A8296A">
        <w:rPr>
          <w:rFonts w:ascii="Book Antiqua" w:hAnsi="Book Antiqua"/>
          <w:b/>
        </w:rPr>
        <w:t>2</w:t>
      </w:r>
      <w:r w:rsidRPr="005B1A16">
        <w:rPr>
          <w:rFonts w:ascii="Book Antiqua" w:hAnsi="Book Antiqua"/>
        </w:rPr>
        <w:t>: 264–265</w:t>
      </w:r>
    </w:p>
    <w:p w14:paraId="256FD299" w14:textId="3299A324" w:rsidR="005B1A16" w:rsidRPr="005B1A16" w:rsidRDefault="005B1A16" w:rsidP="005B1A16">
      <w:pPr>
        <w:spacing w:line="360" w:lineRule="auto"/>
        <w:jc w:val="both"/>
        <w:rPr>
          <w:rFonts w:ascii="Book Antiqua" w:hAnsi="Book Antiqua"/>
        </w:rPr>
      </w:pPr>
      <w:r w:rsidRPr="005B1A16">
        <w:rPr>
          <w:rFonts w:ascii="Book Antiqua" w:hAnsi="Book Antiqua"/>
        </w:rPr>
        <w:t xml:space="preserve">2 </w:t>
      </w:r>
      <w:r w:rsidRPr="005B1A16">
        <w:rPr>
          <w:rFonts w:ascii="Book Antiqua" w:hAnsi="Book Antiqua"/>
          <w:b/>
        </w:rPr>
        <w:t>Jones JH</w:t>
      </w:r>
      <w:r w:rsidRPr="005B1A16">
        <w:rPr>
          <w:rFonts w:ascii="Book Antiqua" w:hAnsi="Book Antiqua"/>
        </w:rPr>
        <w:t xml:space="preserve">, Lennard-Jones JE. Corticosteroids and corticotrophin in the treatment of Crohn's disease. </w:t>
      </w:r>
      <w:r w:rsidRPr="005B1A16">
        <w:rPr>
          <w:rFonts w:ascii="Book Antiqua" w:hAnsi="Book Antiqua"/>
          <w:i/>
        </w:rPr>
        <w:t>Gut</w:t>
      </w:r>
      <w:r w:rsidRPr="005B1A16">
        <w:rPr>
          <w:rFonts w:ascii="Book Antiqua" w:hAnsi="Book Antiqua"/>
        </w:rPr>
        <w:t xml:space="preserve"> 1966; </w:t>
      </w:r>
      <w:r w:rsidRPr="005B1A16">
        <w:rPr>
          <w:rFonts w:ascii="Book Antiqua" w:hAnsi="Book Antiqua"/>
          <w:b/>
        </w:rPr>
        <w:t>7</w:t>
      </w:r>
      <w:r w:rsidRPr="005B1A16">
        <w:rPr>
          <w:rFonts w:ascii="Book Antiqua" w:hAnsi="Book Antiqua"/>
        </w:rPr>
        <w:t>: 181-187 [PMID: 4286707</w:t>
      </w:r>
      <w:r w:rsidR="00B45639">
        <w:rPr>
          <w:rFonts w:ascii="Book Antiqua" w:eastAsia="SimSun" w:hAnsi="Book Antiqua" w:hint="eastAsia"/>
          <w:lang w:eastAsia="zh-CN"/>
        </w:rPr>
        <w:t xml:space="preserve"> DOI: </w:t>
      </w:r>
      <w:r w:rsidR="00B45639" w:rsidRPr="00B45639">
        <w:rPr>
          <w:rFonts w:ascii="Book Antiqua" w:eastAsia="SimSun" w:hAnsi="Book Antiqua"/>
          <w:lang w:eastAsia="zh-CN"/>
        </w:rPr>
        <w:t>10.1136/gut.7.2.181</w:t>
      </w:r>
      <w:r w:rsidRPr="005B1A16">
        <w:rPr>
          <w:rFonts w:ascii="Book Antiqua" w:hAnsi="Book Antiqua"/>
        </w:rPr>
        <w:t>]</w:t>
      </w:r>
    </w:p>
    <w:p w14:paraId="4DEEFD7D" w14:textId="0E6CB2F6" w:rsidR="005B1A16" w:rsidRPr="005B1A16" w:rsidRDefault="005B1A16" w:rsidP="005B1A16">
      <w:pPr>
        <w:spacing w:line="360" w:lineRule="auto"/>
        <w:jc w:val="both"/>
        <w:rPr>
          <w:rFonts w:ascii="Book Antiqua" w:hAnsi="Book Antiqua"/>
        </w:rPr>
      </w:pPr>
      <w:r w:rsidRPr="005B1A16">
        <w:rPr>
          <w:rFonts w:ascii="Book Antiqua" w:hAnsi="Book Antiqua"/>
        </w:rPr>
        <w:t xml:space="preserve">3 </w:t>
      </w:r>
      <w:r w:rsidRPr="005B1A16">
        <w:rPr>
          <w:rFonts w:ascii="Book Antiqua" w:hAnsi="Book Antiqua"/>
          <w:b/>
        </w:rPr>
        <w:t>De Dombal FT</w:t>
      </w:r>
      <w:r w:rsidRPr="005B1A16">
        <w:rPr>
          <w:rFonts w:ascii="Book Antiqua" w:hAnsi="Book Antiqua"/>
        </w:rPr>
        <w:t xml:space="preserve">. Ulcerative colitis: definition, historical background, aetiology, diagnosis, naturel history and local complications. </w:t>
      </w:r>
      <w:r w:rsidRPr="005B1A16">
        <w:rPr>
          <w:rFonts w:ascii="Book Antiqua" w:hAnsi="Book Antiqua"/>
          <w:i/>
        </w:rPr>
        <w:t>Postgrad Med J</w:t>
      </w:r>
      <w:r w:rsidRPr="005B1A16">
        <w:rPr>
          <w:rFonts w:ascii="Book Antiqua" w:hAnsi="Book Antiqua"/>
        </w:rPr>
        <w:t xml:space="preserve"> 1968; </w:t>
      </w:r>
      <w:r w:rsidRPr="005B1A16">
        <w:rPr>
          <w:rFonts w:ascii="Book Antiqua" w:hAnsi="Book Antiqua"/>
          <w:b/>
        </w:rPr>
        <w:t>44</w:t>
      </w:r>
      <w:r w:rsidRPr="005B1A16">
        <w:rPr>
          <w:rFonts w:ascii="Book Antiqua" w:hAnsi="Book Antiqua"/>
        </w:rPr>
        <w:t>: 684-692 [PMID: 5705372</w:t>
      </w:r>
      <w:r w:rsidR="00B45639">
        <w:rPr>
          <w:rFonts w:ascii="Book Antiqua" w:eastAsia="SimSun" w:hAnsi="Book Antiqua" w:hint="eastAsia"/>
          <w:lang w:eastAsia="zh-CN"/>
        </w:rPr>
        <w:t xml:space="preserve"> DOI: </w:t>
      </w:r>
      <w:r w:rsidR="00B45639" w:rsidRPr="00B45639">
        <w:rPr>
          <w:rFonts w:ascii="Book Antiqua" w:eastAsia="SimSun" w:hAnsi="Book Antiqua"/>
          <w:lang w:eastAsia="zh-CN"/>
        </w:rPr>
        <w:t>10.1136/pgmj.44.515.684</w:t>
      </w:r>
      <w:r w:rsidRPr="005B1A16">
        <w:rPr>
          <w:rFonts w:ascii="Book Antiqua" w:hAnsi="Book Antiqua"/>
        </w:rPr>
        <w:t>]</w:t>
      </w:r>
    </w:p>
    <w:p w14:paraId="647F904E" w14:textId="76DB9BB9" w:rsidR="005B1A16" w:rsidRPr="005B1A16" w:rsidRDefault="005B1A16" w:rsidP="005B1A16">
      <w:pPr>
        <w:spacing w:line="360" w:lineRule="auto"/>
        <w:jc w:val="both"/>
        <w:rPr>
          <w:rFonts w:ascii="Book Antiqua" w:hAnsi="Book Antiqua"/>
        </w:rPr>
      </w:pPr>
      <w:r w:rsidRPr="005B1A16">
        <w:rPr>
          <w:rFonts w:ascii="Book Antiqua" w:hAnsi="Book Antiqua"/>
        </w:rPr>
        <w:t xml:space="preserve">4 </w:t>
      </w:r>
      <w:r w:rsidR="00ED0E5A" w:rsidRPr="005B1A16">
        <w:rPr>
          <w:rFonts w:ascii="Book Antiqua" w:hAnsi="Book Antiqua"/>
          <w:b/>
        </w:rPr>
        <w:t xml:space="preserve">Baron </w:t>
      </w:r>
      <w:r w:rsidRPr="005B1A16">
        <w:rPr>
          <w:rFonts w:ascii="Book Antiqua" w:hAnsi="Book Antiqua"/>
          <w:b/>
        </w:rPr>
        <w:t>JH</w:t>
      </w:r>
      <w:r w:rsidRPr="005B1A16">
        <w:rPr>
          <w:rFonts w:ascii="Book Antiqua" w:hAnsi="Book Antiqua"/>
        </w:rPr>
        <w:t xml:space="preserve">, </w:t>
      </w:r>
      <w:r w:rsidR="00ED0E5A" w:rsidRPr="005B1A16">
        <w:rPr>
          <w:rFonts w:ascii="Book Antiqua" w:hAnsi="Book Antiqua"/>
        </w:rPr>
        <w:t xml:space="preserve">Connell </w:t>
      </w:r>
      <w:r w:rsidRPr="005B1A16">
        <w:rPr>
          <w:rFonts w:ascii="Book Antiqua" w:hAnsi="Book Antiqua"/>
        </w:rPr>
        <w:t xml:space="preserve">AM, </w:t>
      </w:r>
      <w:r w:rsidR="00ED0E5A" w:rsidRPr="005B1A16">
        <w:rPr>
          <w:rFonts w:ascii="Book Antiqua" w:hAnsi="Book Antiqua"/>
        </w:rPr>
        <w:t>Lennard</w:t>
      </w:r>
      <w:r w:rsidRPr="005B1A16">
        <w:rPr>
          <w:rFonts w:ascii="Book Antiqua" w:hAnsi="Book Antiqua"/>
        </w:rPr>
        <w:t>-</w:t>
      </w:r>
      <w:r w:rsidR="00ED0E5A" w:rsidRPr="005B1A16">
        <w:rPr>
          <w:rFonts w:ascii="Book Antiqua" w:hAnsi="Book Antiqua"/>
        </w:rPr>
        <w:t xml:space="preserve">Jones </w:t>
      </w:r>
      <w:r w:rsidRPr="005B1A16">
        <w:rPr>
          <w:rFonts w:ascii="Book Antiqua" w:hAnsi="Book Antiqua"/>
        </w:rPr>
        <w:t xml:space="preserve">JE, </w:t>
      </w:r>
      <w:r w:rsidR="00ED0E5A" w:rsidRPr="005B1A16">
        <w:rPr>
          <w:rFonts w:ascii="Book Antiqua" w:hAnsi="Book Antiqua"/>
        </w:rPr>
        <w:t xml:space="preserve">Jones </w:t>
      </w:r>
      <w:r w:rsidRPr="005B1A16">
        <w:rPr>
          <w:rFonts w:ascii="Book Antiqua" w:hAnsi="Book Antiqua"/>
        </w:rPr>
        <w:t xml:space="preserve">FA. Sulphasalazine and salicylazosulphadimidine in ulcerative colitis. </w:t>
      </w:r>
      <w:r w:rsidRPr="005B1A16">
        <w:rPr>
          <w:rFonts w:ascii="Book Antiqua" w:hAnsi="Book Antiqua"/>
          <w:i/>
        </w:rPr>
        <w:t>Lancet</w:t>
      </w:r>
      <w:r w:rsidRPr="005B1A16">
        <w:rPr>
          <w:rFonts w:ascii="Book Antiqua" w:hAnsi="Book Antiqua"/>
        </w:rPr>
        <w:t xml:space="preserve"> 1962; </w:t>
      </w:r>
      <w:r w:rsidRPr="005B1A16">
        <w:rPr>
          <w:rFonts w:ascii="Book Antiqua" w:hAnsi="Book Antiqua"/>
          <w:b/>
        </w:rPr>
        <w:t>1</w:t>
      </w:r>
      <w:r w:rsidRPr="005B1A16">
        <w:rPr>
          <w:rFonts w:ascii="Book Antiqua" w:hAnsi="Book Antiqua"/>
        </w:rPr>
        <w:t>: 1094-1096 [PMID: 13865153]</w:t>
      </w:r>
    </w:p>
    <w:p w14:paraId="0CCFEFC2" w14:textId="118B5C38" w:rsidR="005B1A16" w:rsidRPr="005B1A16" w:rsidRDefault="005B1A16" w:rsidP="005B1A16">
      <w:pPr>
        <w:spacing w:line="360" w:lineRule="auto"/>
        <w:jc w:val="both"/>
        <w:rPr>
          <w:rFonts w:ascii="Book Antiqua" w:hAnsi="Book Antiqua"/>
        </w:rPr>
      </w:pPr>
      <w:r w:rsidRPr="005B1A16">
        <w:rPr>
          <w:rFonts w:ascii="Book Antiqua" w:hAnsi="Book Antiqua"/>
        </w:rPr>
        <w:t xml:space="preserve">5 </w:t>
      </w:r>
      <w:r w:rsidRPr="005B1A16">
        <w:rPr>
          <w:rFonts w:ascii="Book Antiqua" w:hAnsi="Book Antiqua"/>
          <w:b/>
        </w:rPr>
        <w:t>Azad Khan AK</w:t>
      </w:r>
      <w:r w:rsidRPr="005B1A16">
        <w:rPr>
          <w:rFonts w:ascii="Book Antiqua" w:hAnsi="Book Antiqua"/>
        </w:rPr>
        <w:t xml:space="preserve">, Piris J, Truelove SC. An experiment to determine the active therapeutic moiety of sulphasalazine. </w:t>
      </w:r>
      <w:r w:rsidRPr="005B1A16">
        <w:rPr>
          <w:rFonts w:ascii="Book Antiqua" w:hAnsi="Book Antiqua"/>
          <w:i/>
        </w:rPr>
        <w:t>Lancet</w:t>
      </w:r>
      <w:r w:rsidRPr="005B1A16">
        <w:rPr>
          <w:rFonts w:ascii="Book Antiqua" w:hAnsi="Book Antiqua"/>
        </w:rPr>
        <w:t xml:space="preserve"> 1977; </w:t>
      </w:r>
      <w:r w:rsidRPr="005B1A16">
        <w:rPr>
          <w:rFonts w:ascii="Book Antiqua" w:hAnsi="Book Antiqua"/>
          <w:b/>
        </w:rPr>
        <w:t>2</w:t>
      </w:r>
      <w:r w:rsidRPr="005B1A16">
        <w:rPr>
          <w:rFonts w:ascii="Book Antiqua" w:hAnsi="Book Antiqua"/>
        </w:rPr>
        <w:t>: 892-895 [PMID: 72239</w:t>
      </w:r>
      <w:r w:rsidR="00B45639">
        <w:rPr>
          <w:rFonts w:ascii="Book Antiqua" w:eastAsia="SimSun" w:hAnsi="Book Antiqua" w:hint="eastAsia"/>
          <w:lang w:eastAsia="zh-CN"/>
        </w:rPr>
        <w:t xml:space="preserve"> DOI: </w:t>
      </w:r>
      <w:r w:rsidR="00B45639" w:rsidRPr="00B45639">
        <w:rPr>
          <w:rFonts w:ascii="Book Antiqua" w:eastAsia="SimSun" w:hAnsi="Book Antiqua"/>
          <w:lang w:eastAsia="zh-CN"/>
        </w:rPr>
        <w:t>10.1016/S0140-6736(77)90831-5</w:t>
      </w:r>
      <w:r w:rsidRPr="005B1A16">
        <w:rPr>
          <w:rFonts w:ascii="Book Antiqua" w:hAnsi="Book Antiqua"/>
        </w:rPr>
        <w:t>]</w:t>
      </w:r>
    </w:p>
    <w:p w14:paraId="202D9CC7"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6 </w:t>
      </w:r>
      <w:r w:rsidRPr="005B1A16">
        <w:rPr>
          <w:rFonts w:ascii="Book Antiqua" w:hAnsi="Book Antiqua"/>
          <w:b/>
        </w:rPr>
        <w:t>Feagan BG</w:t>
      </w:r>
      <w:r w:rsidRPr="005B1A16">
        <w:rPr>
          <w:rFonts w:ascii="Book Antiqua" w:hAnsi="Book Antiqua"/>
        </w:rPr>
        <w:t xml:space="preserve">, Macdonald JK. Oral 5-aminosalicylic acid for induction of remission in ulcerative colitis. </w:t>
      </w:r>
      <w:r w:rsidRPr="005B1A16">
        <w:rPr>
          <w:rFonts w:ascii="Book Antiqua" w:hAnsi="Book Antiqua"/>
          <w:i/>
        </w:rPr>
        <w:t>Cochrane Database Syst Rev</w:t>
      </w:r>
      <w:r w:rsidRPr="005B1A16">
        <w:rPr>
          <w:rFonts w:ascii="Book Antiqua" w:hAnsi="Book Antiqua"/>
        </w:rPr>
        <w:t xml:space="preserve"> 2012; </w:t>
      </w:r>
      <w:r w:rsidRPr="005B1A16">
        <w:rPr>
          <w:rFonts w:ascii="Book Antiqua" w:hAnsi="Book Antiqua"/>
          <w:b/>
        </w:rPr>
        <w:t>10</w:t>
      </w:r>
      <w:r w:rsidRPr="005B1A16">
        <w:rPr>
          <w:rFonts w:ascii="Book Antiqua" w:hAnsi="Book Antiqua"/>
        </w:rPr>
        <w:t>: CD000543 [PMID: 23076889 DOI: 10.1002/14651858.CD000543.pub3]</w:t>
      </w:r>
    </w:p>
    <w:p w14:paraId="10E433B8" w14:textId="0F6B7BC9" w:rsidR="005B1A16" w:rsidRPr="005B1A16" w:rsidRDefault="005B1A16" w:rsidP="005B1A16">
      <w:pPr>
        <w:spacing w:line="360" w:lineRule="auto"/>
        <w:jc w:val="both"/>
        <w:rPr>
          <w:rFonts w:ascii="Book Antiqua" w:hAnsi="Book Antiqua"/>
        </w:rPr>
      </w:pPr>
      <w:r w:rsidRPr="005B1A16">
        <w:rPr>
          <w:rFonts w:ascii="Book Antiqua" w:hAnsi="Book Antiqua"/>
        </w:rPr>
        <w:t xml:space="preserve">7 </w:t>
      </w:r>
      <w:r w:rsidRPr="005B1A16">
        <w:rPr>
          <w:rFonts w:ascii="Book Antiqua" w:hAnsi="Book Antiqua"/>
          <w:b/>
        </w:rPr>
        <w:t>Wang Y</w:t>
      </w:r>
      <w:r w:rsidRPr="005B1A16">
        <w:rPr>
          <w:rFonts w:ascii="Book Antiqua" w:hAnsi="Book Antiqua"/>
        </w:rPr>
        <w:t xml:space="preserve">, Parker CE, Feagan BG, MacDonald JK. Oral 5-aminosalicylic acid for maintenance of remission in ulcerative colitis. </w:t>
      </w:r>
      <w:r w:rsidRPr="005B1A16">
        <w:rPr>
          <w:rFonts w:ascii="Book Antiqua" w:hAnsi="Book Antiqua"/>
          <w:i/>
        </w:rPr>
        <w:t>Cochrane Database Syst Rev</w:t>
      </w:r>
      <w:r w:rsidRPr="005B1A16">
        <w:rPr>
          <w:rFonts w:ascii="Book Antiqua" w:hAnsi="Book Antiqua"/>
        </w:rPr>
        <w:t xml:space="preserve"> 2016;</w:t>
      </w:r>
      <w:r w:rsidR="00B45639">
        <w:rPr>
          <w:rFonts w:ascii="Book Antiqua" w:eastAsia="SimSun" w:hAnsi="Book Antiqua" w:hint="eastAsia"/>
          <w:lang w:eastAsia="zh-CN"/>
        </w:rPr>
        <w:t xml:space="preserve"> </w:t>
      </w:r>
      <w:r w:rsidRPr="005B1A16">
        <w:rPr>
          <w:rFonts w:ascii="Book Antiqua" w:hAnsi="Book Antiqua"/>
        </w:rPr>
        <w:t>CD000544 [PMID: 27158764 DOI: 10.1002/14651858.CD000544.pub4]</w:t>
      </w:r>
    </w:p>
    <w:p w14:paraId="1DA0E0E1" w14:textId="297897C0" w:rsidR="005B1A16" w:rsidRPr="005B1A16" w:rsidRDefault="005B1A16" w:rsidP="005B1A16">
      <w:pPr>
        <w:spacing w:line="360" w:lineRule="auto"/>
        <w:jc w:val="both"/>
        <w:rPr>
          <w:rFonts w:ascii="Book Antiqua" w:hAnsi="Book Antiqua"/>
        </w:rPr>
      </w:pPr>
      <w:r w:rsidRPr="005B1A16">
        <w:rPr>
          <w:rFonts w:ascii="Book Antiqua" w:hAnsi="Book Antiqua"/>
        </w:rPr>
        <w:t xml:space="preserve">8 </w:t>
      </w:r>
      <w:r w:rsidRPr="005B1A16">
        <w:rPr>
          <w:rFonts w:ascii="Book Antiqua" w:hAnsi="Book Antiqua"/>
          <w:b/>
        </w:rPr>
        <w:t>Marshall JK</w:t>
      </w:r>
      <w:r w:rsidRPr="005B1A16">
        <w:rPr>
          <w:rFonts w:ascii="Book Antiqua" w:hAnsi="Book Antiqua"/>
        </w:rPr>
        <w:t xml:space="preserve">, Thabane M, Steinhart AH, Newman JR, Anand A, Irvine EJ. Rectal 5-aminosalicylic acid for induction of remission in ulcerative colitis. </w:t>
      </w:r>
      <w:r w:rsidRPr="005B1A16">
        <w:rPr>
          <w:rFonts w:ascii="Book Antiqua" w:hAnsi="Book Antiqua"/>
          <w:i/>
        </w:rPr>
        <w:t>Cochrane Database Syst Rev</w:t>
      </w:r>
      <w:r w:rsidRPr="005B1A16">
        <w:rPr>
          <w:rFonts w:ascii="Book Antiqua" w:hAnsi="Book Antiqua"/>
        </w:rPr>
        <w:t xml:space="preserve"> 2010; CD004115 [PMID: 20091560 DOI: 10.1002/14651858.CD004115.pub2]</w:t>
      </w:r>
    </w:p>
    <w:p w14:paraId="3FDFD2B5"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9 </w:t>
      </w:r>
      <w:r w:rsidRPr="005B1A16">
        <w:rPr>
          <w:rFonts w:ascii="Book Antiqua" w:hAnsi="Book Antiqua"/>
          <w:b/>
        </w:rPr>
        <w:t>Ford AC</w:t>
      </w:r>
      <w:r w:rsidRPr="005B1A16">
        <w:rPr>
          <w:rFonts w:ascii="Book Antiqua" w:hAnsi="Book Antiqua"/>
        </w:rPr>
        <w:t xml:space="preserve">, Kane SV, Khan KJ, Achkar JP, Talley NJ, Marshall JK, Moayyedi P. Efficacy of 5-aminosalicylates in Crohn's disease: systematic review and meta-analysis. </w:t>
      </w:r>
      <w:r w:rsidRPr="005B1A16">
        <w:rPr>
          <w:rFonts w:ascii="Book Antiqua" w:hAnsi="Book Antiqua"/>
          <w:i/>
        </w:rPr>
        <w:t>Am J Gastroenterol</w:t>
      </w:r>
      <w:r w:rsidRPr="005B1A16">
        <w:rPr>
          <w:rFonts w:ascii="Book Antiqua" w:hAnsi="Book Antiqua"/>
        </w:rPr>
        <w:t xml:space="preserve"> 2011; </w:t>
      </w:r>
      <w:r w:rsidRPr="005B1A16">
        <w:rPr>
          <w:rFonts w:ascii="Book Antiqua" w:hAnsi="Book Antiqua"/>
          <w:b/>
        </w:rPr>
        <w:t>106</w:t>
      </w:r>
      <w:r w:rsidRPr="005B1A16">
        <w:rPr>
          <w:rFonts w:ascii="Book Antiqua" w:hAnsi="Book Antiqua"/>
        </w:rPr>
        <w:t>: 617-629 [PMID: 21407190 DOI: 10.1038/ajg.2011.71]</w:t>
      </w:r>
    </w:p>
    <w:p w14:paraId="08A341B9" w14:textId="77777777"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10 </w:t>
      </w:r>
      <w:r w:rsidRPr="005B1A16">
        <w:rPr>
          <w:rFonts w:ascii="Book Antiqua" w:hAnsi="Book Antiqua"/>
          <w:b/>
        </w:rPr>
        <w:t>Lichtiger S</w:t>
      </w:r>
      <w:r w:rsidRPr="005B1A16">
        <w:rPr>
          <w:rFonts w:ascii="Book Antiqua" w:hAnsi="Book Antiqua"/>
        </w:rPr>
        <w:t xml:space="preserve">, Present DH, Kornbluth A, Gelernt I, Bauer J, Galler G, Michelassi F, Hanauer S. Cyclosporine in severe ulcerative colitis refractory to steroid therapy. </w:t>
      </w:r>
      <w:r w:rsidRPr="005B1A16">
        <w:rPr>
          <w:rFonts w:ascii="Book Antiqua" w:hAnsi="Book Antiqua"/>
          <w:i/>
        </w:rPr>
        <w:t>N Engl J Med</w:t>
      </w:r>
      <w:r w:rsidRPr="005B1A16">
        <w:rPr>
          <w:rFonts w:ascii="Book Antiqua" w:hAnsi="Book Antiqua"/>
        </w:rPr>
        <w:t xml:space="preserve"> 1994; </w:t>
      </w:r>
      <w:r w:rsidRPr="005B1A16">
        <w:rPr>
          <w:rFonts w:ascii="Book Antiqua" w:hAnsi="Book Antiqua"/>
          <w:b/>
        </w:rPr>
        <w:t>330</w:t>
      </w:r>
      <w:r w:rsidRPr="005B1A16">
        <w:rPr>
          <w:rFonts w:ascii="Book Antiqua" w:hAnsi="Book Antiqua"/>
        </w:rPr>
        <w:t>: 1841-1845 [PMID: 8196726 DOI: 10.1056/NEJM199406303302601]</w:t>
      </w:r>
    </w:p>
    <w:p w14:paraId="7A1D131F"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11 </w:t>
      </w:r>
      <w:r w:rsidRPr="005B1A16">
        <w:rPr>
          <w:rFonts w:ascii="Book Antiqua" w:hAnsi="Book Antiqua"/>
          <w:b/>
        </w:rPr>
        <w:t>Brynskov J</w:t>
      </w:r>
      <w:r w:rsidRPr="005B1A16">
        <w:rPr>
          <w:rFonts w:ascii="Book Antiqua" w:hAnsi="Book Antiqua"/>
        </w:rPr>
        <w:t xml:space="preserve">, Freund L, Rasmussen SN, Lauritsen K, de Muckadell OS, Williams N, MacDonald AS, Tanton R, Molina F, Campanini MC. A placebo-controlled, double-blind, randomized trial of cyclosporine therapy in active chronic Crohn's disease. </w:t>
      </w:r>
      <w:r w:rsidRPr="005B1A16">
        <w:rPr>
          <w:rFonts w:ascii="Book Antiqua" w:hAnsi="Book Antiqua"/>
          <w:i/>
        </w:rPr>
        <w:t>N Engl J Med</w:t>
      </w:r>
      <w:r w:rsidRPr="005B1A16">
        <w:rPr>
          <w:rFonts w:ascii="Book Antiqua" w:hAnsi="Book Antiqua"/>
        </w:rPr>
        <w:t xml:space="preserve"> 1989; </w:t>
      </w:r>
      <w:r w:rsidRPr="005B1A16">
        <w:rPr>
          <w:rFonts w:ascii="Book Antiqua" w:hAnsi="Book Antiqua"/>
          <w:b/>
        </w:rPr>
        <w:t>321</w:t>
      </w:r>
      <w:r w:rsidRPr="005B1A16">
        <w:rPr>
          <w:rFonts w:ascii="Book Antiqua" w:hAnsi="Book Antiqua"/>
        </w:rPr>
        <w:t>: 845-850 [PMID: 2671739 DOI: 10.1056/NEJM198909283211301]</w:t>
      </w:r>
    </w:p>
    <w:p w14:paraId="48737FF3"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12 </w:t>
      </w:r>
      <w:r w:rsidRPr="005B1A16">
        <w:rPr>
          <w:rFonts w:ascii="Book Antiqua" w:hAnsi="Book Antiqua"/>
          <w:b/>
        </w:rPr>
        <w:t>Axelrad JE</w:t>
      </w:r>
      <w:r w:rsidRPr="005B1A16">
        <w:rPr>
          <w:rFonts w:ascii="Book Antiqua" w:hAnsi="Book Antiqua"/>
        </w:rPr>
        <w:t xml:space="preserve">, Roy A, Lawlor G, Korelitz B, Lichtiger S. Thiopurines and inflammatory bowel disease: Current evidence and a historical perspective. </w:t>
      </w:r>
      <w:r w:rsidRPr="005B1A16">
        <w:rPr>
          <w:rFonts w:ascii="Book Antiqua" w:hAnsi="Book Antiqua"/>
          <w:i/>
        </w:rPr>
        <w:t>World J Gastroenterol</w:t>
      </w:r>
      <w:r w:rsidRPr="005B1A16">
        <w:rPr>
          <w:rFonts w:ascii="Book Antiqua" w:hAnsi="Book Antiqua"/>
        </w:rPr>
        <w:t xml:space="preserve"> 2016; </w:t>
      </w:r>
      <w:r w:rsidRPr="005B1A16">
        <w:rPr>
          <w:rFonts w:ascii="Book Antiqua" w:hAnsi="Book Antiqua"/>
          <w:b/>
        </w:rPr>
        <w:t>22</w:t>
      </w:r>
      <w:r w:rsidRPr="005B1A16">
        <w:rPr>
          <w:rFonts w:ascii="Book Antiqua" w:hAnsi="Book Antiqua"/>
        </w:rPr>
        <w:t>: 10103-10117 [PMID: 28028358 DOI: 10.3748/wjg.v22.i46.10103]</w:t>
      </w:r>
    </w:p>
    <w:p w14:paraId="12007881"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13 </w:t>
      </w:r>
      <w:r w:rsidRPr="005B1A16">
        <w:rPr>
          <w:rFonts w:ascii="Book Antiqua" w:hAnsi="Book Antiqua"/>
          <w:b/>
        </w:rPr>
        <w:t>Lémann M</w:t>
      </w:r>
      <w:r w:rsidRPr="005B1A16">
        <w:rPr>
          <w:rFonts w:ascii="Book Antiqua" w:hAnsi="Book Antiqua"/>
        </w:rPr>
        <w:t xml:space="preserve">, Mary JY, Duclos B, Veyrac M, Dupas JL, Delchier JC, Laharie D, Moreau J, Cadiot G, Picon L, Bourreille A, Sobahni I, Colombel JF; Groupe d'Etude Therapeutique des Affections Inflammatoires du Tube Digestif (GETAID). Infliximab plus azathioprine for steroid-dependent Crohn's disease patients: a randomized placebo-controlled trial. </w:t>
      </w:r>
      <w:r w:rsidRPr="005B1A16">
        <w:rPr>
          <w:rFonts w:ascii="Book Antiqua" w:hAnsi="Book Antiqua"/>
          <w:i/>
        </w:rPr>
        <w:t>Gastroenterology</w:t>
      </w:r>
      <w:r w:rsidRPr="005B1A16">
        <w:rPr>
          <w:rFonts w:ascii="Book Antiqua" w:hAnsi="Book Antiqua"/>
        </w:rPr>
        <w:t xml:space="preserve"> 2006; </w:t>
      </w:r>
      <w:r w:rsidRPr="005B1A16">
        <w:rPr>
          <w:rFonts w:ascii="Book Antiqua" w:hAnsi="Book Antiqua"/>
          <w:b/>
        </w:rPr>
        <w:t>130</w:t>
      </w:r>
      <w:r w:rsidRPr="005B1A16">
        <w:rPr>
          <w:rFonts w:ascii="Book Antiqua" w:hAnsi="Book Antiqua"/>
        </w:rPr>
        <w:t>: 1054-1061 [PMID: 16618399 DOI: 10.1053/j.gastro.2006.02.014]</w:t>
      </w:r>
    </w:p>
    <w:p w14:paraId="371B9D91"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14 </w:t>
      </w:r>
      <w:r w:rsidRPr="005B1A16">
        <w:rPr>
          <w:rFonts w:ascii="Book Antiqua" w:hAnsi="Book Antiqua"/>
          <w:b/>
        </w:rPr>
        <w:t>Colombel JF</w:t>
      </w:r>
      <w:r w:rsidRPr="005B1A16">
        <w:rPr>
          <w:rFonts w:ascii="Book Antiqua" w:hAnsi="Book Antiqua"/>
        </w:rPr>
        <w:t xml:space="preserve">, Sandborn WJ, Reinisch W, Mantzaris GJ, Kornbluth A, Rachmilewitz D, Lichtiger S, D'Haens G, Diamond RH, Broussard DL, Tang KL, van der Woude CJ, Rutgeerts P; SONIC Study Group. Infliximab, azathioprine, or combination therapy for Crohn's disease. </w:t>
      </w:r>
      <w:r w:rsidRPr="005B1A16">
        <w:rPr>
          <w:rFonts w:ascii="Book Antiqua" w:hAnsi="Book Antiqua"/>
          <w:i/>
        </w:rPr>
        <w:t>N Engl J Med</w:t>
      </w:r>
      <w:r w:rsidRPr="005B1A16">
        <w:rPr>
          <w:rFonts w:ascii="Book Antiqua" w:hAnsi="Book Antiqua"/>
        </w:rPr>
        <w:t xml:space="preserve"> 2010; </w:t>
      </w:r>
      <w:r w:rsidRPr="005B1A16">
        <w:rPr>
          <w:rFonts w:ascii="Book Antiqua" w:hAnsi="Book Antiqua"/>
          <w:b/>
        </w:rPr>
        <w:t>362</w:t>
      </w:r>
      <w:r w:rsidRPr="005B1A16">
        <w:rPr>
          <w:rFonts w:ascii="Book Antiqua" w:hAnsi="Book Antiqua"/>
        </w:rPr>
        <w:t>: 1383-1395 [PMID: 20393175 DOI: 10.1056/NEJMoa0904492]</w:t>
      </w:r>
    </w:p>
    <w:p w14:paraId="3978A010"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15 </w:t>
      </w:r>
      <w:r w:rsidRPr="005B1A16">
        <w:rPr>
          <w:rFonts w:ascii="Book Antiqua" w:hAnsi="Book Antiqua"/>
          <w:b/>
        </w:rPr>
        <w:t>Rutgeerts P</w:t>
      </w:r>
      <w:r w:rsidRPr="005B1A16">
        <w:rPr>
          <w:rFonts w:ascii="Book Antiqua" w:hAnsi="Book Antiqua"/>
        </w:rPr>
        <w:t xml:space="preserve">, Löfberg R, Malchow H, Lamers C, Olaison G, Jewell D, Danielsson A, Goebell H, Thomsen OO, Lorenz-Meyer H. A comparison of budesonide with prednisolone for active Crohn's disease. </w:t>
      </w:r>
      <w:r w:rsidRPr="005B1A16">
        <w:rPr>
          <w:rFonts w:ascii="Book Antiqua" w:hAnsi="Book Antiqua"/>
          <w:i/>
        </w:rPr>
        <w:t>N Engl J Med</w:t>
      </w:r>
      <w:r w:rsidRPr="005B1A16">
        <w:rPr>
          <w:rFonts w:ascii="Book Antiqua" w:hAnsi="Book Antiqua"/>
        </w:rPr>
        <w:t xml:space="preserve"> 1994; </w:t>
      </w:r>
      <w:r w:rsidRPr="005B1A16">
        <w:rPr>
          <w:rFonts w:ascii="Book Antiqua" w:hAnsi="Book Antiqua"/>
          <w:b/>
        </w:rPr>
        <w:t>331</w:t>
      </w:r>
      <w:r w:rsidRPr="005B1A16">
        <w:rPr>
          <w:rFonts w:ascii="Book Antiqua" w:hAnsi="Book Antiqua"/>
        </w:rPr>
        <w:t>: 842-845 [PMID: 8078530 DOI: 10.1056/NEJM199409293311304]</w:t>
      </w:r>
    </w:p>
    <w:p w14:paraId="63A15E3A"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16 </w:t>
      </w:r>
      <w:r w:rsidRPr="005B1A16">
        <w:rPr>
          <w:rFonts w:ascii="Book Antiqua" w:hAnsi="Book Antiqua"/>
          <w:b/>
        </w:rPr>
        <w:t>Gomollón F</w:t>
      </w:r>
      <w:r w:rsidRPr="005B1A16">
        <w:rPr>
          <w:rFonts w:ascii="Book Antiqua" w:hAnsi="Book Antiqua"/>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w:t>
      </w:r>
      <w:r w:rsidRPr="005B1A16">
        <w:rPr>
          <w:rFonts w:ascii="Book Antiqua" w:hAnsi="Book Antiqua"/>
        </w:rPr>
        <w:lastRenderedPageBreak/>
        <w:t xml:space="preserve">Diagnosis and Management of Crohn's Disease 2016: Part 1: Diagnosis and Medical Management. </w:t>
      </w:r>
      <w:r w:rsidRPr="005B1A16">
        <w:rPr>
          <w:rFonts w:ascii="Book Antiqua" w:hAnsi="Book Antiqua"/>
          <w:i/>
        </w:rPr>
        <w:t>J Crohns Colitis</w:t>
      </w:r>
      <w:r w:rsidRPr="005B1A16">
        <w:rPr>
          <w:rFonts w:ascii="Book Antiqua" w:hAnsi="Book Antiqua"/>
        </w:rPr>
        <w:t xml:space="preserve"> 2017; </w:t>
      </w:r>
      <w:r w:rsidRPr="005B1A16">
        <w:rPr>
          <w:rFonts w:ascii="Book Antiqua" w:hAnsi="Book Antiqua"/>
          <w:b/>
        </w:rPr>
        <w:t>11</w:t>
      </w:r>
      <w:r w:rsidRPr="005B1A16">
        <w:rPr>
          <w:rFonts w:ascii="Book Antiqua" w:hAnsi="Book Antiqua"/>
        </w:rPr>
        <w:t>: 3-25 [PMID: 27660341 DOI: 10.1093/ecco-jcc/jjw168]</w:t>
      </w:r>
    </w:p>
    <w:p w14:paraId="40A8BDCC"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17 </w:t>
      </w:r>
      <w:r w:rsidRPr="005B1A16">
        <w:rPr>
          <w:rFonts w:ascii="Book Antiqua" w:hAnsi="Book Antiqua"/>
          <w:b/>
        </w:rPr>
        <w:t>Abdalla MI</w:t>
      </w:r>
      <w:r w:rsidRPr="005B1A16">
        <w:rPr>
          <w:rFonts w:ascii="Book Antiqua" w:hAnsi="Book Antiqua"/>
        </w:rPr>
        <w:t xml:space="preserve">, Herfarth H. Budesonide for the treatment of ulcerative colitis. </w:t>
      </w:r>
      <w:r w:rsidRPr="005B1A16">
        <w:rPr>
          <w:rFonts w:ascii="Book Antiqua" w:hAnsi="Book Antiqua"/>
          <w:i/>
        </w:rPr>
        <w:t>Expert Opin Pharmacother</w:t>
      </w:r>
      <w:r w:rsidRPr="005B1A16">
        <w:rPr>
          <w:rFonts w:ascii="Book Antiqua" w:hAnsi="Book Antiqua"/>
        </w:rPr>
        <w:t xml:space="preserve"> 2016; </w:t>
      </w:r>
      <w:r w:rsidRPr="005B1A16">
        <w:rPr>
          <w:rFonts w:ascii="Book Antiqua" w:hAnsi="Book Antiqua"/>
          <w:b/>
        </w:rPr>
        <w:t>17</w:t>
      </w:r>
      <w:r w:rsidRPr="005B1A16">
        <w:rPr>
          <w:rFonts w:ascii="Book Antiqua" w:hAnsi="Book Antiqua"/>
        </w:rPr>
        <w:t>: 1549-1559 [PMID: 27157244 DOI: 10.1080/14656566.2016.1183648]</w:t>
      </w:r>
    </w:p>
    <w:p w14:paraId="24861613"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18 </w:t>
      </w:r>
      <w:r w:rsidRPr="005B1A16">
        <w:rPr>
          <w:rFonts w:ascii="Book Antiqua" w:hAnsi="Book Antiqua"/>
          <w:b/>
        </w:rPr>
        <w:t>Colombel JF</w:t>
      </w:r>
      <w:r w:rsidRPr="005B1A16">
        <w:rPr>
          <w:rFonts w:ascii="Book Antiqua" w:hAnsi="Book Antiqua"/>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randomised, controlled phase 3 trial. </w:t>
      </w:r>
      <w:r w:rsidRPr="005B1A16">
        <w:rPr>
          <w:rFonts w:ascii="Book Antiqua" w:hAnsi="Book Antiqua"/>
          <w:i/>
        </w:rPr>
        <w:t>Lancet</w:t>
      </w:r>
      <w:r w:rsidRPr="005B1A16">
        <w:rPr>
          <w:rFonts w:ascii="Book Antiqua" w:hAnsi="Book Antiqua"/>
        </w:rPr>
        <w:t xml:space="preserve"> 2018; </w:t>
      </w:r>
      <w:r w:rsidRPr="005B1A16">
        <w:rPr>
          <w:rFonts w:ascii="Book Antiqua" w:hAnsi="Book Antiqua"/>
          <w:b/>
        </w:rPr>
        <w:t>390</w:t>
      </w:r>
      <w:r w:rsidRPr="005B1A16">
        <w:rPr>
          <w:rFonts w:ascii="Book Antiqua" w:hAnsi="Book Antiqua"/>
        </w:rPr>
        <w:t>: 2779-2789 [PMID: 29096949 DOI: 10.1016/S0140-6736(17)32641-7]</w:t>
      </w:r>
    </w:p>
    <w:p w14:paraId="47099E02"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19 </w:t>
      </w:r>
      <w:r w:rsidRPr="005B1A16">
        <w:rPr>
          <w:rFonts w:ascii="Book Antiqua" w:hAnsi="Book Antiqua"/>
          <w:b/>
        </w:rPr>
        <w:t>Peyrin-Biroulet L</w:t>
      </w:r>
      <w:r w:rsidRPr="005B1A16">
        <w:rPr>
          <w:rFonts w:ascii="Book Antiqua" w:hAnsi="Book Antiqua"/>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5B1A16">
        <w:rPr>
          <w:rFonts w:ascii="Book Antiqua" w:hAnsi="Book Antiqua"/>
          <w:i/>
        </w:rPr>
        <w:t>Am J Gastroenterol</w:t>
      </w:r>
      <w:r w:rsidRPr="005B1A16">
        <w:rPr>
          <w:rFonts w:ascii="Book Antiqua" w:hAnsi="Book Antiqua"/>
        </w:rPr>
        <w:t xml:space="preserve"> 2015; </w:t>
      </w:r>
      <w:r w:rsidRPr="005B1A16">
        <w:rPr>
          <w:rFonts w:ascii="Book Antiqua" w:hAnsi="Book Antiqua"/>
          <w:b/>
        </w:rPr>
        <w:t>110</w:t>
      </w:r>
      <w:r w:rsidRPr="005B1A16">
        <w:rPr>
          <w:rFonts w:ascii="Book Antiqua" w:hAnsi="Book Antiqua"/>
        </w:rPr>
        <w:t>: 1324-1338 [PMID: 26303131 DOI: 10.1038/ajg.2015.233]</w:t>
      </w:r>
    </w:p>
    <w:p w14:paraId="56FF9B07"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20 </w:t>
      </w:r>
      <w:r w:rsidRPr="005B1A16">
        <w:rPr>
          <w:rFonts w:ascii="Book Antiqua" w:hAnsi="Book Antiqua"/>
          <w:b/>
        </w:rPr>
        <w:t>Hanauer SB</w:t>
      </w:r>
      <w:r w:rsidRPr="005B1A16">
        <w:rPr>
          <w:rFonts w:ascii="Book Antiqua" w:hAnsi="Book Antiqua"/>
        </w:rPr>
        <w:t xml:space="preserve">, Feagan BG, Lichtenstein GR, Mayer LF, Schreiber S, Colombel JF, Rachmilewitz D, Wolf DC, Olson A, Bao W, Rutgeerts P; ACCENT I Study Group. Maintenance infliximab for Crohn's disease: the ACCENT I randomised trial. </w:t>
      </w:r>
      <w:r w:rsidRPr="005B1A16">
        <w:rPr>
          <w:rFonts w:ascii="Book Antiqua" w:hAnsi="Book Antiqua"/>
          <w:i/>
        </w:rPr>
        <w:t>Lancet</w:t>
      </w:r>
      <w:r w:rsidRPr="005B1A16">
        <w:rPr>
          <w:rFonts w:ascii="Book Antiqua" w:hAnsi="Book Antiqua"/>
        </w:rPr>
        <w:t xml:space="preserve"> 2002; </w:t>
      </w:r>
      <w:r w:rsidRPr="005B1A16">
        <w:rPr>
          <w:rFonts w:ascii="Book Antiqua" w:hAnsi="Book Antiqua"/>
          <w:b/>
        </w:rPr>
        <w:t>359</w:t>
      </w:r>
      <w:r w:rsidRPr="005B1A16">
        <w:rPr>
          <w:rFonts w:ascii="Book Antiqua" w:hAnsi="Book Antiqua"/>
        </w:rPr>
        <w:t>: 1541-1549 [PMID: 12047962 DOI: 10.1016/S0140-6736(02)08512-4]</w:t>
      </w:r>
    </w:p>
    <w:p w14:paraId="26EB2F64"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21 </w:t>
      </w:r>
      <w:r w:rsidRPr="005B1A16">
        <w:rPr>
          <w:rFonts w:ascii="Book Antiqua" w:hAnsi="Book Antiqua"/>
          <w:b/>
        </w:rPr>
        <w:t>Rutgeerts P</w:t>
      </w:r>
      <w:r w:rsidRPr="005B1A16">
        <w:rPr>
          <w:rFonts w:ascii="Book Antiqua" w:hAnsi="Book Antiqua"/>
        </w:rPr>
        <w:t xml:space="preserve">, Feagan BG, Lichtenstein GR, Mayer LF, Schreiber S, Colombel JF, Rachmilewitz D, Wolf DC, Olson A, Bao W, Hanauer SB. Comparison of scheduled and episodic treatment strategies of infliximab in Crohn's disease. </w:t>
      </w:r>
      <w:r w:rsidRPr="005B1A16">
        <w:rPr>
          <w:rFonts w:ascii="Book Antiqua" w:hAnsi="Book Antiqua"/>
          <w:i/>
        </w:rPr>
        <w:t>Gastroenterology</w:t>
      </w:r>
      <w:r w:rsidRPr="005B1A16">
        <w:rPr>
          <w:rFonts w:ascii="Book Antiqua" w:hAnsi="Book Antiqua"/>
        </w:rPr>
        <w:t xml:space="preserve"> 2004; </w:t>
      </w:r>
      <w:r w:rsidRPr="005B1A16">
        <w:rPr>
          <w:rFonts w:ascii="Book Antiqua" w:hAnsi="Book Antiqua"/>
          <w:b/>
        </w:rPr>
        <w:t>126</w:t>
      </w:r>
      <w:r w:rsidRPr="005B1A16">
        <w:rPr>
          <w:rFonts w:ascii="Book Antiqua" w:hAnsi="Book Antiqua"/>
        </w:rPr>
        <w:t>: 402-413 [PMID: 14762776 DOI: 10.1053/j.gastro.2003.11.014]</w:t>
      </w:r>
    </w:p>
    <w:p w14:paraId="2785CC9F" w14:textId="77777777"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22 </w:t>
      </w:r>
      <w:r w:rsidRPr="005B1A16">
        <w:rPr>
          <w:rFonts w:ascii="Book Antiqua" w:hAnsi="Book Antiqua"/>
          <w:b/>
        </w:rPr>
        <w:t>Sands BE</w:t>
      </w:r>
      <w:r w:rsidRPr="005B1A16">
        <w:rPr>
          <w:rFonts w:ascii="Book Antiqua" w:hAnsi="Book Antiqua"/>
        </w:rPr>
        <w:t xml:space="preserve">, Anderson FH, Bernstein CN, Chey WY, Feagan BG, Fedorak RN, Kamm MA, Korzenik JR, Lashner BA, Onken JE, Rachmilewitz D, Rutgeerts P, Wild G, Wolf DC, Marsters PA, Travers SB, Blank MA, van Deventer SJ. Infliximab maintenance therapy for fistulizing Crohn's disease. </w:t>
      </w:r>
      <w:r w:rsidRPr="005B1A16">
        <w:rPr>
          <w:rFonts w:ascii="Book Antiqua" w:hAnsi="Book Antiqua"/>
          <w:i/>
        </w:rPr>
        <w:t>N Engl J Med</w:t>
      </w:r>
      <w:r w:rsidRPr="005B1A16">
        <w:rPr>
          <w:rFonts w:ascii="Book Antiqua" w:hAnsi="Book Antiqua"/>
        </w:rPr>
        <w:t xml:space="preserve"> 2004; </w:t>
      </w:r>
      <w:r w:rsidRPr="005B1A16">
        <w:rPr>
          <w:rFonts w:ascii="Book Antiqua" w:hAnsi="Book Antiqua"/>
          <w:b/>
        </w:rPr>
        <w:t>350</w:t>
      </w:r>
      <w:r w:rsidRPr="005B1A16">
        <w:rPr>
          <w:rFonts w:ascii="Book Antiqua" w:hAnsi="Book Antiqua"/>
        </w:rPr>
        <w:t>: 876-885 [PMID: 14985485 DOI: 10.1056/NEJMoa030815]</w:t>
      </w:r>
    </w:p>
    <w:p w14:paraId="5307B991" w14:textId="756B5910" w:rsidR="005B1A16" w:rsidRPr="005B1A16" w:rsidRDefault="005B1A16" w:rsidP="005B1A16">
      <w:pPr>
        <w:spacing w:line="360" w:lineRule="auto"/>
        <w:jc w:val="both"/>
        <w:rPr>
          <w:rFonts w:ascii="Book Antiqua" w:hAnsi="Book Antiqua"/>
        </w:rPr>
      </w:pPr>
      <w:r w:rsidRPr="005B1A16">
        <w:rPr>
          <w:rFonts w:ascii="Book Antiqua" w:hAnsi="Book Antiqua"/>
        </w:rPr>
        <w:t xml:space="preserve">23 </w:t>
      </w:r>
      <w:r w:rsidRPr="005B1A16">
        <w:rPr>
          <w:rFonts w:ascii="Book Antiqua" w:hAnsi="Book Antiqua"/>
          <w:b/>
        </w:rPr>
        <w:t>Lichtenstein GR</w:t>
      </w:r>
      <w:r w:rsidRPr="005B1A16">
        <w:rPr>
          <w:rFonts w:ascii="Book Antiqua" w:hAnsi="Book Antiqua"/>
        </w:rPr>
        <w:t xml:space="preserve">, Yan S, Bala M, Blank M, Sands BE. Infliximab maintenance treatment reduces hospitalizations, surgeries, and procedures in fistulizing Crohn's disease. </w:t>
      </w:r>
      <w:r w:rsidRPr="005B1A16">
        <w:rPr>
          <w:rFonts w:ascii="Book Antiqua" w:hAnsi="Book Antiqua"/>
          <w:i/>
        </w:rPr>
        <w:t>Gastroenterology</w:t>
      </w:r>
      <w:r w:rsidRPr="005B1A16">
        <w:rPr>
          <w:rFonts w:ascii="Book Antiqua" w:hAnsi="Book Antiqua"/>
        </w:rPr>
        <w:t xml:space="preserve"> 2005; </w:t>
      </w:r>
      <w:r w:rsidRPr="005B1A16">
        <w:rPr>
          <w:rFonts w:ascii="Book Antiqua" w:hAnsi="Book Antiqua"/>
          <w:b/>
        </w:rPr>
        <w:t>128</w:t>
      </w:r>
      <w:r w:rsidRPr="005B1A16">
        <w:rPr>
          <w:rFonts w:ascii="Book Antiqua" w:hAnsi="Book Antiqua"/>
        </w:rPr>
        <w:t>: 862-869 [PMID: 15825070</w:t>
      </w:r>
      <w:r w:rsidR="005D61B5">
        <w:rPr>
          <w:rFonts w:ascii="Book Antiqua" w:eastAsia="SimSun" w:hAnsi="Book Antiqua" w:hint="eastAsia"/>
          <w:lang w:eastAsia="zh-CN"/>
        </w:rPr>
        <w:t xml:space="preserve"> DOI: </w:t>
      </w:r>
      <w:r w:rsidR="005D61B5" w:rsidRPr="005D61B5">
        <w:rPr>
          <w:rFonts w:ascii="Book Antiqua" w:eastAsia="SimSun" w:hAnsi="Book Antiqua"/>
          <w:lang w:eastAsia="zh-CN"/>
        </w:rPr>
        <w:t>10.1053/j.gastro.2005.01.048</w:t>
      </w:r>
      <w:r w:rsidRPr="005B1A16">
        <w:rPr>
          <w:rFonts w:ascii="Book Antiqua" w:hAnsi="Book Antiqua"/>
        </w:rPr>
        <w:t>]</w:t>
      </w:r>
    </w:p>
    <w:p w14:paraId="6A66C64A"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24 </w:t>
      </w:r>
      <w:r w:rsidRPr="005B1A16">
        <w:rPr>
          <w:rFonts w:ascii="Book Antiqua" w:hAnsi="Book Antiqua"/>
          <w:b/>
        </w:rPr>
        <w:t>Rutgeerts P</w:t>
      </w:r>
      <w:r w:rsidRPr="005B1A16">
        <w:rPr>
          <w:rFonts w:ascii="Book Antiqua" w:hAnsi="Book Antiqua"/>
        </w:rPr>
        <w:t xml:space="preserve">, Diamond RH, Bala M, Olson A, Lichtenstein GR, Bao W, Patel K, Wolf DC, Safdi M, Colombel JF, Lashner B, Hanauer SB. Scheduled maintenance treatment with infliximab is superior to episodic treatment for the healing of mucosal ulceration associated with Crohn's disease. </w:t>
      </w:r>
      <w:r w:rsidRPr="005B1A16">
        <w:rPr>
          <w:rFonts w:ascii="Book Antiqua" w:hAnsi="Book Antiqua"/>
          <w:i/>
        </w:rPr>
        <w:t>Gastrointest Endosc</w:t>
      </w:r>
      <w:r w:rsidRPr="005B1A16">
        <w:rPr>
          <w:rFonts w:ascii="Book Antiqua" w:hAnsi="Book Antiqua"/>
        </w:rPr>
        <w:t xml:space="preserve"> 2006; </w:t>
      </w:r>
      <w:r w:rsidRPr="005B1A16">
        <w:rPr>
          <w:rFonts w:ascii="Book Antiqua" w:hAnsi="Book Antiqua"/>
          <w:b/>
        </w:rPr>
        <w:t>63</w:t>
      </w:r>
      <w:r w:rsidRPr="005B1A16">
        <w:rPr>
          <w:rFonts w:ascii="Book Antiqua" w:hAnsi="Book Antiqua"/>
        </w:rPr>
        <w:t>: 433-42; quiz 464 [PMID: 16500392 DOI: 10.1016/j.gie.2005.08.011]</w:t>
      </w:r>
    </w:p>
    <w:p w14:paraId="03D20431"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25 </w:t>
      </w:r>
      <w:r w:rsidRPr="005B1A16">
        <w:rPr>
          <w:rFonts w:ascii="Book Antiqua" w:hAnsi="Book Antiqua"/>
          <w:b/>
        </w:rPr>
        <w:t>Cassinotti A</w:t>
      </w:r>
      <w:r w:rsidRPr="005B1A16">
        <w:rPr>
          <w:rFonts w:ascii="Book Antiqua" w:hAnsi="Book Antiqua"/>
        </w:rPr>
        <w:t xml:space="preserve">, Ardizzone S, Porro GB. Adalimumab for the treatment of Crohn's disease. </w:t>
      </w:r>
      <w:r w:rsidRPr="005B1A16">
        <w:rPr>
          <w:rFonts w:ascii="Book Antiqua" w:hAnsi="Book Antiqua"/>
          <w:i/>
        </w:rPr>
        <w:t>Biologics</w:t>
      </w:r>
      <w:r w:rsidRPr="005B1A16">
        <w:rPr>
          <w:rFonts w:ascii="Book Antiqua" w:hAnsi="Book Antiqua"/>
        </w:rPr>
        <w:t xml:space="preserve"> 2008; </w:t>
      </w:r>
      <w:r w:rsidRPr="005B1A16">
        <w:rPr>
          <w:rFonts w:ascii="Book Antiqua" w:hAnsi="Book Antiqua"/>
          <w:b/>
        </w:rPr>
        <w:t>2</w:t>
      </w:r>
      <w:r w:rsidRPr="005B1A16">
        <w:rPr>
          <w:rFonts w:ascii="Book Antiqua" w:hAnsi="Book Antiqua"/>
        </w:rPr>
        <w:t>: 763-777 [PMID: 19707457]</w:t>
      </w:r>
    </w:p>
    <w:p w14:paraId="2AF77038"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26 </w:t>
      </w:r>
      <w:r w:rsidRPr="005B1A16">
        <w:rPr>
          <w:rFonts w:ascii="Book Antiqua" w:hAnsi="Book Antiqua"/>
          <w:b/>
        </w:rPr>
        <w:t>Hanauer SB</w:t>
      </w:r>
      <w:r w:rsidRPr="005B1A16">
        <w:rPr>
          <w:rFonts w:ascii="Book Antiqua" w:hAnsi="Book Antiqua"/>
        </w:rPr>
        <w:t xml:space="preserve">, Sandborn WJ, Rutgeerts P, Fedorak RN, Lukas M, MacIntosh D, Panaccione R, Wolf D, Pollack P. Human anti-tumor necrosis factor monoclonal antibody (adalimumab) in Crohn's disease: the CLASSIC-I trial. </w:t>
      </w:r>
      <w:r w:rsidRPr="005B1A16">
        <w:rPr>
          <w:rFonts w:ascii="Book Antiqua" w:hAnsi="Book Antiqua"/>
          <w:i/>
        </w:rPr>
        <w:t>Gastroenterology</w:t>
      </w:r>
      <w:r w:rsidRPr="005B1A16">
        <w:rPr>
          <w:rFonts w:ascii="Book Antiqua" w:hAnsi="Book Antiqua"/>
        </w:rPr>
        <w:t xml:space="preserve"> 2006; </w:t>
      </w:r>
      <w:r w:rsidRPr="005B1A16">
        <w:rPr>
          <w:rFonts w:ascii="Book Antiqua" w:hAnsi="Book Antiqua"/>
          <w:b/>
        </w:rPr>
        <w:t>130</w:t>
      </w:r>
      <w:r w:rsidRPr="005B1A16">
        <w:rPr>
          <w:rFonts w:ascii="Book Antiqua" w:hAnsi="Book Antiqua"/>
        </w:rPr>
        <w:t>: 323-33; quiz 591 [PMID: 16472588 DOI: 10.1053/j.gastro.2005.11.030]</w:t>
      </w:r>
    </w:p>
    <w:p w14:paraId="7198D275" w14:textId="62629164" w:rsidR="005B1A16" w:rsidRPr="005B1A16" w:rsidRDefault="005B1A16" w:rsidP="005B1A16">
      <w:pPr>
        <w:spacing w:line="360" w:lineRule="auto"/>
        <w:jc w:val="both"/>
        <w:rPr>
          <w:rFonts w:ascii="Book Antiqua" w:hAnsi="Book Antiqua"/>
        </w:rPr>
      </w:pPr>
      <w:r w:rsidRPr="005B1A16">
        <w:rPr>
          <w:rFonts w:ascii="Book Antiqua" w:hAnsi="Book Antiqua"/>
        </w:rPr>
        <w:t xml:space="preserve">27 </w:t>
      </w:r>
      <w:r w:rsidRPr="005B1A16">
        <w:rPr>
          <w:rFonts w:ascii="Book Antiqua" w:hAnsi="Book Antiqua"/>
          <w:b/>
        </w:rPr>
        <w:t>Sandborn WJ</w:t>
      </w:r>
      <w:r w:rsidRPr="005B1A16">
        <w:rPr>
          <w:rFonts w:ascii="Book Antiqua" w:hAnsi="Book Antiqua"/>
        </w:rPr>
        <w:t xml:space="preserve">, Rutgeerts P, Enns R, Hanauer SB, Colombel JF, Panaccione R, D'Haens G, Li J, Rosenfeld MR, Kent JD, Pollack PF. Adalimumab induction therapy for Crohn disease previously treated with infliximab: a randomized trial. </w:t>
      </w:r>
      <w:r w:rsidRPr="005B1A16">
        <w:rPr>
          <w:rFonts w:ascii="Book Antiqua" w:hAnsi="Book Antiqua"/>
          <w:i/>
        </w:rPr>
        <w:t>Ann Intern Med</w:t>
      </w:r>
      <w:r w:rsidRPr="005B1A16">
        <w:rPr>
          <w:rFonts w:ascii="Book Antiqua" w:hAnsi="Book Antiqua"/>
        </w:rPr>
        <w:t xml:space="preserve"> 2007; </w:t>
      </w:r>
      <w:r w:rsidRPr="005B1A16">
        <w:rPr>
          <w:rFonts w:ascii="Book Antiqua" w:hAnsi="Book Antiqua"/>
          <w:b/>
        </w:rPr>
        <w:t>146</w:t>
      </w:r>
      <w:r w:rsidRPr="005B1A16">
        <w:rPr>
          <w:rFonts w:ascii="Book Antiqua" w:hAnsi="Book Antiqua"/>
        </w:rPr>
        <w:t>: 829-838 [PMID: 17470824</w:t>
      </w:r>
      <w:r w:rsidR="005D61B5">
        <w:rPr>
          <w:rFonts w:ascii="Book Antiqua" w:eastAsia="SimSun" w:hAnsi="Book Antiqua" w:hint="eastAsia"/>
          <w:lang w:eastAsia="zh-CN"/>
        </w:rPr>
        <w:t xml:space="preserve"> DOI: </w:t>
      </w:r>
      <w:r w:rsidR="005D61B5" w:rsidRPr="005D61B5">
        <w:rPr>
          <w:rFonts w:ascii="Book Antiqua" w:eastAsia="SimSun" w:hAnsi="Book Antiqua"/>
          <w:lang w:eastAsia="zh-CN"/>
        </w:rPr>
        <w:t>10.7326/0003-4819-146-12-200706190-00159</w:t>
      </w:r>
      <w:r w:rsidRPr="005B1A16">
        <w:rPr>
          <w:rFonts w:ascii="Book Antiqua" w:hAnsi="Book Antiqua"/>
        </w:rPr>
        <w:t>]</w:t>
      </w:r>
    </w:p>
    <w:p w14:paraId="0ECEC29A"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28 </w:t>
      </w:r>
      <w:r w:rsidRPr="005B1A16">
        <w:rPr>
          <w:rFonts w:ascii="Book Antiqua" w:hAnsi="Book Antiqua"/>
          <w:b/>
        </w:rPr>
        <w:t>Sandborn WJ</w:t>
      </w:r>
      <w:r w:rsidRPr="005B1A16">
        <w:rPr>
          <w:rFonts w:ascii="Book Antiqua" w:hAnsi="Book Antiqua"/>
        </w:rPr>
        <w:t xml:space="preserve">, Hanauer SB, Rutgeerts P, Fedorak RN, Lukas M, MacIntosh DG, Panaccione R, Wolf D, Kent JD, Bittle B, Li J, Pollack PF. Adalimumab for maintenance treatment of Crohn's disease: results of the CLASSIC II trial. </w:t>
      </w:r>
      <w:r w:rsidRPr="005B1A16">
        <w:rPr>
          <w:rFonts w:ascii="Book Antiqua" w:hAnsi="Book Antiqua"/>
          <w:i/>
        </w:rPr>
        <w:t>Gut</w:t>
      </w:r>
      <w:r w:rsidRPr="005B1A16">
        <w:rPr>
          <w:rFonts w:ascii="Book Antiqua" w:hAnsi="Book Antiqua"/>
        </w:rPr>
        <w:t xml:space="preserve"> 2007; </w:t>
      </w:r>
      <w:r w:rsidRPr="005B1A16">
        <w:rPr>
          <w:rFonts w:ascii="Book Antiqua" w:hAnsi="Book Antiqua"/>
          <w:b/>
        </w:rPr>
        <w:t>56</w:t>
      </w:r>
      <w:r w:rsidRPr="005B1A16">
        <w:rPr>
          <w:rFonts w:ascii="Book Antiqua" w:hAnsi="Book Antiqua"/>
        </w:rPr>
        <w:t>: 1232-1239 [PMID: 17299059 DOI: 10.1136/gut.2006.106781]</w:t>
      </w:r>
    </w:p>
    <w:p w14:paraId="2D0C373B" w14:textId="77777777"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29 </w:t>
      </w:r>
      <w:r w:rsidRPr="005B1A16">
        <w:rPr>
          <w:rFonts w:ascii="Book Antiqua" w:hAnsi="Book Antiqua"/>
          <w:b/>
        </w:rPr>
        <w:t>Colombel JF</w:t>
      </w:r>
      <w:r w:rsidRPr="005B1A16">
        <w:rPr>
          <w:rFonts w:ascii="Book Antiqua" w:hAnsi="Book Antiqua"/>
        </w:rPr>
        <w:t xml:space="preserve">, Sandborn WJ, Rutgeerts P, Enns R, Hanauer SB, Panaccione R, Schreiber S, Byczkowski D, Li J, Kent JD, Pollack PF. Adalimumab for maintenance of clinical response and remission in patients with Crohn's disease: the CHARM trial. </w:t>
      </w:r>
      <w:r w:rsidRPr="005B1A16">
        <w:rPr>
          <w:rFonts w:ascii="Book Antiqua" w:hAnsi="Book Antiqua"/>
          <w:i/>
        </w:rPr>
        <w:t>Gastroenterology</w:t>
      </w:r>
      <w:r w:rsidRPr="005B1A16">
        <w:rPr>
          <w:rFonts w:ascii="Book Antiqua" w:hAnsi="Book Antiqua"/>
        </w:rPr>
        <w:t xml:space="preserve"> 2007; </w:t>
      </w:r>
      <w:r w:rsidRPr="005B1A16">
        <w:rPr>
          <w:rFonts w:ascii="Book Antiqua" w:hAnsi="Book Antiqua"/>
          <w:b/>
        </w:rPr>
        <w:t>132</w:t>
      </w:r>
      <w:r w:rsidRPr="005B1A16">
        <w:rPr>
          <w:rFonts w:ascii="Book Antiqua" w:hAnsi="Book Antiqua"/>
        </w:rPr>
        <w:t>: 52-65 [PMID: 17241859 DOI: 10.1053/j.gastro.2006.11.041]</w:t>
      </w:r>
    </w:p>
    <w:p w14:paraId="48AFAF7F"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30 </w:t>
      </w:r>
      <w:r w:rsidRPr="005B1A16">
        <w:rPr>
          <w:rFonts w:ascii="Book Antiqua" w:hAnsi="Book Antiqua"/>
          <w:b/>
        </w:rPr>
        <w:t>Rutgeerts P</w:t>
      </w:r>
      <w:r w:rsidRPr="005B1A16">
        <w:rPr>
          <w:rFonts w:ascii="Book Antiqua" w:hAnsi="Book Antiqua"/>
        </w:rPr>
        <w:t xml:space="preserve">, Van Assche G, Sandborn WJ, Wolf DC, Geboes K, Colombel JF, Reinisch W; EXTEND Investigators, Kumar A, Lazar A, Camez A, Lomax KG, Pollack PF, D'Haens G. Adalimumab induces and maintains mucosal healing in patients with Crohn's disease: data from the EXTEND trial. </w:t>
      </w:r>
      <w:r w:rsidRPr="005B1A16">
        <w:rPr>
          <w:rFonts w:ascii="Book Antiqua" w:hAnsi="Book Antiqua"/>
          <w:i/>
        </w:rPr>
        <w:t>Gastroenterology</w:t>
      </w:r>
      <w:r w:rsidRPr="005B1A16">
        <w:rPr>
          <w:rFonts w:ascii="Book Antiqua" w:hAnsi="Book Antiqua"/>
        </w:rPr>
        <w:t xml:space="preserve"> 2012; </w:t>
      </w:r>
      <w:r w:rsidRPr="005B1A16">
        <w:rPr>
          <w:rFonts w:ascii="Book Antiqua" w:hAnsi="Book Antiqua"/>
          <w:b/>
        </w:rPr>
        <w:t>142</w:t>
      </w:r>
      <w:r w:rsidRPr="005B1A16">
        <w:rPr>
          <w:rFonts w:ascii="Book Antiqua" w:hAnsi="Book Antiqua"/>
        </w:rPr>
        <w:t>: 1102-1111.e2 [PMID: 22326435 DOI: 10.1053/j.gastro.2012.01.035]</w:t>
      </w:r>
    </w:p>
    <w:p w14:paraId="16EC658B"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31 </w:t>
      </w:r>
      <w:r w:rsidRPr="005B1A16">
        <w:rPr>
          <w:rFonts w:ascii="Book Antiqua" w:hAnsi="Book Antiqua"/>
          <w:b/>
        </w:rPr>
        <w:t>Sandborn WJ</w:t>
      </w:r>
      <w:r w:rsidRPr="005B1A16">
        <w:rPr>
          <w:rFonts w:ascii="Book Antiqua" w:hAnsi="Book Antiqua"/>
        </w:rPr>
        <w:t xml:space="preserve">, Feagan BG, Stoinov S, Honiball PJ, Rutgeerts P, Mason D, Bloomfield R, Schreiber S; PRECISE 1 Study Investigators. Certolizumab pegol for the treatment of Crohn's disease. </w:t>
      </w:r>
      <w:r w:rsidRPr="005B1A16">
        <w:rPr>
          <w:rFonts w:ascii="Book Antiqua" w:hAnsi="Book Antiqua"/>
          <w:i/>
        </w:rPr>
        <w:t>N Engl J Med</w:t>
      </w:r>
      <w:r w:rsidRPr="005B1A16">
        <w:rPr>
          <w:rFonts w:ascii="Book Antiqua" w:hAnsi="Book Antiqua"/>
        </w:rPr>
        <w:t xml:space="preserve"> 2007; </w:t>
      </w:r>
      <w:r w:rsidRPr="005B1A16">
        <w:rPr>
          <w:rFonts w:ascii="Book Antiqua" w:hAnsi="Book Antiqua"/>
          <w:b/>
        </w:rPr>
        <w:t>357</w:t>
      </w:r>
      <w:r w:rsidRPr="005B1A16">
        <w:rPr>
          <w:rFonts w:ascii="Book Antiqua" w:hAnsi="Book Antiqua"/>
        </w:rPr>
        <w:t>: 228-238 [PMID: 17634458 DOI: 10.1056/NEJMoa067594]</w:t>
      </w:r>
    </w:p>
    <w:p w14:paraId="06004723"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32 </w:t>
      </w:r>
      <w:r w:rsidRPr="005B1A16">
        <w:rPr>
          <w:rFonts w:ascii="Book Antiqua" w:hAnsi="Book Antiqua"/>
          <w:b/>
        </w:rPr>
        <w:t>Nesbitt A</w:t>
      </w:r>
      <w:r w:rsidRPr="005B1A16">
        <w:rPr>
          <w:rFonts w:ascii="Book Antiqua" w:hAnsi="Book Antiqua"/>
        </w:rPr>
        <w:t xml:space="preserve">, Fossati G, Bergin M, Stephens P, Stephens S, Foulkes R, Brown D, Robinson M, Bourne T. Mechanism of action of certolizumab pegol (CDP870): in vitro comparison with other anti-tumor necrosis factor alpha agents. </w:t>
      </w:r>
      <w:r w:rsidRPr="005B1A16">
        <w:rPr>
          <w:rFonts w:ascii="Book Antiqua" w:hAnsi="Book Antiqua"/>
          <w:i/>
        </w:rPr>
        <w:t>Inflamm Bowel Dis</w:t>
      </w:r>
      <w:r w:rsidRPr="005B1A16">
        <w:rPr>
          <w:rFonts w:ascii="Book Antiqua" w:hAnsi="Book Antiqua"/>
        </w:rPr>
        <w:t xml:space="preserve"> 2007; </w:t>
      </w:r>
      <w:r w:rsidRPr="005B1A16">
        <w:rPr>
          <w:rFonts w:ascii="Book Antiqua" w:hAnsi="Book Antiqua"/>
          <w:b/>
        </w:rPr>
        <w:t>13</w:t>
      </w:r>
      <w:r w:rsidRPr="005B1A16">
        <w:rPr>
          <w:rFonts w:ascii="Book Antiqua" w:hAnsi="Book Antiqua"/>
        </w:rPr>
        <w:t>: 1323-1332 [PMID: 17636564 DOI: 10.1002/ibd.20225]</w:t>
      </w:r>
    </w:p>
    <w:p w14:paraId="53B5C1AF"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33 </w:t>
      </w:r>
      <w:r w:rsidRPr="005B1A16">
        <w:rPr>
          <w:rFonts w:ascii="Book Antiqua" w:hAnsi="Book Antiqua"/>
          <w:b/>
        </w:rPr>
        <w:t>Schreiber S</w:t>
      </w:r>
      <w:r w:rsidRPr="005B1A16">
        <w:rPr>
          <w:rFonts w:ascii="Book Antiqua" w:hAnsi="Book Antiqua"/>
        </w:rPr>
        <w:t xml:space="preserve">, Rutgeerts P, Fedorak RN, Khaliq-Kareemi M, Kamm MA, Boivin M, Bernstein CN, Staun M, Thomsen OØ, Innes A; CDP870 Crohn's Disease Study Group. A randomized, placebo-controlled trial of certolizumab pegol (CDP870) for treatment of Crohn's disease. </w:t>
      </w:r>
      <w:r w:rsidRPr="005B1A16">
        <w:rPr>
          <w:rFonts w:ascii="Book Antiqua" w:hAnsi="Book Antiqua"/>
          <w:i/>
        </w:rPr>
        <w:t>Gastroenterology</w:t>
      </w:r>
      <w:r w:rsidRPr="005B1A16">
        <w:rPr>
          <w:rFonts w:ascii="Book Antiqua" w:hAnsi="Book Antiqua"/>
        </w:rPr>
        <w:t xml:space="preserve"> 2005; </w:t>
      </w:r>
      <w:r w:rsidRPr="005B1A16">
        <w:rPr>
          <w:rFonts w:ascii="Book Antiqua" w:hAnsi="Book Antiqua"/>
          <w:b/>
        </w:rPr>
        <w:t>129</w:t>
      </w:r>
      <w:r w:rsidRPr="005B1A16">
        <w:rPr>
          <w:rFonts w:ascii="Book Antiqua" w:hAnsi="Book Antiqua"/>
        </w:rPr>
        <w:t>: 807-818 [PMID: 16143120 DOI: 10.1053/j.gastro.2005.06.064]</w:t>
      </w:r>
    </w:p>
    <w:p w14:paraId="7ED44AB6"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34 </w:t>
      </w:r>
      <w:r w:rsidRPr="005B1A16">
        <w:rPr>
          <w:rFonts w:ascii="Book Antiqua" w:hAnsi="Book Antiqua"/>
          <w:b/>
        </w:rPr>
        <w:t>Schreiber S</w:t>
      </w:r>
      <w:r w:rsidRPr="005B1A16">
        <w:rPr>
          <w:rFonts w:ascii="Book Antiqua" w:hAnsi="Book Antiqua"/>
        </w:rPr>
        <w:t xml:space="preserve">, Khaliq-Kareemi M, Lawrance IC, Thomsen OØ, Hanauer SB, McColm J, Bloomfield R, Sandborn WJ; PRECISE 2 Study Investigators. Maintenance therapy with certolizumab pegol for Crohn's disease. </w:t>
      </w:r>
      <w:r w:rsidRPr="005B1A16">
        <w:rPr>
          <w:rFonts w:ascii="Book Antiqua" w:hAnsi="Book Antiqua"/>
          <w:i/>
        </w:rPr>
        <w:t>N Engl J Med</w:t>
      </w:r>
      <w:r w:rsidRPr="005B1A16">
        <w:rPr>
          <w:rFonts w:ascii="Book Antiqua" w:hAnsi="Book Antiqua"/>
        </w:rPr>
        <w:t xml:space="preserve"> 2007; </w:t>
      </w:r>
      <w:r w:rsidRPr="005B1A16">
        <w:rPr>
          <w:rFonts w:ascii="Book Antiqua" w:hAnsi="Book Antiqua"/>
          <w:b/>
        </w:rPr>
        <w:t>357</w:t>
      </w:r>
      <w:r w:rsidRPr="005B1A16">
        <w:rPr>
          <w:rFonts w:ascii="Book Antiqua" w:hAnsi="Book Antiqua"/>
        </w:rPr>
        <w:t>: 239-250 [PMID: 17634459 DOI: 10.1056/NEJMoa062897]</w:t>
      </w:r>
    </w:p>
    <w:p w14:paraId="314316CA"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35 </w:t>
      </w:r>
      <w:r w:rsidRPr="005B1A16">
        <w:rPr>
          <w:rFonts w:ascii="Book Antiqua" w:hAnsi="Book Antiqua"/>
          <w:b/>
        </w:rPr>
        <w:t>Lichtenstein GR</w:t>
      </w:r>
      <w:r w:rsidRPr="005B1A16">
        <w:rPr>
          <w:rFonts w:ascii="Book Antiqua" w:hAnsi="Book Antiqua"/>
        </w:rPr>
        <w:t xml:space="preserve">, Thomsen OØ, Schreiber S, Lawrance IC, Hanauer SB, Bloomfield R, Sandborn WJ; Precise 3 Study Investigators. Continuous therapy with certolizumab </w:t>
      </w:r>
      <w:r w:rsidRPr="005B1A16">
        <w:rPr>
          <w:rFonts w:ascii="Book Antiqua" w:hAnsi="Book Antiqua"/>
        </w:rPr>
        <w:lastRenderedPageBreak/>
        <w:t xml:space="preserve">pegol maintains remission of patients with Crohn's disease for up to 18 months. </w:t>
      </w:r>
      <w:r w:rsidRPr="005B1A16">
        <w:rPr>
          <w:rFonts w:ascii="Book Antiqua" w:hAnsi="Book Antiqua"/>
          <w:i/>
        </w:rPr>
        <w:t>Clin Gastroenterol Hepatol</w:t>
      </w:r>
      <w:r w:rsidRPr="005B1A16">
        <w:rPr>
          <w:rFonts w:ascii="Book Antiqua" w:hAnsi="Book Antiqua"/>
        </w:rPr>
        <w:t xml:space="preserve"> 2010; </w:t>
      </w:r>
      <w:r w:rsidRPr="005B1A16">
        <w:rPr>
          <w:rFonts w:ascii="Book Antiqua" w:hAnsi="Book Antiqua"/>
          <w:b/>
        </w:rPr>
        <w:t>8</w:t>
      </w:r>
      <w:r w:rsidRPr="005B1A16">
        <w:rPr>
          <w:rFonts w:ascii="Book Antiqua" w:hAnsi="Book Antiqua"/>
        </w:rPr>
        <w:t>: 600-609 [PMID: 20117244 DOI: 10.1016/j.cgh.2010.01.014]</w:t>
      </w:r>
    </w:p>
    <w:p w14:paraId="75CE01CC"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36 </w:t>
      </w:r>
      <w:r w:rsidRPr="005B1A16">
        <w:rPr>
          <w:rFonts w:ascii="Book Antiqua" w:hAnsi="Book Antiqua"/>
          <w:b/>
        </w:rPr>
        <w:t>Hébuterne X</w:t>
      </w:r>
      <w:r w:rsidRPr="005B1A16">
        <w:rPr>
          <w:rFonts w:ascii="Book Antiqua" w:hAnsi="Book Antiqua"/>
        </w:rPr>
        <w:t xml:space="preserve">, Lémann M, Bouhnik Y, Dewit O, Dupas JL, Mross M, D'Haens G, Mitchev K, Ernault É, Vermeire S, Brixi-Benmansour H, Moreels TG, Mary JY, Marteau P, Colombel JF. Endoscopic improvement of mucosal lesions in patients with moderate to severe ileocolonic Crohn's disease following treatment with certolizumab pegol. </w:t>
      </w:r>
      <w:r w:rsidRPr="005B1A16">
        <w:rPr>
          <w:rFonts w:ascii="Book Antiqua" w:hAnsi="Book Antiqua"/>
          <w:i/>
        </w:rPr>
        <w:t>Gut</w:t>
      </w:r>
      <w:r w:rsidRPr="005B1A16">
        <w:rPr>
          <w:rFonts w:ascii="Book Antiqua" w:hAnsi="Book Antiqua"/>
        </w:rPr>
        <w:t xml:space="preserve"> 2013; </w:t>
      </w:r>
      <w:r w:rsidRPr="005B1A16">
        <w:rPr>
          <w:rFonts w:ascii="Book Antiqua" w:hAnsi="Book Antiqua"/>
          <w:b/>
        </w:rPr>
        <w:t>62</w:t>
      </w:r>
      <w:r w:rsidRPr="005B1A16">
        <w:rPr>
          <w:rFonts w:ascii="Book Antiqua" w:hAnsi="Book Antiqua"/>
        </w:rPr>
        <w:t>: 201-208 [PMID: 22525883 DOI: 10.1136/gutjnl-2012-302262]</w:t>
      </w:r>
    </w:p>
    <w:p w14:paraId="7B27D4B5"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37 </w:t>
      </w:r>
      <w:r w:rsidRPr="005B1A16">
        <w:rPr>
          <w:rFonts w:ascii="Book Antiqua" w:hAnsi="Book Antiqua"/>
          <w:b/>
        </w:rPr>
        <w:t>Ford AC</w:t>
      </w:r>
      <w:r w:rsidRPr="005B1A16">
        <w:rPr>
          <w:rFonts w:ascii="Book Antiqua" w:hAnsi="Book Antiqua"/>
        </w:rPr>
        <w:t xml:space="preserve">, Sandborn WJ, Khan KJ, Hanauer SB, Talley NJ, Moayyedi P. Efficacy of biological therapies in inflammatory bowel disease: systematic review and meta-analysis. </w:t>
      </w:r>
      <w:r w:rsidRPr="005B1A16">
        <w:rPr>
          <w:rFonts w:ascii="Book Antiqua" w:hAnsi="Book Antiqua"/>
          <w:i/>
        </w:rPr>
        <w:t>Am J Gastroenterol</w:t>
      </w:r>
      <w:r w:rsidRPr="005B1A16">
        <w:rPr>
          <w:rFonts w:ascii="Book Antiqua" w:hAnsi="Book Antiqua"/>
        </w:rPr>
        <w:t xml:space="preserve"> 2011; </w:t>
      </w:r>
      <w:r w:rsidRPr="005B1A16">
        <w:rPr>
          <w:rFonts w:ascii="Book Antiqua" w:hAnsi="Book Antiqua"/>
          <w:b/>
        </w:rPr>
        <w:t>106</w:t>
      </w:r>
      <w:r w:rsidRPr="005B1A16">
        <w:rPr>
          <w:rFonts w:ascii="Book Antiqua" w:hAnsi="Book Antiqua"/>
        </w:rPr>
        <w:t>: 644-659, quiz 660 [PMID: 21407183 DOI: 10.1038/ajg.2011.73]</w:t>
      </w:r>
    </w:p>
    <w:p w14:paraId="42182FA5"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38 </w:t>
      </w:r>
      <w:r w:rsidRPr="005B1A16">
        <w:rPr>
          <w:rFonts w:ascii="Book Antiqua" w:hAnsi="Book Antiqua"/>
          <w:b/>
        </w:rPr>
        <w:t>Sandborn WJ</w:t>
      </w:r>
      <w:r w:rsidRPr="005B1A16">
        <w:rPr>
          <w:rFonts w:ascii="Book Antiqua" w:hAnsi="Book Antiqua"/>
        </w:rPr>
        <w:t xml:space="preserve">, Colombel JF, Enns R, Feagan BG, Hanauer SB, Lawrance IC, Panaccione R, Sanders M, Schreiber S, Targan S, van Deventer S, Goldblum R, Despain D, Hogge GS, Rutgeerts P; International Efficacy of Natalizumab as Active Crohn's Therapy (ENACT-1) Trial Group; Evaluation of Natalizumab as Continuous Therapy (ENACT-2) Trial Group. Natalizumab induction and maintenance therapy for Crohn's disease. </w:t>
      </w:r>
      <w:r w:rsidRPr="005B1A16">
        <w:rPr>
          <w:rFonts w:ascii="Book Antiqua" w:hAnsi="Book Antiqua"/>
          <w:i/>
        </w:rPr>
        <w:t>N Engl J Med</w:t>
      </w:r>
      <w:r w:rsidRPr="005B1A16">
        <w:rPr>
          <w:rFonts w:ascii="Book Antiqua" w:hAnsi="Book Antiqua"/>
        </w:rPr>
        <w:t xml:space="preserve"> 2005; </w:t>
      </w:r>
      <w:r w:rsidRPr="005B1A16">
        <w:rPr>
          <w:rFonts w:ascii="Book Antiqua" w:hAnsi="Book Antiqua"/>
          <w:b/>
        </w:rPr>
        <w:t>353</w:t>
      </w:r>
      <w:r w:rsidRPr="005B1A16">
        <w:rPr>
          <w:rFonts w:ascii="Book Antiqua" w:hAnsi="Book Antiqua"/>
        </w:rPr>
        <w:t>: 1912-1925 [PMID: 16267322 DOI: 10.1056/NEJMoa043335]</w:t>
      </w:r>
    </w:p>
    <w:p w14:paraId="34E8AB94"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39 </w:t>
      </w:r>
      <w:r w:rsidRPr="005B1A16">
        <w:rPr>
          <w:rFonts w:ascii="Book Antiqua" w:hAnsi="Book Antiqua"/>
          <w:b/>
        </w:rPr>
        <w:t>Targan SR</w:t>
      </w:r>
      <w:r w:rsidRPr="005B1A16">
        <w:rPr>
          <w:rFonts w:ascii="Book Antiqua" w:hAnsi="Book Antiqua"/>
        </w:rPr>
        <w:t xml:space="preserve">, Feagan BG, Fedorak RN, Lashner BA, Panaccione R, Present DH, Spehlmann ME, Rutgeerts PJ, Tulassay Z, Volfova M, Wolf DC, Hernandez C, Bornstein J, Sandborn WJ; International Efficacy of Natalizumab in Crohn's Disease Response and Remission (ENCORE) Trial Group. Natalizumab for the treatment of active Crohn's disease: results of the ENCORE Trial. </w:t>
      </w:r>
      <w:r w:rsidRPr="005B1A16">
        <w:rPr>
          <w:rFonts w:ascii="Book Antiqua" w:hAnsi="Book Antiqua"/>
          <w:i/>
        </w:rPr>
        <w:t>Gastroenterology</w:t>
      </w:r>
      <w:r w:rsidRPr="005B1A16">
        <w:rPr>
          <w:rFonts w:ascii="Book Antiqua" w:hAnsi="Book Antiqua"/>
        </w:rPr>
        <w:t xml:space="preserve"> 2007; </w:t>
      </w:r>
      <w:r w:rsidRPr="005B1A16">
        <w:rPr>
          <w:rFonts w:ascii="Book Antiqua" w:hAnsi="Book Antiqua"/>
          <w:b/>
        </w:rPr>
        <w:t>132</w:t>
      </w:r>
      <w:r w:rsidRPr="005B1A16">
        <w:rPr>
          <w:rFonts w:ascii="Book Antiqua" w:hAnsi="Book Antiqua"/>
        </w:rPr>
        <w:t>: 1672-1683 [PMID: 17484865 DOI: 10.1053/j.gastro.2007.03.024]</w:t>
      </w:r>
    </w:p>
    <w:p w14:paraId="5D0B100D"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40 </w:t>
      </w:r>
      <w:r w:rsidRPr="005B1A16">
        <w:rPr>
          <w:rFonts w:ascii="Book Antiqua" w:hAnsi="Book Antiqua"/>
          <w:b/>
        </w:rPr>
        <w:t>Van Assche G</w:t>
      </w:r>
      <w:r w:rsidRPr="005B1A16">
        <w:rPr>
          <w:rFonts w:ascii="Book Antiqua" w:hAnsi="Book Antiqua"/>
        </w:rPr>
        <w:t xml:space="preserve">, Van Ranst M, Sciot R, Dubois B, Vermeire S, Noman M, Verbeeck J, Geboes K, Robberecht W, Rutgeerts P. Progressive multifocal leukoencephalopathy after natalizumab therapy for Crohn's disease. </w:t>
      </w:r>
      <w:r w:rsidRPr="005B1A16">
        <w:rPr>
          <w:rFonts w:ascii="Book Antiqua" w:hAnsi="Book Antiqua"/>
          <w:i/>
        </w:rPr>
        <w:t>N Engl J Med</w:t>
      </w:r>
      <w:r w:rsidRPr="005B1A16">
        <w:rPr>
          <w:rFonts w:ascii="Book Antiqua" w:hAnsi="Book Antiqua"/>
        </w:rPr>
        <w:t xml:space="preserve"> 2005; </w:t>
      </w:r>
      <w:r w:rsidRPr="005B1A16">
        <w:rPr>
          <w:rFonts w:ascii="Book Antiqua" w:hAnsi="Book Antiqua"/>
          <w:b/>
        </w:rPr>
        <w:t>353</w:t>
      </w:r>
      <w:r w:rsidRPr="005B1A16">
        <w:rPr>
          <w:rFonts w:ascii="Book Antiqua" w:hAnsi="Book Antiqua"/>
        </w:rPr>
        <w:t>: 362-368 [PMID: 15947080 DOI: 10.1056/NEJMoa051586]</w:t>
      </w:r>
    </w:p>
    <w:p w14:paraId="0C73A0E9" w14:textId="77777777"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41 </w:t>
      </w:r>
      <w:r w:rsidRPr="005B1A16">
        <w:rPr>
          <w:rFonts w:ascii="Book Antiqua" w:hAnsi="Book Antiqua"/>
          <w:b/>
        </w:rPr>
        <w:t>Kleinschmidt-DeMasters BK</w:t>
      </w:r>
      <w:r w:rsidRPr="005B1A16">
        <w:rPr>
          <w:rFonts w:ascii="Book Antiqua" w:hAnsi="Book Antiqua"/>
        </w:rPr>
        <w:t xml:space="preserve">, Tyler KL. Progressive multifocal leukoencephalopathy complicating treatment with natalizumab and interferon beta-1a for multiple sclerosis. </w:t>
      </w:r>
      <w:r w:rsidRPr="005B1A16">
        <w:rPr>
          <w:rFonts w:ascii="Book Antiqua" w:hAnsi="Book Antiqua"/>
          <w:i/>
        </w:rPr>
        <w:t>N Engl J Med</w:t>
      </w:r>
      <w:r w:rsidRPr="005B1A16">
        <w:rPr>
          <w:rFonts w:ascii="Book Antiqua" w:hAnsi="Book Antiqua"/>
        </w:rPr>
        <w:t xml:space="preserve"> 2005; </w:t>
      </w:r>
      <w:r w:rsidRPr="005B1A16">
        <w:rPr>
          <w:rFonts w:ascii="Book Antiqua" w:hAnsi="Book Antiqua"/>
          <w:b/>
        </w:rPr>
        <w:t>353</w:t>
      </w:r>
      <w:r w:rsidRPr="005B1A16">
        <w:rPr>
          <w:rFonts w:ascii="Book Antiqua" w:hAnsi="Book Antiqua"/>
        </w:rPr>
        <w:t>: 369-374 [PMID: 15947079 DOI: 10.1056/NEJMoa051782]</w:t>
      </w:r>
    </w:p>
    <w:p w14:paraId="4AF0CA7C"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42 </w:t>
      </w:r>
      <w:r w:rsidRPr="005B1A16">
        <w:rPr>
          <w:rFonts w:ascii="Book Antiqua" w:hAnsi="Book Antiqua"/>
          <w:b/>
        </w:rPr>
        <w:t>Langer-Gould A</w:t>
      </w:r>
      <w:r w:rsidRPr="005B1A16">
        <w:rPr>
          <w:rFonts w:ascii="Book Antiqua" w:hAnsi="Book Antiqua"/>
        </w:rPr>
        <w:t xml:space="preserve">, Atlas SW, Green AJ, Bollen AW, Pelletier D. Progressive multifocal leukoencephalopathy in a patient treated with natalizumab. </w:t>
      </w:r>
      <w:r w:rsidRPr="005B1A16">
        <w:rPr>
          <w:rFonts w:ascii="Book Antiqua" w:hAnsi="Book Antiqua"/>
          <w:i/>
        </w:rPr>
        <w:t>N Engl J Med</w:t>
      </w:r>
      <w:r w:rsidRPr="005B1A16">
        <w:rPr>
          <w:rFonts w:ascii="Book Antiqua" w:hAnsi="Book Antiqua"/>
        </w:rPr>
        <w:t xml:space="preserve"> 2005; </w:t>
      </w:r>
      <w:r w:rsidRPr="005B1A16">
        <w:rPr>
          <w:rFonts w:ascii="Book Antiqua" w:hAnsi="Book Antiqua"/>
          <w:b/>
        </w:rPr>
        <w:t>353</w:t>
      </w:r>
      <w:r w:rsidRPr="005B1A16">
        <w:rPr>
          <w:rFonts w:ascii="Book Antiqua" w:hAnsi="Book Antiqua"/>
        </w:rPr>
        <w:t>: 375-381 [PMID: 15947078 DOI: 10.1056/NEJMoa051847]</w:t>
      </w:r>
    </w:p>
    <w:p w14:paraId="1294C799"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43 </w:t>
      </w:r>
      <w:r w:rsidRPr="005B1A16">
        <w:rPr>
          <w:rFonts w:ascii="Book Antiqua" w:hAnsi="Book Antiqua"/>
          <w:b/>
        </w:rPr>
        <w:t>Soler D</w:t>
      </w:r>
      <w:r w:rsidRPr="005B1A16">
        <w:rPr>
          <w:rFonts w:ascii="Book Antiqua" w:hAnsi="Book Antiqua"/>
        </w:rPr>
        <w:t xml:space="preserve">, Chapman T, Yang LL, Wyant T, Egan R, Fedyk ER. The binding specificity and selective antagonism of vedolizumab, an anti-alpha4beta7 integrin therapeutic antibody in development for inflammatory bowel diseases. </w:t>
      </w:r>
      <w:r w:rsidRPr="005B1A16">
        <w:rPr>
          <w:rFonts w:ascii="Book Antiqua" w:hAnsi="Book Antiqua"/>
          <w:i/>
        </w:rPr>
        <w:t>J Pharmacol Exp Ther</w:t>
      </w:r>
      <w:r w:rsidRPr="005B1A16">
        <w:rPr>
          <w:rFonts w:ascii="Book Antiqua" w:hAnsi="Book Antiqua"/>
        </w:rPr>
        <w:t xml:space="preserve"> 2009; </w:t>
      </w:r>
      <w:r w:rsidRPr="005B1A16">
        <w:rPr>
          <w:rFonts w:ascii="Book Antiqua" w:hAnsi="Book Antiqua"/>
          <w:b/>
        </w:rPr>
        <w:t>330</w:t>
      </w:r>
      <w:r w:rsidRPr="005B1A16">
        <w:rPr>
          <w:rFonts w:ascii="Book Antiqua" w:hAnsi="Book Antiqua"/>
        </w:rPr>
        <w:t>: 864-875 [PMID: 19509315 DOI: 10.1124/jpet.109.153973]</w:t>
      </w:r>
    </w:p>
    <w:p w14:paraId="70B9F62C"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44 </w:t>
      </w:r>
      <w:r w:rsidRPr="005B1A16">
        <w:rPr>
          <w:rFonts w:ascii="Book Antiqua" w:hAnsi="Book Antiqua"/>
          <w:b/>
        </w:rPr>
        <w:t>Sandborn WJ</w:t>
      </w:r>
      <w:r w:rsidRPr="005B1A16">
        <w:rPr>
          <w:rFonts w:ascii="Book Antiqua" w:hAnsi="Book Antiqua"/>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5B1A16">
        <w:rPr>
          <w:rFonts w:ascii="Book Antiqua" w:hAnsi="Book Antiqua"/>
          <w:i/>
        </w:rPr>
        <w:t>N Engl J Med</w:t>
      </w:r>
      <w:r w:rsidRPr="005B1A16">
        <w:rPr>
          <w:rFonts w:ascii="Book Antiqua" w:hAnsi="Book Antiqua"/>
        </w:rPr>
        <w:t xml:space="preserve"> 2013; </w:t>
      </w:r>
      <w:r w:rsidRPr="005B1A16">
        <w:rPr>
          <w:rFonts w:ascii="Book Antiqua" w:hAnsi="Book Antiqua"/>
          <w:b/>
        </w:rPr>
        <w:t>369</w:t>
      </w:r>
      <w:r w:rsidRPr="005B1A16">
        <w:rPr>
          <w:rFonts w:ascii="Book Antiqua" w:hAnsi="Book Antiqua"/>
        </w:rPr>
        <w:t>: 711-721 [PMID: 23964933 DOI: 10.1056/NEJMoa1215739]</w:t>
      </w:r>
    </w:p>
    <w:p w14:paraId="2925DBAA"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45 </w:t>
      </w:r>
      <w:r w:rsidRPr="005B1A16">
        <w:rPr>
          <w:rFonts w:ascii="Book Antiqua" w:hAnsi="Book Antiqua"/>
          <w:b/>
        </w:rPr>
        <w:t>Singh S</w:t>
      </w:r>
      <w:r w:rsidRPr="005B1A16">
        <w:rPr>
          <w:rFonts w:ascii="Book Antiqua" w:hAnsi="Book Antiqua"/>
        </w:rPr>
        <w:t xml:space="preserve">, Garg SK, Pardi DS, Wang Z, Murad MH, Loftus EV Jr. Comparative efficacy of biologic therapy in biologic-naïve patients with Crohn disease: a systematic review and network meta-analysis. </w:t>
      </w:r>
      <w:r w:rsidRPr="005B1A16">
        <w:rPr>
          <w:rFonts w:ascii="Book Antiqua" w:hAnsi="Book Antiqua"/>
          <w:i/>
        </w:rPr>
        <w:t>Mayo Clin Proc</w:t>
      </w:r>
      <w:r w:rsidRPr="005B1A16">
        <w:rPr>
          <w:rFonts w:ascii="Book Antiqua" w:hAnsi="Book Antiqua"/>
        </w:rPr>
        <w:t xml:space="preserve"> 2014; </w:t>
      </w:r>
      <w:r w:rsidRPr="005B1A16">
        <w:rPr>
          <w:rFonts w:ascii="Book Antiqua" w:hAnsi="Book Antiqua"/>
          <w:b/>
        </w:rPr>
        <w:t>89</w:t>
      </w:r>
      <w:r w:rsidRPr="005B1A16">
        <w:rPr>
          <w:rFonts w:ascii="Book Antiqua" w:hAnsi="Book Antiqua"/>
        </w:rPr>
        <w:t>: 1621-1635 [PMID: 25441399 DOI: 10.1016/j.mayocp.2014.08.019]</w:t>
      </w:r>
    </w:p>
    <w:p w14:paraId="2C68CEF8"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46 </w:t>
      </w:r>
      <w:r w:rsidRPr="005B1A16">
        <w:rPr>
          <w:rFonts w:ascii="Book Antiqua" w:hAnsi="Book Antiqua"/>
          <w:b/>
        </w:rPr>
        <w:t>Colombel JF</w:t>
      </w:r>
      <w:r w:rsidRPr="005B1A16">
        <w:rPr>
          <w:rFonts w:ascii="Book Antiqua" w:hAnsi="Book Antiqua"/>
        </w:rPr>
        <w:t xml:space="preserve">, Sands BE, Rutgeerts P, Sandborn W, Danese S, D'Haens G, Panaccione R, Loftus EV Jr, Sankoh S, Fox I, Parikh A, Milch C, Abhyankar B, Feagan BG. The safety of vedolizumab for ulcerative colitis and Crohn's disease. </w:t>
      </w:r>
      <w:r w:rsidRPr="005B1A16">
        <w:rPr>
          <w:rFonts w:ascii="Book Antiqua" w:hAnsi="Book Antiqua"/>
          <w:i/>
        </w:rPr>
        <w:t>Gut</w:t>
      </w:r>
      <w:r w:rsidRPr="005B1A16">
        <w:rPr>
          <w:rFonts w:ascii="Book Antiqua" w:hAnsi="Book Antiqua"/>
        </w:rPr>
        <w:t xml:space="preserve"> 2017; </w:t>
      </w:r>
      <w:r w:rsidRPr="005B1A16">
        <w:rPr>
          <w:rFonts w:ascii="Book Antiqua" w:hAnsi="Book Antiqua"/>
          <w:b/>
        </w:rPr>
        <w:t>66</w:t>
      </w:r>
      <w:r w:rsidRPr="005B1A16">
        <w:rPr>
          <w:rFonts w:ascii="Book Antiqua" w:hAnsi="Book Antiqua"/>
        </w:rPr>
        <w:t>: 839-851 [PMID: 26893500 DOI: 10.1136/gutjnl-2015-311079]</w:t>
      </w:r>
    </w:p>
    <w:p w14:paraId="4BD8BB23" w14:textId="1395DFB8" w:rsidR="005B1A16" w:rsidRPr="005B1A16" w:rsidRDefault="005B1A16" w:rsidP="005B1A16">
      <w:pPr>
        <w:spacing w:line="360" w:lineRule="auto"/>
        <w:jc w:val="both"/>
        <w:rPr>
          <w:rFonts w:ascii="Book Antiqua" w:hAnsi="Book Antiqua"/>
        </w:rPr>
      </w:pPr>
      <w:r w:rsidRPr="005B1A16">
        <w:rPr>
          <w:rFonts w:ascii="Book Antiqua" w:hAnsi="Book Antiqua"/>
        </w:rPr>
        <w:t xml:space="preserve">47 </w:t>
      </w:r>
      <w:r w:rsidRPr="005B1A16">
        <w:rPr>
          <w:rFonts w:ascii="Book Antiqua" w:hAnsi="Book Antiqua"/>
          <w:b/>
        </w:rPr>
        <w:t>Fuss IJ</w:t>
      </w:r>
      <w:r w:rsidRPr="005B1A16">
        <w:rPr>
          <w:rFonts w:ascii="Book Antiqua" w:hAnsi="Book Antiqua"/>
        </w:rPr>
        <w:t xml:space="preserve">, Becker C, Yang Z, Groden C, Hornung RL, Heller F, Neurath MF, Strober W, Mannon PJ. Both IL-12p70 and IL-23 are synthesized during active Crohn's disease and are down-regulated by treatment with anti-IL-12 p40 monoclonal antibody. </w:t>
      </w:r>
      <w:r w:rsidRPr="005B1A16">
        <w:rPr>
          <w:rFonts w:ascii="Book Antiqua" w:hAnsi="Book Antiqua"/>
          <w:i/>
        </w:rPr>
        <w:t>Inflamm Bowel Dis</w:t>
      </w:r>
      <w:r w:rsidRPr="005B1A16">
        <w:rPr>
          <w:rFonts w:ascii="Book Antiqua" w:hAnsi="Book Antiqua"/>
        </w:rPr>
        <w:t xml:space="preserve"> 2006; </w:t>
      </w:r>
      <w:r w:rsidRPr="005B1A16">
        <w:rPr>
          <w:rFonts w:ascii="Book Antiqua" w:hAnsi="Book Antiqua"/>
          <w:b/>
        </w:rPr>
        <w:t>12</w:t>
      </w:r>
      <w:r w:rsidRPr="005B1A16">
        <w:rPr>
          <w:rFonts w:ascii="Book Antiqua" w:hAnsi="Book Antiqua"/>
        </w:rPr>
        <w:t>: 9-15 [PMID: 16374252</w:t>
      </w:r>
      <w:r w:rsidR="005D61B5">
        <w:rPr>
          <w:rFonts w:ascii="Book Antiqua" w:eastAsia="SimSun" w:hAnsi="Book Antiqua" w:hint="eastAsia"/>
          <w:lang w:eastAsia="zh-CN"/>
        </w:rPr>
        <w:t xml:space="preserve"> DOI: </w:t>
      </w:r>
      <w:r w:rsidR="005D61B5" w:rsidRPr="005D61B5">
        <w:rPr>
          <w:rFonts w:ascii="Book Antiqua" w:eastAsia="SimSun" w:hAnsi="Book Antiqua"/>
          <w:lang w:eastAsia="zh-CN"/>
        </w:rPr>
        <w:t>10.1097/01.MIB.0000194183.92671.b6</w:t>
      </w:r>
      <w:r w:rsidRPr="005B1A16">
        <w:rPr>
          <w:rFonts w:ascii="Book Antiqua" w:hAnsi="Book Antiqua"/>
        </w:rPr>
        <w:t>]</w:t>
      </w:r>
    </w:p>
    <w:p w14:paraId="54900CA6" w14:textId="14F46601"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48 </w:t>
      </w:r>
      <w:r w:rsidRPr="005B1A16">
        <w:rPr>
          <w:rFonts w:ascii="Book Antiqua" w:hAnsi="Book Antiqua"/>
          <w:b/>
        </w:rPr>
        <w:t>Monteleone G</w:t>
      </w:r>
      <w:r w:rsidRPr="005B1A16">
        <w:rPr>
          <w:rFonts w:ascii="Book Antiqua" w:hAnsi="Book Antiqua"/>
        </w:rPr>
        <w:t xml:space="preserve">, Biancone L, Marasco R, Morrone G, Marasco O, Luzza F, Pallone F. Interleukin 12 is expressed and actively released by Crohn's disease intestinal lamina propria mononuclear cells. </w:t>
      </w:r>
      <w:r w:rsidRPr="005B1A16">
        <w:rPr>
          <w:rFonts w:ascii="Book Antiqua" w:hAnsi="Book Antiqua"/>
          <w:i/>
        </w:rPr>
        <w:t>Gastroenterology</w:t>
      </w:r>
      <w:r w:rsidRPr="005B1A16">
        <w:rPr>
          <w:rFonts w:ascii="Book Antiqua" w:hAnsi="Book Antiqua"/>
        </w:rPr>
        <w:t xml:space="preserve"> 1997; </w:t>
      </w:r>
      <w:r w:rsidRPr="005B1A16">
        <w:rPr>
          <w:rFonts w:ascii="Book Antiqua" w:hAnsi="Book Antiqua"/>
          <w:b/>
        </w:rPr>
        <w:t>112</w:t>
      </w:r>
      <w:r w:rsidRPr="005B1A16">
        <w:rPr>
          <w:rFonts w:ascii="Book Antiqua" w:hAnsi="Book Antiqua"/>
        </w:rPr>
        <w:t>: 1169-1178 [PMID: 9098000</w:t>
      </w:r>
      <w:r w:rsidR="005D61B5">
        <w:rPr>
          <w:rFonts w:ascii="Book Antiqua" w:eastAsia="SimSun" w:hAnsi="Book Antiqua" w:hint="eastAsia"/>
          <w:lang w:eastAsia="zh-CN"/>
        </w:rPr>
        <w:t xml:space="preserve"> DOI: </w:t>
      </w:r>
      <w:r w:rsidR="005D61B5" w:rsidRPr="005D61B5">
        <w:rPr>
          <w:rFonts w:ascii="Book Antiqua" w:eastAsia="SimSun" w:hAnsi="Book Antiqua"/>
          <w:lang w:eastAsia="zh-CN"/>
        </w:rPr>
        <w:t>10.1016/S0016-5085(97)70128-8</w:t>
      </w:r>
      <w:r w:rsidRPr="005B1A16">
        <w:rPr>
          <w:rFonts w:ascii="Book Antiqua" w:hAnsi="Book Antiqua"/>
        </w:rPr>
        <w:t>]</w:t>
      </w:r>
    </w:p>
    <w:p w14:paraId="35421B77"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49 </w:t>
      </w:r>
      <w:r w:rsidRPr="005B1A16">
        <w:rPr>
          <w:rFonts w:ascii="Book Antiqua" w:hAnsi="Book Antiqua"/>
          <w:b/>
        </w:rPr>
        <w:t>Benson JM</w:t>
      </w:r>
      <w:r w:rsidRPr="005B1A16">
        <w:rPr>
          <w:rFonts w:ascii="Book Antiqua" w:hAnsi="Book Antiqua"/>
        </w:rPr>
        <w:t xml:space="preserve">, Peritt D, Scallon BJ, Heavner GA, Shealy DJ, Giles-Komar JM, Mascelli MA. Discovery and mechanism of ustekinumab: a human monoclonal antibody targeting interleukin-12 and interleukin-23 for treatment of immune-mediated disorders. </w:t>
      </w:r>
      <w:r w:rsidRPr="005B1A16">
        <w:rPr>
          <w:rFonts w:ascii="Book Antiqua" w:hAnsi="Book Antiqua"/>
          <w:i/>
        </w:rPr>
        <w:t>MAbs</w:t>
      </w:r>
      <w:r w:rsidRPr="005B1A16">
        <w:rPr>
          <w:rFonts w:ascii="Book Antiqua" w:hAnsi="Book Antiqua"/>
        </w:rPr>
        <w:t xml:space="preserve"> 2011; </w:t>
      </w:r>
      <w:r w:rsidRPr="005B1A16">
        <w:rPr>
          <w:rFonts w:ascii="Book Antiqua" w:hAnsi="Book Antiqua"/>
          <w:b/>
        </w:rPr>
        <w:t>3</w:t>
      </w:r>
      <w:r w:rsidRPr="005B1A16">
        <w:rPr>
          <w:rFonts w:ascii="Book Antiqua" w:hAnsi="Book Antiqua"/>
        </w:rPr>
        <w:t>: 535-545 [PMID: 22123062 DOI: 10.4161/mabs.3.6.17815]</w:t>
      </w:r>
    </w:p>
    <w:p w14:paraId="442471EE"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50 </w:t>
      </w:r>
      <w:r w:rsidRPr="005B1A16">
        <w:rPr>
          <w:rFonts w:ascii="Book Antiqua" w:hAnsi="Book Antiqua"/>
          <w:b/>
        </w:rPr>
        <w:t>Feagan BG</w:t>
      </w:r>
      <w:r w:rsidRPr="005B1A16">
        <w:rPr>
          <w:rFonts w:ascii="Book Antiqua" w:hAnsi="Book Antiqua"/>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5B1A16">
        <w:rPr>
          <w:rFonts w:ascii="Book Antiqua" w:hAnsi="Book Antiqua"/>
          <w:i/>
        </w:rPr>
        <w:t>N Engl J Med</w:t>
      </w:r>
      <w:r w:rsidRPr="005B1A16">
        <w:rPr>
          <w:rFonts w:ascii="Book Antiqua" w:hAnsi="Book Antiqua"/>
        </w:rPr>
        <w:t xml:space="preserve"> 2016; </w:t>
      </w:r>
      <w:r w:rsidRPr="005B1A16">
        <w:rPr>
          <w:rFonts w:ascii="Book Antiqua" w:hAnsi="Book Antiqua"/>
          <w:b/>
        </w:rPr>
        <w:t>375</w:t>
      </w:r>
      <w:r w:rsidRPr="005B1A16">
        <w:rPr>
          <w:rFonts w:ascii="Book Antiqua" w:hAnsi="Book Antiqua"/>
        </w:rPr>
        <w:t>: 1946-1960 [PMID: 27959607 DOI: 10.1056/NEJMoa1602773]</w:t>
      </w:r>
    </w:p>
    <w:p w14:paraId="45339F29"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51 </w:t>
      </w:r>
      <w:r w:rsidRPr="005B1A16">
        <w:rPr>
          <w:rFonts w:ascii="Book Antiqua" w:hAnsi="Book Antiqua"/>
          <w:b/>
        </w:rPr>
        <w:t>Rutgeerts P</w:t>
      </w:r>
      <w:r w:rsidRPr="005B1A16">
        <w:rPr>
          <w:rFonts w:ascii="Book Antiqua" w:hAnsi="Book Antiqua"/>
        </w:rPr>
        <w:t xml:space="preserve">, Sandborn WJ, Feagan BG, Reinisch W, Olson A, Johanns J, Travers S, Rachmilewitz D, Hanauer SB, Lichtenstein GR, de Villiers WJ, Present D, Sands BE, Colombel JF. Infliximab for induction and maintenance therapy for ulcerative colitis. </w:t>
      </w:r>
      <w:r w:rsidRPr="005B1A16">
        <w:rPr>
          <w:rFonts w:ascii="Book Antiqua" w:hAnsi="Book Antiqua"/>
          <w:i/>
        </w:rPr>
        <w:t>N Engl J Med</w:t>
      </w:r>
      <w:r w:rsidRPr="005B1A16">
        <w:rPr>
          <w:rFonts w:ascii="Book Antiqua" w:hAnsi="Book Antiqua"/>
        </w:rPr>
        <w:t xml:space="preserve"> 2005; </w:t>
      </w:r>
      <w:r w:rsidRPr="005B1A16">
        <w:rPr>
          <w:rFonts w:ascii="Book Antiqua" w:hAnsi="Book Antiqua"/>
          <w:b/>
        </w:rPr>
        <w:t>353</w:t>
      </w:r>
      <w:r w:rsidRPr="005B1A16">
        <w:rPr>
          <w:rFonts w:ascii="Book Antiqua" w:hAnsi="Book Antiqua"/>
        </w:rPr>
        <w:t>: 2462-2476 [PMID: 16339095 DOI: 10.1056/NEJMoa050516]</w:t>
      </w:r>
    </w:p>
    <w:p w14:paraId="686DD0B8"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52 </w:t>
      </w:r>
      <w:r w:rsidRPr="005B1A16">
        <w:rPr>
          <w:rFonts w:ascii="Book Antiqua" w:hAnsi="Book Antiqua"/>
          <w:b/>
        </w:rPr>
        <w:t>Laharie D</w:t>
      </w:r>
      <w:r w:rsidRPr="005B1A16">
        <w:rPr>
          <w:rFonts w:ascii="Book Antiqua" w:hAnsi="Book Antiqua"/>
        </w:rPr>
        <w:t xml:space="preserve">, Bourreille A, Branche J, Allez M, Bouhnik Y, Filippi J, Zerbib F, Savoye G, Nachury M, Moreau J, Delchier JC, Cosnes J, Ricart E, Dewit O, Lopez-Sanroman A, Dupas JL, Carbonnel F, Bommelaer G, Coffin B, Roblin X, Van Assche G, Esteve M, Färkkilä M, Gisbert JP, Marteau P, Nahon S, de Vos M, Franchimont D, Mary JY, Colombel JF, Lémann M; Groupe d'Etudes Thérapeutiques des Affections Inflammatoires Digestives. Ciclosporin versus infliximab in patients with severe ulcerative colitis refractory to intravenous steroids: a parallel, open-label randomised controlled trial. </w:t>
      </w:r>
      <w:r w:rsidRPr="005B1A16">
        <w:rPr>
          <w:rFonts w:ascii="Book Antiqua" w:hAnsi="Book Antiqua"/>
          <w:i/>
        </w:rPr>
        <w:t>Lancet</w:t>
      </w:r>
      <w:r w:rsidRPr="005B1A16">
        <w:rPr>
          <w:rFonts w:ascii="Book Antiqua" w:hAnsi="Book Antiqua"/>
        </w:rPr>
        <w:t xml:space="preserve"> 2012; </w:t>
      </w:r>
      <w:r w:rsidRPr="005B1A16">
        <w:rPr>
          <w:rFonts w:ascii="Book Antiqua" w:hAnsi="Book Antiqua"/>
          <w:b/>
        </w:rPr>
        <w:t>380</w:t>
      </w:r>
      <w:r w:rsidRPr="005B1A16">
        <w:rPr>
          <w:rFonts w:ascii="Book Antiqua" w:hAnsi="Book Antiqua"/>
        </w:rPr>
        <w:t>: 1909-1915 [PMID: 23063316 DOI: 10.1016/S0140-6736(12)61084-8]</w:t>
      </w:r>
    </w:p>
    <w:p w14:paraId="57ED011A"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53 </w:t>
      </w:r>
      <w:r w:rsidRPr="005B1A16">
        <w:rPr>
          <w:rFonts w:ascii="Book Antiqua" w:hAnsi="Book Antiqua"/>
          <w:b/>
        </w:rPr>
        <w:t>Sandborn WJ</w:t>
      </w:r>
      <w:r w:rsidRPr="005B1A16">
        <w:rPr>
          <w:rFonts w:ascii="Book Antiqua" w:hAnsi="Book Antiqua"/>
        </w:rPr>
        <w:t xml:space="preserve">, van Assche G, Reinisch W, Colombel JF, D'Haens G, Wolf DC, Kron M, Tighe MB, Lazar A, Thakkar RB. Adalimumab induces and maintains clinical </w:t>
      </w:r>
      <w:r w:rsidRPr="005B1A16">
        <w:rPr>
          <w:rFonts w:ascii="Book Antiqua" w:hAnsi="Book Antiqua"/>
        </w:rPr>
        <w:lastRenderedPageBreak/>
        <w:t xml:space="preserve">remission in patients with moderate-to-severe ulcerative colitis. </w:t>
      </w:r>
      <w:r w:rsidRPr="005B1A16">
        <w:rPr>
          <w:rFonts w:ascii="Book Antiqua" w:hAnsi="Book Antiqua"/>
          <w:i/>
        </w:rPr>
        <w:t>Gastroenterology</w:t>
      </w:r>
      <w:r w:rsidRPr="005B1A16">
        <w:rPr>
          <w:rFonts w:ascii="Book Antiqua" w:hAnsi="Book Antiqua"/>
        </w:rPr>
        <w:t xml:space="preserve"> 2012; </w:t>
      </w:r>
      <w:r w:rsidRPr="005B1A16">
        <w:rPr>
          <w:rFonts w:ascii="Book Antiqua" w:hAnsi="Book Antiqua"/>
          <w:b/>
        </w:rPr>
        <w:t>142</w:t>
      </w:r>
      <w:r w:rsidRPr="005B1A16">
        <w:rPr>
          <w:rFonts w:ascii="Book Antiqua" w:hAnsi="Book Antiqua"/>
        </w:rPr>
        <w:t>: 257-65.e1-3 [PMID: 22062358 DOI: 10.1053/j.gastro.2011.10.032]</w:t>
      </w:r>
    </w:p>
    <w:p w14:paraId="3A502F9E"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54 </w:t>
      </w:r>
      <w:r w:rsidRPr="005B1A16">
        <w:rPr>
          <w:rFonts w:ascii="Book Antiqua" w:hAnsi="Book Antiqua"/>
          <w:b/>
        </w:rPr>
        <w:t>Colombel JF</w:t>
      </w:r>
      <w:r w:rsidRPr="005B1A16">
        <w:rPr>
          <w:rFonts w:ascii="Book Antiqua" w:hAnsi="Book Antiqua"/>
        </w:rPr>
        <w:t xml:space="preserve">, Sandborn WJ, Ghosh S, Wolf DC, Panaccione R, Feagan B, Reinisch W, Robinson AM, Lazar A, Kron M, Huang B, Skup M, Thakkar RB. Four-year maintenance treatment with adalimumab in patients with moderately to severely active ulcerative colitis: Data from ULTRA 1, 2, and 3. </w:t>
      </w:r>
      <w:r w:rsidRPr="005B1A16">
        <w:rPr>
          <w:rFonts w:ascii="Book Antiqua" w:hAnsi="Book Antiqua"/>
          <w:i/>
        </w:rPr>
        <w:t>Am J Gastroenterol</w:t>
      </w:r>
      <w:r w:rsidRPr="005B1A16">
        <w:rPr>
          <w:rFonts w:ascii="Book Antiqua" w:hAnsi="Book Antiqua"/>
        </w:rPr>
        <w:t xml:space="preserve"> 2014; </w:t>
      </w:r>
      <w:r w:rsidRPr="005B1A16">
        <w:rPr>
          <w:rFonts w:ascii="Book Antiqua" w:hAnsi="Book Antiqua"/>
          <w:b/>
        </w:rPr>
        <w:t>109</w:t>
      </w:r>
      <w:r w:rsidRPr="005B1A16">
        <w:rPr>
          <w:rFonts w:ascii="Book Antiqua" w:hAnsi="Book Antiqua"/>
        </w:rPr>
        <w:t>: 1771-1780 [PMID: 25155227 DOI: 10.1038/ajg.2014.242]</w:t>
      </w:r>
    </w:p>
    <w:p w14:paraId="313F8CD4"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55 </w:t>
      </w:r>
      <w:r w:rsidRPr="005B1A16">
        <w:rPr>
          <w:rFonts w:ascii="Book Antiqua" w:hAnsi="Book Antiqua"/>
          <w:b/>
        </w:rPr>
        <w:t>Sandborn WJ</w:t>
      </w:r>
      <w:r w:rsidRPr="005B1A16">
        <w:rPr>
          <w:rFonts w:ascii="Book Antiqua" w:hAnsi="Book Antiqua"/>
        </w:rPr>
        <w:t xml:space="preserve">, Feagan BG, Marano C, Zhang H, Strauss R, Johanns J, Adedokun OJ, Guzzo C, Colombel JF, Reinisch W, Gibson PR, Collins J, Järnerot G, Hibi T, Rutgeerts P; PURSUIT-SC Study Group. Subcutaneous golimumab induces clinical response and remission in patients with moderate-to-severe ulcerative colitis. </w:t>
      </w:r>
      <w:r w:rsidRPr="005B1A16">
        <w:rPr>
          <w:rFonts w:ascii="Book Antiqua" w:hAnsi="Book Antiqua"/>
          <w:i/>
        </w:rPr>
        <w:t>Gastroenterology</w:t>
      </w:r>
      <w:r w:rsidRPr="005B1A16">
        <w:rPr>
          <w:rFonts w:ascii="Book Antiqua" w:hAnsi="Book Antiqua"/>
        </w:rPr>
        <w:t xml:space="preserve"> 2014; </w:t>
      </w:r>
      <w:r w:rsidRPr="005B1A16">
        <w:rPr>
          <w:rFonts w:ascii="Book Antiqua" w:hAnsi="Book Antiqua"/>
          <w:b/>
        </w:rPr>
        <w:t>146</w:t>
      </w:r>
      <w:r w:rsidRPr="005B1A16">
        <w:rPr>
          <w:rFonts w:ascii="Book Antiqua" w:hAnsi="Book Antiqua"/>
        </w:rPr>
        <w:t>: 85-95; quiz e14-5 [PMID: 23735746 DOI: 10.1053/j.gastro.2013.05.048]</w:t>
      </w:r>
    </w:p>
    <w:p w14:paraId="6E0A5EFB"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56 </w:t>
      </w:r>
      <w:r w:rsidRPr="005B1A16">
        <w:rPr>
          <w:rFonts w:ascii="Book Antiqua" w:hAnsi="Book Antiqua"/>
          <w:b/>
        </w:rPr>
        <w:t>Sandborn WJ</w:t>
      </w:r>
      <w:r w:rsidRPr="005B1A16">
        <w:rPr>
          <w:rFonts w:ascii="Book Antiqua" w:hAnsi="Book Antiqua"/>
        </w:rPr>
        <w:t xml:space="preserve">, Feagan BG, Marano C, Zhang H, Strauss R, Johanns J, Adedokun OJ, Guzzo C, Colombel JF, Reinisch W, Gibson PR, Collins J, Järnerot G, Rutgeerts P; PURSUIT-Maintenance Study Group. Subcutaneous golimumab maintains clinical response in patients with moderate-to-severe ulcerative colitis. </w:t>
      </w:r>
      <w:r w:rsidRPr="005B1A16">
        <w:rPr>
          <w:rFonts w:ascii="Book Antiqua" w:hAnsi="Book Antiqua"/>
          <w:i/>
        </w:rPr>
        <w:t>Gastroenterology</w:t>
      </w:r>
      <w:r w:rsidRPr="005B1A16">
        <w:rPr>
          <w:rFonts w:ascii="Book Antiqua" w:hAnsi="Book Antiqua"/>
        </w:rPr>
        <w:t xml:space="preserve"> 2014; </w:t>
      </w:r>
      <w:r w:rsidRPr="005B1A16">
        <w:rPr>
          <w:rFonts w:ascii="Book Antiqua" w:hAnsi="Book Antiqua"/>
          <w:b/>
        </w:rPr>
        <w:t>146</w:t>
      </w:r>
      <w:r w:rsidRPr="005B1A16">
        <w:rPr>
          <w:rFonts w:ascii="Book Antiqua" w:hAnsi="Book Antiqua"/>
        </w:rPr>
        <w:t>: 96-109.e1 [PMID: 23770005 DOI: 10.1053/j.gastro.2013.06.010]</w:t>
      </w:r>
    </w:p>
    <w:p w14:paraId="1EEAA558"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57 </w:t>
      </w:r>
      <w:r w:rsidRPr="005B1A16">
        <w:rPr>
          <w:rFonts w:ascii="Book Antiqua" w:hAnsi="Book Antiqua"/>
          <w:b/>
        </w:rPr>
        <w:t>Taxonera C</w:t>
      </w:r>
      <w:r w:rsidRPr="005B1A16">
        <w:rPr>
          <w:rFonts w:ascii="Book Antiqua" w:hAnsi="Book Antiqua"/>
        </w:rPr>
        <w:t xml:space="preserve">, Rodríguez C, Bertoletti F, Menchén L, Arribas J, Sierra M, Arias L, Martínez-Montiel P, Juan A, Iglesias E, Algaba A, Manceñido N, Rivero M, Barreiro-de Acosta M, López-Serrano P, Argüelles-Arias F, Gutierrez A, Busquets D, Gisbert JP, Olivares D, Calvo M, Alba C; Collaborators. Clinical Outcomes of Golimumab as First, Second or Third Anti-TNF Agent in Patients with Moderate-to-Severe Ulcerative Colitis. </w:t>
      </w:r>
      <w:r w:rsidRPr="005B1A16">
        <w:rPr>
          <w:rFonts w:ascii="Book Antiqua" w:hAnsi="Book Antiqua"/>
          <w:i/>
        </w:rPr>
        <w:t>Inflamm Bowel Dis</w:t>
      </w:r>
      <w:r w:rsidRPr="005B1A16">
        <w:rPr>
          <w:rFonts w:ascii="Book Antiqua" w:hAnsi="Book Antiqua"/>
        </w:rPr>
        <w:t xml:space="preserve"> 2017; </w:t>
      </w:r>
      <w:r w:rsidRPr="005B1A16">
        <w:rPr>
          <w:rFonts w:ascii="Book Antiqua" w:hAnsi="Book Antiqua"/>
          <w:b/>
        </w:rPr>
        <w:t>23</w:t>
      </w:r>
      <w:r w:rsidRPr="005B1A16">
        <w:rPr>
          <w:rFonts w:ascii="Book Antiqua" w:hAnsi="Book Antiqua"/>
        </w:rPr>
        <w:t>: 1394-1402 [PMID: 28671873 DOI: 10.1097/MIB.0000000000001144]</w:t>
      </w:r>
    </w:p>
    <w:p w14:paraId="2AD5D27F"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58 </w:t>
      </w:r>
      <w:r w:rsidRPr="005B1A16">
        <w:rPr>
          <w:rFonts w:ascii="Book Antiqua" w:hAnsi="Book Antiqua"/>
          <w:b/>
        </w:rPr>
        <w:t>Feagan BG</w:t>
      </w:r>
      <w:r w:rsidRPr="005B1A16">
        <w:rPr>
          <w:rFonts w:ascii="Book Antiqua" w:hAnsi="Book Antiqua"/>
        </w:rPr>
        <w:t xml:space="preserve">, Rutgeerts P, Sands BE, Hanauer S, Colombel JF, Sandborn WJ, Van Assche G, Axler J, Kim HJ, Danese S, Fox I, Milch C, Sankoh S, Wyant T, Xu J, Parikh A; GEMINI 1 Study Group. Vedolizumab as induction and maintenance therapy for ulcerative colitis. </w:t>
      </w:r>
      <w:r w:rsidRPr="005B1A16">
        <w:rPr>
          <w:rFonts w:ascii="Book Antiqua" w:hAnsi="Book Antiqua"/>
          <w:i/>
        </w:rPr>
        <w:t>N Engl J Med</w:t>
      </w:r>
      <w:r w:rsidRPr="005B1A16">
        <w:rPr>
          <w:rFonts w:ascii="Book Antiqua" w:hAnsi="Book Antiqua"/>
        </w:rPr>
        <w:t xml:space="preserve"> 2013; </w:t>
      </w:r>
      <w:r w:rsidRPr="005B1A16">
        <w:rPr>
          <w:rFonts w:ascii="Book Antiqua" w:hAnsi="Book Antiqua"/>
          <w:b/>
        </w:rPr>
        <w:t>369</w:t>
      </w:r>
      <w:r w:rsidRPr="005B1A16">
        <w:rPr>
          <w:rFonts w:ascii="Book Antiqua" w:hAnsi="Book Antiqua"/>
        </w:rPr>
        <w:t>: 699-710 [PMID: 23964932 DOI: 10.1056/NEJMoa1215734]</w:t>
      </w:r>
    </w:p>
    <w:p w14:paraId="67F92E72" w14:textId="77777777"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59 </w:t>
      </w:r>
      <w:r w:rsidRPr="005B1A16">
        <w:rPr>
          <w:rFonts w:ascii="Book Antiqua" w:hAnsi="Book Antiqua"/>
          <w:b/>
        </w:rPr>
        <w:t>Sandborn WJ</w:t>
      </w:r>
      <w:r w:rsidRPr="005B1A16">
        <w:rPr>
          <w:rFonts w:ascii="Book Antiqua" w:hAnsi="Book Antiqua"/>
        </w:rPr>
        <w:t xml:space="preserve">, Su C, Sands BE, D'Haens GR, Vermeire S, Schreiber S, Danese S, Feagan BG, Reinisch W, Niezychowski W, Friedman G, Lawendy N, Yu D, Woodworth D, Mukherjee A, Zhang H, Healey P, Panés J; OCTAVE Induction 1, OCTAVE Induction 2, and OCTAVE Sustain Investigators. Tofacitinib as Induction and Maintenance Therapy for Ulcerative Colitis. </w:t>
      </w:r>
      <w:r w:rsidRPr="005B1A16">
        <w:rPr>
          <w:rFonts w:ascii="Book Antiqua" w:hAnsi="Book Antiqua"/>
          <w:i/>
        </w:rPr>
        <w:t>N Engl J Med</w:t>
      </w:r>
      <w:r w:rsidRPr="005B1A16">
        <w:rPr>
          <w:rFonts w:ascii="Book Antiqua" w:hAnsi="Book Antiqua"/>
        </w:rPr>
        <w:t xml:space="preserve"> 2017; </w:t>
      </w:r>
      <w:r w:rsidRPr="005B1A16">
        <w:rPr>
          <w:rFonts w:ascii="Book Antiqua" w:hAnsi="Book Antiqua"/>
          <w:b/>
        </w:rPr>
        <w:t>376</w:t>
      </w:r>
      <w:r w:rsidRPr="005B1A16">
        <w:rPr>
          <w:rFonts w:ascii="Book Antiqua" w:hAnsi="Book Antiqua"/>
        </w:rPr>
        <w:t>: 1723-1736 [PMID: 28467869 DOI: 10.1056/NEJMoa1606910]</w:t>
      </w:r>
    </w:p>
    <w:p w14:paraId="5D77C339"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60 </w:t>
      </w:r>
      <w:r w:rsidRPr="00B45639">
        <w:rPr>
          <w:rFonts w:ascii="Book Antiqua" w:hAnsi="Book Antiqua"/>
          <w:b/>
        </w:rPr>
        <w:t xml:space="preserve">Pfizer. </w:t>
      </w:r>
      <w:r w:rsidRPr="005B1A16">
        <w:rPr>
          <w:rFonts w:ascii="Book Antiqua" w:hAnsi="Book Antiqua"/>
        </w:rPr>
        <w:t>Pfizer Announces Favorable Outcome of FDA Advisory Committee Meeting on Xeljanz® (Tofacitinib) for Moderately to Severely Active Ulcerative Colitis. Available from: URL: https://www.pfizer.com/news/press-release/press-release-detail/pfizer_announces_favorable_outcome_of_fda_advisory_committee_meeting_on_xeljanz_tofacitinib_for_moderately_to_severely_active_ulcerative_colitis</w:t>
      </w:r>
    </w:p>
    <w:p w14:paraId="56894C8E" w14:textId="56F4710C" w:rsidR="005B1A16" w:rsidRPr="005B1A16" w:rsidRDefault="005B1A16" w:rsidP="005B1A16">
      <w:pPr>
        <w:spacing w:line="360" w:lineRule="auto"/>
        <w:jc w:val="both"/>
        <w:rPr>
          <w:rFonts w:ascii="Book Antiqua" w:hAnsi="Book Antiqua"/>
        </w:rPr>
      </w:pPr>
      <w:r w:rsidRPr="005B1A16">
        <w:rPr>
          <w:rFonts w:ascii="Book Antiqua" w:hAnsi="Book Antiqua"/>
        </w:rPr>
        <w:t xml:space="preserve">61 </w:t>
      </w:r>
      <w:r w:rsidR="00B45639" w:rsidRPr="00B45639">
        <w:rPr>
          <w:rFonts w:ascii="Book Antiqua" w:hAnsi="Book Antiqua"/>
          <w:b/>
        </w:rPr>
        <w:t>Food and Drug Administration</w:t>
      </w:r>
      <w:r w:rsidR="00B45639">
        <w:rPr>
          <w:rFonts w:ascii="Book Antiqua" w:eastAsia="SimSun" w:hAnsi="Book Antiqua" w:hint="eastAsia"/>
          <w:lang w:eastAsia="zh-CN"/>
        </w:rPr>
        <w:t>.</w:t>
      </w:r>
      <w:r w:rsidR="00B45639" w:rsidRPr="00B45639">
        <w:rPr>
          <w:rFonts w:ascii="Book Antiqua" w:hAnsi="Book Antiqua"/>
        </w:rPr>
        <w:t xml:space="preserve"> </w:t>
      </w:r>
      <w:r w:rsidRPr="005B1A16">
        <w:rPr>
          <w:rFonts w:ascii="Book Antiqua" w:hAnsi="Book Antiqua"/>
        </w:rPr>
        <w:t>Guidance for industry: quality considerations in demonstrating biosimilarity to a therapeutic protein product to a reference product. Available from: URL: https://www.fda.gov/downloads/drugs/guidances/ucm291134.pdf</w:t>
      </w:r>
    </w:p>
    <w:p w14:paraId="6C4ABE2C"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62 </w:t>
      </w:r>
      <w:r w:rsidRPr="00B45639">
        <w:rPr>
          <w:rFonts w:ascii="Book Antiqua" w:hAnsi="Book Antiqua"/>
          <w:b/>
        </w:rPr>
        <w:t>Health Canada</w:t>
      </w:r>
      <w:r w:rsidRPr="005B1A16">
        <w:rPr>
          <w:rFonts w:ascii="Book Antiqua" w:hAnsi="Book Antiqua"/>
        </w:rPr>
        <w:t>. Patented Medicine Prices Review Board. Market Intelligence Report: Biologic Response Modifier Agents. Available from: URL: http://www.pmprb-cepmb.gc.ca/CMFiles/NPDUIS/PMBRB_16-240_MarketIntelligenceReport_E.pdf</w:t>
      </w:r>
    </w:p>
    <w:p w14:paraId="0A6E8EFB"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63 </w:t>
      </w:r>
      <w:r w:rsidRPr="005B1A16">
        <w:rPr>
          <w:rFonts w:ascii="Book Antiqua" w:hAnsi="Book Antiqua"/>
          <w:b/>
        </w:rPr>
        <w:t>Danese S</w:t>
      </w:r>
      <w:r w:rsidRPr="005B1A16">
        <w:rPr>
          <w:rFonts w:ascii="Book Antiqua" w:hAnsi="Book Antiqua"/>
        </w:rPr>
        <w:t xml:space="preserve">, Bonovas S, Peyrin-Biroulet L. Biosimilars in IBD: from theory to practice. </w:t>
      </w:r>
      <w:r w:rsidRPr="005B1A16">
        <w:rPr>
          <w:rFonts w:ascii="Book Antiqua" w:hAnsi="Book Antiqua"/>
          <w:i/>
        </w:rPr>
        <w:t>Nat Rev Gastroenterol Hepatol</w:t>
      </w:r>
      <w:r w:rsidRPr="005B1A16">
        <w:rPr>
          <w:rFonts w:ascii="Book Antiqua" w:hAnsi="Book Antiqua"/>
        </w:rPr>
        <w:t xml:space="preserve"> 2017; </w:t>
      </w:r>
      <w:r w:rsidRPr="005B1A16">
        <w:rPr>
          <w:rFonts w:ascii="Book Antiqua" w:hAnsi="Book Antiqua"/>
          <w:b/>
        </w:rPr>
        <w:t>14</w:t>
      </w:r>
      <w:r w:rsidRPr="005B1A16">
        <w:rPr>
          <w:rFonts w:ascii="Book Antiqua" w:hAnsi="Book Antiqua"/>
        </w:rPr>
        <w:t>: 22-31 [PMID: 27729659 DOI: 10.1038/nrgastro.2016.155]</w:t>
      </w:r>
    </w:p>
    <w:p w14:paraId="4E6FE35D"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64 </w:t>
      </w:r>
      <w:r w:rsidRPr="005B1A16">
        <w:rPr>
          <w:rFonts w:ascii="Book Antiqua" w:hAnsi="Book Antiqua"/>
          <w:b/>
        </w:rPr>
        <w:t>Park W</w:t>
      </w:r>
      <w:r w:rsidRPr="005B1A16">
        <w:rPr>
          <w:rFonts w:ascii="Book Antiqua" w:hAnsi="Book Antiqua"/>
        </w:rPr>
        <w:t xml:space="preserve">, Hrycaj P, Jeka S, Kovalenko V, Lysenko G, Miranda P, Mikazane H, Gutierrez-Ureña S, Lim M, Lee YA, Lee SJ, Kim H, Yoo DH, Braun J. A randomised, double-blind, multicentre, parallel-group, prospective study comparing the pharmacokinetics, safety, and efficacy of CT-P13 and innovator infliximab in patients with ankylosing spondylitis: the PLANETAS study. </w:t>
      </w:r>
      <w:r w:rsidRPr="005B1A16">
        <w:rPr>
          <w:rFonts w:ascii="Book Antiqua" w:hAnsi="Book Antiqua"/>
          <w:i/>
        </w:rPr>
        <w:t>Ann Rheum Dis</w:t>
      </w:r>
      <w:r w:rsidRPr="005B1A16">
        <w:rPr>
          <w:rFonts w:ascii="Book Antiqua" w:hAnsi="Book Antiqua"/>
        </w:rPr>
        <w:t xml:space="preserve"> 2013; </w:t>
      </w:r>
      <w:r w:rsidRPr="005B1A16">
        <w:rPr>
          <w:rFonts w:ascii="Book Antiqua" w:hAnsi="Book Antiqua"/>
          <w:b/>
        </w:rPr>
        <w:t>72</w:t>
      </w:r>
      <w:r w:rsidRPr="005B1A16">
        <w:rPr>
          <w:rFonts w:ascii="Book Antiqua" w:hAnsi="Book Antiqua"/>
        </w:rPr>
        <w:t>: 1605-1612 [PMID: 23687259 DOI: 10.1136/annrheumdis-2012-203091]</w:t>
      </w:r>
    </w:p>
    <w:p w14:paraId="357238C2"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65 </w:t>
      </w:r>
      <w:r w:rsidRPr="005B1A16">
        <w:rPr>
          <w:rFonts w:ascii="Book Antiqua" w:hAnsi="Book Antiqua"/>
          <w:b/>
        </w:rPr>
        <w:t>Yoo DH</w:t>
      </w:r>
      <w:r w:rsidRPr="005B1A16">
        <w:rPr>
          <w:rFonts w:ascii="Book Antiqua" w:hAnsi="Book Antiqua"/>
        </w:rPr>
        <w:t xml:space="preserve">, Hrycaj P, Miranda P, Ramiterre E, Piotrowski M, Shevchuk S, Kovalenko V, Prodanovic N, Abello-Banfi M, Gutierrez-Ureña S, Morales-Olazabal L, Tee M, Jimenez </w:t>
      </w:r>
      <w:r w:rsidRPr="005B1A16">
        <w:rPr>
          <w:rFonts w:ascii="Book Antiqua" w:hAnsi="Book Antiqua"/>
        </w:rPr>
        <w:lastRenderedPageBreak/>
        <w:t xml:space="preserve">R, Zamani O, Lee SJ, Kim H, Park W, Müller-Ladner U. A randomised, double-blind, parallel-group study to demonstrate equivalence in efficacy and safety of CT-P13 compared with innovator infliximab when coadministered with methotrexate in patients with active rheumatoid arthritis: the PLANETRA study. </w:t>
      </w:r>
      <w:r w:rsidRPr="005B1A16">
        <w:rPr>
          <w:rFonts w:ascii="Book Antiqua" w:hAnsi="Book Antiqua"/>
          <w:i/>
        </w:rPr>
        <w:t>Ann Rheum Dis</w:t>
      </w:r>
      <w:r w:rsidRPr="005B1A16">
        <w:rPr>
          <w:rFonts w:ascii="Book Antiqua" w:hAnsi="Book Antiqua"/>
        </w:rPr>
        <w:t xml:space="preserve"> 2013; </w:t>
      </w:r>
      <w:r w:rsidRPr="005B1A16">
        <w:rPr>
          <w:rFonts w:ascii="Book Antiqua" w:hAnsi="Book Antiqua"/>
          <w:b/>
        </w:rPr>
        <w:t>72</w:t>
      </w:r>
      <w:r w:rsidRPr="005B1A16">
        <w:rPr>
          <w:rFonts w:ascii="Book Antiqua" w:hAnsi="Book Antiqua"/>
        </w:rPr>
        <w:t>: 1613-1620 [PMID: 23687260 DOI: 10.1136/annrheumdis-2012-203090]</w:t>
      </w:r>
    </w:p>
    <w:p w14:paraId="79F8395F" w14:textId="4E2DF553" w:rsidR="005B1A16" w:rsidRPr="005D61B5" w:rsidRDefault="005B1A16" w:rsidP="005B1A16">
      <w:pPr>
        <w:spacing w:line="360" w:lineRule="auto"/>
        <w:jc w:val="both"/>
        <w:rPr>
          <w:rFonts w:ascii="Book Antiqua" w:eastAsia="SimSun" w:hAnsi="Book Antiqua"/>
          <w:lang w:eastAsia="zh-CN"/>
        </w:rPr>
      </w:pPr>
      <w:r w:rsidRPr="005B1A16">
        <w:rPr>
          <w:rFonts w:ascii="Book Antiqua" w:hAnsi="Book Antiqua"/>
        </w:rPr>
        <w:t xml:space="preserve">66 </w:t>
      </w:r>
      <w:r w:rsidRPr="005B1A16">
        <w:rPr>
          <w:rFonts w:ascii="Book Antiqua" w:hAnsi="Book Antiqua"/>
          <w:b/>
        </w:rPr>
        <w:t>Murphy C,</w:t>
      </w:r>
      <w:r w:rsidR="00B45639">
        <w:rPr>
          <w:rFonts w:ascii="Book Antiqua" w:hAnsi="Book Antiqua"/>
        </w:rPr>
        <w:t xml:space="preserve"> </w:t>
      </w:r>
      <w:r w:rsidRPr="005B1A16">
        <w:rPr>
          <w:rFonts w:ascii="Book Antiqua" w:hAnsi="Book Antiqua"/>
        </w:rPr>
        <w:t xml:space="preserve">Sugrue K, Mohamad G, McCarthy J, Buckley M. Biosimilar but not the same. </w:t>
      </w:r>
      <w:r w:rsidRPr="00B45639">
        <w:rPr>
          <w:rFonts w:ascii="Book Antiqua" w:hAnsi="Book Antiqua"/>
          <w:i/>
        </w:rPr>
        <w:t>J Crohns Colitis</w:t>
      </w:r>
      <w:r w:rsidRPr="005B1A16">
        <w:rPr>
          <w:rFonts w:ascii="Book Antiqua" w:hAnsi="Book Antiqua"/>
        </w:rPr>
        <w:t xml:space="preserve"> 2015; </w:t>
      </w:r>
      <w:r w:rsidRPr="00B45639">
        <w:rPr>
          <w:rFonts w:ascii="Book Antiqua" w:hAnsi="Book Antiqua"/>
          <w:b/>
        </w:rPr>
        <w:t>9</w:t>
      </w:r>
      <w:r w:rsidRPr="005B1A16">
        <w:rPr>
          <w:rFonts w:ascii="Book Antiqua" w:hAnsi="Book Antiqua"/>
        </w:rPr>
        <w:t>: S331–S332</w:t>
      </w:r>
      <w:r w:rsidR="005D61B5">
        <w:rPr>
          <w:rFonts w:ascii="Book Antiqua" w:eastAsia="SimSun" w:hAnsi="Book Antiqua" w:hint="eastAsia"/>
          <w:lang w:eastAsia="zh-CN"/>
        </w:rPr>
        <w:t xml:space="preserve"> [DOI: </w:t>
      </w:r>
      <w:r w:rsidR="005D61B5" w:rsidRPr="005D61B5">
        <w:rPr>
          <w:rFonts w:ascii="Book Antiqua" w:eastAsia="SimSun" w:hAnsi="Book Antiqua"/>
          <w:lang w:eastAsia="zh-CN"/>
        </w:rPr>
        <w:t>10.1093/ecco-jcc/jju027.623</w:t>
      </w:r>
      <w:r w:rsidR="005D61B5">
        <w:rPr>
          <w:rFonts w:ascii="Book Antiqua" w:eastAsia="SimSun" w:hAnsi="Book Antiqua" w:hint="eastAsia"/>
          <w:lang w:eastAsia="zh-CN"/>
        </w:rPr>
        <w:t>]</w:t>
      </w:r>
    </w:p>
    <w:p w14:paraId="42BDFBFB"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67 </w:t>
      </w:r>
      <w:r w:rsidRPr="005B1A16">
        <w:rPr>
          <w:rFonts w:ascii="Book Antiqua" w:hAnsi="Book Antiqua"/>
          <w:b/>
        </w:rPr>
        <w:t>Jung YS</w:t>
      </w:r>
      <w:r w:rsidRPr="005B1A16">
        <w:rPr>
          <w:rFonts w:ascii="Book Antiqua" w:hAnsi="Book Antiqua"/>
        </w:rPr>
        <w:t xml:space="preserve">, Park DI, Kim YH, Lee JH, Seo PJ, Cheon JH, Kang HW, Kim JW. Efficacy and safety of CT-P13, a biosimilar of infliximab, in patients with inflammatory bowel disease: A retrospective multicenter study. </w:t>
      </w:r>
      <w:r w:rsidRPr="005B1A16">
        <w:rPr>
          <w:rFonts w:ascii="Book Antiqua" w:hAnsi="Book Antiqua"/>
          <w:i/>
        </w:rPr>
        <w:t>J Gastroenterol Hepatol</w:t>
      </w:r>
      <w:r w:rsidRPr="005B1A16">
        <w:rPr>
          <w:rFonts w:ascii="Book Antiqua" w:hAnsi="Book Antiqua"/>
        </w:rPr>
        <w:t xml:space="preserve"> 2015; </w:t>
      </w:r>
      <w:r w:rsidRPr="005B1A16">
        <w:rPr>
          <w:rFonts w:ascii="Book Antiqua" w:hAnsi="Book Antiqua"/>
          <w:b/>
        </w:rPr>
        <w:t>30</w:t>
      </w:r>
      <w:r w:rsidRPr="005B1A16">
        <w:rPr>
          <w:rFonts w:ascii="Book Antiqua" w:hAnsi="Book Antiqua"/>
        </w:rPr>
        <w:t>: 1705-1712 [PMID: 25974251 DOI: 10.1111/jgh.12997]</w:t>
      </w:r>
    </w:p>
    <w:p w14:paraId="0D789970"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68 </w:t>
      </w:r>
      <w:r w:rsidRPr="005B1A16">
        <w:rPr>
          <w:rFonts w:ascii="Book Antiqua" w:hAnsi="Book Antiqua"/>
          <w:b/>
        </w:rPr>
        <w:t>Kang YS</w:t>
      </w:r>
      <w:r w:rsidRPr="005B1A16">
        <w:rPr>
          <w:rFonts w:ascii="Book Antiqua" w:hAnsi="Book Antiqua"/>
        </w:rPr>
        <w:t xml:space="preserve">, Moon HH, Lee SE, Lim YJ, Kang HW. Clinical Experience of the Use of CT-P13, a Biosimilar to Infliximab in Patients with Inflammatory Bowel Disease: A Case Series. </w:t>
      </w:r>
      <w:r w:rsidRPr="005B1A16">
        <w:rPr>
          <w:rFonts w:ascii="Book Antiqua" w:hAnsi="Book Antiqua"/>
          <w:i/>
        </w:rPr>
        <w:t>Dig Dis Sci</w:t>
      </w:r>
      <w:r w:rsidRPr="005B1A16">
        <w:rPr>
          <w:rFonts w:ascii="Book Antiqua" w:hAnsi="Book Antiqua"/>
        </w:rPr>
        <w:t xml:space="preserve"> 2015; </w:t>
      </w:r>
      <w:r w:rsidRPr="005B1A16">
        <w:rPr>
          <w:rFonts w:ascii="Book Antiqua" w:hAnsi="Book Antiqua"/>
          <w:b/>
        </w:rPr>
        <w:t>60</w:t>
      </w:r>
      <w:r w:rsidRPr="005B1A16">
        <w:rPr>
          <w:rFonts w:ascii="Book Antiqua" w:hAnsi="Book Antiqua"/>
        </w:rPr>
        <w:t>: 951-956 [PMID: 25326115 DOI: 10.1007/s10620-014-3392-z]</w:t>
      </w:r>
    </w:p>
    <w:p w14:paraId="66A31B94"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69 </w:t>
      </w:r>
      <w:r w:rsidRPr="005B1A16">
        <w:rPr>
          <w:rFonts w:ascii="Book Antiqua" w:hAnsi="Book Antiqua"/>
          <w:b/>
        </w:rPr>
        <w:t>Gecse KB</w:t>
      </w:r>
      <w:r w:rsidRPr="005B1A16">
        <w:rPr>
          <w:rFonts w:ascii="Book Antiqua" w:hAnsi="Book Antiqua"/>
        </w:rPr>
        <w:t xml:space="preserve">, Lovász BD, Farkas K, Banai J, Bene L, Gasztonyi B, Golovics PA, Kristóf T, Lakatos L, Csontos ÁA, Juhász M, Nagy F, Palatka K, Papp M, Patai Á, Lakner L, Salamon Á, Szamosi T, Szepes Z, Tóth GT, Vincze Á, Szalay B, Molnár T, Lakatos PL. Efficacy and Safety of the Biosimilar Infliximab CT-P13 Treatment in Inflammatory Bowel Diseases: A Prospective, Multicentre, Nationwide Cohort. </w:t>
      </w:r>
      <w:r w:rsidRPr="005B1A16">
        <w:rPr>
          <w:rFonts w:ascii="Book Antiqua" w:hAnsi="Book Antiqua"/>
          <w:i/>
        </w:rPr>
        <w:t>J Crohns Colitis</w:t>
      </w:r>
      <w:r w:rsidRPr="005B1A16">
        <w:rPr>
          <w:rFonts w:ascii="Book Antiqua" w:hAnsi="Book Antiqua"/>
        </w:rPr>
        <w:t xml:space="preserve"> 2016; </w:t>
      </w:r>
      <w:r w:rsidRPr="005B1A16">
        <w:rPr>
          <w:rFonts w:ascii="Book Antiqua" w:hAnsi="Book Antiqua"/>
          <w:b/>
        </w:rPr>
        <w:t>10</w:t>
      </w:r>
      <w:r w:rsidRPr="005B1A16">
        <w:rPr>
          <w:rFonts w:ascii="Book Antiqua" w:hAnsi="Book Antiqua"/>
        </w:rPr>
        <w:t>: 133-140 [PMID: 26661272 DOI: 10.1093/ecco-jcc/jjv220]</w:t>
      </w:r>
    </w:p>
    <w:p w14:paraId="1A65D7F5"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70 </w:t>
      </w:r>
      <w:r w:rsidRPr="005B1A16">
        <w:rPr>
          <w:rFonts w:ascii="Book Antiqua" w:hAnsi="Book Antiqua"/>
          <w:b/>
        </w:rPr>
        <w:t>Fiorino G</w:t>
      </w:r>
      <w:r w:rsidRPr="005B1A16">
        <w:rPr>
          <w:rFonts w:ascii="Book Antiqua" w:hAnsi="Book Antiqua"/>
        </w:rPr>
        <w:t>, Manetti N, Armuzzi A, Orlando A, Variola A, Bonovas S, Bossa F, Maconi G, D</w:t>
      </w:r>
      <w:r w:rsidRPr="005B1A16">
        <w:rPr>
          <w:rFonts w:ascii="Cambria Math" w:hAnsi="Cambria Math" w:cs="Cambria Math"/>
        </w:rPr>
        <w:t>ʼ</w:t>
      </w:r>
      <w:r w:rsidRPr="005B1A16">
        <w:rPr>
          <w:rFonts w:ascii="Book Antiqua" w:hAnsi="Book Antiqua"/>
        </w:rPr>
        <w:t>Inc</w:t>
      </w:r>
      <w:r w:rsidRPr="005B1A16">
        <w:rPr>
          <w:rFonts w:ascii="Book Antiqua" w:hAnsi="Book Antiqua" w:cs="Book Antiqua"/>
        </w:rPr>
        <w:t>à</w:t>
      </w:r>
      <w:r w:rsidRPr="005B1A16">
        <w:rPr>
          <w:rFonts w:ascii="Book Antiqua" w:hAnsi="Book Antiqua"/>
        </w:rPr>
        <w:t xml:space="preserve"> R, Lionetti P, Cantoro L, Fries W, Annunziata ML, Costa F, Terpin MM, Biancone L, Cortelezzi CC, Amato A, Ardizzone S, Danese S, Guidi L, Rizzuto G, Massella A, Andriulli A, Massari A, Lorenzon G, Ghione S, Kohn A, Ventra A, Annese V; PROSIT-BIO Cohort. The PROSIT-BIO Cohort: A Prospective Observational Study of Patients with Inflammatory Bowel Disease Treated with Infliximab Biosimilar. </w:t>
      </w:r>
      <w:r w:rsidRPr="005B1A16">
        <w:rPr>
          <w:rFonts w:ascii="Book Antiqua" w:hAnsi="Book Antiqua"/>
          <w:i/>
        </w:rPr>
        <w:t>Inflamm Bowel Dis</w:t>
      </w:r>
      <w:r w:rsidRPr="005B1A16">
        <w:rPr>
          <w:rFonts w:ascii="Book Antiqua" w:hAnsi="Book Antiqua"/>
        </w:rPr>
        <w:t xml:space="preserve"> 2017; </w:t>
      </w:r>
      <w:r w:rsidRPr="005B1A16">
        <w:rPr>
          <w:rFonts w:ascii="Book Antiqua" w:hAnsi="Book Antiqua"/>
          <w:b/>
        </w:rPr>
        <w:t>23</w:t>
      </w:r>
      <w:r w:rsidRPr="005B1A16">
        <w:rPr>
          <w:rFonts w:ascii="Book Antiqua" w:hAnsi="Book Antiqua"/>
        </w:rPr>
        <w:t>: 233-243 [PMID: 28092307 DOI: 10.1097/MIB.0000000000000995]</w:t>
      </w:r>
    </w:p>
    <w:p w14:paraId="501A87A7"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71 </w:t>
      </w:r>
      <w:r w:rsidRPr="005B1A16">
        <w:rPr>
          <w:rFonts w:ascii="Book Antiqua" w:hAnsi="Book Antiqua"/>
          <w:b/>
        </w:rPr>
        <w:t>Danese S</w:t>
      </w:r>
      <w:r w:rsidRPr="005B1A16">
        <w:rPr>
          <w:rFonts w:ascii="Book Antiqua" w:hAnsi="Book Antiqua"/>
        </w:rPr>
        <w:t xml:space="preserve">, Fiorino G, Raine T, Ferrante M, Kemp K, Kierkus J, Lakatos PL, Mantzaris G, van der Woude J, Panes J, Peyrin-Biroulet L. ECCO Position Statement on the Use of </w:t>
      </w:r>
      <w:r w:rsidRPr="005B1A16">
        <w:rPr>
          <w:rFonts w:ascii="Book Antiqua" w:hAnsi="Book Antiqua"/>
        </w:rPr>
        <w:lastRenderedPageBreak/>
        <w:t xml:space="preserve">Biosimilars for Inflammatory Bowel Disease-An Update. </w:t>
      </w:r>
      <w:r w:rsidRPr="005B1A16">
        <w:rPr>
          <w:rFonts w:ascii="Book Antiqua" w:hAnsi="Book Antiqua"/>
          <w:i/>
        </w:rPr>
        <w:t>J Crohns Colitis</w:t>
      </w:r>
      <w:r w:rsidRPr="005B1A16">
        <w:rPr>
          <w:rFonts w:ascii="Book Antiqua" w:hAnsi="Book Antiqua"/>
        </w:rPr>
        <w:t xml:space="preserve"> 2017; </w:t>
      </w:r>
      <w:r w:rsidRPr="005B1A16">
        <w:rPr>
          <w:rFonts w:ascii="Book Antiqua" w:hAnsi="Book Antiqua"/>
          <w:b/>
        </w:rPr>
        <w:t>11</w:t>
      </w:r>
      <w:r w:rsidRPr="005B1A16">
        <w:rPr>
          <w:rFonts w:ascii="Book Antiqua" w:hAnsi="Book Antiqua"/>
        </w:rPr>
        <w:t>: 26-34 [PMID: 27927718 DOI: 10.1093/ecco-jcc/jjw198]</w:t>
      </w:r>
    </w:p>
    <w:p w14:paraId="24D2ED9B" w14:textId="18783662" w:rsidR="005B1A16" w:rsidRPr="0063428B" w:rsidRDefault="005B1A16" w:rsidP="005B1A16">
      <w:pPr>
        <w:spacing w:line="360" w:lineRule="auto"/>
        <w:jc w:val="both"/>
        <w:rPr>
          <w:rFonts w:ascii="Book Antiqua" w:eastAsia="SimSun" w:hAnsi="Book Antiqua"/>
          <w:lang w:eastAsia="zh-CN"/>
        </w:rPr>
      </w:pPr>
      <w:r w:rsidRPr="005B1A16">
        <w:rPr>
          <w:rFonts w:ascii="Book Antiqua" w:hAnsi="Book Antiqua"/>
        </w:rPr>
        <w:t>72</w:t>
      </w:r>
      <w:r w:rsidRPr="005B1A16">
        <w:rPr>
          <w:rFonts w:ascii="Book Antiqua" w:hAnsi="Book Antiqua"/>
          <w:b/>
        </w:rPr>
        <w:t xml:space="preserve"> Kim</w:t>
      </w:r>
      <w:r w:rsidR="0063428B">
        <w:rPr>
          <w:rFonts w:ascii="Book Antiqua" w:eastAsia="SimSun" w:hAnsi="Book Antiqua" w:hint="eastAsia"/>
          <w:b/>
          <w:lang w:eastAsia="zh-CN"/>
        </w:rPr>
        <w:t xml:space="preserve"> YH</w:t>
      </w:r>
      <w:r w:rsidRPr="005B1A16">
        <w:rPr>
          <w:rFonts w:ascii="Book Antiqua" w:hAnsi="Book Antiqua"/>
          <w:b/>
        </w:rPr>
        <w:t>,</w:t>
      </w:r>
      <w:r w:rsidRPr="005B1A16">
        <w:rPr>
          <w:rFonts w:ascii="Book Antiqua" w:hAnsi="Book Antiqua"/>
        </w:rPr>
        <w:t xml:space="preserve"> Ye</w:t>
      </w:r>
      <w:r w:rsidR="0063428B">
        <w:rPr>
          <w:rFonts w:ascii="Book Antiqua" w:eastAsia="SimSun" w:hAnsi="Book Antiqua" w:hint="eastAsia"/>
          <w:lang w:eastAsia="zh-CN"/>
        </w:rPr>
        <w:t xml:space="preserve"> BD</w:t>
      </w:r>
      <w:r w:rsidRPr="005B1A16">
        <w:rPr>
          <w:rFonts w:ascii="Book Antiqua" w:hAnsi="Book Antiqua"/>
        </w:rPr>
        <w:t>, Pesegova</w:t>
      </w:r>
      <w:r w:rsidR="0063428B">
        <w:rPr>
          <w:rFonts w:ascii="Book Antiqua" w:eastAsia="SimSun" w:hAnsi="Book Antiqua" w:hint="eastAsia"/>
          <w:lang w:eastAsia="zh-CN"/>
        </w:rPr>
        <w:t xml:space="preserve"> M</w:t>
      </w:r>
      <w:r w:rsidRPr="005B1A16">
        <w:rPr>
          <w:rFonts w:ascii="Book Antiqua" w:hAnsi="Book Antiqua"/>
        </w:rPr>
        <w:t>, Alexeeva</w:t>
      </w:r>
      <w:r w:rsidR="0063428B">
        <w:rPr>
          <w:rFonts w:ascii="Book Antiqua" w:eastAsia="SimSun" w:hAnsi="Book Antiqua" w:hint="eastAsia"/>
          <w:lang w:eastAsia="zh-CN"/>
        </w:rPr>
        <w:t xml:space="preserve"> O</w:t>
      </w:r>
      <w:r w:rsidRPr="005B1A16">
        <w:rPr>
          <w:rFonts w:ascii="Book Antiqua" w:hAnsi="Book Antiqua"/>
        </w:rPr>
        <w:t>, Osipenko</w:t>
      </w:r>
      <w:r w:rsidR="0063428B">
        <w:rPr>
          <w:rFonts w:ascii="Book Antiqua" w:eastAsia="SimSun" w:hAnsi="Book Antiqua" w:hint="eastAsia"/>
          <w:lang w:eastAsia="zh-CN"/>
        </w:rPr>
        <w:t xml:space="preserve"> M</w:t>
      </w:r>
      <w:r w:rsidRPr="005B1A16">
        <w:rPr>
          <w:rFonts w:ascii="Book Antiqua" w:hAnsi="Book Antiqua"/>
        </w:rPr>
        <w:t>, Lahat</w:t>
      </w:r>
      <w:r w:rsidR="0063428B">
        <w:rPr>
          <w:rFonts w:ascii="Book Antiqua" w:eastAsia="SimSun" w:hAnsi="Book Antiqua" w:hint="eastAsia"/>
          <w:lang w:eastAsia="zh-CN"/>
        </w:rPr>
        <w:t xml:space="preserve"> A</w:t>
      </w:r>
      <w:r w:rsidRPr="005B1A16">
        <w:rPr>
          <w:rFonts w:ascii="Book Antiqua" w:hAnsi="Book Antiqua"/>
        </w:rPr>
        <w:t>, Dorofeyev</w:t>
      </w:r>
      <w:r w:rsidR="0063428B">
        <w:rPr>
          <w:rFonts w:ascii="Book Antiqua" w:eastAsia="SimSun" w:hAnsi="Book Antiqua" w:hint="eastAsia"/>
          <w:lang w:eastAsia="zh-CN"/>
        </w:rPr>
        <w:t xml:space="preserve"> A</w:t>
      </w:r>
      <w:r w:rsidRPr="005B1A16">
        <w:rPr>
          <w:rFonts w:ascii="Book Antiqua" w:hAnsi="Book Antiqua"/>
        </w:rPr>
        <w:t>, Salamon</w:t>
      </w:r>
      <w:r w:rsidR="0063428B">
        <w:rPr>
          <w:rFonts w:ascii="Book Antiqua" w:eastAsia="SimSun" w:hAnsi="Book Antiqua" w:hint="eastAsia"/>
          <w:lang w:eastAsia="zh-CN"/>
        </w:rPr>
        <w:t xml:space="preserve"> A</w:t>
      </w:r>
      <w:r w:rsidRPr="005B1A16">
        <w:rPr>
          <w:rFonts w:ascii="Book Antiqua" w:hAnsi="Book Antiqua"/>
        </w:rPr>
        <w:t>, Fishman</w:t>
      </w:r>
      <w:r w:rsidR="0063428B">
        <w:rPr>
          <w:rFonts w:ascii="Book Antiqua" w:eastAsia="SimSun" w:hAnsi="Book Antiqua" w:hint="eastAsia"/>
          <w:lang w:eastAsia="zh-CN"/>
        </w:rPr>
        <w:t xml:space="preserve"> S</w:t>
      </w:r>
      <w:r w:rsidRPr="005B1A16">
        <w:rPr>
          <w:rFonts w:ascii="Book Antiqua" w:hAnsi="Book Antiqua"/>
        </w:rPr>
        <w:t>, Levchenko</w:t>
      </w:r>
      <w:r w:rsidR="0063428B">
        <w:rPr>
          <w:rFonts w:ascii="Book Antiqua" w:eastAsia="SimSun" w:hAnsi="Book Antiqua" w:hint="eastAsia"/>
          <w:lang w:eastAsia="zh-CN"/>
        </w:rPr>
        <w:t xml:space="preserve"> O</w:t>
      </w:r>
      <w:r w:rsidRPr="005B1A16">
        <w:rPr>
          <w:rFonts w:ascii="Book Antiqua" w:hAnsi="Book Antiqua"/>
        </w:rPr>
        <w:t>, Cheon</w:t>
      </w:r>
      <w:r w:rsidR="0063428B">
        <w:rPr>
          <w:rFonts w:ascii="Book Antiqua" w:eastAsia="SimSun" w:hAnsi="Book Antiqua" w:hint="eastAsia"/>
          <w:lang w:eastAsia="zh-CN"/>
        </w:rPr>
        <w:t xml:space="preserve"> JH</w:t>
      </w:r>
      <w:r w:rsidRPr="005B1A16">
        <w:rPr>
          <w:rFonts w:ascii="Book Antiqua" w:hAnsi="Book Antiqua"/>
        </w:rPr>
        <w:t>, Scribano</w:t>
      </w:r>
      <w:r w:rsidR="0063428B">
        <w:rPr>
          <w:rFonts w:ascii="Book Antiqua" w:eastAsia="SimSun" w:hAnsi="Book Antiqua" w:hint="eastAsia"/>
          <w:lang w:eastAsia="zh-CN"/>
        </w:rPr>
        <w:t xml:space="preserve"> ML</w:t>
      </w:r>
      <w:r w:rsidRPr="005B1A16">
        <w:rPr>
          <w:rFonts w:ascii="Book Antiqua" w:hAnsi="Book Antiqua"/>
        </w:rPr>
        <w:t>, Mateescu</w:t>
      </w:r>
      <w:r w:rsidR="0063428B">
        <w:rPr>
          <w:rFonts w:ascii="Book Antiqua" w:eastAsia="SimSun" w:hAnsi="Book Antiqua" w:hint="eastAsia"/>
          <w:lang w:eastAsia="zh-CN"/>
        </w:rPr>
        <w:t xml:space="preserve"> RB</w:t>
      </w:r>
      <w:r w:rsidRPr="005B1A16">
        <w:rPr>
          <w:rFonts w:ascii="Book Antiqua" w:hAnsi="Book Antiqua"/>
        </w:rPr>
        <w:t>, Lee</w:t>
      </w:r>
      <w:r w:rsidR="0063428B">
        <w:rPr>
          <w:rFonts w:ascii="Book Antiqua" w:eastAsia="SimSun" w:hAnsi="Book Antiqua" w:hint="eastAsia"/>
          <w:lang w:eastAsia="zh-CN"/>
        </w:rPr>
        <w:t xml:space="preserve"> KM</w:t>
      </w:r>
      <w:r w:rsidRPr="005B1A16">
        <w:rPr>
          <w:rFonts w:ascii="Book Antiqua" w:hAnsi="Book Antiqua"/>
        </w:rPr>
        <w:t>, Eun</w:t>
      </w:r>
      <w:r w:rsidR="0063428B">
        <w:rPr>
          <w:rFonts w:ascii="Book Antiqua" w:eastAsia="SimSun" w:hAnsi="Book Antiqua" w:hint="eastAsia"/>
          <w:lang w:eastAsia="zh-CN"/>
        </w:rPr>
        <w:t xml:space="preserve"> CS</w:t>
      </w:r>
      <w:r w:rsidRPr="005B1A16">
        <w:rPr>
          <w:rFonts w:ascii="Book Antiqua" w:hAnsi="Book Antiqua"/>
        </w:rPr>
        <w:t>, Lee</w:t>
      </w:r>
      <w:r w:rsidR="0063428B">
        <w:rPr>
          <w:rFonts w:ascii="Book Antiqua" w:eastAsia="SimSun" w:hAnsi="Book Antiqua" w:hint="eastAsia"/>
          <w:lang w:eastAsia="zh-CN"/>
        </w:rPr>
        <w:t xml:space="preserve"> SJ</w:t>
      </w:r>
      <w:r w:rsidRPr="005B1A16">
        <w:rPr>
          <w:rFonts w:ascii="Book Antiqua" w:hAnsi="Book Antiqua"/>
        </w:rPr>
        <w:t>, Lee</w:t>
      </w:r>
      <w:r w:rsidR="0063428B">
        <w:rPr>
          <w:rFonts w:ascii="Book Antiqua" w:eastAsia="SimSun" w:hAnsi="Book Antiqua" w:hint="eastAsia"/>
          <w:lang w:eastAsia="zh-CN"/>
        </w:rPr>
        <w:t xml:space="preserve"> SY</w:t>
      </w:r>
      <w:r w:rsidRPr="005B1A16">
        <w:rPr>
          <w:rFonts w:ascii="Book Antiqua" w:hAnsi="Book Antiqua"/>
        </w:rPr>
        <w:t>, Kudrin</w:t>
      </w:r>
      <w:r w:rsidR="0063428B">
        <w:rPr>
          <w:rFonts w:ascii="Book Antiqua" w:eastAsia="SimSun" w:hAnsi="Book Antiqua" w:hint="eastAsia"/>
          <w:lang w:eastAsia="zh-CN"/>
        </w:rPr>
        <w:t xml:space="preserve"> A</w:t>
      </w:r>
      <w:r w:rsidRPr="005B1A16">
        <w:rPr>
          <w:rFonts w:ascii="Book Antiqua" w:hAnsi="Book Antiqua"/>
        </w:rPr>
        <w:t>.</w:t>
      </w:r>
      <w:r w:rsidR="0063428B" w:rsidRPr="005B1A16">
        <w:rPr>
          <w:rFonts w:ascii="Book Antiqua" w:hAnsi="Book Antiqua"/>
        </w:rPr>
        <w:t xml:space="preserve"> Phase III Randomized Controlled Trial to Compare Biosimilar Infliximab (Ct-P13) With Innovator Infliximab in Patients With Active Crohn’s Disease: 1-Year Maintenance and Switching Results</w:t>
      </w:r>
      <w:r w:rsidR="008F348D">
        <w:rPr>
          <w:rFonts w:ascii="Book Antiqua" w:hAnsi="Book Antiqua"/>
        </w:rPr>
        <w:t>.</w:t>
      </w:r>
      <w:r w:rsidR="008F348D">
        <w:rPr>
          <w:rFonts w:ascii="Book Antiqua" w:eastAsia="SimSun" w:hAnsi="Book Antiqua" w:hint="eastAsia"/>
          <w:lang w:eastAsia="zh-CN"/>
        </w:rPr>
        <w:t xml:space="preserve"> </w:t>
      </w:r>
      <w:r w:rsidR="0063428B" w:rsidRPr="0063428B">
        <w:rPr>
          <w:rFonts w:ascii="Book Antiqua" w:hAnsi="Book Antiqua"/>
          <w:i/>
        </w:rPr>
        <w:t>United European Gastroenterol J</w:t>
      </w:r>
      <w:r w:rsidR="0063428B">
        <w:rPr>
          <w:rFonts w:ascii="Book Antiqua" w:eastAsia="SimSun" w:hAnsi="Book Antiqua" w:hint="eastAsia"/>
          <w:lang w:eastAsia="zh-CN"/>
        </w:rPr>
        <w:t xml:space="preserve"> </w:t>
      </w:r>
      <w:r w:rsidR="0063428B" w:rsidRPr="0063428B">
        <w:rPr>
          <w:rFonts w:ascii="Book Antiqua" w:eastAsia="SimSun" w:hAnsi="Book Antiqua" w:hint="eastAsia"/>
          <w:lang w:eastAsia="zh-CN"/>
        </w:rPr>
        <w:t xml:space="preserve">2017; </w:t>
      </w:r>
      <w:r w:rsidR="0063428B" w:rsidRPr="0063428B">
        <w:rPr>
          <w:rFonts w:ascii="Book Antiqua" w:eastAsia="SimSun" w:hAnsi="Book Antiqua" w:hint="eastAsia"/>
          <w:b/>
          <w:lang w:eastAsia="zh-CN"/>
        </w:rPr>
        <w:t>5</w:t>
      </w:r>
      <w:r w:rsidR="0063428B">
        <w:rPr>
          <w:rFonts w:ascii="Book Antiqua" w:eastAsia="SimSun" w:hAnsi="Book Antiqua" w:hint="eastAsia"/>
          <w:lang w:eastAsia="zh-CN"/>
        </w:rPr>
        <w:t>: Abstract</w:t>
      </w:r>
    </w:p>
    <w:p w14:paraId="4AF22847"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73 </w:t>
      </w:r>
      <w:r w:rsidRPr="005B1A16">
        <w:rPr>
          <w:rFonts w:ascii="Book Antiqua" w:hAnsi="Book Antiqua"/>
          <w:b/>
        </w:rPr>
        <w:t>Jørgensen KK</w:t>
      </w:r>
      <w:r w:rsidRPr="005B1A16">
        <w:rPr>
          <w:rFonts w:ascii="Book Antiqua" w:hAnsi="Book Antiqua"/>
        </w:rPr>
        <w:t xml:space="preserve">, Olsen IC, Goll GL, Lorentzen M, Bolstad N, Haavardsholm EA, Lundin KEA, Mørk C, Jahnsen J, Kvien TK; NOR-SWITCH study group. Switching from originator infliximab to biosimilar CT-P13 compared with maintained treatment with originator infliximab (NOR-SWITCH): a 52-week, randomised, double-blind, non-inferiority trial. </w:t>
      </w:r>
      <w:r w:rsidRPr="005B1A16">
        <w:rPr>
          <w:rFonts w:ascii="Book Antiqua" w:hAnsi="Book Antiqua"/>
          <w:i/>
        </w:rPr>
        <w:t>Lancet</w:t>
      </w:r>
      <w:r w:rsidRPr="005B1A16">
        <w:rPr>
          <w:rFonts w:ascii="Book Antiqua" w:hAnsi="Book Antiqua"/>
        </w:rPr>
        <w:t xml:space="preserve"> 2017; </w:t>
      </w:r>
      <w:r w:rsidRPr="005B1A16">
        <w:rPr>
          <w:rFonts w:ascii="Book Antiqua" w:hAnsi="Book Antiqua"/>
          <w:b/>
        </w:rPr>
        <w:t>389</w:t>
      </w:r>
      <w:r w:rsidRPr="005B1A16">
        <w:rPr>
          <w:rFonts w:ascii="Book Antiqua" w:hAnsi="Book Antiqua"/>
        </w:rPr>
        <w:t>: 2304-2316 [PMID: 28502609 DOI: 10.1016/S0140-6736(17)30068-5]</w:t>
      </w:r>
    </w:p>
    <w:p w14:paraId="470004E2"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74 </w:t>
      </w:r>
      <w:r w:rsidRPr="005B1A16">
        <w:rPr>
          <w:rFonts w:ascii="Book Antiqua" w:hAnsi="Book Antiqua"/>
          <w:b/>
        </w:rPr>
        <w:t>Ben-Horin S</w:t>
      </w:r>
      <w:r w:rsidRPr="005B1A16">
        <w:rPr>
          <w:rFonts w:ascii="Book Antiqua" w:hAnsi="Book Antiqua"/>
        </w:rPr>
        <w:t xml:space="preserve">, Yavzori M, Benhar I, Fudim E, Picard O, Ungar B, Lee S, Kim S, Eliakim R, Chowers Y. Cross-immunogenicity: antibodies to infliximab in Remicade-treated patients with IBD similarly recognise the biosimilar Remsima. </w:t>
      </w:r>
      <w:r w:rsidRPr="005B1A16">
        <w:rPr>
          <w:rFonts w:ascii="Book Antiqua" w:hAnsi="Book Antiqua"/>
          <w:i/>
        </w:rPr>
        <w:t>Gut</w:t>
      </w:r>
      <w:r w:rsidRPr="005B1A16">
        <w:rPr>
          <w:rFonts w:ascii="Book Antiqua" w:hAnsi="Book Antiqua"/>
        </w:rPr>
        <w:t xml:space="preserve"> 2016; </w:t>
      </w:r>
      <w:r w:rsidRPr="005B1A16">
        <w:rPr>
          <w:rFonts w:ascii="Book Antiqua" w:hAnsi="Book Antiqua"/>
          <w:b/>
        </w:rPr>
        <w:t>65</w:t>
      </w:r>
      <w:r w:rsidRPr="005B1A16">
        <w:rPr>
          <w:rFonts w:ascii="Book Antiqua" w:hAnsi="Book Antiqua"/>
        </w:rPr>
        <w:t>: 1132-1138 [PMID: 25897019 DOI: 10.1136/gutjnl-2015-309290]</w:t>
      </w:r>
    </w:p>
    <w:p w14:paraId="66C82AD1"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75 </w:t>
      </w:r>
      <w:r w:rsidRPr="005B1A16">
        <w:rPr>
          <w:rFonts w:ascii="Book Antiqua" w:hAnsi="Book Antiqua"/>
          <w:b/>
        </w:rPr>
        <w:t>Gils A</w:t>
      </w:r>
      <w:r w:rsidRPr="005B1A16">
        <w:rPr>
          <w:rFonts w:ascii="Book Antiqua" w:hAnsi="Book Antiqua"/>
        </w:rPr>
        <w:t xml:space="preserve">, Van Stappen T, Dreesen E, Storme R, Vermeire S, Declerck PJ. Harmonization of Infliximab and Anti-Infliximab Assays Facilitates the Comparison Between Originators and Biosimilars in Clinical Samples. </w:t>
      </w:r>
      <w:r w:rsidRPr="005B1A16">
        <w:rPr>
          <w:rFonts w:ascii="Book Antiqua" w:hAnsi="Book Antiqua"/>
          <w:i/>
        </w:rPr>
        <w:t>Inflamm Bowel Dis</w:t>
      </w:r>
      <w:r w:rsidRPr="005B1A16">
        <w:rPr>
          <w:rFonts w:ascii="Book Antiqua" w:hAnsi="Book Antiqua"/>
        </w:rPr>
        <w:t xml:space="preserve"> 2016; </w:t>
      </w:r>
      <w:r w:rsidRPr="005B1A16">
        <w:rPr>
          <w:rFonts w:ascii="Book Antiqua" w:hAnsi="Book Antiqua"/>
          <w:b/>
        </w:rPr>
        <w:t>22</w:t>
      </w:r>
      <w:r w:rsidRPr="005B1A16">
        <w:rPr>
          <w:rFonts w:ascii="Book Antiqua" w:hAnsi="Book Antiqua"/>
        </w:rPr>
        <w:t>: 969-975 [PMID: 26954707 DOI: 10.1097/MIB.0000000000000709]</w:t>
      </w:r>
    </w:p>
    <w:p w14:paraId="281F702A"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76 </w:t>
      </w:r>
      <w:r w:rsidRPr="005B1A16">
        <w:rPr>
          <w:rFonts w:ascii="Book Antiqua" w:hAnsi="Book Antiqua"/>
          <w:b/>
        </w:rPr>
        <w:t>Mao EJ</w:t>
      </w:r>
      <w:r w:rsidRPr="005B1A16">
        <w:rPr>
          <w:rFonts w:ascii="Book Antiqua" w:hAnsi="Book Antiqua"/>
        </w:rPr>
        <w:t xml:space="preserve">, Hazlewood GS, Kaplan GG, Peyrin-Biroulet L, Ananthakrishnan AN. Systematic review with meta-analysis: comparative efficacy of immunosuppressants and biologics for reducing hospitalisation and surgery in Crohn's disease and ulcerative colitis. </w:t>
      </w:r>
      <w:r w:rsidRPr="005B1A16">
        <w:rPr>
          <w:rFonts w:ascii="Book Antiqua" w:hAnsi="Book Antiqua"/>
          <w:i/>
        </w:rPr>
        <w:t>Aliment Pharmacol Ther</w:t>
      </w:r>
      <w:r w:rsidRPr="005B1A16">
        <w:rPr>
          <w:rFonts w:ascii="Book Antiqua" w:hAnsi="Book Antiqua"/>
        </w:rPr>
        <w:t xml:space="preserve"> 2017; </w:t>
      </w:r>
      <w:r w:rsidRPr="005B1A16">
        <w:rPr>
          <w:rFonts w:ascii="Book Antiqua" w:hAnsi="Book Antiqua"/>
          <w:b/>
        </w:rPr>
        <w:t>45</w:t>
      </w:r>
      <w:r w:rsidRPr="005B1A16">
        <w:rPr>
          <w:rFonts w:ascii="Book Antiqua" w:hAnsi="Book Antiqua"/>
        </w:rPr>
        <w:t>: 3-13 [PMID: 27862107 DOI: 10.1111/apt.13847]</w:t>
      </w:r>
    </w:p>
    <w:p w14:paraId="591EC5BC"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77 </w:t>
      </w:r>
      <w:r w:rsidRPr="005B1A16">
        <w:rPr>
          <w:rFonts w:ascii="Book Antiqua" w:hAnsi="Book Antiqua"/>
          <w:b/>
        </w:rPr>
        <w:t>Danese S</w:t>
      </w:r>
      <w:r w:rsidRPr="005B1A16">
        <w:rPr>
          <w:rFonts w:ascii="Book Antiqua" w:hAnsi="Book Antiqua"/>
        </w:rPr>
        <w:t xml:space="preserve">, Vuitton L, Peyrin-Biroulet L. Biologic agents for IBD: practical insights. </w:t>
      </w:r>
      <w:r w:rsidRPr="005B1A16">
        <w:rPr>
          <w:rFonts w:ascii="Book Antiqua" w:hAnsi="Book Antiqua"/>
          <w:i/>
        </w:rPr>
        <w:t>Nat Rev Gastroenterol Hepatol</w:t>
      </w:r>
      <w:r w:rsidRPr="005B1A16">
        <w:rPr>
          <w:rFonts w:ascii="Book Antiqua" w:hAnsi="Book Antiqua"/>
        </w:rPr>
        <w:t xml:space="preserve"> 2015; </w:t>
      </w:r>
      <w:r w:rsidRPr="005B1A16">
        <w:rPr>
          <w:rFonts w:ascii="Book Antiqua" w:hAnsi="Book Antiqua"/>
          <w:b/>
        </w:rPr>
        <w:t>12</w:t>
      </w:r>
      <w:r w:rsidRPr="005B1A16">
        <w:rPr>
          <w:rFonts w:ascii="Book Antiqua" w:hAnsi="Book Antiqua"/>
        </w:rPr>
        <w:t>: 537-545 [PMID: 26284562 DOI: 10.1038/nrgastro.2015.135]</w:t>
      </w:r>
    </w:p>
    <w:p w14:paraId="0C94AC45" w14:textId="77777777"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78 </w:t>
      </w:r>
      <w:r w:rsidRPr="005B1A16">
        <w:rPr>
          <w:rFonts w:ascii="Book Antiqua" w:hAnsi="Book Antiqua"/>
          <w:b/>
        </w:rPr>
        <w:t>Lichtenstein GR</w:t>
      </w:r>
      <w:r w:rsidRPr="005B1A16">
        <w:rPr>
          <w:rFonts w:ascii="Book Antiqua" w:hAnsi="Book Antiqua"/>
        </w:rPr>
        <w:t xml:space="preserve">, Feagan BG, Cohen RD, Salzberg BA, Diamond RH, Price S, Langholff W, Londhe A, Sandborn WJ. Serious infection and mortality in patients with Crohn's disease: more than 5 years of follow-up in the TREAT™ registry. </w:t>
      </w:r>
      <w:r w:rsidRPr="005B1A16">
        <w:rPr>
          <w:rFonts w:ascii="Book Antiqua" w:hAnsi="Book Antiqua"/>
          <w:i/>
        </w:rPr>
        <w:t>Am J Gastroenterol</w:t>
      </w:r>
      <w:r w:rsidRPr="005B1A16">
        <w:rPr>
          <w:rFonts w:ascii="Book Antiqua" w:hAnsi="Book Antiqua"/>
        </w:rPr>
        <w:t xml:space="preserve"> 2012; </w:t>
      </w:r>
      <w:r w:rsidRPr="005B1A16">
        <w:rPr>
          <w:rFonts w:ascii="Book Antiqua" w:hAnsi="Book Antiqua"/>
          <w:b/>
        </w:rPr>
        <w:t>107</w:t>
      </w:r>
      <w:r w:rsidRPr="005B1A16">
        <w:rPr>
          <w:rFonts w:ascii="Book Antiqua" w:hAnsi="Book Antiqua"/>
        </w:rPr>
        <w:t>: 1409-1422 [PMID: 22890223 DOI: 10.1038/ajg.2012.218]</w:t>
      </w:r>
    </w:p>
    <w:p w14:paraId="3EA186EB"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79 </w:t>
      </w:r>
      <w:r w:rsidRPr="005B1A16">
        <w:rPr>
          <w:rFonts w:ascii="Book Antiqua" w:hAnsi="Book Antiqua"/>
          <w:b/>
        </w:rPr>
        <w:t>Hazlewood GS</w:t>
      </w:r>
      <w:r w:rsidRPr="005B1A16">
        <w:rPr>
          <w:rFonts w:ascii="Book Antiqua" w:hAnsi="Book Antiqua"/>
        </w:rPr>
        <w:t xml:space="preserve">, Rezaie A, Borman M, Panaccione R, Ghosh S, Seow CH, Kuenzig E, Tomlinson G, Siegel CA, Melmed GY, Kaplan GG. Comparative effectiveness of immunosuppressants and biologics for inducing and maintaining remission in Crohn's disease: a network meta-analysis. </w:t>
      </w:r>
      <w:r w:rsidRPr="005B1A16">
        <w:rPr>
          <w:rFonts w:ascii="Book Antiqua" w:hAnsi="Book Antiqua"/>
          <w:i/>
        </w:rPr>
        <w:t>Gastroenterology</w:t>
      </w:r>
      <w:r w:rsidRPr="005B1A16">
        <w:rPr>
          <w:rFonts w:ascii="Book Antiqua" w:hAnsi="Book Antiqua"/>
        </w:rPr>
        <w:t xml:space="preserve"> 2015; </w:t>
      </w:r>
      <w:r w:rsidRPr="005B1A16">
        <w:rPr>
          <w:rFonts w:ascii="Book Antiqua" w:hAnsi="Book Antiqua"/>
          <w:b/>
        </w:rPr>
        <w:t>148</w:t>
      </w:r>
      <w:r w:rsidRPr="005B1A16">
        <w:rPr>
          <w:rFonts w:ascii="Book Antiqua" w:hAnsi="Book Antiqua"/>
        </w:rPr>
        <w:t>: 344-54.e5; quiz e14-5 [PMID: 25448924 DOI: 10.1053/j.gastro.2014.10.011]</w:t>
      </w:r>
    </w:p>
    <w:p w14:paraId="55C1B385"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80 </w:t>
      </w:r>
      <w:r w:rsidRPr="005B1A16">
        <w:rPr>
          <w:rFonts w:ascii="Book Antiqua" w:hAnsi="Book Antiqua"/>
          <w:b/>
        </w:rPr>
        <w:t>Stidham RW</w:t>
      </w:r>
      <w:r w:rsidRPr="005B1A16">
        <w:rPr>
          <w:rFonts w:ascii="Book Antiqua" w:hAnsi="Book Antiqua"/>
        </w:rPr>
        <w:t xml:space="preserve">, Lee TC, Higgins PD, Deshpande AR, Sussman DA, Singal AG, Elmunzer BJ, Saini SD, Vijan S, Waljee AK. Systematic review with network meta-analysis: the efficacy of anti-TNF agents for the treatment of Crohn's disease. </w:t>
      </w:r>
      <w:r w:rsidRPr="005B1A16">
        <w:rPr>
          <w:rFonts w:ascii="Book Antiqua" w:hAnsi="Book Antiqua"/>
          <w:i/>
        </w:rPr>
        <w:t>Aliment Pharmacol Ther</w:t>
      </w:r>
      <w:r w:rsidRPr="005B1A16">
        <w:rPr>
          <w:rFonts w:ascii="Book Antiqua" w:hAnsi="Book Antiqua"/>
        </w:rPr>
        <w:t xml:space="preserve"> 2014; </w:t>
      </w:r>
      <w:r w:rsidRPr="005B1A16">
        <w:rPr>
          <w:rFonts w:ascii="Book Antiqua" w:hAnsi="Book Antiqua"/>
          <w:b/>
        </w:rPr>
        <w:t>39</w:t>
      </w:r>
      <w:r w:rsidRPr="005B1A16">
        <w:rPr>
          <w:rFonts w:ascii="Book Antiqua" w:hAnsi="Book Antiqua"/>
        </w:rPr>
        <w:t>: 1349-1362 [PMID: 24749763 DOI: 10.1111/apt.12749]</w:t>
      </w:r>
    </w:p>
    <w:p w14:paraId="0310E078"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81 </w:t>
      </w:r>
      <w:r w:rsidRPr="005B1A16">
        <w:rPr>
          <w:rFonts w:ascii="Book Antiqua" w:hAnsi="Book Antiqua"/>
          <w:b/>
        </w:rPr>
        <w:t>Danese S</w:t>
      </w:r>
      <w:r w:rsidRPr="005B1A16">
        <w:rPr>
          <w:rFonts w:ascii="Book Antiqua" w:hAnsi="Book Antiqua"/>
        </w:rPr>
        <w:t xml:space="preserve">, Fiorino G, Peyrin-Biroulet L, Lucenteforte E, Virgili G, Moja L, Bonovas S. Biological agents for moderately to severely active ulcerative colitis: a systematic review and network meta-analysis. </w:t>
      </w:r>
      <w:r w:rsidRPr="005B1A16">
        <w:rPr>
          <w:rFonts w:ascii="Book Antiqua" w:hAnsi="Book Antiqua"/>
          <w:i/>
        </w:rPr>
        <w:t>Ann Intern Med</w:t>
      </w:r>
      <w:r w:rsidRPr="005B1A16">
        <w:rPr>
          <w:rFonts w:ascii="Book Antiqua" w:hAnsi="Book Antiqua"/>
        </w:rPr>
        <w:t xml:space="preserve"> 2014; </w:t>
      </w:r>
      <w:r w:rsidRPr="005B1A16">
        <w:rPr>
          <w:rFonts w:ascii="Book Antiqua" w:hAnsi="Book Antiqua"/>
          <w:b/>
        </w:rPr>
        <w:t>160</w:t>
      </w:r>
      <w:r w:rsidRPr="005B1A16">
        <w:rPr>
          <w:rFonts w:ascii="Book Antiqua" w:hAnsi="Book Antiqua"/>
        </w:rPr>
        <w:t>: 704-711 [PMID: 24842416 DOI: 10.7326/M13-2403]</w:t>
      </w:r>
    </w:p>
    <w:p w14:paraId="39800554" w14:textId="549237DC" w:rsidR="005B1A16" w:rsidRPr="005B1A16" w:rsidRDefault="005B1A16" w:rsidP="005B1A16">
      <w:pPr>
        <w:spacing w:line="360" w:lineRule="auto"/>
        <w:jc w:val="both"/>
        <w:rPr>
          <w:rFonts w:ascii="Book Antiqua" w:hAnsi="Book Antiqua"/>
        </w:rPr>
      </w:pPr>
      <w:r w:rsidRPr="005B1A16">
        <w:rPr>
          <w:rFonts w:ascii="Book Antiqua" w:hAnsi="Book Antiqua"/>
        </w:rPr>
        <w:t xml:space="preserve">82 </w:t>
      </w:r>
      <w:r w:rsidR="0037119C" w:rsidRPr="0037119C">
        <w:rPr>
          <w:rFonts w:ascii="Book Antiqua" w:hAnsi="Book Antiqua"/>
          <w:b/>
        </w:rPr>
        <w:t>AbbVie Inc</w:t>
      </w:r>
      <w:r w:rsidR="0037119C" w:rsidRPr="0037119C">
        <w:rPr>
          <w:rFonts w:ascii="Book Antiqua" w:eastAsia="SimSun" w:hAnsi="Book Antiqua" w:hint="eastAsia"/>
          <w:b/>
          <w:lang w:eastAsia="zh-CN"/>
        </w:rPr>
        <w:t>.</w:t>
      </w:r>
      <w:r w:rsidRPr="005B1A16">
        <w:rPr>
          <w:rFonts w:ascii="Book Antiqua" w:hAnsi="Book Antiqua"/>
        </w:rPr>
        <w:t xml:space="preserve"> Study to Evaluate Efficacy and Safety of Two Drug Regimens in Subjects With Moderate to Severe Crohn’s Disease.</w:t>
      </w:r>
      <w:r w:rsidR="0037119C" w:rsidRPr="005B1A16">
        <w:rPr>
          <w:rFonts w:ascii="Book Antiqua" w:hAnsi="Book Antiqua"/>
        </w:rPr>
        <w:t xml:space="preserve"> </w:t>
      </w:r>
      <w:r w:rsidR="0037119C" w:rsidRPr="00B14649">
        <w:rPr>
          <w:rFonts w:ascii="Book Antiqua" w:hAnsi="Book Antiqua"/>
          <w:bCs/>
          <w:color w:val="000000" w:themeColor="text1"/>
        </w:rPr>
        <w:t xml:space="preserve">[accessed </w:t>
      </w:r>
      <w:r w:rsidR="0037119C">
        <w:rPr>
          <w:rFonts w:ascii="Book Antiqua" w:eastAsia="SimSun" w:hAnsi="Book Antiqua" w:hint="eastAsia"/>
          <w:bCs/>
          <w:color w:val="000000" w:themeColor="text1"/>
          <w:lang w:eastAsia="zh-CN"/>
        </w:rPr>
        <w:t>2018</w:t>
      </w:r>
      <w:r w:rsidR="0037119C" w:rsidRPr="00B14649">
        <w:rPr>
          <w:rFonts w:ascii="Book Antiqua" w:hAnsi="Book Antiqua"/>
          <w:bCs/>
          <w:color w:val="000000" w:themeColor="text1"/>
        </w:rPr>
        <w:t xml:space="preserve"> </w:t>
      </w:r>
      <w:r w:rsidR="0037119C">
        <w:rPr>
          <w:rFonts w:ascii="Book Antiqua" w:eastAsia="SimSun" w:hAnsi="Book Antiqua" w:hint="eastAsia"/>
          <w:bCs/>
          <w:color w:val="000000" w:themeColor="text1"/>
          <w:lang w:eastAsia="zh-CN"/>
        </w:rPr>
        <w:t>Mar</w:t>
      </w:r>
      <w:r w:rsidR="0037119C" w:rsidRPr="00B14649">
        <w:rPr>
          <w:rFonts w:ascii="Book Antiqua" w:hAnsi="Book Antiqua"/>
          <w:bCs/>
          <w:color w:val="000000" w:themeColor="text1"/>
        </w:rPr>
        <w:t xml:space="preserve"> </w:t>
      </w:r>
      <w:r w:rsidR="0037119C">
        <w:rPr>
          <w:rFonts w:ascii="Book Antiqua" w:eastAsia="SimSun" w:hAnsi="Book Antiqua" w:hint="eastAsia"/>
          <w:bCs/>
          <w:color w:val="000000" w:themeColor="text1"/>
          <w:lang w:eastAsia="zh-CN"/>
        </w:rPr>
        <w:t>28</w:t>
      </w:r>
      <w:r w:rsidR="0037119C" w:rsidRPr="00B14649">
        <w:rPr>
          <w:rFonts w:ascii="Book Antiqua" w:hAnsi="Book Antiqua"/>
          <w:bCs/>
          <w:color w:val="000000" w:themeColor="text1"/>
        </w:rPr>
        <w:t>].</w:t>
      </w:r>
      <w:r w:rsidR="0037119C">
        <w:rPr>
          <w:rFonts w:ascii="Book Antiqua" w:eastAsia="SimSun" w:hAnsi="Book Antiqua" w:hint="eastAsia"/>
          <w:bCs/>
          <w:color w:val="000000" w:themeColor="text1"/>
          <w:lang w:eastAsia="zh-CN"/>
        </w:rPr>
        <w:t xml:space="preserve"> </w:t>
      </w:r>
      <w:r w:rsidR="0037119C">
        <w:rPr>
          <w:rFonts w:ascii="Book Antiqua" w:eastAsia="SimSun" w:hAnsi="Book Antiqua"/>
          <w:bCs/>
          <w:color w:val="000000" w:themeColor="text1"/>
          <w:lang w:eastAsia="zh-CN"/>
        </w:rPr>
        <w:t>I</w:t>
      </w:r>
      <w:r w:rsidR="0037119C">
        <w:rPr>
          <w:rFonts w:ascii="Book Antiqua" w:eastAsia="SimSun" w:hAnsi="Book Antiqua" w:hint="eastAsia"/>
          <w:bCs/>
          <w:color w:val="000000" w:themeColor="text1"/>
          <w:lang w:eastAsia="zh-CN"/>
        </w:rPr>
        <w:t xml:space="preserve">n: </w:t>
      </w:r>
      <w:r w:rsidR="0037119C" w:rsidRPr="00B14649">
        <w:rPr>
          <w:rFonts w:ascii="Book Antiqua" w:hAnsi="Book Antiqua"/>
          <w:bCs/>
          <w:color w:val="000000" w:themeColor="text1"/>
        </w:rPr>
        <w:t>ClinicalTrials.gov [Internet]. Bethesda (MD): U.S. National Library of Medicine. Available from: http://clinicaltrials.gov/show/</w:t>
      </w:r>
      <w:r w:rsidR="0037119C">
        <w:rPr>
          <w:rFonts w:ascii="Book Antiqua" w:hAnsi="Book Antiqua"/>
        </w:rPr>
        <w:t>NCT02065570</w:t>
      </w:r>
      <w:r w:rsidR="0037119C" w:rsidRPr="0037119C">
        <w:rPr>
          <w:rFonts w:ascii="Book Antiqua" w:hAnsi="Book Antiqua"/>
          <w:bCs/>
          <w:color w:val="000000" w:themeColor="text1"/>
        </w:rPr>
        <w:t xml:space="preserve"> </w:t>
      </w:r>
      <w:r w:rsidR="0037119C" w:rsidRPr="00B14649">
        <w:rPr>
          <w:rFonts w:ascii="Book Antiqua" w:hAnsi="Book Antiqua"/>
          <w:bCs/>
          <w:color w:val="000000" w:themeColor="text1"/>
        </w:rPr>
        <w:t>ClinicalTrials.gov Identifier:</w:t>
      </w:r>
      <w:r w:rsidR="0037119C" w:rsidRPr="0037119C">
        <w:rPr>
          <w:rFonts w:ascii="Book Antiqua" w:hAnsi="Book Antiqua"/>
        </w:rPr>
        <w:t xml:space="preserve"> </w:t>
      </w:r>
      <w:r w:rsidR="0037119C">
        <w:rPr>
          <w:rFonts w:ascii="Book Antiqua" w:hAnsi="Book Antiqua"/>
        </w:rPr>
        <w:t>NCT02065570</w:t>
      </w:r>
    </w:p>
    <w:p w14:paraId="401032C6" w14:textId="57BE0877" w:rsidR="00CD6485" w:rsidRPr="005B1A16" w:rsidRDefault="005A5F8F" w:rsidP="00CD6485">
      <w:pPr>
        <w:spacing w:line="360" w:lineRule="auto"/>
        <w:jc w:val="both"/>
        <w:rPr>
          <w:rFonts w:ascii="Book Antiqua" w:hAnsi="Book Antiqua"/>
        </w:rPr>
      </w:pPr>
      <w:r>
        <w:rPr>
          <w:rFonts w:ascii="Book Antiqua" w:hAnsi="Book Antiqua"/>
        </w:rPr>
        <w:t>83</w:t>
      </w:r>
      <w:r w:rsidRPr="005A5F8F">
        <w:rPr>
          <w:rFonts w:ascii="Book Antiqua" w:hAnsi="Book Antiqua"/>
        </w:rPr>
        <w:t xml:space="preserve"> </w:t>
      </w:r>
      <w:r w:rsidRPr="005A5F8F">
        <w:rPr>
          <w:rFonts w:ascii="Book Antiqua" w:hAnsi="Book Antiqua"/>
          <w:b/>
        </w:rPr>
        <w:t>AbbVie Inc</w:t>
      </w:r>
      <w:r w:rsidRPr="005A5F8F">
        <w:rPr>
          <w:rFonts w:ascii="Book Antiqua" w:eastAsia="SimSun" w:hAnsi="Book Antiqua" w:hint="eastAsia"/>
          <w:b/>
          <w:lang w:eastAsia="zh-CN"/>
        </w:rPr>
        <w:t>.</w:t>
      </w:r>
      <w:r>
        <w:rPr>
          <w:rFonts w:ascii="Book Antiqua" w:hAnsi="Book Antiqua"/>
        </w:rPr>
        <w:t xml:space="preserve"> </w:t>
      </w:r>
      <w:r w:rsidR="005B1A16" w:rsidRPr="005B1A16">
        <w:rPr>
          <w:rFonts w:ascii="Book Antiqua" w:hAnsi="Book Antiqua"/>
        </w:rPr>
        <w:t>Study to Evaluate the Safety and Efficacy of Two Drug Regimens in Subjects With Moderate to Severe Ulcerative Colitis.</w:t>
      </w:r>
      <w:r w:rsidR="00CD6485" w:rsidRPr="005B1A16">
        <w:rPr>
          <w:rFonts w:ascii="Book Antiqua" w:hAnsi="Book Antiqua"/>
        </w:rPr>
        <w:t xml:space="preserve"> </w:t>
      </w:r>
      <w:r w:rsidR="00CD6485" w:rsidRPr="00B14649">
        <w:rPr>
          <w:rFonts w:ascii="Book Antiqua" w:hAnsi="Book Antiqua"/>
          <w:bCs/>
          <w:color w:val="000000" w:themeColor="text1"/>
        </w:rPr>
        <w:t xml:space="preserve">[accessed </w:t>
      </w:r>
      <w:r w:rsidR="00CD6485">
        <w:rPr>
          <w:rFonts w:ascii="Book Antiqua" w:eastAsia="SimSun" w:hAnsi="Book Antiqua" w:hint="eastAsia"/>
          <w:bCs/>
          <w:color w:val="000000" w:themeColor="text1"/>
          <w:lang w:eastAsia="zh-CN"/>
        </w:rPr>
        <w:t>2018</w:t>
      </w:r>
      <w:r w:rsidR="00CD6485" w:rsidRPr="00B14649">
        <w:rPr>
          <w:rFonts w:ascii="Book Antiqua" w:hAnsi="Book Antiqua"/>
          <w:bCs/>
          <w:color w:val="000000" w:themeColor="text1"/>
        </w:rPr>
        <w:t xml:space="preserve"> </w:t>
      </w:r>
      <w:r w:rsidR="00CD6485">
        <w:rPr>
          <w:rFonts w:ascii="Book Antiqua" w:eastAsia="SimSun" w:hAnsi="Book Antiqua" w:hint="eastAsia"/>
          <w:bCs/>
          <w:color w:val="000000" w:themeColor="text1"/>
          <w:lang w:eastAsia="zh-CN"/>
        </w:rPr>
        <w:t>Mar</w:t>
      </w:r>
      <w:r w:rsidR="00CD6485" w:rsidRPr="00B14649">
        <w:rPr>
          <w:rFonts w:ascii="Book Antiqua" w:hAnsi="Book Antiqua"/>
          <w:bCs/>
          <w:color w:val="000000" w:themeColor="text1"/>
        </w:rPr>
        <w:t xml:space="preserve"> </w:t>
      </w:r>
      <w:r w:rsidR="00CD6485">
        <w:rPr>
          <w:rFonts w:ascii="Book Antiqua" w:eastAsia="SimSun" w:hAnsi="Book Antiqua" w:hint="eastAsia"/>
          <w:bCs/>
          <w:color w:val="000000" w:themeColor="text1"/>
          <w:lang w:eastAsia="zh-CN"/>
        </w:rPr>
        <w:t>28</w:t>
      </w:r>
      <w:r w:rsidR="00CD6485" w:rsidRPr="00B14649">
        <w:rPr>
          <w:rFonts w:ascii="Book Antiqua" w:hAnsi="Book Antiqua"/>
          <w:bCs/>
          <w:color w:val="000000" w:themeColor="text1"/>
        </w:rPr>
        <w:t>].</w:t>
      </w:r>
      <w:r w:rsidR="00CD6485">
        <w:rPr>
          <w:rFonts w:ascii="Book Antiqua" w:eastAsia="SimSun" w:hAnsi="Book Antiqua" w:hint="eastAsia"/>
          <w:bCs/>
          <w:color w:val="000000" w:themeColor="text1"/>
          <w:lang w:eastAsia="zh-CN"/>
        </w:rPr>
        <w:t xml:space="preserve"> </w:t>
      </w:r>
      <w:r w:rsidR="00CD6485">
        <w:rPr>
          <w:rFonts w:ascii="Book Antiqua" w:eastAsia="SimSun" w:hAnsi="Book Antiqua"/>
          <w:bCs/>
          <w:color w:val="000000" w:themeColor="text1"/>
          <w:lang w:eastAsia="zh-CN"/>
        </w:rPr>
        <w:t>I</w:t>
      </w:r>
      <w:r w:rsidR="00CD6485">
        <w:rPr>
          <w:rFonts w:ascii="Book Antiqua" w:eastAsia="SimSun" w:hAnsi="Book Antiqua" w:hint="eastAsia"/>
          <w:bCs/>
          <w:color w:val="000000" w:themeColor="text1"/>
          <w:lang w:eastAsia="zh-CN"/>
        </w:rPr>
        <w:t xml:space="preserve">n: </w:t>
      </w:r>
      <w:r w:rsidR="00CD6485" w:rsidRPr="00B14649">
        <w:rPr>
          <w:rFonts w:ascii="Book Antiqua" w:hAnsi="Book Antiqua"/>
          <w:bCs/>
          <w:color w:val="000000" w:themeColor="text1"/>
        </w:rPr>
        <w:t>ClinicalTrials.gov [Internet]. Bethesda (MD): U.S. National Library of Medicine. Available from: http://clinicaltrials.gov/show/</w:t>
      </w:r>
      <w:r w:rsidR="00CD6485" w:rsidRPr="005B1A16">
        <w:rPr>
          <w:rFonts w:ascii="Book Antiqua" w:hAnsi="Book Antiqua"/>
        </w:rPr>
        <w:t>NCT02065622</w:t>
      </w:r>
      <w:r w:rsidR="00CD6485" w:rsidRPr="0037119C">
        <w:rPr>
          <w:rFonts w:ascii="Book Antiqua" w:hAnsi="Book Antiqua"/>
          <w:bCs/>
          <w:color w:val="000000" w:themeColor="text1"/>
        </w:rPr>
        <w:t xml:space="preserve"> </w:t>
      </w:r>
      <w:r w:rsidR="00CD6485" w:rsidRPr="00B14649">
        <w:rPr>
          <w:rFonts w:ascii="Book Antiqua" w:hAnsi="Book Antiqua"/>
          <w:bCs/>
          <w:color w:val="000000" w:themeColor="text1"/>
        </w:rPr>
        <w:t>ClinicalTrials.gov Identifier:</w:t>
      </w:r>
      <w:r w:rsidR="00CD6485" w:rsidRPr="0037119C">
        <w:rPr>
          <w:rFonts w:ascii="Book Antiqua" w:hAnsi="Book Antiqua"/>
        </w:rPr>
        <w:t xml:space="preserve"> </w:t>
      </w:r>
      <w:r w:rsidR="00CD6485" w:rsidRPr="005B1A16">
        <w:rPr>
          <w:rFonts w:ascii="Book Antiqua" w:hAnsi="Book Antiqua"/>
        </w:rPr>
        <w:t>NCT02065622</w:t>
      </w:r>
    </w:p>
    <w:p w14:paraId="7F594806" w14:textId="77777777" w:rsidR="005B1A16" w:rsidRPr="005B1A16" w:rsidRDefault="005B1A16" w:rsidP="005B1A16">
      <w:pPr>
        <w:spacing w:line="360" w:lineRule="auto"/>
        <w:jc w:val="both"/>
        <w:rPr>
          <w:rFonts w:ascii="Book Antiqua" w:hAnsi="Book Antiqua"/>
        </w:rPr>
      </w:pPr>
    </w:p>
    <w:p w14:paraId="1F2CFD3A" w14:textId="2E8B59DD"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84 </w:t>
      </w:r>
      <w:r w:rsidRPr="005B1A16">
        <w:rPr>
          <w:rFonts w:ascii="Book Antiqua" w:hAnsi="Book Antiqua"/>
          <w:b/>
        </w:rPr>
        <w:t>Järnerot G</w:t>
      </w:r>
      <w:r w:rsidRPr="005B1A16">
        <w:rPr>
          <w:rFonts w:ascii="Book Antiqua" w:hAnsi="Book Antiqua"/>
        </w:rPr>
        <w:t xml:space="preserve">, Hertervig E, Friis-Liby I, Blomquist L, Karlén P, Grännö C, Vilien M, Ström M, Danielsson A, Verbaan H, Hellström PM, Magnuson A, Curman B. Infliximab as rescue therapy in severe to moderately severe ulcerative colitis: a randomized, placebo-controlled study. </w:t>
      </w:r>
      <w:r w:rsidRPr="005B1A16">
        <w:rPr>
          <w:rFonts w:ascii="Book Antiqua" w:hAnsi="Book Antiqua"/>
          <w:i/>
        </w:rPr>
        <w:t>Gastroenterology</w:t>
      </w:r>
      <w:r w:rsidRPr="005B1A16">
        <w:rPr>
          <w:rFonts w:ascii="Book Antiqua" w:hAnsi="Book Antiqua"/>
        </w:rPr>
        <w:t xml:space="preserve"> 2005; </w:t>
      </w:r>
      <w:r w:rsidRPr="005B1A16">
        <w:rPr>
          <w:rFonts w:ascii="Book Antiqua" w:hAnsi="Book Antiqua"/>
          <w:b/>
        </w:rPr>
        <w:t>128</w:t>
      </w:r>
      <w:r w:rsidRPr="005B1A16">
        <w:rPr>
          <w:rFonts w:ascii="Book Antiqua" w:hAnsi="Book Antiqua"/>
        </w:rPr>
        <w:t>: 1805-1811 [PMID: 15940615</w:t>
      </w:r>
      <w:r w:rsidR="003B4166">
        <w:rPr>
          <w:rFonts w:ascii="Book Antiqua" w:eastAsia="SimSun" w:hAnsi="Book Antiqua" w:hint="eastAsia"/>
          <w:lang w:eastAsia="zh-CN"/>
        </w:rPr>
        <w:t xml:space="preserve"> DOI: </w:t>
      </w:r>
      <w:r w:rsidR="003B4166" w:rsidRPr="003B4166">
        <w:rPr>
          <w:rFonts w:ascii="Book Antiqua" w:eastAsia="SimSun" w:hAnsi="Book Antiqua"/>
          <w:lang w:eastAsia="zh-CN"/>
        </w:rPr>
        <w:t>10.1053/j.gastro.2005.03.003</w:t>
      </w:r>
      <w:r w:rsidRPr="005B1A16">
        <w:rPr>
          <w:rFonts w:ascii="Book Antiqua" w:hAnsi="Book Antiqua"/>
        </w:rPr>
        <w:t>]</w:t>
      </w:r>
    </w:p>
    <w:p w14:paraId="1BFB54E4"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85 </w:t>
      </w:r>
      <w:r w:rsidRPr="005B1A16">
        <w:rPr>
          <w:rFonts w:ascii="Book Antiqua" w:hAnsi="Book Antiqua"/>
          <w:b/>
        </w:rPr>
        <w:t>Colombel JF</w:t>
      </w:r>
      <w:r w:rsidRPr="005B1A16">
        <w:rPr>
          <w:rFonts w:ascii="Book Antiqua" w:hAnsi="Book Antiqua"/>
        </w:rPr>
        <w:t xml:space="preserve">, Schwartz DA, Sandborn WJ, Kamm MA, D'Haens G, Rutgeerts P, Enns R, Panaccione R, Schreiber S, Li J, Kent JD, Lomax KG, Pollack PF. Adalimumab for the treatment of fistulas in patients with Crohn's disease. </w:t>
      </w:r>
      <w:r w:rsidRPr="005B1A16">
        <w:rPr>
          <w:rFonts w:ascii="Book Antiqua" w:hAnsi="Book Antiqua"/>
          <w:i/>
        </w:rPr>
        <w:t>Gut</w:t>
      </w:r>
      <w:r w:rsidRPr="005B1A16">
        <w:rPr>
          <w:rFonts w:ascii="Book Antiqua" w:hAnsi="Book Antiqua"/>
        </w:rPr>
        <w:t xml:space="preserve"> 2009; </w:t>
      </w:r>
      <w:r w:rsidRPr="005B1A16">
        <w:rPr>
          <w:rFonts w:ascii="Book Antiqua" w:hAnsi="Book Antiqua"/>
          <w:b/>
        </w:rPr>
        <w:t>58</w:t>
      </w:r>
      <w:r w:rsidRPr="005B1A16">
        <w:rPr>
          <w:rFonts w:ascii="Book Antiqua" w:hAnsi="Book Antiqua"/>
        </w:rPr>
        <w:t>: 940-948 [PMID: 19201775 DOI: 10.1136/gut.2008.159251]</w:t>
      </w:r>
    </w:p>
    <w:p w14:paraId="13F478DC"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86 </w:t>
      </w:r>
      <w:r w:rsidRPr="005B1A16">
        <w:rPr>
          <w:rFonts w:ascii="Book Antiqua" w:hAnsi="Book Antiqua"/>
          <w:b/>
        </w:rPr>
        <w:t>Dreesen E</w:t>
      </w:r>
      <w:r w:rsidRPr="005B1A16">
        <w:rPr>
          <w:rFonts w:ascii="Book Antiqua" w:hAnsi="Book Antiqua"/>
        </w:rPr>
        <w:t xml:space="preserve">, Bossuyt P, Mulleman D, Gils A, Pascual-Salcedo D. Practical recommendations for the use of therapeutic drug monitoring of biopharmaceuticals in inflammatory diseases. </w:t>
      </w:r>
      <w:r w:rsidRPr="005B1A16">
        <w:rPr>
          <w:rFonts w:ascii="Book Antiqua" w:hAnsi="Book Antiqua"/>
          <w:i/>
        </w:rPr>
        <w:t>Clin Pharmacol</w:t>
      </w:r>
      <w:r w:rsidRPr="005B1A16">
        <w:rPr>
          <w:rFonts w:ascii="Book Antiqua" w:hAnsi="Book Antiqua"/>
        </w:rPr>
        <w:t xml:space="preserve"> 2017; </w:t>
      </w:r>
      <w:r w:rsidRPr="005B1A16">
        <w:rPr>
          <w:rFonts w:ascii="Book Antiqua" w:hAnsi="Book Antiqua"/>
          <w:b/>
        </w:rPr>
        <w:t>9</w:t>
      </w:r>
      <w:r w:rsidRPr="005B1A16">
        <w:rPr>
          <w:rFonts w:ascii="Book Antiqua" w:hAnsi="Book Antiqua"/>
        </w:rPr>
        <w:t>: 101-111 [PMID: 29042821 DOI: 10.2147/CPAA.S138414]</w:t>
      </w:r>
    </w:p>
    <w:p w14:paraId="24CD5515"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87 </w:t>
      </w:r>
      <w:r w:rsidRPr="005B1A16">
        <w:rPr>
          <w:rFonts w:ascii="Book Antiqua" w:hAnsi="Book Antiqua"/>
          <w:b/>
        </w:rPr>
        <w:t>Vande Casteele N</w:t>
      </w:r>
      <w:r w:rsidRPr="005B1A16">
        <w:rPr>
          <w:rFonts w:ascii="Book Antiqua" w:hAnsi="Book Antiqua"/>
        </w:rPr>
        <w:t xml:space="preserve">, Ferrante M, Van Assche G, Ballet V, Compernolle G, Van Steen K, Simoens S, Rutgeerts P, Gils A, Vermeire S. Trough concentrations of infliximab guide dosing for patients with inflammatory bowel disease. </w:t>
      </w:r>
      <w:r w:rsidRPr="005B1A16">
        <w:rPr>
          <w:rFonts w:ascii="Book Antiqua" w:hAnsi="Book Antiqua"/>
          <w:i/>
        </w:rPr>
        <w:t>Gastroenterology</w:t>
      </w:r>
      <w:r w:rsidRPr="005B1A16">
        <w:rPr>
          <w:rFonts w:ascii="Book Antiqua" w:hAnsi="Book Antiqua"/>
        </w:rPr>
        <w:t xml:space="preserve"> 2015; </w:t>
      </w:r>
      <w:r w:rsidRPr="005B1A16">
        <w:rPr>
          <w:rFonts w:ascii="Book Antiqua" w:hAnsi="Book Antiqua"/>
          <w:b/>
        </w:rPr>
        <w:t>148</w:t>
      </w:r>
      <w:r w:rsidRPr="005B1A16">
        <w:rPr>
          <w:rFonts w:ascii="Book Antiqua" w:hAnsi="Book Antiqua"/>
        </w:rPr>
        <w:t>: 1320-9.e3 [PMID: 25724455 DOI: 10.1053/j.gastro.2015.02.031]</w:t>
      </w:r>
    </w:p>
    <w:p w14:paraId="7445D334" w14:textId="250170F8" w:rsidR="005B1A16" w:rsidRPr="005B1A16" w:rsidRDefault="005B1A16" w:rsidP="005B1A16">
      <w:pPr>
        <w:spacing w:line="360" w:lineRule="auto"/>
        <w:jc w:val="both"/>
        <w:rPr>
          <w:rFonts w:ascii="Book Antiqua" w:hAnsi="Book Antiqua"/>
        </w:rPr>
      </w:pPr>
      <w:r w:rsidRPr="005B1A16">
        <w:rPr>
          <w:rFonts w:ascii="Book Antiqua" w:hAnsi="Book Antiqua"/>
        </w:rPr>
        <w:t xml:space="preserve">88 </w:t>
      </w:r>
      <w:r w:rsidRPr="005B1A16">
        <w:rPr>
          <w:rFonts w:ascii="Book Antiqua" w:hAnsi="Book Antiqua"/>
          <w:b/>
        </w:rPr>
        <w:t>Vande Casteele N,</w:t>
      </w:r>
      <w:r w:rsidR="00B64418">
        <w:rPr>
          <w:rFonts w:ascii="Book Antiqua" w:hAnsi="Book Antiqua"/>
        </w:rPr>
        <w:t xml:space="preserve"> </w:t>
      </w:r>
      <w:r w:rsidRPr="005B1A16">
        <w:rPr>
          <w:rFonts w:ascii="Book Antiqua" w:hAnsi="Book Antiqua"/>
        </w:rPr>
        <w:t xml:space="preserve">Compernolle G, Ballet V, Van Assche G, Gils A, Vermeire S, Rutgeerts P. OP11 Individualised infliximab treatment using therapeutic drug monitoring: A prospective controlled Trough level Adapted infliXImab Treatment (TAXIT) trial. </w:t>
      </w:r>
      <w:r w:rsidRPr="00B64418">
        <w:rPr>
          <w:rFonts w:ascii="Book Antiqua" w:hAnsi="Book Antiqua"/>
          <w:i/>
        </w:rPr>
        <w:t>J Crohns Colitis</w:t>
      </w:r>
      <w:r w:rsidRPr="005B1A16">
        <w:rPr>
          <w:rFonts w:ascii="Book Antiqua" w:hAnsi="Book Antiqua"/>
        </w:rPr>
        <w:t xml:space="preserve"> 2012; </w:t>
      </w:r>
      <w:r w:rsidRPr="00B64418">
        <w:rPr>
          <w:rFonts w:ascii="Book Antiqua" w:hAnsi="Book Antiqua"/>
          <w:b/>
        </w:rPr>
        <w:t>6</w:t>
      </w:r>
      <w:r w:rsidRPr="005B1A16">
        <w:rPr>
          <w:rFonts w:ascii="Book Antiqua" w:hAnsi="Book Antiqua"/>
        </w:rPr>
        <w:t>: S6 [DOI: 10.1016/S1873-9946(12)60012-9]</w:t>
      </w:r>
    </w:p>
    <w:p w14:paraId="35C46428" w14:textId="10804B59" w:rsidR="005B1A16" w:rsidRPr="005B1A16" w:rsidRDefault="005B1A16" w:rsidP="005B1A16">
      <w:pPr>
        <w:spacing w:line="360" w:lineRule="auto"/>
        <w:jc w:val="both"/>
        <w:rPr>
          <w:rFonts w:ascii="Book Antiqua" w:hAnsi="Book Antiqua"/>
        </w:rPr>
      </w:pPr>
      <w:r w:rsidRPr="005B1A16">
        <w:rPr>
          <w:rFonts w:ascii="Book Antiqua" w:hAnsi="Book Antiqua"/>
        </w:rPr>
        <w:t>89</w:t>
      </w:r>
      <w:r w:rsidR="00B64418" w:rsidRPr="00B64418">
        <w:t xml:space="preserve"> </w:t>
      </w:r>
      <w:r w:rsidR="00B64418" w:rsidRPr="00B64418">
        <w:rPr>
          <w:rFonts w:ascii="Book Antiqua" w:hAnsi="Book Antiqua"/>
          <w:b/>
        </w:rPr>
        <w:t xml:space="preserve">D’Haens G, </w:t>
      </w:r>
      <w:r w:rsidR="00B64418" w:rsidRPr="00B64418">
        <w:rPr>
          <w:rFonts w:ascii="Book Antiqua" w:hAnsi="Book Antiqua"/>
        </w:rPr>
        <w:t xml:space="preserve">Vermeire </w:t>
      </w:r>
      <w:r w:rsidR="00B64418">
        <w:rPr>
          <w:rFonts w:ascii="Book Antiqua" w:hAnsi="Book Antiqua"/>
        </w:rPr>
        <w:t>S</w:t>
      </w:r>
      <w:r w:rsidR="00B64418" w:rsidRPr="00B64418">
        <w:rPr>
          <w:rFonts w:ascii="Book Antiqua" w:hAnsi="Book Antiqua"/>
        </w:rPr>
        <w:t xml:space="preserve">, Lambrecht </w:t>
      </w:r>
      <w:r w:rsidR="00B64418">
        <w:rPr>
          <w:rFonts w:ascii="Book Antiqua" w:hAnsi="Book Antiqua"/>
        </w:rPr>
        <w:t>G</w:t>
      </w:r>
      <w:r w:rsidR="00B64418" w:rsidRPr="00B64418">
        <w:rPr>
          <w:rFonts w:ascii="Book Antiqua" w:hAnsi="Book Antiqua"/>
        </w:rPr>
        <w:t xml:space="preserve">, </w:t>
      </w:r>
      <w:r w:rsidR="00B64418">
        <w:rPr>
          <w:rFonts w:ascii="Book Antiqua" w:hAnsi="Book Antiqua"/>
        </w:rPr>
        <w:t>Baert</w:t>
      </w:r>
      <w:r w:rsidR="00B64418" w:rsidRPr="00B64418">
        <w:rPr>
          <w:rFonts w:ascii="Book Antiqua" w:hAnsi="Book Antiqua"/>
        </w:rPr>
        <w:t xml:space="preserve"> </w:t>
      </w:r>
      <w:r w:rsidR="00B64418">
        <w:rPr>
          <w:rFonts w:ascii="Book Antiqua" w:hAnsi="Book Antiqua"/>
        </w:rPr>
        <w:t>F</w:t>
      </w:r>
      <w:r w:rsidR="00B64418" w:rsidRPr="00B64418">
        <w:rPr>
          <w:rFonts w:ascii="Book Antiqua" w:hAnsi="Book Antiqua"/>
        </w:rPr>
        <w:t xml:space="preserve">, Bossuyt </w:t>
      </w:r>
      <w:r w:rsidR="00B64418">
        <w:rPr>
          <w:rFonts w:ascii="Book Antiqua" w:hAnsi="Book Antiqua"/>
        </w:rPr>
        <w:t>P</w:t>
      </w:r>
      <w:r w:rsidR="00B64418" w:rsidRPr="00B64418">
        <w:rPr>
          <w:rFonts w:ascii="Book Antiqua" w:hAnsi="Book Antiqua"/>
        </w:rPr>
        <w:t xml:space="preserve">, </w:t>
      </w:r>
      <w:r w:rsidR="00B64418">
        <w:rPr>
          <w:rFonts w:ascii="Book Antiqua" w:hAnsi="Book Antiqua"/>
        </w:rPr>
        <w:t>Nachury</w:t>
      </w:r>
      <w:r w:rsidR="00B64418" w:rsidRPr="00B64418">
        <w:rPr>
          <w:rFonts w:ascii="Book Antiqua" w:hAnsi="Book Antiqua"/>
        </w:rPr>
        <w:t xml:space="preserve"> </w:t>
      </w:r>
      <w:r w:rsidR="00B64418">
        <w:rPr>
          <w:rFonts w:ascii="Book Antiqua" w:hAnsi="Book Antiqua"/>
        </w:rPr>
        <w:t>M</w:t>
      </w:r>
      <w:r w:rsidR="00B64418" w:rsidRPr="00B64418">
        <w:rPr>
          <w:rFonts w:ascii="Book Antiqua" w:hAnsi="Book Antiqua"/>
        </w:rPr>
        <w:t xml:space="preserve">, Buisson </w:t>
      </w:r>
      <w:r w:rsidR="00B64418">
        <w:rPr>
          <w:rFonts w:ascii="Book Antiqua" w:hAnsi="Book Antiqua"/>
        </w:rPr>
        <w:t>A</w:t>
      </w:r>
      <w:r w:rsidR="00B64418" w:rsidRPr="00B64418">
        <w:rPr>
          <w:rFonts w:ascii="Book Antiqua" w:hAnsi="Book Antiqua"/>
        </w:rPr>
        <w:t xml:space="preserve">, Bouhnik </w:t>
      </w:r>
      <w:r w:rsidR="00B64418">
        <w:rPr>
          <w:rFonts w:ascii="Book Antiqua" w:hAnsi="Book Antiqua"/>
        </w:rPr>
        <w:t>Y</w:t>
      </w:r>
      <w:r w:rsidR="00B64418" w:rsidRPr="00B64418">
        <w:rPr>
          <w:rFonts w:ascii="Book Antiqua" w:hAnsi="Book Antiqua"/>
        </w:rPr>
        <w:t>, Filippi</w:t>
      </w:r>
      <w:r w:rsidR="00B64418">
        <w:rPr>
          <w:rFonts w:ascii="Book Antiqua" w:hAnsi="Book Antiqua"/>
        </w:rPr>
        <w:t xml:space="preserve"> J</w:t>
      </w:r>
      <w:r w:rsidR="00B64418" w:rsidRPr="00B64418">
        <w:rPr>
          <w:rFonts w:ascii="Book Antiqua" w:hAnsi="Book Antiqua"/>
        </w:rPr>
        <w:t xml:space="preserve">, vande Woude </w:t>
      </w:r>
      <w:r w:rsidR="00B64418">
        <w:rPr>
          <w:rFonts w:ascii="Book Antiqua" w:hAnsi="Book Antiqua"/>
        </w:rPr>
        <w:t>J</w:t>
      </w:r>
      <w:r w:rsidR="00B64418" w:rsidRPr="00B64418">
        <w:rPr>
          <w:rFonts w:ascii="Book Antiqua" w:hAnsi="Book Antiqua"/>
        </w:rPr>
        <w:t>, Van Hootegem</w:t>
      </w:r>
      <w:r w:rsidR="00B64418">
        <w:rPr>
          <w:rFonts w:ascii="Book Antiqua" w:hAnsi="Book Antiqua"/>
        </w:rPr>
        <w:t xml:space="preserve"> P</w:t>
      </w:r>
      <w:r w:rsidR="00B64418" w:rsidRPr="00B64418">
        <w:rPr>
          <w:rFonts w:ascii="Book Antiqua" w:hAnsi="Book Antiqua"/>
        </w:rPr>
        <w:t xml:space="preserve">, Moreau </w:t>
      </w:r>
      <w:r w:rsidR="00B64418">
        <w:rPr>
          <w:rFonts w:ascii="Book Antiqua" w:hAnsi="Book Antiqua"/>
        </w:rPr>
        <w:t>J</w:t>
      </w:r>
      <w:r w:rsidR="00B64418" w:rsidRPr="00B64418">
        <w:rPr>
          <w:rFonts w:ascii="Book Antiqua" w:hAnsi="Book Antiqua"/>
        </w:rPr>
        <w:t xml:space="preserve">, Louis </w:t>
      </w:r>
      <w:r w:rsidR="00B64418">
        <w:rPr>
          <w:rFonts w:ascii="Book Antiqua" w:hAnsi="Book Antiqua"/>
        </w:rPr>
        <w:t>E</w:t>
      </w:r>
      <w:r w:rsidR="00B64418" w:rsidRPr="00B64418">
        <w:rPr>
          <w:rFonts w:ascii="Book Antiqua" w:hAnsi="Book Antiqua"/>
        </w:rPr>
        <w:t xml:space="preserve">, Franchimont </w:t>
      </w:r>
      <w:r w:rsidR="00B64418">
        <w:rPr>
          <w:rFonts w:ascii="Book Antiqua" w:hAnsi="Book Antiqua"/>
        </w:rPr>
        <w:t>D</w:t>
      </w:r>
      <w:r w:rsidR="00B64418" w:rsidRPr="00B64418">
        <w:rPr>
          <w:rFonts w:ascii="Book Antiqua" w:hAnsi="Book Antiqua"/>
        </w:rPr>
        <w:t xml:space="preserve">, De Vos </w:t>
      </w:r>
      <w:r w:rsidR="00B64418">
        <w:rPr>
          <w:rFonts w:ascii="Book Antiqua" w:hAnsi="Book Antiqua"/>
        </w:rPr>
        <w:t>M</w:t>
      </w:r>
      <w:r w:rsidR="00B64418" w:rsidRPr="00B64418">
        <w:rPr>
          <w:rFonts w:ascii="Book Antiqua" w:hAnsi="Book Antiqua"/>
        </w:rPr>
        <w:t xml:space="preserve">, Mana </w:t>
      </w:r>
      <w:r w:rsidR="00B64418">
        <w:rPr>
          <w:rFonts w:ascii="Book Antiqua" w:hAnsi="Book Antiqua"/>
        </w:rPr>
        <w:t>F</w:t>
      </w:r>
      <w:r w:rsidR="00B64418" w:rsidRPr="00B64418">
        <w:rPr>
          <w:rFonts w:ascii="Book Antiqua" w:hAnsi="Book Antiqua"/>
        </w:rPr>
        <w:t>, Peyrin-Biroulet</w:t>
      </w:r>
      <w:r w:rsidR="00B64418">
        <w:rPr>
          <w:rFonts w:ascii="Book Antiqua" w:hAnsi="Book Antiqua"/>
        </w:rPr>
        <w:t xml:space="preserve"> L</w:t>
      </w:r>
      <w:r w:rsidR="00B64418" w:rsidRPr="00B64418">
        <w:rPr>
          <w:rFonts w:ascii="Book Antiqua" w:hAnsi="Book Antiqua"/>
        </w:rPr>
        <w:t xml:space="preserve">, Brixi </w:t>
      </w:r>
      <w:r w:rsidR="00B64418">
        <w:rPr>
          <w:rFonts w:ascii="Book Antiqua" w:hAnsi="Book Antiqua"/>
        </w:rPr>
        <w:t>H</w:t>
      </w:r>
      <w:r w:rsidR="00B64418" w:rsidRPr="00B64418">
        <w:rPr>
          <w:rFonts w:ascii="Book Antiqua" w:hAnsi="Book Antiqua"/>
        </w:rPr>
        <w:t xml:space="preserve">, Allez </w:t>
      </w:r>
      <w:r w:rsidR="00B64418">
        <w:rPr>
          <w:rFonts w:ascii="Book Antiqua" w:hAnsi="Book Antiqua"/>
        </w:rPr>
        <w:t>M</w:t>
      </w:r>
      <w:r w:rsidR="00B64418" w:rsidRPr="00B64418">
        <w:rPr>
          <w:rFonts w:ascii="Book Antiqua" w:hAnsi="Book Antiqua"/>
        </w:rPr>
        <w:t xml:space="preserve">, Caenepeel </w:t>
      </w:r>
      <w:r w:rsidR="00B64418">
        <w:rPr>
          <w:rFonts w:ascii="Book Antiqua" w:hAnsi="Book Antiqua"/>
        </w:rPr>
        <w:t>P</w:t>
      </w:r>
      <w:r w:rsidR="00B64418" w:rsidRPr="00B64418">
        <w:rPr>
          <w:rFonts w:ascii="Book Antiqua" w:hAnsi="Book Antiqua"/>
        </w:rPr>
        <w:t xml:space="preserve">, Aubourg </w:t>
      </w:r>
      <w:r w:rsidR="00B64418">
        <w:rPr>
          <w:rFonts w:ascii="Book Antiqua" w:hAnsi="Book Antiqua"/>
        </w:rPr>
        <w:t>A</w:t>
      </w:r>
      <w:r w:rsidR="00B64418" w:rsidRPr="00B64418">
        <w:rPr>
          <w:rFonts w:ascii="Book Antiqua" w:hAnsi="Book Antiqua"/>
        </w:rPr>
        <w:t xml:space="preserve">, Oldenburg </w:t>
      </w:r>
      <w:r w:rsidR="00B64418">
        <w:rPr>
          <w:rFonts w:ascii="Book Antiqua" w:hAnsi="Book Antiqua"/>
        </w:rPr>
        <w:t>B</w:t>
      </w:r>
      <w:r w:rsidR="00B64418" w:rsidRPr="00B64418">
        <w:rPr>
          <w:rFonts w:ascii="Book Antiqua" w:hAnsi="Book Antiqua"/>
        </w:rPr>
        <w:t xml:space="preserve">, Pierik </w:t>
      </w:r>
      <w:r w:rsidR="00B64418">
        <w:rPr>
          <w:rFonts w:ascii="Book Antiqua" w:hAnsi="Book Antiqua"/>
        </w:rPr>
        <w:t>M</w:t>
      </w:r>
      <w:r w:rsidR="00B64418" w:rsidRPr="00B64418">
        <w:rPr>
          <w:rFonts w:ascii="Book Antiqua" w:hAnsi="Book Antiqua"/>
        </w:rPr>
        <w:t xml:space="preserve">, Gils </w:t>
      </w:r>
      <w:r w:rsidR="00B64418">
        <w:rPr>
          <w:rFonts w:ascii="Book Antiqua" w:hAnsi="Book Antiqua"/>
        </w:rPr>
        <w:t>A</w:t>
      </w:r>
      <w:r w:rsidR="00B64418" w:rsidRPr="00B64418">
        <w:rPr>
          <w:rFonts w:ascii="Book Antiqua" w:hAnsi="Book Antiqua"/>
        </w:rPr>
        <w:t xml:space="preserve">, Chevret </w:t>
      </w:r>
      <w:r w:rsidR="00B64418">
        <w:rPr>
          <w:rFonts w:ascii="Book Antiqua" w:hAnsi="Book Antiqua"/>
        </w:rPr>
        <w:t>S</w:t>
      </w:r>
      <w:r w:rsidR="00B64418" w:rsidRPr="00B64418">
        <w:rPr>
          <w:rFonts w:ascii="Book Antiqua" w:hAnsi="Book Antiqua"/>
        </w:rPr>
        <w:t xml:space="preserve">, Laharie </w:t>
      </w:r>
      <w:r w:rsidR="00B64418">
        <w:rPr>
          <w:rFonts w:ascii="Book Antiqua" w:hAnsi="Book Antiqua"/>
        </w:rPr>
        <w:t>D.</w:t>
      </w:r>
      <w:r w:rsidRPr="005B1A16">
        <w:rPr>
          <w:rFonts w:ascii="Book Antiqua" w:hAnsi="Book Antiqua"/>
        </w:rPr>
        <w:t xml:space="preserve"> </w:t>
      </w:r>
      <w:r w:rsidR="00B64418" w:rsidRPr="00B64418">
        <w:rPr>
          <w:rFonts w:ascii="Book Antiqua" w:hAnsi="Book Antiqua"/>
        </w:rPr>
        <w:t>OP029</w:t>
      </w:r>
      <w:r w:rsidRPr="00B64418">
        <w:rPr>
          <w:rFonts w:ascii="Book Antiqua" w:hAnsi="Book Antiqua"/>
        </w:rPr>
        <w:t xml:space="preserve"> Drug-concentration versus symptom-driven dose adaptation of Infliximab in patients with active Crohn’s disease: a prospective,</w:t>
      </w:r>
      <w:r w:rsidR="00B64418">
        <w:rPr>
          <w:rFonts w:ascii="Book Antiqua" w:hAnsi="Book Antiqua"/>
        </w:rPr>
        <w:t xml:space="preserve"> </w:t>
      </w:r>
      <w:r w:rsidRPr="005B1A16">
        <w:rPr>
          <w:rFonts w:ascii="Book Antiqua" w:hAnsi="Book Antiqua"/>
        </w:rPr>
        <w:t xml:space="preserve">randomised, multicentre trial (Tailorix). </w:t>
      </w:r>
      <w:r w:rsidRPr="00B64418">
        <w:rPr>
          <w:rFonts w:ascii="Book Antiqua" w:hAnsi="Book Antiqua"/>
          <w:i/>
        </w:rPr>
        <w:t>J Crohns Colitis</w:t>
      </w:r>
      <w:r w:rsidRPr="005B1A16">
        <w:rPr>
          <w:rFonts w:ascii="Book Antiqua" w:hAnsi="Book Antiqua"/>
        </w:rPr>
        <w:t xml:space="preserve"> 2016; </w:t>
      </w:r>
      <w:r w:rsidRPr="00B64418">
        <w:rPr>
          <w:rFonts w:ascii="Book Antiqua" w:hAnsi="Book Antiqua"/>
          <w:b/>
        </w:rPr>
        <w:t>10</w:t>
      </w:r>
      <w:r w:rsidRPr="005B1A16">
        <w:rPr>
          <w:rFonts w:ascii="Book Antiqua" w:hAnsi="Book Antiqua"/>
        </w:rPr>
        <w:t>: S24.1-S24 [DOI: 10.1093/ecco-jcc/jjw019.028]</w:t>
      </w:r>
    </w:p>
    <w:p w14:paraId="4A432C85" w14:textId="77777777"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90 </w:t>
      </w:r>
      <w:r w:rsidRPr="005B1A16">
        <w:rPr>
          <w:rFonts w:ascii="Book Antiqua" w:hAnsi="Book Antiqua"/>
          <w:b/>
        </w:rPr>
        <w:t>Panaccione R</w:t>
      </w:r>
      <w:r w:rsidRPr="005B1A16">
        <w:rPr>
          <w:rFonts w:ascii="Book Antiqua" w:hAnsi="Book Antiqua"/>
        </w:rPr>
        <w:t xml:space="preserve">, Ghosh S, Middleton S, Márquez JR, Scott BB, Flint L, van Hoogstraten HJ, Chen AC, Zheng H, Danese S, Rutgeerts P. Combination therapy with infliximab and azathioprine is superior to monotherapy with either agent in ulcerative colitis. </w:t>
      </w:r>
      <w:r w:rsidRPr="005B1A16">
        <w:rPr>
          <w:rFonts w:ascii="Book Antiqua" w:hAnsi="Book Antiqua"/>
          <w:i/>
        </w:rPr>
        <w:t>Gastroenterology</w:t>
      </w:r>
      <w:r w:rsidRPr="005B1A16">
        <w:rPr>
          <w:rFonts w:ascii="Book Antiqua" w:hAnsi="Book Antiqua"/>
        </w:rPr>
        <w:t xml:space="preserve"> 2014; </w:t>
      </w:r>
      <w:r w:rsidRPr="005B1A16">
        <w:rPr>
          <w:rFonts w:ascii="Book Antiqua" w:hAnsi="Book Antiqua"/>
          <w:b/>
        </w:rPr>
        <w:t>146</w:t>
      </w:r>
      <w:r w:rsidRPr="005B1A16">
        <w:rPr>
          <w:rFonts w:ascii="Book Antiqua" w:hAnsi="Book Antiqua"/>
        </w:rPr>
        <w:t>: 392-400.e3 [PMID: 24512909 DOI: 10.1053/j.gastro.2013.10.052]</w:t>
      </w:r>
    </w:p>
    <w:p w14:paraId="0E0FC9EE"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91 </w:t>
      </w:r>
      <w:r w:rsidRPr="005B1A16">
        <w:rPr>
          <w:rFonts w:ascii="Book Antiqua" w:hAnsi="Book Antiqua"/>
          <w:b/>
        </w:rPr>
        <w:t>Matsumoto T</w:t>
      </w:r>
      <w:r w:rsidRPr="005B1A16">
        <w:rPr>
          <w:rFonts w:ascii="Book Antiqua" w:hAnsi="Book Antiqua"/>
        </w:rPr>
        <w:t xml:space="preserve">, Motoya S, Watanabe K, Hisamatsu T, Nakase H, Yoshimura N, Ishida T, Kato S, Nakagawa T, Esaki M, Nagahori M, Matsui T, Naito Y, Kanai T, Suzuki Y, Nojima M, Watanabe M, Hibi T; DIAMOND study group. Adalimumab Monotherapy and a Combination with Azathioprine for Crohn's Disease: A Prospective, Randomized Trial. </w:t>
      </w:r>
      <w:r w:rsidRPr="005B1A16">
        <w:rPr>
          <w:rFonts w:ascii="Book Antiqua" w:hAnsi="Book Antiqua"/>
          <w:i/>
        </w:rPr>
        <w:t>J Crohns Colitis</w:t>
      </w:r>
      <w:r w:rsidRPr="005B1A16">
        <w:rPr>
          <w:rFonts w:ascii="Book Antiqua" w:hAnsi="Book Antiqua"/>
        </w:rPr>
        <w:t xml:space="preserve"> 2016; </w:t>
      </w:r>
      <w:r w:rsidRPr="005B1A16">
        <w:rPr>
          <w:rFonts w:ascii="Book Antiqua" w:hAnsi="Book Antiqua"/>
          <w:b/>
        </w:rPr>
        <w:t>10</w:t>
      </w:r>
      <w:r w:rsidRPr="005B1A16">
        <w:rPr>
          <w:rFonts w:ascii="Book Antiqua" w:hAnsi="Book Antiqua"/>
        </w:rPr>
        <w:t>: 1259-1266 [PMID: 27566367 DOI: 10.1093/ecco-jcc/jjw152]</w:t>
      </w:r>
    </w:p>
    <w:p w14:paraId="0EC25A40"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92 </w:t>
      </w:r>
      <w:r w:rsidRPr="005B1A16">
        <w:rPr>
          <w:rFonts w:ascii="Book Antiqua" w:hAnsi="Book Antiqua"/>
          <w:b/>
        </w:rPr>
        <w:t>Andersen NN</w:t>
      </w:r>
      <w:r w:rsidRPr="005B1A16">
        <w:rPr>
          <w:rFonts w:ascii="Book Antiqua" w:hAnsi="Book Antiqua"/>
        </w:rPr>
        <w:t xml:space="preserve">, Jess T. Risk of infections associated with biological treatment in inflammatory bowel disease. </w:t>
      </w:r>
      <w:r w:rsidRPr="005B1A16">
        <w:rPr>
          <w:rFonts w:ascii="Book Antiqua" w:hAnsi="Book Antiqua"/>
          <w:i/>
        </w:rPr>
        <w:t>World J Gastroenterol</w:t>
      </w:r>
      <w:r w:rsidRPr="005B1A16">
        <w:rPr>
          <w:rFonts w:ascii="Book Antiqua" w:hAnsi="Book Antiqua"/>
        </w:rPr>
        <w:t xml:space="preserve"> 2014; </w:t>
      </w:r>
      <w:r w:rsidRPr="005B1A16">
        <w:rPr>
          <w:rFonts w:ascii="Book Antiqua" w:hAnsi="Book Antiqua"/>
          <w:b/>
        </w:rPr>
        <w:t>20</w:t>
      </w:r>
      <w:r w:rsidRPr="005B1A16">
        <w:rPr>
          <w:rFonts w:ascii="Book Antiqua" w:hAnsi="Book Antiqua"/>
        </w:rPr>
        <w:t>: 16014-16019 [PMID: 25473153 DOI: 10.3748/wjg.v20.i43.16014]</w:t>
      </w:r>
    </w:p>
    <w:p w14:paraId="510CF1DC"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93 </w:t>
      </w:r>
      <w:r w:rsidRPr="005B1A16">
        <w:rPr>
          <w:rFonts w:ascii="Book Antiqua" w:hAnsi="Book Antiqua"/>
          <w:b/>
        </w:rPr>
        <w:t>Magro F</w:t>
      </w:r>
      <w:r w:rsidRPr="005B1A16">
        <w:rPr>
          <w:rFonts w:ascii="Book Antiqua" w:hAnsi="Book Antiqua"/>
        </w:rPr>
        <w:t xml:space="preserve">, Peyrin-Biroulet L, Sokol H, Aldeger X, Costa A, Higgins PD, Joyce JC, Katsanos KH, Lopez A, de Xaxars TM, Toader E, Beaugerie L. Extra-intestinal malignancies in inflammatory bowel disease: results of the 3rd ECCO Pathogenesis Scientific Workshop (III). </w:t>
      </w:r>
      <w:r w:rsidRPr="005B1A16">
        <w:rPr>
          <w:rFonts w:ascii="Book Antiqua" w:hAnsi="Book Antiqua"/>
          <w:i/>
        </w:rPr>
        <w:t>J Crohns Colitis</w:t>
      </w:r>
      <w:r w:rsidRPr="005B1A16">
        <w:rPr>
          <w:rFonts w:ascii="Book Antiqua" w:hAnsi="Book Antiqua"/>
        </w:rPr>
        <w:t xml:space="preserve"> 2014; </w:t>
      </w:r>
      <w:r w:rsidRPr="005B1A16">
        <w:rPr>
          <w:rFonts w:ascii="Book Antiqua" w:hAnsi="Book Antiqua"/>
          <w:b/>
        </w:rPr>
        <w:t>8</w:t>
      </w:r>
      <w:r w:rsidRPr="005B1A16">
        <w:rPr>
          <w:rFonts w:ascii="Book Antiqua" w:hAnsi="Book Antiqua"/>
        </w:rPr>
        <w:t>: 31-44 [PMID: 23721759 DOI: 10.1016/j.crohns.2013.04.006]</w:t>
      </w:r>
    </w:p>
    <w:p w14:paraId="78A76FFE"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94 </w:t>
      </w:r>
      <w:r w:rsidRPr="005B1A16">
        <w:rPr>
          <w:rFonts w:ascii="Book Antiqua" w:hAnsi="Book Antiqua"/>
          <w:b/>
        </w:rPr>
        <w:t>Drobne D</w:t>
      </w:r>
      <w:r w:rsidRPr="005B1A16">
        <w:rPr>
          <w:rFonts w:ascii="Book Antiqua" w:hAnsi="Book Antiqua"/>
        </w:rPr>
        <w:t xml:space="preserve">, Bossuyt P, Breynaert C, Cattaert T, Vande Casteele N, Compernolle G, Jürgens M, Ferrante M, Ballet V, Wollants WJ, Cleynen I, Van Steen K, Gils A, Rutgeerts P, Vermeire S, Van Assche G. Withdrawal of immunomodulators after co-treatment does not reduce trough level of infliximab in patients with Crohn's disease. </w:t>
      </w:r>
      <w:r w:rsidRPr="005B1A16">
        <w:rPr>
          <w:rFonts w:ascii="Book Antiqua" w:hAnsi="Book Antiqua"/>
          <w:i/>
        </w:rPr>
        <w:t>Clin Gastroenterol Hepatol</w:t>
      </w:r>
      <w:r w:rsidRPr="005B1A16">
        <w:rPr>
          <w:rFonts w:ascii="Book Antiqua" w:hAnsi="Book Antiqua"/>
        </w:rPr>
        <w:t xml:space="preserve"> 2015; </w:t>
      </w:r>
      <w:r w:rsidRPr="005B1A16">
        <w:rPr>
          <w:rFonts w:ascii="Book Antiqua" w:hAnsi="Book Antiqua"/>
          <w:b/>
        </w:rPr>
        <w:t>13</w:t>
      </w:r>
      <w:r w:rsidRPr="005B1A16">
        <w:rPr>
          <w:rFonts w:ascii="Book Antiqua" w:hAnsi="Book Antiqua"/>
        </w:rPr>
        <w:t>: 514-521.e4 [PMID: 25066841 DOI: 10.1016/j.cgh.2014.07.027]</w:t>
      </w:r>
    </w:p>
    <w:p w14:paraId="4A8052C4"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95 </w:t>
      </w:r>
      <w:r w:rsidRPr="005B1A16">
        <w:rPr>
          <w:rFonts w:ascii="Book Antiqua" w:hAnsi="Book Antiqua"/>
          <w:b/>
        </w:rPr>
        <w:t>Van Assche G</w:t>
      </w:r>
      <w:r w:rsidRPr="005B1A16">
        <w:rPr>
          <w:rFonts w:ascii="Book Antiqua" w:hAnsi="Book Antiqua"/>
        </w:rPr>
        <w:t xml:space="preserve">, Magdelaine-Beuzelin C, D'Haens G, Baert F, Noman M, Vermeire S, Ternant D, Watier H, Paintaud G, Rutgeerts P. Withdrawal of immunosuppression in Crohn's disease treated with scheduled infliximab maintenance: a randomized trial. </w:t>
      </w:r>
      <w:r w:rsidRPr="005B1A16">
        <w:rPr>
          <w:rFonts w:ascii="Book Antiqua" w:hAnsi="Book Antiqua"/>
          <w:i/>
        </w:rPr>
        <w:t>Gastroenterology</w:t>
      </w:r>
      <w:r w:rsidRPr="005B1A16">
        <w:rPr>
          <w:rFonts w:ascii="Book Antiqua" w:hAnsi="Book Antiqua"/>
        </w:rPr>
        <w:t xml:space="preserve"> 2008; </w:t>
      </w:r>
      <w:r w:rsidRPr="005B1A16">
        <w:rPr>
          <w:rFonts w:ascii="Book Antiqua" w:hAnsi="Book Antiqua"/>
          <w:b/>
        </w:rPr>
        <w:t>134</w:t>
      </w:r>
      <w:r w:rsidRPr="005B1A16">
        <w:rPr>
          <w:rFonts w:ascii="Book Antiqua" w:hAnsi="Book Antiqua"/>
        </w:rPr>
        <w:t>: 1861-1868 [PMID: 18440315 DOI: 10.1053/j.gastro.2008.03.004]</w:t>
      </w:r>
    </w:p>
    <w:p w14:paraId="37F40DD5" w14:textId="4A256ACC"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96 </w:t>
      </w:r>
      <w:r w:rsidR="008C62A0" w:rsidRPr="008C62A0">
        <w:rPr>
          <w:rFonts w:ascii="Book Antiqua" w:hAnsi="Book Antiqua"/>
          <w:b/>
        </w:rPr>
        <w:t>Takeda</w:t>
      </w:r>
      <w:r w:rsidR="008C62A0" w:rsidRPr="008C62A0">
        <w:rPr>
          <w:rFonts w:ascii="Book Antiqua" w:eastAsia="SimSun" w:hAnsi="Book Antiqua" w:hint="eastAsia"/>
          <w:b/>
          <w:lang w:eastAsia="zh-CN"/>
        </w:rPr>
        <w:t xml:space="preserve">. </w:t>
      </w:r>
      <w:r w:rsidRPr="005B1A16">
        <w:rPr>
          <w:rFonts w:ascii="Book Antiqua" w:hAnsi="Book Antiqua"/>
        </w:rPr>
        <w:t>Vedolizumab IV 300 mg in the Treatment of Fistulizing Crohn’s Disease (ENTERPRISE).</w:t>
      </w:r>
      <w:r w:rsidR="005A5F8F" w:rsidRPr="005A5F8F">
        <w:rPr>
          <w:rFonts w:ascii="Book Antiqua" w:hAnsi="Book Antiqua"/>
          <w:b/>
        </w:rPr>
        <w:t xml:space="preserve"> </w:t>
      </w:r>
      <w:r w:rsidR="005A5F8F" w:rsidRPr="00B14649">
        <w:rPr>
          <w:rFonts w:ascii="Book Antiqua" w:hAnsi="Book Antiqua"/>
          <w:bCs/>
          <w:color w:val="000000" w:themeColor="text1"/>
        </w:rPr>
        <w:t xml:space="preserve">[accessed </w:t>
      </w:r>
      <w:r w:rsidR="005A5F8F">
        <w:rPr>
          <w:rFonts w:ascii="Book Antiqua" w:eastAsia="SimSun" w:hAnsi="Book Antiqua" w:hint="eastAsia"/>
          <w:bCs/>
          <w:color w:val="000000" w:themeColor="text1"/>
          <w:lang w:eastAsia="zh-CN"/>
        </w:rPr>
        <w:t>2018</w:t>
      </w:r>
      <w:r w:rsidR="005A5F8F" w:rsidRPr="00B14649">
        <w:rPr>
          <w:rFonts w:ascii="Book Antiqua" w:hAnsi="Book Antiqua"/>
          <w:bCs/>
          <w:color w:val="000000" w:themeColor="text1"/>
        </w:rPr>
        <w:t xml:space="preserve"> </w:t>
      </w:r>
      <w:r w:rsidR="005A5F8F">
        <w:rPr>
          <w:rFonts w:ascii="Book Antiqua" w:eastAsia="SimSun" w:hAnsi="Book Antiqua" w:hint="eastAsia"/>
          <w:bCs/>
          <w:color w:val="000000" w:themeColor="text1"/>
          <w:lang w:eastAsia="zh-CN"/>
        </w:rPr>
        <w:t>Mar</w:t>
      </w:r>
      <w:r w:rsidR="005A5F8F" w:rsidRPr="00B14649">
        <w:rPr>
          <w:rFonts w:ascii="Book Antiqua" w:hAnsi="Book Antiqua"/>
          <w:bCs/>
          <w:color w:val="000000" w:themeColor="text1"/>
        </w:rPr>
        <w:t xml:space="preserve"> </w:t>
      </w:r>
      <w:r w:rsidR="005A5F8F">
        <w:rPr>
          <w:rFonts w:ascii="Book Antiqua" w:eastAsia="SimSun" w:hAnsi="Book Antiqua" w:hint="eastAsia"/>
          <w:bCs/>
          <w:color w:val="000000" w:themeColor="text1"/>
          <w:lang w:eastAsia="zh-CN"/>
        </w:rPr>
        <w:t>28</w:t>
      </w:r>
      <w:r w:rsidR="005A5F8F" w:rsidRPr="00B14649">
        <w:rPr>
          <w:rFonts w:ascii="Book Antiqua" w:hAnsi="Book Antiqua"/>
          <w:bCs/>
          <w:color w:val="000000" w:themeColor="text1"/>
        </w:rPr>
        <w:t>].</w:t>
      </w:r>
      <w:r w:rsidR="005A5F8F">
        <w:rPr>
          <w:rFonts w:ascii="Book Antiqua" w:eastAsia="SimSun" w:hAnsi="Book Antiqua" w:hint="eastAsia"/>
          <w:bCs/>
          <w:color w:val="000000" w:themeColor="text1"/>
          <w:lang w:eastAsia="zh-CN"/>
        </w:rPr>
        <w:t xml:space="preserve"> </w:t>
      </w:r>
      <w:r w:rsidR="005A5F8F">
        <w:rPr>
          <w:rFonts w:ascii="Book Antiqua" w:eastAsia="SimSun" w:hAnsi="Book Antiqua"/>
          <w:bCs/>
          <w:color w:val="000000" w:themeColor="text1"/>
          <w:lang w:eastAsia="zh-CN"/>
        </w:rPr>
        <w:t>I</w:t>
      </w:r>
      <w:r w:rsidR="005A5F8F">
        <w:rPr>
          <w:rFonts w:ascii="Book Antiqua" w:eastAsia="SimSun" w:hAnsi="Book Antiqua" w:hint="eastAsia"/>
          <w:bCs/>
          <w:color w:val="000000" w:themeColor="text1"/>
          <w:lang w:eastAsia="zh-CN"/>
        </w:rPr>
        <w:t xml:space="preserve">n: </w:t>
      </w:r>
      <w:r w:rsidR="005A5F8F" w:rsidRPr="00B14649">
        <w:rPr>
          <w:rFonts w:ascii="Book Antiqua" w:hAnsi="Book Antiqua"/>
          <w:bCs/>
          <w:color w:val="000000" w:themeColor="text1"/>
        </w:rPr>
        <w:t>ClinicalTrials.gov [Internet]. Bethesda (MD): U.S. National Library of Medicine. Available from: http://clinicaltrials.gov/show/</w:t>
      </w:r>
      <w:r w:rsidR="005A5F8F" w:rsidRPr="005B1A16">
        <w:rPr>
          <w:rFonts w:ascii="Book Antiqua" w:hAnsi="Book Antiqua"/>
        </w:rPr>
        <w:t>NCT02630966</w:t>
      </w:r>
      <w:r w:rsidR="005A5F8F" w:rsidRPr="0037119C">
        <w:rPr>
          <w:rFonts w:ascii="Book Antiqua" w:hAnsi="Book Antiqua"/>
          <w:bCs/>
          <w:color w:val="000000" w:themeColor="text1"/>
        </w:rPr>
        <w:t xml:space="preserve"> </w:t>
      </w:r>
      <w:r w:rsidR="005A5F8F" w:rsidRPr="00B14649">
        <w:rPr>
          <w:rFonts w:ascii="Book Antiqua" w:hAnsi="Book Antiqua"/>
          <w:bCs/>
          <w:color w:val="000000" w:themeColor="text1"/>
        </w:rPr>
        <w:t>ClinicalTrials.gov Identifier:</w:t>
      </w:r>
      <w:r w:rsidR="005A5F8F" w:rsidRPr="0037119C">
        <w:rPr>
          <w:rFonts w:ascii="Book Antiqua" w:hAnsi="Book Antiqua"/>
        </w:rPr>
        <w:t xml:space="preserve"> </w:t>
      </w:r>
      <w:r w:rsidR="005A5F8F" w:rsidRPr="005B1A16">
        <w:rPr>
          <w:rFonts w:ascii="Book Antiqua" w:hAnsi="Book Antiqua"/>
        </w:rPr>
        <w:t>NCT02630966</w:t>
      </w:r>
    </w:p>
    <w:p w14:paraId="2274992A" w14:textId="31B0B359" w:rsidR="008C62A0" w:rsidRPr="005B1A16" w:rsidRDefault="005B1A16" w:rsidP="008C62A0">
      <w:pPr>
        <w:spacing w:line="360" w:lineRule="auto"/>
        <w:jc w:val="both"/>
        <w:rPr>
          <w:rFonts w:ascii="Book Antiqua" w:hAnsi="Book Antiqua"/>
        </w:rPr>
      </w:pPr>
      <w:r w:rsidRPr="005B1A16">
        <w:rPr>
          <w:rFonts w:ascii="Book Antiqua" w:hAnsi="Book Antiqua"/>
        </w:rPr>
        <w:t xml:space="preserve">97 </w:t>
      </w:r>
      <w:r w:rsidR="003A2A97" w:rsidRPr="003A2A97">
        <w:rPr>
          <w:rFonts w:ascii="Book Antiqua" w:hAnsi="Book Antiqua"/>
          <w:b/>
        </w:rPr>
        <w:t>D'Haens</w:t>
      </w:r>
      <w:r w:rsidR="003A2A97" w:rsidRPr="003A2A97">
        <w:rPr>
          <w:rFonts w:ascii="Book Antiqua" w:eastAsia="SimSun" w:hAnsi="Book Antiqua" w:hint="eastAsia"/>
          <w:b/>
          <w:lang w:eastAsia="zh-CN"/>
        </w:rPr>
        <w:t xml:space="preserve"> G</w:t>
      </w:r>
      <w:r w:rsidR="003A2A97">
        <w:rPr>
          <w:rFonts w:ascii="Book Antiqua" w:eastAsia="SimSun" w:hAnsi="Book Antiqua" w:hint="eastAsia"/>
          <w:lang w:eastAsia="zh-CN"/>
        </w:rPr>
        <w:t xml:space="preserve">. </w:t>
      </w:r>
      <w:r w:rsidRPr="005B1A16">
        <w:rPr>
          <w:rFonts w:ascii="Book Antiqua" w:hAnsi="Book Antiqua"/>
        </w:rPr>
        <w:t>An Open Label Phase 4 Study to Evaluate Efficacy of Early Versus Late Use of Vedolizumab in Ulcerative Colitis (LOVE-UC).</w:t>
      </w:r>
      <w:r w:rsidR="008C62A0" w:rsidRPr="008C62A0">
        <w:rPr>
          <w:rFonts w:ascii="Book Antiqua" w:hAnsi="Book Antiqua"/>
          <w:bCs/>
          <w:color w:val="000000" w:themeColor="text1"/>
        </w:rPr>
        <w:t xml:space="preserve"> </w:t>
      </w:r>
      <w:r w:rsidR="008C62A0" w:rsidRPr="00B14649">
        <w:rPr>
          <w:rFonts w:ascii="Book Antiqua" w:hAnsi="Book Antiqua"/>
          <w:bCs/>
          <w:color w:val="000000" w:themeColor="text1"/>
        </w:rPr>
        <w:t xml:space="preserve">[accessed </w:t>
      </w:r>
      <w:r w:rsidR="008C62A0">
        <w:rPr>
          <w:rFonts w:ascii="Book Antiqua" w:eastAsia="SimSun" w:hAnsi="Book Antiqua" w:hint="eastAsia"/>
          <w:bCs/>
          <w:color w:val="000000" w:themeColor="text1"/>
          <w:lang w:eastAsia="zh-CN"/>
        </w:rPr>
        <w:t>2018</w:t>
      </w:r>
      <w:r w:rsidR="008C62A0" w:rsidRPr="00B14649">
        <w:rPr>
          <w:rFonts w:ascii="Book Antiqua" w:hAnsi="Book Antiqua"/>
          <w:bCs/>
          <w:color w:val="000000" w:themeColor="text1"/>
        </w:rPr>
        <w:t xml:space="preserve"> </w:t>
      </w:r>
      <w:r w:rsidR="008C62A0">
        <w:rPr>
          <w:rFonts w:ascii="Book Antiqua" w:eastAsia="SimSun" w:hAnsi="Book Antiqua" w:hint="eastAsia"/>
          <w:bCs/>
          <w:color w:val="000000" w:themeColor="text1"/>
          <w:lang w:eastAsia="zh-CN"/>
        </w:rPr>
        <w:t>Mar</w:t>
      </w:r>
      <w:r w:rsidR="008C62A0" w:rsidRPr="00B14649">
        <w:rPr>
          <w:rFonts w:ascii="Book Antiqua" w:hAnsi="Book Antiqua"/>
          <w:bCs/>
          <w:color w:val="000000" w:themeColor="text1"/>
        </w:rPr>
        <w:t xml:space="preserve"> </w:t>
      </w:r>
      <w:r w:rsidR="008C62A0">
        <w:rPr>
          <w:rFonts w:ascii="Book Antiqua" w:eastAsia="SimSun" w:hAnsi="Book Antiqua" w:hint="eastAsia"/>
          <w:bCs/>
          <w:color w:val="000000" w:themeColor="text1"/>
          <w:lang w:eastAsia="zh-CN"/>
        </w:rPr>
        <w:t>28</w:t>
      </w:r>
      <w:r w:rsidR="008C62A0" w:rsidRPr="00B14649">
        <w:rPr>
          <w:rFonts w:ascii="Book Antiqua" w:hAnsi="Book Antiqua"/>
          <w:bCs/>
          <w:color w:val="000000" w:themeColor="text1"/>
        </w:rPr>
        <w:t>].</w:t>
      </w:r>
      <w:r w:rsidR="008C62A0">
        <w:rPr>
          <w:rFonts w:ascii="Book Antiqua" w:eastAsia="SimSun" w:hAnsi="Book Antiqua" w:hint="eastAsia"/>
          <w:bCs/>
          <w:color w:val="000000" w:themeColor="text1"/>
          <w:lang w:eastAsia="zh-CN"/>
        </w:rPr>
        <w:t xml:space="preserve"> </w:t>
      </w:r>
      <w:r w:rsidR="008C62A0">
        <w:rPr>
          <w:rFonts w:ascii="Book Antiqua" w:eastAsia="SimSun" w:hAnsi="Book Antiqua"/>
          <w:bCs/>
          <w:color w:val="000000" w:themeColor="text1"/>
          <w:lang w:eastAsia="zh-CN"/>
        </w:rPr>
        <w:t>I</w:t>
      </w:r>
      <w:r w:rsidR="008C62A0">
        <w:rPr>
          <w:rFonts w:ascii="Book Antiqua" w:eastAsia="SimSun" w:hAnsi="Book Antiqua" w:hint="eastAsia"/>
          <w:bCs/>
          <w:color w:val="000000" w:themeColor="text1"/>
          <w:lang w:eastAsia="zh-CN"/>
        </w:rPr>
        <w:t xml:space="preserve">n: </w:t>
      </w:r>
      <w:r w:rsidR="008C62A0" w:rsidRPr="00B14649">
        <w:rPr>
          <w:rFonts w:ascii="Book Antiqua" w:hAnsi="Book Antiqua"/>
          <w:bCs/>
          <w:color w:val="000000" w:themeColor="text1"/>
        </w:rPr>
        <w:t>ClinicalTrials.gov [Internet]. Bethesda (MD): U.S. National Library of Medicine. Available from: http://clinicaltrials.gov/show/</w:t>
      </w:r>
      <w:r w:rsidR="008C62A0" w:rsidRPr="005B1A16">
        <w:rPr>
          <w:rFonts w:ascii="Book Antiqua" w:hAnsi="Book Antiqua"/>
        </w:rPr>
        <w:t>NCT02646657</w:t>
      </w:r>
      <w:r w:rsidR="008C62A0" w:rsidRPr="0037119C">
        <w:rPr>
          <w:rFonts w:ascii="Book Antiqua" w:hAnsi="Book Antiqua"/>
          <w:bCs/>
          <w:color w:val="000000" w:themeColor="text1"/>
        </w:rPr>
        <w:t xml:space="preserve"> </w:t>
      </w:r>
      <w:r w:rsidR="008C62A0" w:rsidRPr="00B14649">
        <w:rPr>
          <w:rFonts w:ascii="Book Antiqua" w:hAnsi="Book Antiqua"/>
          <w:bCs/>
          <w:color w:val="000000" w:themeColor="text1"/>
        </w:rPr>
        <w:t>ClinicalTrials.gov Identifier:</w:t>
      </w:r>
      <w:r w:rsidR="008C62A0" w:rsidRPr="0037119C">
        <w:rPr>
          <w:rFonts w:ascii="Book Antiqua" w:hAnsi="Book Antiqua"/>
        </w:rPr>
        <w:t xml:space="preserve"> </w:t>
      </w:r>
      <w:r w:rsidR="008C62A0" w:rsidRPr="005B1A16">
        <w:rPr>
          <w:rFonts w:ascii="Book Antiqua" w:hAnsi="Book Antiqua"/>
        </w:rPr>
        <w:t>NCT02646657</w:t>
      </w:r>
    </w:p>
    <w:p w14:paraId="418BE4EE" w14:textId="2519E159" w:rsidR="003A2A97" w:rsidRPr="005B1A16" w:rsidRDefault="005B1A16" w:rsidP="003A2A97">
      <w:pPr>
        <w:spacing w:line="360" w:lineRule="auto"/>
        <w:jc w:val="both"/>
        <w:rPr>
          <w:rFonts w:ascii="Book Antiqua" w:hAnsi="Book Antiqua"/>
        </w:rPr>
      </w:pPr>
      <w:r w:rsidRPr="005B1A16">
        <w:rPr>
          <w:rFonts w:ascii="Book Antiqua" w:hAnsi="Book Antiqua"/>
        </w:rPr>
        <w:t>98</w:t>
      </w:r>
      <w:r w:rsidR="003A2A97">
        <w:rPr>
          <w:rFonts w:ascii="Book Antiqua" w:eastAsia="SimSun" w:hAnsi="Book Antiqua" w:hint="eastAsia"/>
          <w:b/>
          <w:lang w:eastAsia="zh-CN"/>
        </w:rPr>
        <w:t xml:space="preserve"> </w:t>
      </w:r>
      <w:r w:rsidR="003A2A97" w:rsidRPr="003A2A97">
        <w:rPr>
          <w:rFonts w:ascii="Book Antiqua" w:hAnsi="Book Antiqua"/>
          <w:b/>
        </w:rPr>
        <w:t>D'Haens</w:t>
      </w:r>
      <w:r w:rsidR="003A2A97" w:rsidRPr="003A2A97">
        <w:rPr>
          <w:rFonts w:ascii="Book Antiqua" w:eastAsia="SimSun" w:hAnsi="Book Antiqua" w:hint="eastAsia"/>
          <w:b/>
          <w:lang w:eastAsia="zh-CN"/>
        </w:rPr>
        <w:t xml:space="preserve"> G</w:t>
      </w:r>
      <w:r w:rsidR="003A2A97">
        <w:rPr>
          <w:rFonts w:ascii="Book Antiqua" w:eastAsia="SimSun" w:hAnsi="Book Antiqua" w:hint="eastAsia"/>
          <w:lang w:eastAsia="zh-CN"/>
        </w:rPr>
        <w:t xml:space="preserve">. </w:t>
      </w:r>
      <w:r w:rsidRPr="003A2A97">
        <w:rPr>
          <w:rFonts w:ascii="Book Antiqua" w:hAnsi="Book Antiqua"/>
        </w:rPr>
        <w:t>A Study to Evaluate Efficacy,</w:t>
      </w:r>
      <w:r w:rsidR="003A2A97">
        <w:rPr>
          <w:rFonts w:ascii="Book Antiqua" w:hAnsi="Book Antiqua"/>
        </w:rPr>
        <w:t xml:space="preserve"> </w:t>
      </w:r>
      <w:r w:rsidRPr="005B1A16">
        <w:rPr>
          <w:rFonts w:ascii="Book Antiqua" w:hAnsi="Book Antiqua"/>
        </w:rPr>
        <w:t>of Early Versus Late Use of Vedolizumab in Crohn’s Disease: the LOVE-CD Study (LOVE-CD).</w:t>
      </w:r>
      <w:r w:rsidR="003A2A97" w:rsidRPr="008C62A0">
        <w:rPr>
          <w:rFonts w:ascii="Book Antiqua" w:hAnsi="Book Antiqua"/>
          <w:bCs/>
          <w:color w:val="000000" w:themeColor="text1"/>
        </w:rPr>
        <w:t xml:space="preserve"> </w:t>
      </w:r>
      <w:r w:rsidR="003A2A97" w:rsidRPr="00B14649">
        <w:rPr>
          <w:rFonts w:ascii="Book Antiqua" w:hAnsi="Book Antiqua"/>
          <w:bCs/>
          <w:color w:val="000000" w:themeColor="text1"/>
        </w:rPr>
        <w:t xml:space="preserve">[accessed </w:t>
      </w:r>
      <w:r w:rsidR="003A2A97">
        <w:rPr>
          <w:rFonts w:ascii="Book Antiqua" w:eastAsia="SimSun" w:hAnsi="Book Antiqua" w:hint="eastAsia"/>
          <w:bCs/>
          <w:color w:val="000000" w:themeColor="text1"/>
          <w:lang w:eastAsia="zh-CN"/>
        </w:rPr>
        <w:t>2018</w:t>
      </w:r>
      <w:r w:rsidR="003A2A97" w:rsidRPr="00B14649">
        <w:rPr>
          <w:rFonts w:ascii="Book Antiqua" w:hAnsi="Book Antiqua"/>
          <w:bCs/>
          <w:color w:val="000000" w:themeColor="text1"/>
        </w:rPr>
        <w:t xml:space="preserve"> </w:t>
      </w:r>
      <w:r w:rsidR="003A2A97">
        <w:rPr>
          <w:rFonts w:ascii="Book Antiqua" w:eastAsia="SimSun" w:hAnsi="Book Antiqua" w:hint="eastAsia"/>
          <w:bCs/>
          <w:color w:val="000000" w:themeColor="text1"/>
          <w:lang w:eastAsia="zh-CN"/>
        </w:rPr>
        <w:t>Mar</w:t>
      </w:r>
      <w:r w:rsidR="003A2A97" w:rsidRPr="00B14649">
        <w:rPr>
          <w:rFonts w:ascii="Book Antiqua" w:hAnsi="Book Antiqua"/>
          <w:bCs/>
          <w:color w:val="000000" w:themeColor="text1"/>
        </w:rPr>
        <w:t xml:space="preserve"> </w:t>
      </w:r>
      <w:r w:rsidR="003A2A97">
        <w:rPr>
          <w:rFonts w:ascii="Book Antiqua" w:eastAsia="SimSun" w:hAnsi="Book Antiqua" w:hint="eastAsia"/>
          <w:bCs/>
          <w:color w:val="000000" w:themeColor="text1"/>
          <w:lang w:eastAsia="zh-CN"/>
        </w:rPr>
        <w:t>28</w:t>
      </w:r>
      <w:r w:rsidR="003A2A97" w:rsidRPr="00B14649">
        <w:rPr>
          <w:rFonts w:ascii="Book Antiqua" w:hAnsi="Book Antiqua"/>
          <w:bCs/>
          <w:color w:val="000000" w:themeColor="text1"/>
        </w:rPr>
        <w:t>].</w:t>
      </w:r>
      <w:r w:rsidR="003A2A97">
        <w:rPr>
          <w:rFonts w:ascii="Book Antiqua" w:eastAsia="SimSun" w:hAnsi="Book Antiqua" w:hint="eastAsia"/>
          <w:bCs/>
          <w:color w:val="000000" w:themeColor="text1"/>
          <w:lang w:eastAsia="zh-CN"/>
        </w:rPr>
        <w:t xml:space="preserve"> </w:t>
      </w:r>
      <w:r w:rsidR="003A2A97">
        <w:rPr>
          <w:rFonts w:ascii="Book Antiqua" w:eastAsia="SimSun" w:hAnsi="Book Antiqua"/>
          <w:bCs/>
          <w:color w:val="000000" w:themeColor="text1"/>
          <w:lang w:eastAsia="zh-CN"/>
        </w:rPr>
        <w:t>I</w:t>
      </w:r>
      <w:r w:rsidR="003A2A97">
        <w:rPr>
          <w:rFonts w:ascii="Book Antiqua" w:eastAsia="SimSun" w:hAnsi="Book Antiqua" w:hint="eastAsia"/>
          <w:bCs/>
          <w:color w:val="000000" w:themeColor="text1"/>
          <w:lang w:eastAsia="zh-CN"/>
        </w:rPr>
        <w:t xml:space="preserve">n: </w:t>
      </w:r>
      <w:r w:rsidR="003A2A97" w:rsidRPr="00B14649">
        <w:rPr>
          <w:rFonts w:ascii="Book Antiqua" w:hAnsi="Book Antiqua"/>
          <w:bCs/>
          <w:color w:val="000000" w:themeColor="text1"/>
        </w:rPr>
        <w:t>ClinicalTrials.gov [Internet]. Bethesda (MD): U.S. National Library of Medicine. Available from: http://clinicaltrials.gov/show/</w:t>
      </w:r>
      <w:r w:rsidR="003A2A97" w:rsidRPr="003A2A97">
        <w:rPr>
          <w:rFonts w:ascii="Book Antiqua" w:hAnsi="Book Antiqua"/>
        </w:rPr>
        <w:t>NCT02646683</w:t>
      </w:r>
      <w:r w:rsidR="003A2A97" w:rsidRPr="0037119C">
        <w:rPr>
          <w:rFonts w:ascii="Book Antiqua" w:hAnsi="Book Antiqua"/>
          <w:bCs/>
          <w:color w:val="000000" w:themeColor="text1"/>
        </w:rPr>
        <w:t xml:space="preserve"> </w:t>
      </w:r>
      <w:r w:rsidR="003A2A97" w:rsidRPr="00B14649">
        <w:rPr>
          <w:rFonts w:ascii="Book Antiqua" w:hAnsi="Book Antiqua"/>
          <w:bCs/>
          <w:color w:val="000000" w:themeColor="text1"/>
        </w:rPr>
        <w:t>ClinicalTrials.gov Identifier:</w:t>
      </w:r>
      <w:r w:rsidR="003A2A97" w:rsidRPr="0037119C">
        <w:rPr>
          <w:rFonts w:ascii="Book Antiqua" w:hAnsi="Book Antiqua"/>
        </w:rPr>
        <w:t xml:space="preserve"> </w:t>
      </w:r>
      <w:r w:rsidR="003A2A97" w:rsidRPr="003A2A97">
        <w:rPr>
          <w:rFonts w:ascii="Book Antiqua" w:hAnsi="Book Antiqua"/>
        </w:rPr>
        <w:t>NCT02646683</w:t>
      </w:r>
    </w:p>
    <w:p w14:paraId="595E1FDB" w14:textId="37B5F300" w:rsidR="003A2A97" w:rsidRPr="005B1A16" w:rsidRDefault="005B1A16" w:rsidP="003A2A97">
      <w:pPr>
        <w:spacing w:line="360" w:lineRule="auto"/>
        <w:jc w:val="both"/>
        <w:rPr>
          <w:rFonts w:ascii="Book Antiqua" w:hAnsi="Book Antiqua"/>
        </w:rPr>
      </w:pPr>
      <w:r w:rsidRPr="005B1A16">
        <w:rPr>
          <w:rFonts w:ascii="Book Antiqua" w:hAnsi="Book Antiqua"/>
        </w:rPr>
        <w:t xml:space="preserve">99 </w:t>
      </w:r>
      <w:r w:rsidR="003A2A97" w:rsidRPr="003A2A97">
        <w:rPr>
          <w:rFonts w:ascii="Book Antiqua" w:hAnsi="Book Antiqua"/>
          <w:b/>
        </w:rPr>
        <w:t>Takeda</w:t>
      </w:r>
      <w:r w:rsidRPr="003A2A97">
        <w:rPr>
          <w:rFonts w:ascii="Book Antiqua" w:hAnsi="Book Antiqua"/>
          <w:b/>
        </w:rPr>
        <w:t xml:space="preserve">. </w:t>
      </w:r>
      <w:r w:rsidRPr="005B1A16">
        <w:rPr>
          <w:rFonts w:ascii="Book Antiqua" w:hAnsi="Book Antiqua"/>
        </w:rPr>
        <w:t>Triple Combination Therapy in High Risk Crohn’s Disease.</w:t>
      </w:r>
      <w:r w:rsidR="003A2A97" w:rsidRPr="003A2A97">
        <w:rPr>
          <w:rFonts w:ascii="Book Antiqua" w:hAnsi="Book Antiqua"/>
          <w:bCs/>
          <w:color w:val="000000" w:themeColor="text1"/>
        </w:rPr>
        <w:t xml:space="preserve"> </w:t>
      </w:r>
      <w:r w:rsidR="003A2A97" w:rsidRPr="00B14649">
        <w:rPr>
          <w:rFonts w:ascii="Book Antiqua" w:hAnsi="Book Antiqua"/>
          <w:bCs/>
          <w:color w:val="000000" w:themeColor="text1"/>
        </w:rPr>
        <w:t xml:space="preserve">[accessed </w:t>
      </w:r>
      <w:r w:rsidR="003A2A97">
        <w:rPr>
          <w:rFonts w:ascii="Book Antiqua" w:eastAsia="SimSun" w:hAnsi="Book Antiqua" w:hint="eastAsia"/>
          <w:bCs/>
          <w:color w:val="000000" w:themeColor="text1"/>
          <w:lang w:eastAsia="zh-CN"/>
        </w:rPr>
        <w:t>2018</w:t>
      </w:r>
      <w:r w:rsidR="003A2A97" w:rsidRPr="00B14649">
        <w:rPr>
          <w:rFonts w:ascii="Book Antiqua" w:hAnsi="Book Antiqua"/>
          <w:bCs/>
          <w:color w:val="000000" w:themeColor="text1"/>
        </w:rPr>
        <w:t xml:space="preserve"> </w:t>
      </w:r>
      <w:r w:rsidR="003A2A97">
        <w:rPr>
          <w:rFonts w:ascii="Book Antiqua" w:eastAsia="SimSun" w:hAnsi="Book Antiqua" w:hint="eastAsia"/>
          <w:bCs/>
          <w:color w:val="000000" w:themeColor="text1"/>
          <w:lang w:eastAsia="zh-CN"/>
        </w:rPr>
        <w:t>Mar</w:t>
      </w:r>
      <w:r w:rsidR="003A2A97" w:rsidRPr="00B14649">
        <w:rPr>
          <w:rFonts w:ascii="Book Antiqua" w:hAnsi="Book Antiqua"/>
          <w:bCs/>
          <w:color w:val="000000" w:themeColor="text1"/>
        </w:rPr>
        <w:t xml:space="preserve"> </w:t>
      </w:r>
      <w:r w:rsidR="003A2A97">
        <w:rPr>
          <w:rFonts w:ascii="Book Antiqua" w:eastAsia="SimSun" w:hAnsi="Book Antiqua" w:hint="eastAsia"/>
          <w:bCs/>
          <w:color w:val="000000" w:themeColor="text1"/>
          <w:lang w:eastAsia="zh-CN"/>
        </w:rPr>
        <w:t>28</w:t>
      </w:r>
      <w:r w:rsidR="003A2A97" w:rsidRPr="00B14649">
        <w:rPr>
          <w:rFonts w:ascii="Book Antiqua" w:hAnsi="Book Antiqua"/>
          <w:bCs/>
          <w:color w:val="000000" w:themeColor="text1"/>
        </w:rPr>
        <w:t>].</w:t>
      </w:r>
      <w:r w:rsidR="003A2A97">
        <w:rPr>
          <w:rFonts w:ascii="Book Antiqua" w:eastAsia="SimSun" w:hAnsi="Book Antiqua" w:hint="eastAsia"/>
          <w:bCs/>
          <w:color w:val="000000" w:themeColor="text1"/>
          <w:lang w:eastAsia="zh-CN"/>
        </w:rPr>
        <w:t xml:space="preserve"> </w:t>
      </w:r>
      <w:r w:rsidR="003A2A97">
        <w:rPr>
          <w:rFonts w:ascii="Book Antiqua" w:eastAsia="SimSun" w:hAnsi="Book Antiqua"/>
          <w:bCs/>
          <w:color w:val="000000" w:themeColor="text1"/>
          <w:lang w:eastAsia="zh-CN"/>
        </w:rPr>
        <w:t>I</w:t>
      </w:r>
      <w:r w:rsidR="003A2A97">
        <w:rPr>
          <w:rFonts w:ascii="Book Antiqua" w:eastAsia="SimSun" w:hAnsi="Book Antiqua" w:hint="eastAsia"/>
          <w:bCs/>
          <w:color w:val="000000" w:themeColor="text1"/>
          <w:lang w:eastAsia="zh-CN"/>
        </w:rPr>
        <w:t xml:space="preserve">n: </w:t>
      </w:r>
      <w:r w:rsidR="003A2A97" w:rsidRPr="00B14649">
        <w:rPr>
          <w:rFonts w:ascii="Book Antiqua" w:hAnsi="Book Antiqua"/>
          <w:bCs/>
          <w:color w:val="000000" w:themeColor="text1"/>
        </w:rPr>
        <w:t>ClinicalTrials.gov [Internet]. Bethesda (MD): U.S. National Library of Medicine. Available from: http://clinicaltrials.gov/show/</w:t>
      </w:r>
      <w:r w:rsidR="003A2A97" w:rsidRPr="005B1A16">
        <w:rPr>
          <w:rFonts w:ascii="Book Antiqua" w:hAnsi="Book Antiqua"/>
        </w:rPr>
        <w:t>NCT02764762</w:t>
      </w:r>
      <w:r w:rsidR="003A2A97" w:rsidRPr="0037119C">
        <w:rPr>
          <w:rFonts w:ascii="Book Antiqua" w:hAnsi="Book Antiqua"/>
          <w:bCs/>
          <w:color w:val="000000" w:themeColor="text1"/>
        </w:rPr>
        <w:t xml:space="preserve"> </w:t>
      </w:r>
      <w:r w:rsidR="003A2A97" w:rsidRPr="00B14649">
        <w:rPr>
          <w:rFonts w:ascii="Book Antiqua" w:hAnsi="Book Antiqua"/>
          <w:bCs/>
          <w:color w:val="000000" w:themeColor="text1"/>
        </w:rPr>
        <w:t>ClinicalTrials.gov Identifier:</w:t>
      </w:r>
      <w:r w:rsidR="003A2A97" w:rsidRPr="0037119C">
        <w:rPr>
          <w:rFonts w:ascii="Book Antiqua" w:hAnsi="Book Antiqua"/>
        </w:rPr>
        <w:t xml:space="preserve"> </w:t>
      </w:r>
      <w:r w:rsidR="003A2A97" w:rsidRPr="005B1A16">
        <w:rPr>
          <w:rFonts w:ascii="Book Antiqua" w:hAnsi="Book Antiqua"/>
        </w:rPr>
        <w:t>NCT02764762</w:t>
      </w:r>
    </w:p>
    <w:p w14:paraId="251D5CD1"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100 </w:t>
      </w:r>
      <w:r w:rsidRPr="005B1A16">
        <w:rPr>
          <w:rFonts w:ascii="Book Antiqua" w:hAnsi="Book Antiqua"/>
          <w:b/>
        </w:rPr>
        <w:t>Jess T</w:t>
      </w:r>
      <w:r w:rsidRPr="005B1A16">
        <w:rPr>
          <w:rFonts w:ascii="Book Antiqua" w:hAnsi="Book Antiqua"/>
        </w:rPr>
        <w:t xml:space="preserve">, Riis L, Vind I, Winther KV, Borg S, Binder V, Langholz E, Thomsen OØ, Munkholm P. Changes in clinical characteristics, course, and prognosis of inflammatory bowel disease during the last 5 decades: a population-based study from Copenhagen, Denmark. </w:t>
      </w:r>
      <w:r w:rsidRPr="005B1A16">
        <w:rPr>
          <w:rFonts w:ascii="Book Antiqua" w:hAnsi="Book Antiqua"/>
          <w:i/>
        </w:rPr>
        <w:t>Inflamm Bowel Dis</w:t>
      </w:r>
      <w:r w:rsidRPr="005B1A16">
        <w:rPr>
          <w:rFonts w:ascii="Book Antiqua" w:hAnsi="Book Antiqua"/>
        </w:rPr>
        <w:t xml:space="preserve"> 2007; </w:t>
      </w:r>
      <w:r w:rsidRPr="005B1A16">
        <w:rPr>
          <w:rFonts w:ascii="Book Antiqua" w:hAnsi="Book Antiqua"/>
          <w:b/>
        </w:rPr>
        <w:t>13</w:t>
      </w:r>
      <w:r w:rsidRPr="005B1A16">
        <w:rPr>
          <w:rFonts w:ascii="Book Antiqua" w:hAnsi="Book Antiqua"/>
        </w:rPr>
        <w:t>: 481-489 [PMID: 17206705 DOI: 10.1002/ibd.20036]</w:t>
      </w:r>
    </w:p>
    <w:p w14:paraId="727E7CCA"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101 </w:t>
      </w:r>
      <w:r w:rsidRPr="005B1A16">
        <w:rPr>
          <w:rFonts w:ascii="Book Antiqua" w:hAnsi="Book Antiqua"/>
          <w:b/>
        </w:rPr>
        <w:t>Solberg IC</w:t>
      </w:r>
      <w:r w:rsidRPr="005B1A16">
        <w:rPr>
          <w:rFonts w:ascii="Book Antiqua" w:hAnsi="Book Antiqua"/>
        </w:rPr>
        <w:t xml:space="preserve">, Vatn MH, Høie O, Stray N, Sauar J, Jahnsen J, Moum B, Lygren I; IBSEN Study Group. Clinical course in Crohn's disease: results of a Norwegian population-based ten-year follow-up study. </w:t>
      </w:r>
      <w:r w:rsidRPr="005B1A16">
        <w:rPr>
          <w:rFonts w:ascii="Book Antiqua" w:hAnsi="Book Antiqua"/>
          <w:i/>
        </w:rPr>
        <w:t>Clin Gastroenterol Hepatol</w:t>
      </w:r>
      <w:r w:rsidRPr="005B1A16">
        <w:rPr>
          <w:rFonts w:ascii="Book Antiqua" w:hAnsi="Book Antiqua"/>
        </w:rPr>
        <w:t xml:space="preserve"> 2007; </w:t>
      </w:r>
      <w:r w:rsidRPr="005B1A16">
        <w:rPr>
          <w:rFonts w:ascii="Book Antiqua" w:hAnsi="Book Antiqua"/>
          <w:b/>
        </w:rPr>
        <w:t>5</w:t>
      </w:r>
      <w:r w:rsidRPr="005B1A16">
        <w:rPr>
          <w:rFonts w:ascii="Book Antiqua" w:hAnsi="Book Antiqua"/>
        </w:rPr>
        <w:t>: 1430-1438 [PMID: 18054751 DOI: 10.1016/j.cgh.2007.09.002]</w:t>
      </w:r>
    </w:p>
    <w:p w14:paraId="79863A6E"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102 </w:t>
      </w:r>
      <w:r w:rsidRPr="005B1A16">
        <w:rPr>
          <w:rFonts w:ascii="Book Antiqua" w:hAnsi="Book Antiqua"/>
          <w:b/>
        </w:rPr>
        <w:t>Lakatos PL</w:t>
      </w:r>
      <w:r w:rsidRPr="005B1A16">
        <w:rPr>
          <w:rFonts w:ascii="Book Antiqua" w:hAnsi="Book Antiqua"/>
        </w:rPr>
        <w:t xml:space="preserve">. Prediction of disease course in inflammatory bowel diseases. </w:t>
      </w:r>
      <w:r w:rsidRPr="005B1A16">
        <w:rPr>
          <w:rFonts w:ascii="Book Antiqua" w:hAnsi="Book Antiqua"/>
          <w:i/>
        </w:rPr>
        <w:t>World J Gastroenterol</w:t>
      </w:r>
      <w:r w:rsidRPr="005B1A16">
        <w:rPr>
          <w:rFonts w:ascii="Book Antiqua" w:hAnsi="Book Antiqua"/>
        </w:rPr>
        <w:t xml:space="preserve"> 2010; </w:t>
      </w:r>
      <w:r w:rsidRPr="005B1A16">
        <w:rPr>
          <w:rFonts w:ascii="Book Antiqua" w:hAnsi="Book Antiqua"/>
          <w:b/>
        </w:rPr>
        <w:t>16</w:t>
      </w:r>
      <w:r w:rsidRPr="005B1A16">
        <w:rPr>
          <w:rFonts w:ascii="Book Antiqua" w:hAnsi="Book Antiqua"/>
        </w:rPr>
        <w:t>: 2589-2590 [PMID: 20518078 DOI: 10.3748/wjg.v16.i21.2589]</w:t>
      </w:r>
    </w:p>
    <w:p w14:paraId="2D7C8121" w14:textId="77777777"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103 </w:t>
      </w:r>
      <w:r w:rsidRPr="005B1A16">
        <w:rPr>
          <w:rFonts w:ascii="Book Antiqua" w:hAnsi="Book Antiqua"/>
          <w:b/>
        </w:rPr>
        <w:t>Atreya R</w:t>
      </w:r>
      <w:r w:rsidRPr="005B1A16">
        <w:rPr>
          <w:rFonts w:ascii="Book Antiqua" w:hAnsi="Book Antiqua"/>
        </w:rPr>
        <w:t xml:space="preserve">, Neumann H, Neufert C, Waldner MJ, Billmeier U, Zopf Y, Willma M, App C, Münster T, Kessler H, Maas S, Gebhardt B, Heimke-Brinck R, Reuter E, Dörje F, Rau TT, Uter W, Wang TD, Kiesslich R, Vieth M, Hannappel E, Neurath MF. In vivo imaging using fluorescent antibodies to tumor necrosis factor predicts therapeutic response in Crohn's disease. </w:t>
      </w:r>
      <w:r w:rsidRPr="005B1A16">
        <w:rPr>
          <w:rFonts w:ascii="Book Antiqua" w:hAnsi="Book Antiqua"/>
          <w:i/>
        </w:rPr>
        <w:t>Nat Med</w:t>
      </w:r>
      <w:r w:rsidRPr="005B1A16">
        <w:rPr>
          <w:rFonts w:ascii="Book Antiqua" w:hAnsi="Book Antiqua"/>
        </w:rPr>
        <w:t xml:space="preserve"> 2014; </w:t>
      </w:r>
      <w:r w:rsidRPr="005B1A16">
        <w:rPr>
          <w:rFonts w:ascii="Book Antiqua" w:hAnsi="Book Antiqua"/>
          <w:b/>
        </w:rPr>
        <w:t>20</w:t>
      </w:r>
      <w:r w:rsidRPr="005B1A16">
        <w:rPr>
          <w:rFonts w:ascii="Book Antiqua" w:hAnsi="Book Antiqua"/>
        </w:rPr>
        <w:t>: 313-318 [PMID: 24562382 DOI: 10.1038/nm.3462]</w:t>
      </w:r>
    </w:p>
    <w:p w14:paraId="1C728983"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104 </w:t>
      </w:r>
      <w:r w:rsidRPr="005B1A16">
        <w:rPr>
          <w:rFonts w:ascii="Book Antiqua" w:hAnsi="Book Antiqua"/>
          <w:b/>
        </w:rPr>
        <w:t>Van den Brande JM</w:t>
      </w:r>
      <w:r w:rsidRPr="005B1A16">
        <w:rPr>
          <w:rFonts w:ascii="Book Antiqua" w:hAnsi="Book Antiqua"/>
        </w:rPr>
        <w:t xml:space="preserve">, Koehler TC, Zelinkova Z, Bennink RJ, te Velde AA, ten Cate FJ, van Deventer SJ, Peppelenbosch MP, Hommes DW. Prediction of antitumour necrosis factor clinical efficacy by real-time visualisation of apoptosis in patients with Crohn's disease. </w:t>
      </w:r>
      <w:r w:rsidRPr="005B1A16">
        <w:rPr>
          <w:rFonts w:ascii="Book Antiqua" w:hAnsi="Book Antiqua"/>
          <w:i/>
        </w:rPr>
        <w:t>Gut</w:t>
      </w:r>
      <w:r w:rsidRPr="005B1A16">
        <w:rPr>
          <w:rFonts w:ascii="Book Antiqua" w:hAnsi="Book Antiqua"/>
        </w:rPr>
        <w:t xml:space="preserve"> 2007; </w:t>
      </w:r>
      <w:r w:rsidRPr="005B1A16">
        <w:rPr>
          <w:rFonts w:ascii="Book Antiqua" w:hAnsi="Book Antiqua"/>
          <w:b/>
        </w:rPr>
        <w:t>56</w:t>
      </w:r>
      <w:r w:rsidRPr="005B1A16">
        <w:rPr>
          <w:rFonts w:ascii="Book Antiqua" w:hAnsi="Book Antiqua"/>
        </w:rPr>
        <w:t>: 509-517 [PMID: 17082252 DOI: 10.1136/gut.2006.105379]</w:t>
      </w:r>
    </w:p>
    <w:p w14:paraId="711214BE"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105 </w:t>
      </w:r>
      <w:r w:rsidRPr="005B1A16">
        <w:rPr>
          <w:rFonts w:ascii="Book Antiqua" w:hAnsi="Book Antiqua"/>
          <w:b/>
        </w:rPr>
        <w:t>D'Haens G</w:t>
      </w:r>
      <w:r w:rsidRPr="005B1A16">
        <w:rPr>
          <w:rFonts w:ascii="Book Antiqua" w:hAnsi="Book Antiqua"/>
        </w:rPr>
        <w:t xml:space="preserve">, Baert F, van Assche G, Caenepeel P, Vergauwe P, Tuynman H, De Vos M, van Deventer S, Stitt L, Donner A, Vermeire S, Van De Mierop FJ, Coche JR, van der Woude J, Ochsenkühn T, van Bodegraven AA, Van Hootegem PP, Lambrecht GL, Mana F, Rutgeerts P, Feagan BG, Hommes D; Belgian Inflammatory Bowel Disease Research Group; North-Holland Gut Club. Early combined immunosuppression or conventional management in patients with newly diagnosed Crohn's disease: an open randomised trial. </w:t>
      </w:r>
      <w:r w:rsidRPr="005B1A16">
        <w:rPr>
          <w:rFonts w:ascii="Book Antiqua" w:hAnsi="Book Antiqua"/>
          <w:i/>
        </w:rPr>
        <w:t>Lancet</w:t>
      </w:r>
      <w:r w:rsidRPr="005B1A16">
        <w:rPr>
          <w:rFonts w:ascii="Book Antiqua" w:hAnsi="Book Antiqua"/>
        </w:rPr>
        <w:t xml:space="preserve"> 2008; </w:t>
      </w:r>
      <w:r w:rsidRPr="005B1A16">
        <w:rPr>
          <w:rFonts w:ascii="Book Antiqua" w:hAnsi="Book Antiqua"/>
          <w:b/>
        </w:rPr>
        <w:t>371</w:t>
      </w:r>
      <w:r w:rsidRPr="005B1A16">
        <w:rPr>
          <w:rFonts w:ascii="Book Antiqua" w:hAnsi="Book Antiqua"/>
        </w:rPr>
        <w:t>: 660-667 [PMID: 18295023 DOI: 10.1016/S0140-6736(08)60304-9]</w:t>
      </w:r>
    </w:p>
    <w:p w14:paraId="5DB2B907"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106 </w:t>
      </w:r>
      <w:r w:rsidRPr="005B1A16">
        <w:rPr>
          <w:rFonts w:ascii="Book Antiqua" w:hAnsi="Book Antiqua"/>
          <w:b/>
        </w:rPr>
        <w:t>Khanna R</w:t>
      </w:r>
      <w:r w:rsidRPr="005B1A16">
        <w:rPr>
          <w:rFonts w:ascii="Book Antiqua" w:hAnsi="Book Antiqua"/>
        </w:rPr>
        <w:t xml:space="preserve">, Bressler B, Levesque BG, Zou G, Stitt LW, Greenberg GR, Panaccione R, Bitton A, Paré P, Vermeire S, D'Haens G, MacIntosh D, Sandborn WJ, Donner A, Vandervoort MK, Morris JC, Feagan BG; REACT Study Investigators. Early combined immunosuppression for the management of Crohn's disease (REACT): a cluster randomised controlled trial. </w:t>
      </w:r>
      <w:r w:rsidRPr="005B1A16">
        <w:rPr>
          <w:rFonts w:ascii="Book Antiqua" w:hAnsi="Book Antiqua"/>
          <w:i/>
        </w:rPr>
        <w:t>Lancet</w:t>
      </w:r>
      <w:r w:rsidRPr="005B1A16">
        <w:rPr>
          <w:rFonts w:ascii="Book Antiqua" w:hAnsi="Book Antiqua"/>
        </w:rPr>
        <w:t xml:space="preserve"> 2015; </w:t>
      </w:r>
      <w:r w:rsidRPr="005B1A16">
        <w:rPr>
          <w:rFonts w:ascii="Book Antiqua" w:hAnsi="Book Antiqua"/>
          <w:b/>
        </w:rPr>
        <w:t>386</w:t>
      </w:r>
      <w:r w:rsidRPr="005B1A16">
        <w:rPr>
          <w:rFonts w:ascii="Book Antiqua" w:hAnsi="Book Antiqua"/>
        </w:rPr>
        <w:t>: 1825-1834 [PMID: 26342731 DOI: 10.1016/S0140-6736(15)00068-9]</w:t>
      </w:r>
    </w:p>
    <w:p w14:paraId="2C713310"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107 </w:t>
      </w:r>
      <w:r w:rsidRPr="005B1A16">
        <w:rPr>
          <w:rFonts w:ascii="Book Antiqua" w:hAnsi="Book Antiqua"/>
          <w:b/>
        </w:rPr>
        <w:t>Höie O</w:t>
      </w:r>
      <w:r w:rsidRPr="005B1A16">
        <w:rPr>
          <w:rFonts w:ascii="Book Antiqua" w:hAnsi="Book Antiqua"/>
        </w:rPr>
        <w:t xml:space="preserve">, Wolters F, Riis L, Aamodt G, Solberg C, Bernklev T, Odes S, Mouzas IA, Beltrami M, Langholz E, Stockbrügger R, Vatn M, Moum B; European Collaborative Study Group of Inflammatory Bowel Disease (EC-IBD). Ulcerative colitis: patient characteristics may predict 10-yr disease recurrence in a European-wide population-based cohort. </w:t>
      </w:r>
      <w:r w:rsidRPr="005B1A16">
        <w:rPr>
          <w:rFonts w:ascii="Book Antiqua" w:hAnsi="Book Antiqua"/>
          <w:i/>
        </w:rPr>
        <w:t>Am J Gastroenterol</w:t>
      </w:r>
      <w:r w:rsidRPr="005B1A16">
        <w:rPr>
          <w:rFonts w:ascii="Book Antiqua" w:hAnsi="Book Antiqua"/>
        </w:rPr>
        <w:t xml:space="preserve"> 2007; </w:t>
      </w:r>
      <w:r w:rsidRPr="005B1A16">
        <w:rPr>
          <w:rFonts w:ascii="Book Antiqua" w:hAnsi="Book Antiqua"/>
          <w:b/>
        </w:rPr>
        <w:t>102</w:t>
      </w:r>
      <w:r w:rsidRPr="005B1A16">
        <w:rPr>
          <w:rFonts w:ascii="Book Antiqua" w:hAnsi="Book Antiqua"/>
        </w:rPr>
        <w:t>: 1692-1701 [PMID: 17555460 DOI: 10.1111/j.1572-0241.2007.01265.x]</w:t>
      </w:r>
    </w:p>
    <w:p w14:paraId="0DC0A769" w14:textId="77777777" w:rsidR="005B1A16" w:rsidRPr="005B1A16" w:rsidRDefault="005B1A16" w:rsidP="005B1A16">
      <w:pPr>
        <w:spacing w:line="360" w:lineRule="auto"/>
        <w:jc w:val="both"/>
        <w:rPr>
          <w:rFonts w:ascii="Book Antiqua" w:hAnsi="Book Antiqua"/>
        </w:rPr>
      </w:pPr>
      <w:r w:rsidRPr="005B1A16">
        <w:rPr>
          <w:rFonts w:ascii="Book Antiqua" w:hAnsi="Book Antiqua"/>
        </w:rPr>
        <w:lastRenderedPageBreak/>
        <w:t xml:space="preserve">108 </w:t>
      </w:r>
      <w:r w:rsidRPr="005B1A16">
        <w:rPr>
          <w:rFonts w:ascii="Book Antiqua" w:hAnsi="Book Antiqua"/>
          <w:b/>
        </w:rPr>
        <w:t>Jess T</w:t>
      </w:r>
      <w:r w:rsidRPr="005B1A16">
        <w:rPr>
          <w:rFonts w:ascii="Book Antiqua" w:hAnsi="Book Antiqua"/>
        </w:rPr>
        <w:t xml:space="preserve">, Rungoe C, Peyrin-Biroulet L. Risk of colorectal cancer in patients with ulcerative colitis: a meta-analysis of population-based cohort studies. </w:t>
      </w:r>
      <w:r w:rsidRPr="005B1A16">
        <w:rPr>
          <w:rFonts w:ascii="Book Antiqua" w:hAnsi="Book Antiqua"/>
          <w:i/>
        </w:rPr>
        <w:t>Clin Gastroenterol Hepatol</w:t>
      </w:r>
      <w:r w:rsidRPr="005B1A16">
        <w:rPr>
          <w:rFonts w:ascii="Book Antiqua" w:hAnsi="Book Antiqua"/>
        </w:rPr>
        <w:t xml:space="preserve"> 2012; </w:t>
      </w:r>
      <w:r w:rsidRPr="005B1A16">
        <w:rPr>
          <w:rFonts w:ascii="Book Antiqua" w:hAnsi="Book Antiqua"/>
          <w:b/>
        </w:rPr>
        <w:t>10</w:t>
      </w:r>
      <w:r w:rsidRPr="005B1A16">
        <w:rPr>
          <w:rFonts w:ascii="Book Antiqua" w:hAnsi="Book Antiqua"/>
        </w:rPr>
        <w:t>: 639-645 [PMID: 22289873 DOI: 10.1016/j.cgh.2012.01.010]</w:t>
      </w:r>
    </w:p>
    <w:p w14:paraId="32E31C45"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109 </w:t>
      </w:r>
      <w:r w:rsidRPr="005B1A16">
        <w:rPr>
          <w:rFonts w:ascii="Book Antiqua" w:hAnsi="Book Antiqua"/>
          <w:b/>
        </w:rPr>
        <w:t>Solberg IC</w:t>
      </w:r>
      <w:r w:rsidRPr="005B1A16">
        <w:rPr>
          <w:rFonts w:ascii="Book Antiqua" w:hAnsi="Book Antiqua"/>
        </w:rPr>
        <w:t xml:space="preserve">, Høivik ML, Cvancarova M, Moum B; IBSEN Study Group. Risk matrix model for prediction of colectomy in a population-based study of ulcerative colitis patients (the IBSEN study). </w:t>
      </w:r>
      <w:r w:rsidRPr="005B1A16">
        <w:rPr>
          <w:rFonts w:ascii="Book Antiqua" w:hAnsi="Book Antiqua"/>
          <w:i/>
        </w:rPr>
        <w:t>Scand J Gastroenterol</w:t>
      </w:r>
      <w:r w:rsidRPr="005B1A16">
        <w:rPr>
          <w:rFonts w:ascii="Book Antiqua" w:hAnsi="Book Antiqua"/>
        </w:rPr>
        <w:t xml:space="preserve"> 2015; </w:t>
      </w:r>
      <w:r w:rsidRPr="005B1A16">
        <w:rPr>
          <w:rFonts w:ascii="Book Antiqua" w:hAnsi="Book Antiqua"/>
          <w:b/>
        </w:rPr>
        <w:t>50</w:t>
      </w:r>
      <w:r w:rsidRPr="005B1A16">
        <w:rPr>
          <w:rFonts w:ascii="Book Antiqua" w:hAnsi="Book Antiqua"/>
        </w:rPr>
        <w:t>: 1456-1462 [PMID: 26139389 DOI: 10.3109/00365521.2015.1064991]</w:t>
      </w:r>
    </w:p>
    <w:p w14:paraId="5A096DDB" w14:textId="10583A93" w:rsidR="003A2A97" w:rsidRPr="005B1A16" w:rsidRDefault="005B1A16" w:rsidP="003A2A97">
      <w:pPr>
        <w:spacing w:line="360" w:lineRule="auto"/>
        <w:jc w:val="both"/>
        <w:rPr>
          <w:rFonts w:ascii="Book Antiqua" w:hAnsi="Book Antiqua"/>
        </w:rPr>
      </w:pPr>
      <w:r w:rsidRPr="005B1A16">
        <w:rPr>
          <w:rFonts w:ascii="Book Antiqua" w:hAnsi="Book Antiqua"/>
        </w:rPr>
        <w:t xml:space="preserve">110 </w:t>
      </w:r>
      <w:r w:rsidR="003A2A97" w:rsidRPr="003A2A97">
        <w:rPr>
          <w:rFonts w:ascii="Book Antiqua" w:hAnsi="Book Antiqua"/>
          <w:b/>
        </w:rPr>
        <w:t>Janssen Research &amp; Development, LLC</w:t>
      </w:r>
      <w:r w:rsidRPr="003A2A97">
        <w:rPr>
          <w:rFonts w:ascii="Book Antiqua" w:hAnsi="Book Antiqua"/>
          <w:b/>
        </w:rPr>
        <w:t xml:space="preserve">. </w:t>
      </w:r>
      <w:r w:rsidRPr="005B1A16">
        <w:rPr>
          <w:rFonts w:ascii="Book Antiqua" w:hAnsi="Book Antiqua"/>
        </w:rPr>
        <w:t>A Study of Safety and Effectiveness of JNJ-54781532 in Patients With Moderately to Severely Active Ulcerative Colitis.</w:t>
      </w:r>
      <w:r w:rsidR="003A2A97" w:rsidRPr="003A2A97">
        <w:rPr>
          <w:rFonts w:ascii="Book Antiqua" w:hAnsi="Book Antiqua"/>
          <w:bCs/>
          <w:color w:val="000000" w:themeColor="text1"/>
        </w:rPr>
        <w:t xml:space="preserve"> </w:t>
      </w:r>
      <w:r w:rsidR="003A2A97" w:rsidRPr="00B14649">
        <w:rPr>
          <w:rFonts w:ascii="Book Antiqua" w:hAnsi="Book Antiqua"/>
          <w:bCs/>
          <w:color w:val="000000" w:themeColor="text1"/>
        </w:rPr>
        <w:t xml:space="preserve">[accessed </w:t>
      </w:r>
      <w:r w:rsidR="003A2A97">
        <w:rPr>
          <w:rFonts w:ascii="Book Antiqua" w:eastAsia="SimSun" w:hAnsi="Book Antiqua" w:hint="eastAsia"/>
          <w:bCs/>
          <w:color w:val="000000" w:themeColor="text1"/>
          <w:lang w:eastAsia="zh-CN"/>
        </w:rPr>
        <w:t>2018</w:t>
      </w:r>
      <w:r w:rsidR="003A2A97" w:rsidRPr="00B14649">
        <w:rPr>
          <w:rFonts w:ascii="Book Antiqua" w:hAnsi="Book Antiqua"/>
          <w:bCs/>
          <w:color w:val="000000" w:themeColor="text1"/>
        </w:rPr>
        <w:t xml:space="preserve"> </w:t>
      </w:r>
      <w:r w:rsidR="003A2A97">
        <w:rPr>
          <w:rFonts w:ascii="Book Antiqua" w:eastAsia="SimSun" w:hAnsi="Book Antiqua" w:hint="eastAsia"/>
          <w:bCs/>
          <w:color w:val="000000" w:themeColor="text1"/>
          <w:lang w:eastAsia="zh-CN"/>
        </w:rPr>
        <w:t>Mar</w:t>
      </w:r>
      <w:r w:rsidR="003A2A97" w:rsidRPr="00B14649">
        <w:rPr>
          <w:rFonts w:ascii="Book Antiqua" w:hAnsi="Book Antiqua"/>
          <w:bCs/>
          <w:color w:val="000000" w:themeColor="text1"/>
        </w:rPr>
        <w:t xml:space="preserve"> </w:t>
      </w:r>
      <w:r w:rsidR="003A2A97">
        <w:rPr>
          <w:rFonts w:ascii="Book Antiqua" w:eastAsia="SimSun" w:hAnsi="Book Antiqua" w:hint="eastAsia"/>
          <w:bCs/>
          <w:color w:val="000000" w:themeColor="text1"/>
          <w:lang w:eastAsia="zh-CN"/>
        </w:rPr>
        <w:t>28</w:t>
      </w:r>
      <w:r w:rsidR="003A2A97" w:rsidRPr="00B14649">
        <w:rPr>
          <w:rFonts w:ascii="Book Antiqua" w:hAnsi="Book Antiqua"/>
          <w:bCs/>
          <w:color w:val="000000" w:themeColor="text1"/>
        </w:rPr>
        <w:t>].</w:t>
      </w:r>
      <w:r w:rsidR="003A2A97">
        <w:rPr>
          <w:rFonts w:ascii="Book Antiqua" w:eastAsia="SimSun" w:hAnsi="Book Antiqua" w:hint="eastAsia"/>
          <w:bCs/>
          <w:color w:val="000000" w:themeColor="text1"/>
          <w:lang w:eastAsia="zh-CN"/>
        </w:rPr>
        <w:t xml:space="preserve"> </w:t>
      </w:r>
      <w:r w:rsidR="003A2A97">
        <w:rPr>
          <w:rFonts w:ascii="Book Antiqua" w:eastAsia="SimSun" w:hAnsi="Book Antiqua"/>
          <w:bCs/>
          <w:color w:val="000000" w:themeColor="text1"/>
          <w:lang w:eastAsia="zh-CN"/>
        </w:rPr>
        <w:t>I</w:t>
      </w:r>
      <w:r w:rsidR="003A2A97">
        <w:rPr>
          <w:rFonts w:ascii="Book Antiqua" w:eastAsia="SimSun" w:hAnsi="Book Antiqua" w:hint="eastAsia"/>
          <w:bCs/>
          <w:color w:val="000000" w:themeColor="text1"/>
          <w:lang w:eastAsia="zh-CN"/>
        </w:rPr>
        <w:t xml:space="preserve">n: </w:t>
      </w:r>
      <w:r w:rsidR="003A2A97" w:rsidRPr="00B14649">
        <w:rPr>
          <w:rFonts w:ascii="Book Antiqua" w:hAnsi="Book Antiqua"/>
          <w:bCs/>
          <w:color w:val="000000" w:themeColor="text1"/>
        </w:rPr>
        <w:t>ClinicalTrials.gov [Internet]. Bethesda (MD): U.S. National Library of Medicine. Available from: http://clinicaltrials.gov/show/</w:t>
      </w:r>
      <w:r w:rsidR="003A2A97" w:rsidRPr="005B1A16">
        <w:rPr>
          <w:rFonts w:ascii="Book Antiqua" w:hAnsi="Book Antiqua"/>
        </w:rPr>
        <w:t>NCT01959282</w:t>
      </w:r>
      <w:r w:rsidR="003A2A97" w:rsidRPr="0037119C">
        <w:rPr>
          <w:rFonts w:ascii="Book Antiqua" w:hAnsi="Book Antiqua"/>
          <w:bCs/>
          <w:color w:val="000000" w:themeColor="text1"/>
        </w:rPr>
        <w:t xml:space="preserve"> </w:t>
      </w:r>
      <w:r w:rsidR="003A2A97" w:rsidRPr="00B14649">
        <w:rPr>
          <w:rFonts w:ascii="Book Antiqua" w:hAnsi="Book Antiqua"/>
          <w:bCs/>
          <w:color w:val="000000" w:themeColor="text1"/>
        </w:rPr>
        <w:t>ClinicalTrials.gov Identifier:</w:t>
      </w:r>
      <w:r w:rsidR="003A2A97" w:rsidRPr="0037119C">
        <w:rPr>
          <w:rFonts w:ascii="Book Antiqua" w:hAnsi="Book Antiqua"/>
        </w:rPr>
        <w:t xml:space="preserve"> </w:t>
      </w:r>
      <w:r w:rsidR="003A2A97" w:rsidRPr="005B1A16">
        <w:rPr>
          <w:rFonts w:ascii="Book Antiqua" w:hAnsi="Book Antiqua"/>
        </w:rPr>
        <w:t>NCT01959282</w:t>
      </w:r>
    </w:p>
    <w:p w14:paraId="6679F04E"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111 </w:t>
      </w:r>
      <w:r w:rsidRPr="005B1A16">
        <w:rPr>
          <w:rFonts w:ascii="Book Antiqua" w:hAnsi="Book Antiqua"/>
          <w:b/>
        </w:rPr>
        <w:t>Monteleone G</w:t>
      </w:r>
      <w:r w:rsidRPr="005B1A16">
        <w:rPr>
          <w:rFonts w:ascii="Book Antiqua" w:hAnsi="Book Antiqua"/>
        </w:rPr>
        <w:t xml:space="preserve">, Neurath MF, Ardizzone S, Di Sabatino A, Fantini MC, Castiglione F, Scribano ML, Armuzzi A, Caprioli F, Sturniolo GC, Rogai F, Vecchi M, Atreya R, Bossa F, Onali S, Fichera M, Corazza GR, Biancone L, Savarino V, Pica R, Orlando A, Pallone F. Mongersen, an oral SMAD7 antisense oligonucleotide, and Crohn's disease. </w:t>
      </w:r>
      <w:r w:rsidRPr="005B1A16">
        <w:rPr>
          <w:rFonts w:ascii="Book Antiqua" w:hAnsi="Book Antiqua"/>
          <w:i/>
        </w:rPr>
        <w:t>N Engl J Med</w:t>
      </w:r>
      <w:r w:rsidRPr="005B1A16">
        <w:rPr>
          <w:rFonts w:ascii="Book Antiqua" w:hAnsi="Book Antiqua"/>
        </w:rPr>
        <w:t xml:space="preserve"> 2015; </w:t>
      </w:r>
      <w:r w:rsidRPr="005B1A16">
        <w:rPr>
          <w:rFonts w:ascii="Book Antiqua" w:hAnsi="Book Antiqua"/>
          <w:b/>
        </w:rPr>
        <w:t>372</w:t>
      </w:r>
      <w:r w:rsidRPr="005B1A16">
        <w:rPr>
          <w:rFonts w:ascii="Book Antiqua" w:hAnsi="Book Antiqua"/>
        </w:rPr>
        <w:t>: 1104-1113 [PMID: 25785968 DOI: 10.1056/NEJMoa1407250]</w:t>
      </w:r>
    </w:p>
    <w:p w14:paraId="6F04DD2A" w14:textId="37D8135D" w:rsidR="005B1A16" w:rsidRPr="005B1A16" w:rsidRDefault="005B1A16" w:rsidP="005B1A16">
      <w:pPr>
        <w:spacing w:line="360" w:lineRule="auto"/>
        <w:jc w:val="both"/>
        <w:rPr>
          <w:rFonts w:ascii="Book Antiqua" w:hAnsi="Book Antiqua"/>
        </w:rPr>
      </w:pPr>
      <w:r w:rsidRPr="005B1A16">
        <w:rPr>
          <w:rFonts w:ascii="Book Antiqua" w:hAnsi="Book Antiqua"/>
        </w:rPr>
        <w:t xml:space="preserve">112 </w:t>
      </w:r>
      <w:r w:rsidRPr="005B1A16">
        <w:rPr>
          <w:rFonts w:ascii="Book Antiqua" w:hAnsi="Book Antiqua"/>
          <w:b/>
        </w:rPr>
        <w:t>Delgado A</w:t>
      </w:r>
      <w:r w:rsidRPr="005B1A16">
        <w:rPr>
          <w:rFonts w:ascii="Book Antiqua" w:hAnsi="Book Antiqua"/>
        </w:rPr>
        <w:t xml:space="preserve">, Martínez-Cartro M. Therapeutic Potential of the Modulation of Sphingosine-1-Phosphate Receptors. </w:t>
      </w:r>
      <w:r w:rsidRPr="005B1A16">
        <w:rPr>
          <w:rFonts w:ascii="Book Antiqua" w:hAnsi="Book Antiqua"/>
          <w:i/>
        </w:rPr>
        <w:t>Curr Med Chem</w:t>
      </w:r>
      <w:r w:rsidRPr="005B1A16">
        <w:rPr>
          <w:rFonts w:ascii="Book Antiqua" w:hAnsi="Book Antiqua"/>
        </w:rPr>
        <w:t xml:space="preserve"> 2016; </w:t>
      </w:r>
      <w:r w:rsidRPr="005B1A16">
        <w:rPr>
          <w:rFonts w:ascii="Book Antiqua" w:hAnsi="Book Antiqua"/>
          <w:b/>
        </w:rPr>
        <w:t>23</w:t>
      </w:r>
      <w:r w:rsidRPr="005B1A16">
        <w:rPr>
          <w:rFonts w:ascii="Book Antiqua" w:hAnsi="Book Antiqua"/>
        </w:rPr>
        <w:t>: 242-264 [PMID: 26639095</w:t>
      </w:r>
      <w:r w:rsidR="006B6255">
        <w:rPr>
          <w:rFonts w:ascii="Book Antiqua" w:eastAsia="SimSun" w:hAnsi="Book Antiqua" w:hint="eastAsia"/>
          <w:lang w:eastAsia="zh-CN"/>
        </w:rPr>
        <w:t xml:space="preserve"> DOI: </w:t>
      </w:r>
      <w:r w:rsidR="006B6255" w:rsidRPr="006B6255">
        <w:rPr>
          <w:rFonts w:ascii="Book Antiqua" w:eastAsia="SimSun" w:hAnsi="Book Antiqua"/>
          <w:lang w:eastAsia="zh-CN"/>
        </w:rPr>
        <w:t>10.2174/0929867323666151207111509</w:t>
      </w:r>
      <w:r w:rsidRPr="005B1A16">
        <w:rPr>
          <w:rFonts w:ascii="Book Antiqua" w:hAnsi="Book Antiqua"/>
        </w:rPr>
        <w:t>]</w:t>
      </w:r>
    </w:p>
    <w:p w14:paraId="28A585A0" w14:textId="206EDA90" w:rsidR="005B1A16" w:rsidRPr="005B1A16" w:rsidRDefault="005B1A16" w:rsidP="005B1A16">
      <w:pPr>
        <w:spacing w:line="360" w:lineRule="auto"/>
        <w:jc w:val="both"/>
        <w:rPr>
          <w:rFonts w:ascii="Book Antiqua" w:hAnsi="Book Antiqua"/>
        </w:rPr>
      </w:pPr>
      <w:r w:rsidRPr="005B1A16">
        <w:rPr>
          <w:rFonts w:ascii="Book Antiqua" w:hAnsi="Book Antiqua"/>
        </w:rPr>
        <w:t xml:space="preserve">113 </w:t>
      </w:r>
      <w:r w:rsidRPr="005B1A16">
        <w:rPr>
          <w:rFonts w:ascii="Book Antiqua" w:hAnsi="Book Antiqua"/>
          <w:b/>
        </w:rPr>
        <w:t>Marafini I</w:t>
      </w:r>
      <w:r w:rsidRPr="005B1A16">
        <w:rPr>
          <w:rFonts w:ascii="Book Antiqua" w:hAnsi="Book Antiqua"/>
        </w:rPr>
        <w:t xml:space="preserve">, Zorzi F, Codazza S, Pallone F, Monteleone G. TGF-Beta signaling manipulation as potential therapy for IBD. </w:t>
      </w:r>
      <w:r w:rsidRPr="005B1A16">
        <w:rPr>
          <w:rFonts w:ascii="Book Antiqua" w:hAnsi="Book Antiqua"/>
          <w:i/>
        </w:rPr>
        <w:t>Curr Drug Targets</w:t>
      </w:r>
      <w:r w:rsidRPr="005B1A16">
        <w:rPr>
          <w:rFonts w:ascii="Book Antiqua" w:hAnsi="Book Antiqua"/>
        </w:rPr>
        <w:t xml:space="preserve"> 2013; </w:t>
      </w:r>
      <w:r w:rsidRPr="005B1A16">
        <w:rPr>
          <w:rFonts w:ascii="Book Antiqua" w:hAnsi="Book Antiqua"/>
          <w:b/>
        </w:rPr>
        <w:t>14</w:t>
      </w:r>
      <w:r w:rsidRPr="005B1A16">
        <w:rPr>
          <w:rFonts w:ascii="Book Antiqua" w:hAnsi="Book Antiqua"/>
        </w:rPr>
        <w:t>: 1400-1404 [PMID: 23489130</w:t>
      </w:r>
      <w:r w:rsidR="006B6255">
        <w:rPr>
          <w:rFonts w:ascii="Book Antiqua" w:eastAsia="SimSun" w:hAnsi="Book Antiqua" w:hint="eastAsia"/>
          <w:lang w:eastAsia="zh-CN"/>
        </w:rPr>
        <w:t xml:space="preserve"> DOI: </w:t>
      </w:r>
      <w:r w:rsidR="006B6255" w:rsidRPr="006B6255">
        <w:rPr>
          <w:rFonts w:ascii="Book Antiqua" w:eastAsia="SimSun" w:hAnsi="Book Antiqua"/>
          <w:lang w:eastAsia="zh-CN"/>
        </w:rPr>
        <w:t>10.2174/13894501113149990157</w:t>
      </w:r>
      <w:r w:rsidRPr="005B1A16">
        <w:rPr>
          <w:rFonts w:ascii="Book Antiqua" w:hAnsi="Book Antiqua"/>
        </w:rPr>
        <w:t>]</w:t>
      </w:r>
    </w:p>
    <w:p w14:paraId="71041E38"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114 </w:t>
      </w:r>
      <w:r w:rsidRPr="005B1A16">
        <w:rPr>
          <w:rFonts w:ascii="Book Antiqua" w:hAnsi="Book Antiqua"/>
          <w:b/>
        </w:rPr>
        <w:t>Valles-Colomer M</w:t>
      </w:r>
      <w:r w:rsidRPr="005B1A16">
        <w:rPr>
          <w:rFonts w:ascii="Book Antiqua" w:hAnsi="Book Antiqua"/>
        </w:rPr>
        <w:t xml:space="preserve">, Darzi Y, Vieira-Silva S, Falony G, Raes J, Joossens M. Meta-omics in Inflammatory Bowel Disease Research: Applications, Challenges, and Guidelines. </w:t>
      </w:r>
      <w:r w:rsidRPr="005B1A16">
        <w:rPr>
          <w:rFonts w:ascii="Book Antiqua" w:hAnsi="Book Antiqua"/>
          <w:i/>
        </w:rPr>
        <w:t>J Crohns Colitis</w:t>
      </w:r>
      <w:r w:rsidRPr="005B1A16">
        <w:rPr>
          <w:rFonts w:ascii="Book Antiqua" w:hAnsi="Book Antiqua"/>
        </w:rPr>
        <w:t xml:space="preserve"> 2016; </w:t>
      </w:r>
      <w:r w:rsidRPr="005B1A16">
        <w:rPr>
          <w:rFonts w:ascii="Book Antiqua" w:hAnsi="Book Antiqua"/>
          <w:b/>
        </w:rPr>
        <w:t>10</w:t>
      </w:r>
      <w:r w:rsidRPr="005B1A16">
        <w:rPr>
          <w:rFonts w:ascii="Book Antiqua" w:hAnsi="Book Antiqua"/>
        </w:rPr>
        <w:t>: 735-746 [PMID: 26802086 DOI: 10.1093/ecco-jcc/jjw024]</w:t>
      </w:r>
    </w:p>
    <w:p w14:paraId="4608350B" w14:textId="5CC15FA4" w:rsidR="005B1A16" w:rsidRPr="005B1A16" w:rsidRDefault="005B1A16" w:rsidP="005B1A16">
      <w:pPr>
        <w:spacing w:line="360" w:lineRule="auto"/>
        <w:jc w:val="both"/>
        <w:rPr>
          <w:rFonts w:ascii="Book Antiqua" w:hAnsi="Book Antiqua"/>
        </w:rPr>
      </w:pPr>
      <w:r w:rsidRPr="005B1A16">
        <w:rPr>
          <w:rFonts w:ascii="Book Antiqua" w:hAnsi="Book Antiqua"/>
        </w:rPr>
        <w:t xml:space="preserve">115 </w:t>
      </w:r>
      <w:r w:rsidRPr="005B1A16">
        <w:rPr>
          <w:rFonts w:ascii="Book Antiqua" w:hAnsi="Book Antiqua"/>
          <w:b/>
        </w:rPr>
        <w:t>Louis E</w:t>
      </w:r>
      <w:r w:rsidRPr="005B1A16">
        <w:rPr>
          <w:rFonts w:ascii="Book Antiqua" w:hAnsi="Book Antiqua"/>
        </w:rPr>
        <w:t xml:space="preserve">, El Ghoul Z, Vermeire S, Dall'Ozzo S, Rutgeerts P, Paintaud G, Belaiche J, De Vos M, Van Gossum A, Colombel JF, Watier H. Association between polymorphism </w:t>
      </w:r>
      <w:r w:rsidRPr="005B1A16">
        <w:rPr>
          <w:rFonts w:ascii="Book Antiqua" w:hAnsi="Book Antiqua"/>
        </w:rPr>
        <w:lastRenderedPageBreak/>
        <w:t xml:space="preserve">in IgG Fc receptor IIIa coding gene and biological response to infliximab in Crohn's disease. </w:t>
      </w:r>
      <w:r w:rsidRPr="005B1A16">
        <w:rPr>
          <w:rFonts w:ascii="Book Antiqua" w:hAnsi="Book Antiqua"/>
          <w:i/>
        </w:rPr>
        <w:t>Aliment Pharmacol Ther</w:t>
      </w:r>
      <w:r w:rsidRPr="005B1A16">
        <w:rPr>
          <w:rFonts w:ascii="Book Antiqua" w:hAnsi="Book Antiqua"/>
        </w:rPr>
        <w:t xml:space="preserve"> 2004; </w:t>
      </w:r>
      <w:r w:rsidRPr="005B1A16">
        <w:rPr>
          <w:rFonts w:ascii="Book Antiqua" w:hAnsi="Book Antiqua"/>
          <w:b/>
        </w:rPr>
        <w:t>19</w:t>
      </w:r>
      <w:r w:rsidRPr="005B1A16">
        <w:rPr>
          <w:rFonts w:ascii="Book Antiqua" w:hAnsi="Book Antiqua"/>
        </w:rPr>
        <w:t>: 511-519 [PMID: 14987319</w:t>
      </w:r>
      <w:r w:rsidR="006B6255">
        <w:rPr>
          <w:rFonts w:ascii="Book Antiqua" w:eastAsia="SimSun" w:hAnsi="Book Antiqua" w:hint="eastAsia"/>
          <w:lang w:eastAsia="zh-CN"/>
        </w:rPr>
        <w:t xml:space="preserve"> DOI: </w:t>
      </w:r>
      <w:r w:rsidR="006B6255" w:rsidRPr="006B6255">
        <w:rPr>
          <w:rFonts w:ascii="Book Antiqua" w:eastAsia="SimSun" w:hAnsi="Book Antiqua"/>
          <w:lang w:eastAsia="zh-CN"/>
        </w:rPr>
        <w:t>10.1111/j.1365-2036.2004.01871.x</w:t>
      </w:r>
      <w:r w:rsidRPr="005B1A16">
        <w:rPr>
          <w:rFonts w:ascii="Book Antiqua" w:hAnsi="Book Antiqua"/>
        </w:rPr>
        <w:t>]</w:t>
      </w:r>
    </w:p>
    <w:p w14:paraId="43E7B3A6" w14:textId="01FCC51A" w:rsidR="005B1A16" w:rsidRPr="005B1A16" w:rsidRDefault="005B1A16" w:rsidP="005B1A16">
      <w:pPr>
        <w:spacing w:line="360" w:lineRule="auto"/>
        <w:jc w:val="both"/>
        <w:rPr>
          <w:rFonts w:ascii="Book Antiqua" w:hAnsi="Book Antiqua"/>
        </w:rPr>
      </w:pPr>
      <w:r w:rsidRPr="005B1A16">
        <w:rPr>
          <w:rFonts w:ascii="Book Antiqua" w:hAnsi="Book Antiqua"/>
        </w:rPr>
        <w:t xml:space="preserve">116 </w:t>
      </w:r>
      <w:r w:rsidRPr="005B1A16">
        <w:rPr>
          <w:rFonts w:ascii="Book Antiqua" w:hAnsi="Book Antiqua"/>
          <w:b/>
        </w:rPr>
        <w:t>Urcelay E</w:t>
      </w:r>
      <w:r w:rsidRPr="005B1A16">
        <w:rPr>
          <w:rFonts w:ascii="Book Antiqua" w:hAnsi="Book Antiqua"/>
        </w:rPr>
        <w:t xml:space="preserve">, Mendoza JL, Martinez A, Fernandez L, Taxonera C, Diaz-Rubio M, de la Concha EG. IBD5 polymorphisms in inflammatory bowel disease: association with response to infliximab. </w:t>
      </w:r>
      <w:r w:rsidRPr="005B1A16">
        <w:rPr>
          <w:rFonts w:ascii="Book Antiqua" w:hAnsi="Book Antiqua"/>
          <w:i/>
        </w:rPr>
        <w:t>World J Gastroenterol</w:t>
      </w:r>
      <w:r w:rsidRPr="005B1A16">
        <w:rPr>
          <w:rFonts w:ascii="Book Antiqua" w:hAnsi="Book Antiqua"/>
        </w:rPr>
        <w:t xml:space="preserve"> 2005; </w:t>
      </w:r>
      <w:r w:rsidRPr="005B1A16">
        <w:rPr>
          <w:rFonts w:ascii="Book Antiqua" w:hAnsi="Book Antiqua"/>
          <w:b/>
        </w:rPr>
        <w:t>11</w:t>
      </w:r>
      <w:r w:rsidRPr="005B1A16">
        <w:rPr>
          <w:rFonts w:ascii="Book Antiqua" w:hAnsi="Book Antiqua"/>
        </w:rPr>
        <w:t>: 1187-1192 [PMID: 15754402</w:t>
      </w:r>
      <w:r w:rsidR="006B6255">
        <w:rPr>
          <w:rFonts w:ascii="Book Antiqua" w:eastAsia="SimSun" w:hAnsi="Book Antiqua" w:hint="eastAsia"/>
          <w:lang w:eastAsia="zh-CN"/>
        </w:rPr>
        <w:t xml:space="preserve"> DOI: </w:t>
      </w:r>
      <w:r w:rsidR="006B6255" w:rsidRPr="006B6255">
        <w:rPr>
          <w:rFonts w:ascii="Book Antiqua" w:eastAsia="SimSun" w:hAnsi="Book Antiqua"/>
          <w:lang w:eastAsia="zh-CN"/>
        </w:rPr>
        <w:t>10.3748/wjg.v11.i8.1187</w:t>
      </w:r>
      <w:r w:rsidRPr="005B1A16">
        <w:rPr>
          <w:rFonts w:ascii="Book Antiqua" w:hAnsi="Book Antiqua"/>
        </w:rPr>
        <w:t>]</w:t>
      </w:r>
    </w:p>
    <w:p w14:paraId="2AE3BA2D"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117 </w:t>
      </w:r>
      <w:r w:rsidRPr="005B1A16">
        <w:rPr>
          <w:rFonts w:ascii="Book Antiqua" w:hAnsi="Book Antiqua"/>
          <w:b/>
        </w:rPr>
        <w:t>Harbord M</w:t>
      </w:r>
      <w:r w:rsidRPr="005B1A16">
        <w:rPr>
          <w:rFonts w:ascii="Book Antiqua" w:hAnsi="Book Antiqua"/>
        </w:rPr>
        <w:t xml:space="preserve">,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sidRPr="005B1A16">
        <w:rPr>
          <w:rFonts w:ascii="Book Antiqua" w:hAnsi="Book Antiqua"/>
          <w:i/>
        </w:rPr>
        <w:t>J Crohns Colitis</w:t>
      </w:r>
      <w:r w:rsidRPr="005B1A16">
        <w:rPr>
          <w:rFonts w:ascii="Book Antiqua" w:hAnsi="Book Antiqua"/>
        </w:rPr>
        <w:t xml:space="preserve"> 2017; </w:t>
      </w:r>
      <w:r w:rsidRPr="005B1A16">
        <w:rPr>
          <w:rFonts w:ascii="Book Antiqua" w:hAnsi="Book Antiqua"/>
          <w:b/>
        </w:rPr>
        <w:t>11</w:t>
      </w:r>
      <w:r w:rsidRPr="005B1A16">
        <w:rPr>
          <w:rFonts w:ascii="Book Antiqua" w:hAnsi="Book Antiqua"/>
        </w:rPr>
        <w:t>: 769-784 [PMID: 28513805 DOI: 10.1093/ecco-jcc/jjx009]</w:t>
      </w:r>
    </w:p>
    <w:p w14:paraId="7D6A2623"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118 </w:t>
      </w:r>
      <w:r w:rsidRPr="005B1A16">
        <w:rPr>
          <w:rFonts w:ascii="Book Antiqua" w:hAnsi="Book Antiqua"/>
          <w:b/>
        </w:rPr>
        <w:t>Hindryckx P</w:t>
      </w:r>
      <w:r w:rsidRPr="005B1A16">
        <w:rPr>
          <w:rFonts w:ascii="Book Antiqua" w:hAnsi="Book Antiqua"/>
        </w:rPr>
        <w:t xml:space="preserve">, Vande Casteele N, Novak G, Khanna R, D'Haens G, Sandborn WJ, Danese S, Jairath V, Feagan BG. The Expanding Therapeutic Armamentarium for Inflammatory Bowel Disease: How to Choose the Right Drug[s] for Our Patients? </w:t>
      </w:r>
      <w:r w:rsidRPr="005B1A16">
        <w:rPr>
          <w:rFonts w:ascii="Book Antiqua" w:hAnsi="Book Antiqua"/>
          <w:i/>
        </w:rPr>
        <w:t>J Crohns Colitis</w:t>
      </w:r>
      <w:r w:rsidRPr="005B1A16">
        <w:rPr>
          <w:rFonts w:ascii="Book Antiqua" w:hAnsi="Book Antiqua"/>
        </w:rPr>
        <w:t xml:space="preserve"> 2018; </w:t>
      </w:r>
      <w:r w:rsidRPr="005B1A16">
        <w:rPr>
          <w:rFonts w:ascii="Book Antiqua" w:hAnsi="Book Antiqua"/>
          <w:b/>
        </w:rPr>
        <w:t>12</w:t>
      </w:r>
      <w:r w:rsidRPr="005B1A16">
        <w:rPr>
          <w:rFonts w:ascii="Book Antiqua" w:hAnsi="Book Antiqua"/>
        </w:rPr>
        <w:t>: 105-119 [PMID: 28961959 DOI: 10.1093/ecco-jcc/jjx117]</w:t>
      </w:r>
    </w:p>
    <w:p w14:paraId="6C460C17"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119 </w:t>
      </w:r>
      <w:r w:rsidRPr="005B1A16">
        <w:rPr>
          <w:rFonts w:ascii="Book Antiqua" w:hAnsi="Book Antiqua"/>
          <w:b/>
        </w:rPr>
        <w:t>Gottlieb AB</w:t>
      </w:r>
      <w:r w:rsidRPr="005B1A16">
        <w:rPr>
          <w:rFonts w:ascii="Book Antiqua" w:hAnsi="Book Antiqua"/>
        </w:rPr>
        <w:t xml:space="preserve">. Infliximab for psoriasis. </w:t>
      </w:r>
      <w:r w:rsidRPr="005B1A16">
        <w:rPr>
          <w:rFonts w:ascii="Book Antiqua" w:hAnsi="Book Antiqua"/>
          <w:i/>
        </w:rPr>
        <w:t>J Am Acad Dermatol</w:t>
      </w:r>
      <w:r w:rsidRPr="005B1A16">
        <w:rPr>
          <w:rFonts w:ascii="Book Antiqua" w:hAnsi="Book Antiqua"/>
        </w:rPr>
        <w:t xml:space="preserve"> 2003; </w:t>
      </w:r>
      <w:r w:rsidRPr="005B1A16">
        <w:rPr>
          <w:rFonts w:ascii="Book Antiqua" w:hAnsi="Book Antiqua"/>
          <w:b/>
        </w:rPr>
        <w:t>49</w:t>
      </w:r>
      <w:r w:rsidRPr="005B1A16">
        <w:rPr>
          <w:rFonts w:ascii="Book Antiqua" w:hAnsi="Book Antiqua"/>
        </w:rPr>
        <w:t>: S112-S117 [PMID: 12894134 DOI: 10.1016/S0190-9622(03)01143-5]</w:t>
      </w:r>
    </w:p>
    <w:p w14:paraId="564AC677" w14:textId="54711C95" w:rsidR="005B1A16" w:rsidRPr="005B1A16" w:rsidRDefault="005B1A16" w:rsidP="005B1A16">
      <w:pPr>
        <w:spacing w:line="360" w:lineRule="auto"/>
        <w:jc w:val="both"/>
        <w:rPr>
          <w:rFonts w:ascii="Book Antiqua" w:hAnsi="Book Antiqua"/>
        </w:rPr>
      </w:pPr>
      <w:r w:rsidRPr="005B1A16">
        <w:rPr>
          <w:rFonts w:ascii="Book Antiqua" w:hAnsi="Book Antiqua"/>
        </w:rPr>
        <w:t xml:space="preserve">120 </w:t>
      </w:r>
      <w:r w:rsidRPr="005B1A16">
        <w:rPr>
          <w:rFonts w:ascii="Book Antiqua" w:hAnsi="Book Antiqua"/>
          <w:b/>
        </w:rPr>
        <w:t>Alwawi EA</w:t>
      </w:r>
      <w:r w:rsidRPr="005B1A16">
        <w:rPr>
          <w:rFonts w:ascii="Book Antiqua" w:hAnsi="Book Antiqua"/>
        </w:rPr>
        <w:t xml:space="preserve">, Mehlis SL, Gordon KB. Treating psoriasis with adalimumab. </w:t>
      </w:r>
      <w:r w:rsidRPr="005B1A16">
        <w:rPr>
          <w:rFonts w:ascii="Book Antiqua" w:hAnsi="Book Antiqua"/>
          <w:i/>
        </w:rPr>
        <w:t>Ther Clin Risk Manag</w:t>
      </w:r>
      <w:r w:rsidRPr="005B1A16">
        <w:rPr>
          <w:rFonts w:ascii="Book Antiqua" w:hAnsi="Book Antiqua"/>
        </w:rPr>
        <w:t xml:space="preserve"> 2008; </w:t>
      </w:r>
      <w:r w:rsidRPr="005B1A16">
        <w:rPr>
          <w:rFonts w:ascii="Book Antiqua" w:hAnsi="Book Antiqua"/>
          <w:b/>
        </w:rPr>
        <w:t>4</w:t>
      </w:r>
      <w:r w:rsidRPr="005B1A16">
        <w:rPr>
          <w:rFonts w:ascii="Book Antiqua" w:hAnsi="Book Antiqua"/>
        </w:rPr>
        <w:t>: 345-351 [PMID: 18728850</w:t>
      </w:r>
      <w:r w:rsidR="006B6255">
        <w:rPr>
          <w:rFonts w:ascii="Book Antiqua" w:eastAsia="SimSun" w:hAnsi="Book Antiqua" w:hint="eastAsia"/>
          <w:lang w:eastAsia="zh-CN"/>
        </w:rPr>
        <w:t xml:space="preserve"> DOI: </w:t>
      </w:r>
      <w:r w:rsidR="006B6255" w:rsidRPr="006B6255">
        <w:rPr>
          <w:rFonts w:ascii="Book Antiqua" w:eastAsia="SimSun" w:hAnsi="Book Antiqua"/>
          <w:lang w:eastAsia="zh-CN"/>
        </w:rPr>
        <w:t>10.2147/TCRM.S1265</w:t>
      </w:r>
      <w:r w:rsidRPr="005B1A16">
        <w:rPr>
          <w:rFonts w:ascii="Book Antiqua" w:hAnsi="Book Antiqua"/>
        </w:rPr>
        <w:t>]</w:t>
      </w:r>
    </w:p>
    <w:p w14:paraId="0DACA3AB"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121 </w:t>
      </w:r>
      <w:r w:rsidRPr="005B1A16">
        <w:rPr>
          <w:rFonts w:ascii="Book Antiqua" w:hAnsi="Book Antiqua"/>
          <w:b/>
        </w:rPr>
        <w:t>Mounach A</w:t>
      </w:r>
      <w:r w:rsidRPr="005B1A16">
        <w:rPr>
          <w:rFonts w:ascii="Book Antiqua" w:hAnsi="Book Antiqua"/>
        </w:rPr>
        <w:t xml:space="preserve">, El Maghraoui A. Efficacy and safety of adalimumab in ankylosing spondylitis. </w:t>
      </w:r>
      <w:r w:rsidRPr="005B1A16">
        <w:rPr>
          <w:rFonts w:ascii="Book Antiqua" w:hAnsi="Book Antiqua"/>
          <w:i/>
        </w:rPr>
        <w:t>Open Access Rheumatol</w:t>
      </w:r>
      <w:r w:rsidRPr="005B1A16">
        <w:rPr>
          <w:rFonts w:ascii="Book Antiqua" w:hAnsi="Book Antiqua"/>
        </w:rPr>
        <w:t xml:space="preserve"> 2014; </w:t>
      </w:r>
      <w:r w:rsidRPr="005B1A16">
        <w:rPr>
          <w:rFonts w:ascii="Book Antiqua" w:hAnsi="Book Antiqua"/>
          <w:b/>
        </w:rPr>
        <w:t>6</w:t>
      </w:r>
      <w:r w:rsidRPr="005B1A16">
        <w:rPr>
          <w:rFonts w:ascii="Book Antiqua" w:hAnsi="Book Antiqua"/>
        </w:rPr>
        <w:t>: 83-90 [PMID: 27790037 DOI: 10.2147/OARRR.S44550]</w:t>
      </w:r>
    </w:p>
    <w:p w14:paraId="330F81D5"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122 </w:t>
      </w:r>
      <w:r w:rsidRPr="005B1A16">
        <w:rPr>
          <w:rFonts w:ascii="Book Antiqua" w:hAnsi="Book Antiqua"/>
          <w:b/>
        </w:rPr>
        <w:t>Dattola A</w:t>
      </w:r>
      <w:r w:rsidRPr="005B1A16">
        <w:rPr>
          <w:rFonts w:ascii="Book Antiqua" w:hAnsi="Book Antiqua"/>
        </w:rPr>
        <w:t xml:space="preserve">, Cannizzaro MV, Mazzeo M, Bianchi L. Certolizumab Pegol in the Treatment of Psoriasis and Psoriatic Arthritis: Preliminary Real-Life Data. </w:t>
      </w:r>
      <w:r w:rsidRPr="005B1A16">
        <w:rPr>
          <w:rFonts w:ascii="Book Antiqua" w:hAnsi="Book Antiqua"/>
          <w:i/>
        </w:rPr>
        <w:t>Dermatol Ther (Heidelb)</w:t>
      </w:r>
      <w:r w:rsidRPr="005B1A16">
        <w:rPr>
          <w:rFonts w:ascii="Book Antiqua" w:hAnsi="Book Antiqua"/>
        </w:rPr>
        <w:t xml:space="preserve"> 2017; </w:t>
      </w:r>
      <w:r w:rsidRPr="005B1A16">
        <w:rPr>
          <w:rFonts w:ascii="Book Antiqua" w:hAnsi="Book Antiqua"/>
          <w:b/>
        </w:rPr>
        <w:t>7</w:t>
      </w:r>
      <w:r w:rsidRPr="005B1A16">
        <w:rPr>
          <w:rFonts w:ascii="Book Antiqua" w:hAnsi="Book Antiqua"/>
        </w:rPr>
        <w:t>: 485-492 [PMID: 29139035 DOI: 10.1007/s13555-017-0208-z]</w:t>
      </w:r>
    </w:p>
    <w:p w14:paraId="74F49062"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123 </w:t>
      </w:r>
      <w:r w:rsidRPr="005B1A16">
        <w:rPr>
          <w:rFonts w:ascii="Book Antiqua" w:hAnsi="Book Antiqua"/>
          <w:b/>
        </w:rPr>
        <w:t>Landewé R</w:t>
      </w:r>
      <w:r w:rsidRPr="005B1A16">
        <w:rPr>
          <w:rFonts w:ascii="Book Antiqua" w:hAnsi="Book Antiqua"/>
        </w:rPr>
        <w:t xml:space="preserve">, Braun J, Deodhar A, Dougados M, Maksymowych WP, Mease PJ, Reveille JD, Rudwaleit M, van der Heijde D, Stach C, Hoepken B, Fichtner A, Coteur G, </w:t>
      </w:r>
      <w:r w:rsidRPr="005B1A16">
        <w:rPr>
          <w:rFonts w:ascii="Book Antiqua" w:hAnsi="Book Antiqua"/>
        </w:rPr>
        <w:lastRenderedPageBreak/>
        <w:t xml:space="preserve">de Longueville M, Sieper J. Efficacy of certolizumab pegol on signs and symptoms of axial spondyloarthritis including ankylosing spondylitis: 24-week results of a double-blind randomised placebo-controlled Phase 3 study. </w:t>
      </w:r>
      <w:r w:rsidRPr="005B1A16">
        <w:rPr>
          <w:rFonts w:ascii="Book Antiqua" w:hAnsi="Book Antiqua"/>
          <w:i/>
        </w:rPr>
        <w:t>Ann Rheum Dis</w:t>
      </w:r>
      <w:r w:rsidRPr="005B1A16">
        <w:rPr>
          <w:rFonts w:ascii="Book Antiqua" w:hAnsi="Book Antiqua"/>
        </w:rPr>
        <w:t xml:space="preserve"> 2014; </w:t>
      </w:r>
      <w:r w:rsidRPr="005B1A16">
        <w:rPr>
          <w:rFonts w:ascii="Book Antiqua" w:hAnsi="Book Antiqua"/>
          <w:b/>
        </w:rPr>
        <w:t>73</w:t>
      </w:r>
      <w:r w:rsidRPr="005B1A16">
        <w:rPr>
          <w:rFonts w:ascii="Book Antiqua" w:hAnsi="Book Antiqua"/>
        </w:rPr>
        <w:t>: 39-47 [PMID: 24013647 DOI: 10.1136/annrheumdis-2013-204231]</w:t>
      </w:r>
    </w:p>
    <w:p w14:paraId="6553EECB"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124 </w:t>
      </w:r>
      <w:r w:rsidRPr="005B1A16">
        <w:rPr>
          <w:rFonts w:ascii="Book Antiqua" w:hAnsi="Book Antiqua"/>
          <w:b/>
        </w:rPr>
        <w:t>Yang H</w:t>
      </w:r>
      <w:r w:rsidRPr="005B1A16">
        <w:rPr>
          <w:rFonts w:ascii="Book Antiqua" w:hAnsi="Book Antiqua"/>
        </w:rPr>
        <w:t xml:space="preserve">, Epstein D, Bojke L, Craig D, Light K, Bruce I, Sculpher M, Woolacott N. Golimumab for the treatment of psoriatic arthritis. </w:t>
      </w:r>
      <w:r w:rsidRPr="005B1A16">
        <w:rPr>
          <w:rFonts w:ascii="Book Antiqua" w:hAnsi="Book Antiqua"/>
          <w:i/>
        </w:rPr>
        <w:t>Health Technol Assess</w:t>
      </w:r>
      <w:r w:rsidRPr="005B1A16">
        <w:rPr>
          <w:rFonts w:ascii="Book Antiqua" w:hAnsi="Book Antiqua"/>
        </w:rPr>
        <w:t xml:space="preserve"> 2011; </w:t>
      </w:r>
      <w:r w:rsidRPr="005B1A16">
        <w:rPr>
          <w:rFonts w:ascii="Book Antiqua" w:hAnsi="Book Antiqua"/>
          <w:b/>
        </w:rPr>
        <w:t>15 Suppl 1</w:t>
      </w:r>
      <w:r w:rsidRPr="005B1A16">
        <w:rPr>
          <w:rFonts w:ascii="Book Antiqua" w:hAnsi="Book Antiqua"/>
        </w:rPr>
        <w:t>: 87-95 [PMID: 21609657 DOI: 10.3310/hta15suppl1/10]</w:t>
      </w:r>
    </w:p>
    <w:p w14:paraId="5FFCD0DD"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125 </w:t>
      </w:r>
      <w:r w:rsidRPr="005B1A16">
        <w:rPr>
          <w:rFonts w:ascii="Book Antiqua" w:hAnsi="Book Antiqua"/>
          <w:b/>
        </w:rPr>
        <w:t>Poddubnyy D</w:t>
      </w:r>
      <w:r w:rsidRPr="005B1A16">
        <w:rPr>
          <w:rFonts w:ascii="Book Antiqua" w:hAnsi="Book Antiqua"/>
        </w:rPr>
        <w:t xml:space="preserve">, Hermann KG, Callhoff J, Listing J, Sieper J. Ustekinumab for the treatment of patients with active ankylosing spondylitis: results of a 28-week, prospective, open-label, proof-of-concept study (TOPAS). </w:t>
      </w:r>
      <w:r w:rsidRPr="005B1A16">
        <w:rPr>
          <w:rFonts w:ascii="Book Antiqua" w:hAnsi="Book Antiqua"/>
          <w:i/>
        </w:rPr>
        <w:t>Ann Rheum Dis</w:t>
      </w:r>
      <w:r w:rsidRPr="005B1A16">
        <w:rPr>
          <w:rFonts w:ascii="Book Antiqua" w:hAnsi="Book Antiqua"/>
        </w:rPr>
        <w:t xml:space="preserve"> 2014; </w:t>
      </w:r>
      <w:r w:rsidRPr="005B1A16">
        <w:rPr>
          <w:rFonts w:ascii="Book Antiqua" w:hAnsi="Book Antiqua"/>
          <w:b/>
        </w:rPr>
        <w:t>73</w:t>
      </w:r>
      <w:r w:rsidRPr="005B1A16">
        <w:rPr>
          <w:rFonts w:ascii="Book Antiqua" w:hAnsi="Book Antiqua"/>
        </w:rPr>
        <w:t>: 817-823 [PMID: 24389297 DOI: 10.1136/annrheumdis-2013-204248]</w:t>
      </w:r>
    </w:p>
    <w:p w14:paraId="00E59671" w14:textId="77777777" w:rsidR="005B1A16" w:rsidRPr="005B1A16" w:rsidRDefault="005B1A16" w:rsidP="005B1A16">
      <w:pPr>
        <w:spacing w:line="360" w:lineRule="auto"/>
        <w:jc w:val="both"/>
        <w:rPr>
          <w:rFonts w:ascii="Book Antiqua" w:hAnsi="Book Antiqua"/>
        </w:rPr>
      </w:pPr>
      <w:r w:rsidRPr="005B1A16">
        <w:rPr>
          <w:rFonts w:ascii="Book Antiqua" w:hAnsi="Book Antiqua"/>
        </w:rPr>
        <w:t xml:space="preserve">126 </w:t>
      </w:r>
      <w:r w:rsidRPr="005B1A16">
        <w:rPr>
          <w:rFonts w:ascii="Book Antiqua" w:hAnsi="Book Antiqua"/>
          <w:b/>
        </w:rPr>
        <w:t>Savage LJ</w:t>
      </w:r>
      <w:r w:rsidRPr="005B1A16">
        <w:rPr>
          <w:rFonts w:ascii="Book Antiqua" w:hAnsi="Book Antiqua"/>
        </w:rPr>
        <w:t xml:space="preserve">, Wittmann M, McGonagle D, Helliwell PS. Ustekinumab in the Treatment of Psoriasis and Psoriatic Arthritis. </w:t>
      </w:r>
      <w:r w:rsidRPr="005B1A16">
        <w:rPr>
          <w:rFonts w:ascii="Book Antiqua" w:hAnsi="Book Antiqua"/>
          <w:i/>
        </w:rPr>
        <w:t>Rheumatol Ther</w:t>
      </w:r>
      <w:r w:rsidRPr="005B1A16">
        <w:rPr>
          <w:rFonts w:ascii="Book Antiqua" w:hAnsi="Book Antiqua"/>
        </w:rPr>
        <w:t xml:space="preserve"> 2015; </w:t>
      </w:r>
      <w:r w:rsidRPr="005B1A16">
        <w:rPr>
          <w:rFonts w:ascii="Book Antiqua" w:hAnsi="Book Antiqua"/>
          <w:b/>
        </w:rPr>
        <w:t>2</w:t>
      </w:r>
      <w:r w:rsidRPr="005B1A16">
        <w:rPr>
          <w:rFonts w:ascii="Book Antiqua" w:hAnsi="Book Antiqua"/>
        </w:rPr>
        <w:t>: 1-16 [PMID: 27747495 DOI: 10.1007/s40744-015-0010-2]</w:t>
      </w:r>
    </w:p>
    <w:p w14:paraId="4869A59E" w14:textId="706745A5" w:rsidR="00973F43" w:rsidRPr="005B1A16" w:rsidRDefault="00973F43" w:rsidP="005B1A16">
      <w:pPr>
        <w:adjustRightInd w:val="0"/>
        <w:snapToGrid w:val="0"/>
        <w:spacing w:line="360" w:lineRule="auto"/>
        <w:jc w:val="right"/>
        <w:rPr>
          <w:rFonts w:ascii="Book Antiqua" w:hAnsi="Book Antiqua"/>
          <w:color w:val="000000" w:themeColor="text1"/>
        </w:rPr>
      </w:pPr>
      <w:r w:rsidRPr="005B1A16">
        <w:rPr>
          <w:rFonts w:ascii="Book Antiqua" w:hAnsi="Book Antiqua"/>
          <w:b/>
          <w:color w:val="000000" w:themeColor="text1"/>
        </w:rPr>
        <w:t>P-Reviewer:</w:t>
      </w:r>
      <w:r w:rsidRPr="005B1A16">
        <w:rPr>
          <w:rFonts w:ascii="Book Antiqua" w:hAnsi="Book Antiqua"/>
          <w:color w:val="000000" w:themeColor="text1"/>
          <w:shd w:val="clear" w:color="auto" w:fill="FFFFFF"/>
        </w:rPr>
        <w:t xml:space="preserve"> </w:t>
      </w:r>
      <w:r w:rsidR="00B5263E" w:rsidRPr="005B1A16">
        <w:rPr>
          <w:rFonts w:ascii="Book Antiqua" w:hAnsi="Book Antiqua"/>
          <w:color w:val="000000" w:themeColor="text1"/>
        </w:rPr>
        <w:t>M’Koma</w:t>
      </w:r>
      <w:r w:rsidR="00B5263E" w:rsidRPr="005B1A16">
        <w:rPr>
          <w:rFonts w:ascii="Book Antiqua" w:eastAsia="SimSun" w:hAnsi="Book Antiqua"/>
          <w:color w:val="000000" w:themeColor="text1"/>
          <w:lang w:eastAsia="zh-CN"/>
        </w:rPr>
        <w:t xml:space="preserve"> AE,</w:t>
      </w:r>
      <w:r w:rsidR="00B5263E" w:rsidRPr="005B1A16">
        <w:rPr>
          <w:rFonts w:ascii="Book Antiqua" w:hAnsi="Book Antiqua"/>
          <w:color w:val="000000" w:themeColor="text1"/>
        </w:rPr>
        <w:t xml:space="preserve"> Nakase</w:t>
      </w:r>
      <w:r w:rsidR="00B5263E" w:rsidRPr="005B1A16">
        <w:rPr>
          <w:rFonts w:ascii="Book Antiqua" w:eastAsia="SimSun" w:hAnsi="Book Antiqua"/>
          <w:color w:val="000000" w:themeColor="text1"/>
          <w:lang w:eastAsia="zh-CN"/>
        </w:rPr>
        <w:t xml:space="preserve"> H, </w:t>
      </w:r>
      <w:r w:rsidR="00B5263E" w:rsidRPr="005B1A16">
        <w:rPr>
          <w:rFonts w:ascii="Book Antiqua" w:hAnsi="Book Antiqua"/>
          <w:color w:val="000000" w:themeColor="text1"/>
        </w:rPr>
        <w:t xml:space="preserve">Sivandzadeh GR </w:t>
      </w:r>
      <w:r w:rsidRPr="005B1A16">
        <w:rPr>
          <w:rFonts w:ascii="Book Antiqua" w:hAnsi="Book Antiqua"/>
          <w:b/>
          <w:color w:val="000000" w:themeColor="text1"/>
        </w:rPr>
        <w:t>S-Editor:</w:t>
      </w:r>
      <w:r w:rsidRPr="005B1A16">
        <w:rPr>
          <w:rFonts w:ascii="Book Antiqua" w:hAnsi="Book Antiqua"/>
          <w:color w:val="000000" w:themeColor="text1"/>
        </w:rPr>
        <w:t xml:space="preserve"> Wang JL</w:t>
      </w:r>
    </w:p>
    <w:p w14:paraId="180379F7" w14:textId="77777777" w:rsidR="00973F43" w:rsidRPr="005B1A16" w:rsidRDefault="00973F43" w:rsidP="005B1A16">
      <w:pPr>
        <w:adjustRightInd w:val="0"/>
        <w:snapToGrid w:val="0"/>
        <w:spacing w:line="360" w:lineRule="auto"/>
        <w:jc w:val="right"/>
        <w:rPr>
          <w:rFonts w:ascii="Book Antiqua" w:hAnsi="Book Antiqua"/>
          <w:b/>
          <w:color w:val="000000" w:themeColor="text1"/>
        </w:rPr>
      </w:pPr>
      <w:r w:rsidRPr="005B1A16">
        <w:rPr>
          <w:rFonts w:ascii="Book Antiqua" w:hAnsi="Book Antiqua"/>
          <w:b/>
          <w:color w:val="000000" w:themeColor="text1"/>
        </w:rPr>
        <w:t>L-Editor: E-Editor:</w:t>
      </w:r>
    </w:p>
    <w:p w14:paraId="586AAADB" w14:textId="77777777" w:rsidR="00973F43" w:rsidRPr="005B1A16" w:rsidRDefault="00973F43" w:rsidP="005B1A16">
      <w:pPr>
        <w:adjustRightInd w:val="0"/>
        <w:snapToGrid w:val="0"/>
        <w:spacing w:line="360" w:lineRule="auto"/>
        <w:jc w:val="both"/>
        <w:rPr>
          <w:rFonts w:ascii="Book Antiqua" w:hAnsi="Book Antiqua"/>
          <w:color w:val="000000" w:themeColor="text1"/>
        </w:rPr>
      </w:pPr>
      <w:r w:rsidRPr="005B1A16">
        <w:rPr>
          <w:rFonts w:ascii="Book Antiqua" w:hAnsi="Book Antiqua"/>
          <w:b/>
          <w:color w:val="000000" w:themeColor="text1"/>
        </w:rPr>
        <w:t>Specialty type:</w:t>
      </w:r>
      <w:r w:rsidRPr="005B1A16">
        <w:rPr>
          <w:rFonts w:ascii="Book Antiqua" w:hAnsi="Book Antiqua"/>
          <w:color w:val="000000" w:themeColor="text1"/>
        </w:rPr>
        <w:t xml:space="preserve"> Gastroenterology and hepatology</w:t>
      </w:r>
    </w:p>
    <w:p w14:paraId="0F298142" w14:textId="7848D7D0" w:rsidR="00973F43" w:rsidRPr="005B1A16" w:rsidRDefault="00973F43" w:rsidP="005B1A16">
      <w:pPr>
        <w:tabs>
          <w:tab w:val="left" w:pos="6317"/>
        </w:tabs>
        <w:adjustRightInd w:val="0"/>
        <w:snapToGrid w:val="0"/>
        <w:spacing w:line="360" w:lineRule="auto"/>
        <w:jc w:val="both"/>
        <w:rPr>
          <w:rFonts w:ascii="Book Antiqua" w:hAnsi="Book Antiqua"/>
          <w:color w:val="000000" w:themeColor="text1"/>
        </w:rPr>
      </w:pPr>
      <w:r w:rsidRPr="005B1A16">
        <w:rPr>
          <w:rFonts w:ascii="Book Antiqua" w:hAnsi="Book Antiqua"/>
          <w:b/>
          <w:color w:val="000000" w:themeColor="text1"/>
        </w:rPr>
        <w:t>Country of origin:</w:t>
      </w:r>
      <w:r w:rsidRPr="005B1A16">
        <w:rPr>
          <w:rFonts w:ascii="Book Antiqua" w:hAnsi="Book Antiqua"/>
          <w:color w:val="000000" w:themeColor="text1"/>
        </w:rPr>
        <w:t xml:space="preserve"> </w:t>
      </w:r>
      <w:r w:rsidR="00341F15" w:rsidRPr="005B1A16">
        <w:rPr>
          <w:rFonts w:ascii="Book Antiqua" w:eastAsia="SimSun" w:hAnsi="Book Antiqua"/>
          <w:color w:val="000000" w:themeColor="text1"/>
          <w:lang w:eastAsia="zh-CN"/>
        </w:rPr>
        <w:t>Canada</w:t>
      </w:r>
      <w:r w:rsidRPr="005B1A16">
        <w:rPr>
          <w:rFonts w:ascii="Book Antiqua" w:hAnsi="Book Antiqua"/>
          <w:color w:val="000000" w:themeColor="text1"/>
        </w:rPr>
        <w:tab/>
      </w:r>
    </w:p>
    <w:p w14:paraId="46507175" w14:textId="77777777" w:rsidR="00973F43" w:rsidRPr="005B1A16" w:rsidRDefault="00973F43" w:rsidP="005B1A16">
      <w:pPr>
        <w:adjustRightInd w:val="0"/>
        <w:snapToGrid w:val="0"/>
        <w:spacing w:line="360" w:lineRule="auto"/>
        <w:jc w:val="both"/>
        <w:rPr>
          <w:rFonts w:ascii="Book Antiqua" w:hAnsi="Book Antiqua"/>
          <w:b/>
          <w:color w:val="000000" w:themeColor="text1"/>
        </w:rPr>
      </w:pPr>
      <w:r w:rsidRPr="005B1A16">
        <w:rPr>
          <w:rFonts w:ascii="Book Antiqua" w:hAnsi="Book Antiqua"/>
          <w:b/>
          <w:color w:val="000000" w:themeColor="text1"/>
        </w:rPr>
        <w:t>Peer-review report classification</w:t>
      </w:r>
    </w:p>
    <w:p w14:paraId="171D5CFD" w14:textId="77B7E758" w:rsidR="00973F43" w:rsidRPr="005B1A16" w:rsidRDefault="00B5263E" w:rsidP="005B1A16">
      <w:pPr>
        <w:adjustRightInd w:val="0"/>
        <w:snapToGrid w:val="0"/>
        <w:spacing w:line="360" w:lineRule="auto"/>
        <w:jc w:val="both"/>
        <w:rPr>
          <w:rFonts w:ascii="Book Antiqua" w:eastAsia="SimSun" w:hAnsi="Book Antiqua"/>
          <w:color w:val="000000" w:themeColor="text1"/>
          <w:lang w:eastAsia="zh-CN"/>
        </w:rPr>
      </w:pPr>
      <w:r w:rsidRPr="005B1A16">
        <w:rPr>
          <w:rFonts w:ascii="Book Antiqua" w:hAnsi="Book Antiqua"/>
          <w:color w:val="000000" w:themeColor="text1"/>
        </w:rPr>
        <w:t xml:space="preserve">Grade A (Excellent): </w:t>
      </w:r>
      <w:r w:rsidRPr="005B1A16">
        <w:rPr>
          <w:rFonts w:ascii="Book Antiqua" w:eastAsia="SimSun" w:hAnsi="Book Antiqua"/>
          <w:color w:val="000000" w:themeColor="text1"/>
          <w:lang w:eastAsia="zh-CN"/>
        </w:rPr>
        <w:t>A</w:t>
      </w:r>
    </w:p>
    <w:p w14:paraId="5C851453" w14:textId="5EC3A57A" w:rsidR="00973F43" w:rsidRPr="005B1A16" w:rsidRDefault="00973F43" w:rsidP="005B1A16">
      <w:pPr>
        <w:adjustRightInd w:val="0"/>
        <w:snapToGrid w:val="0"/>
        <w:spacing w:line="360" w:lineRule="auto"/>
        <w:jc w:val="both"/>
        <w:rPr>
          <w:rFonts w:ascii="Book Antiqua" w:eastAsia="SimSun" w:hAnsi="Book Antiqua"/>
          <w:color w:val="000000" w:themeColor="text1"/>
          <w:lang w:eastAsia="zh-CN"/>
        </w:rPr>
      </w:pPr>
      <w:r w:rsidRPr="005B1A16">
        <w:rPr>
          <w:rFonts w:ascii="Book Antiqua" w:hAnsi="Book Antiqua"/>
          <w:color w:val="000000" w:themeColor="text1"/>
        </w:rPr>
        <w:t>Grade B (Very good): B</w:t>
      </w:r>
    </w:p>
    <w:p w14:paraId="786999C1" w14:textId="77777777" w:rsidR="00973F43" w:rsidRPr="005B1A16" w:rsidRDefault="00973F43" w:rsidP="005B1A16">
      <w:pPr>
        <w:adjustRightInd w:val="0"/>
        <w:snapToGrid w:val="0"/>
        <w:spacing w:line="360" w:lineRule="auto"/>
        <w:jc w:val="both"/>
        <w:rPr>
          <w:rFonts w:ascii="Book Antiqua" w:hAnsi="Book Antiqua"/>
          <w:color w:val="000000" w:themeColor="text1"/>
        </w:rPr>
      </w:pPr>
      <w:r w:rsidRPr="005B1A16">
        <w:rPr>
          <w:rFonts w:ascii="Book Antiqua" w:hAnsi="Book Antiqua"/>
          <w:color w:val="000000" w:themeColor="text1"/>
        </w:rPr>
        <w:t>Grade C (Good): C</w:t>
      </w:r>
    </w:p>
    <w:p w14:paraId="063C66A5" w14:textId="77777777" w:rsidR="00973F43" w:rsidRPr="005B1A16" w:rsidRDefault="00973F43" w:rsidP="005B1A16">
      <w:pPr>
        <w:adjustRightInd w:val="0"/>
        <w:snapToGrid w:val="0"/>
        <w:spacing w:line="360" w:lineRule="auto"/>
        <w:jc w:val="both"/>
        <w:rPr>
          <w:rFonts w:ascii="Book Antiqua" w:hAnsi="Book Antiqua"/>
          <w:color w:val="000000" w:themeColor="text1"/>
        </w:rPr>
      </w:pPr>
      <w:r w:rsidRPr="005B1A16">
        <w:rPr>
          <w:rFonts w:ascii="Book Antiqua" w:hAnsi="Book Antiqua"/>
          <w:color w:val="000000" w:themeColor="text1"/>
        </w:rPr>
        <w:t>Grade D (Fair): 0</w:t>
      </w:r>
    </w:p>
    <w:p w14:paraId="563A8036" w14:textId="77777777" w:rsidR="00973F43" w:rsidRPr="005B1A16" w:rsidRDefault="00973F43" w:rsidP="005B1A16">
      <w:pPr>
        <w:adjustRightInd w:val="0"/>
        <w:snapToGrid w:val="0"/>
        <w:spacing w:line="360" w:lineRule="auto"/>
        <w:jc w:val="both"/>
        <w:rPr>
          <w:rFonts w:ascii="Book Antiqua" w:hAnsi="Book Antiqua"/>
          <w:color w:val="000000" w:themeColor="text1"/>
          <w:lang w:eastAsia="en-GB"/>
        </w:rPr>
      </w:pPr>
      <w:r w:rsidRPr="005B1A16">
        <w:rPr>
          <w:rFonts w:ascii="Book Antiqua" w:hAnsi="Book Antiqua"/>
          <w:color w:val="000000" w:themeColor="text1"/>
        </w:rPr>
        <w:t>Grade E (Poor): 0</w:t>
      </w:r>
    </w:p>
    <w:p w14:paraId="4E59F201" w14:textId="1652365E" w:rsidR="006555F2" w:rsidRPr="005B1A16" w:rsidRDefault="002F7534" w:rsidP="005B1A16">
      <w:pPr>
        <w:spacing w:line="360" w:lineRule="auto"/>
        <w:jc w:val="both"/>
        <w:rPr>
          <w:rFonts w:ascii="Book Antiqua" w:eastAsia="SimSun" w:hAnsi="Book Antiqua"/>
          <w:b/>
          <w:color w:val="000000" w:themeColor="text1"/>
          <w:lang w:eastAsia="zh-CN"/>
        </w:rPr>
      </w:pPr>
      <w:r w:rsidRPr="005B1A16">
        <w:rPr>
          <w:rFonts w:ascii="Book Antiqua" w:hAnsi="Book Antiqua"/>
          <w:color w:val="000000" w:themeColor="text1"/>
        </w:rPr>
        <w:br w:type="page"/>
      </w:r>
      <w:r w:rsidR="006555F2" w:rsidRPr="005B1A16">
        <w:rPr>
          <w:rFonts w:ascii="Book Antiqua" w:hAnsi="Book Antiqua"/>
          <w:b/>
          <w:color w:val="000000" w:themeColor="text1"/>
        </w:rPr>
        <w:lastRenderedPageBreak/>
        <w:t xml:space="preserve">Table 1 Currently approved biologic treatments for </w:t>
      </w:r>
      <w:r w:rsidR="00ED2EA4" w:rsidRPr="005B1A16">
        <w:rPr>
          <w:rFonts w:ascii="Book Antiqua" w:hAnsi="Book Antiqua"/>
          <w:b/>
          <w:color w:val="000000" w:themeColor="text1"/>
        </w:rPr>
        <w:t>inflammatory bowel diseases</w:t>
      </w:r>
      <w:r w:rsidR="006555F2" w:rsidRPr="005B1A16">
        <w:rPr>
          <w:rFonts w:ascii="Book Antiqua" w:hAnsi="Book Antiqua"/>
          <w:b/>
          <w:color w:val="000000" w:themeColor="text1"/>
        </w:rPr>
        <w:fldChar w:fldCharType="begin"/>
      </w:r>
      <w:r w:rsidR="006555F2" w:rsidRPr="005B1A16">
        <w:rPr>
          <w:rFonts w:ascii="Book Antiqua" w:hAnsi="Book Antiqua"/>
          <w:b/>
          <w:color w:val="000000" w:themeColor="text1"/>
        </w:rPr>
        <w:instrText xml:space="preserve"> ADDIN ZOTERO_ITEM CSL_CITATION {"citationID":"an5lvgnl83","properties":{"formattedCitation":"\\super [16,117,118]\\nosupersub{}","plainCitation":"[16,117,118]","noteIndex":0},"citationItems":[{"id":176,"uris":["http://zotero.org/users/4672422/items/M5JPZAIL"],"uri":["http://zotero.org/users/4672422/items/M5JPZAIL"],"itemData":{"id":176,"type":"article-journal","title":"3rd European Evidence-based Consensus on the Diagnosis and Management of Crohn’s Disease 2016: Part 1: Diagnosis and Medical Management","container-title":"Journal of Crohn's and Colitis","page":"3-25","volume":"11","issue":"1","source":"CrossRef","URL":"https://academic.oup.com/ecco-jcc/article-lookup/doi/10.1093/ecco-jcc/jjw168","DOI":"10.1093/ecco-jcc/jjw168","ISSN":"1873-9946, 1876-4479","shortTitle":"3rd European Evidence-based Consensus on the Diagnosis and Management of Crohn’s Disease 2016","language":"en","author":[{"family":"Gomollón","given":"Fernando"},{"family":"Dignass","given":"Axel"},{"family":"Annese","given":"Vito"},{"family":"Tilg","given":"Herbert"},{"family":"Van Assche","given":"Gert"},{"family":"Lindsay","given":"James O."},{"family":"Peyrin-Biroulet","given":"Laurent"},{"family":"Cullen","given":"Garret J."},{"family":"Daperno","given":"Marco"},{"family":"Kucharzik","given":"Torsten"},{"family":"Rieder","given":"Florian"},{"family":"Almer","given":"Sven"},{"family":"Armuzzi","given":"Alessandro"},{"family":"Harbord","given":"Marcus"},{"family":"Langhorst","given":"Jost"},{"family":"Sans","given":"Miquel"},{"family":"Chowers","given":"Yehuda"},{"family":"Fiorino","given":"Gionata"},{"family":"Juillerat","given":"Pascal"},{"family":"Mantzaris","given":"Gerassimos J."},{"family":"Rizzello","given":"Fernando"},{"family":"Vavricka","given":"Stephan"},{"family":"Gionchetti","given":"Paolo"},{"literal":"on behalf of ECCO"}],"issued":{"date-parts":[["2017",1]]},"accessed":{"date-parts":[["2018",3,28]]}}},{"id":230,"uris":["http://zotero.org/users/4672422/items/3RMDZ7MR"],"uri":["http://zotero.org/users/4672422/items/3RMDZ7MR"],"itemData":{"id":230,"type":"article-journal","title":"Third European Evidence-based Consensus on Diagnosis and Management of Ulcerative Colitis. Part 2: Current Management","container-title":"Journal of Crohn's &amp; Colitis","page":"769-784","volume":"11","issue":"7","source":"PubMed","DOI":"10.1093/ecco-jcc/jjx009","ISSN":"1876-4479","note":"PMID: 28513805","shortTitle":"Third European Evidence-based Consensus on Diagnosis and Management of Ulcerative Colitis. Part 2","journalAbbreviation":"J Crohns Colitis","language":"eng","author":[{"family":"Harbord","given":"Marcus"},{"family":"Eliakim","given":"Rami"},{"family":"Bettenworth","given":"Dominik"},{"family":"Karmiris","given":"Konstantinos"},{"family":"Katsanos","given":"Konstantinos"},{"family":"Kopylov","given":"Uri"},{"family":"Kucharzik","given":"Torsten"},{"family":"Molnár","given":"Tamás"},{"family":"Raine","given":"Tim"},{"family":"Sebastian","given":"Shaji"},{"family":"Sousa","given":"Helena Tavares","non-dropping-particle":"de"},{"family":"Dignass","given":"Axel"},{"family":"Carbonnel","given":"Franck"},{"literal":"European Crohn’s and Colitis Organisation [ECCO]"}],"issued":{"date-parts":[["2017",7,1]]}}},{"id":234,"uris":["http://zotero.org/users/4672422/items/AAQRFCIV"],"uri":["http://zotero.org/users/4672422/items/AAQRFCIV"],"itemData":{"id":234,"type":"article-journal","title":"The Expanding Therapeutic Armamentarium for Inflammatory Bowel Disease: How to Choose the Right Drug[s] for Our Patients?","container-title":"Journal of Crohn's &amp; Colitis","page":"105-119","volume":"12","issue":"1","source":"PubMed","abstract":"The therapeutic landscape for inflammatory bowel disease [IBD] is rapidly evolving. Two new biologic drugs, vedolizumab and ustekinumab, have recently entered the marketplace, the first biosimilars have been introduced, and several other agents are at an advanced stage of clinical development. In parallel, therapeutic goals have shifted from symptom control towards mucosal healing and prevention of bowel damage. In the coming years, gastroenterologists will be faced with unprecedented choices when selecting the best treatment for their patients with IBD. In this article, we review existing data on the mechanisms of action, efficacy, and safety of recently approved and late-stage pipeline therapies, and use this information to speculate on the positioning of these drugs, alone or in combination, in therapeutic algorithms for Crohn's disease and ulcerative colitis.","DOI":"10.1093/ecco-jcc/jjx117","ISSN":"1876-4479","note":"PMID: 28961959","shortTitle":"The Expanding Therapeutic Armamentarium for Inflammatory Bowel Disease","journalAbbreviation":"J Crohns Colitis","language":"eng","author":[{"family":"Hindryckx","given":"Pieter"},{"family":"Vande Casteele","given":"Niels"},{"family":"Novak","given":"Gregor"},{"family":"Khanna","given":"Reena"},{"family":"D'Haens","given":"Geert"},{"family":"Sandborn","given":"William J."},{"family":"Danese","given":"Silvio"},{"family":"Jairath","given":"Vipul"},{"family":"Feagan","given":"Brian G."}],"issued":{"date-parts":[["2018",1,5]]}}}],"schema":"https://github.com/citation-style-language/schema/raw/master/csl-citation.json"} </w:instrText>
      </w:r>
      <w:r w:rsidR="006555F2" w:rsidRPr="005B1A16">
        <w:rPr>
          <w:rFonts w:ascii="Book Antiqua" w:hAnsi="Book Antiqua"/>
          <w:b/>
          <w:color w:val="000000" w:themeColor="text1"/>
        </w:rPr>
        <w:fldChar w:fldCharType="separate"/>
      </w:r>
      <w:r w:rsidR="006555F2" w:rsidRPr="005B1A16">
        <w:rPr>
          <w:rFonts w:ascii="Book Antiqua" w:hAnsi="Book Antiqua" w:cs="Calibri"/>
          <w:b/>
          <w:color w:val="000000" w:themeColor="text1"/>
          <w:vertAlign w:val="superscript"/>
        </w:rPr>
        <w:t>[16,117,118]</w:t>
      </w:r>
      <w:r w:rsidR="006555F2" w:rsidRPr="005B1A16">
        <w:rPr>
          <w:rFonts w:ascii="Book Antiqua" w:hAnsi="Book Antiqua"/>
          <w:b/>
          <w:color w:val="000000" w:themeColor="text1"/>
        </w:rPr>
        <w:fldChar w:fldCharType="end"/>
      </w:r>
    </w:p>
    <w:tbl>
      <w:tblPr>
        <w:tblStyle w:val="PlainTable11"/>
        <w:tblW w:w="10031" w:type="dxa"/>
        <w:tblLook w:val="04A0" w:firstRow="1" w:lastRow="0" w:firstColumn="1" w:lastColumn="0" w:noHBand="0" w:noVBand="1"/>
      </w:tblPr>
      <w:tblGrid>
        <w:gridCol w:w="2093"/>
        <w:gridCol w:w="2977"/>
        <w:gridCol w:w="4961"/>
      </w:tblGrid>
      <w:tr w:rsidR="006555F2" w:rsidRPr="005B1A16" w14:paraId="398A2A1B" w14:textId="77777777" w:rsidTr="00BA3835">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5EACD"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Medication</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122D5" w14:textId="19127034" w:rsidR="006555F2" w:rsidRPr="005B1A16" w:rsidRDefault="00BA3835" w:rsidP="005B1A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Route of administration</w:t>
            </w:r>
            <w:r>
              <w:rPr>
                <w:rFonts w:ascii="Book Antiqua" w:eastAsiaTheme="minorEastAsia" w:hAnsi="Book Antiqua" w:hint="eastAsia"/>
                <w:color w:val="000000" w:themeColor="text1"/>
                <w:lang w:eastAsia="zh-CN"/>
              </w:rPr>
              <w:t xml:space="preserve"> </w:t>
            </w:r>
            <w:r w:rsidR="006555F2" w:rsidRPr="005B1A16">
              <w:rPr>
                <w:rFonts w:ascii="Book Antiqua" w:hAnsi="Book Antiqua"/>
                <w:color w:val="000000" w:themeColor="text1"/>
              </w:rPr>
              <w:t>(IV, SC, PO)</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A1F03D" w14:textId="77777777" w:rsidR="006555F2" w:rsidRPr="005B1A16" w:rsidRDefault="006555F2" w:rsidP="005B1A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Approved dose</w:t>
            </w:r>
          </w:p>
        </w:tc>
      </w:tr>
      <w:tr w:rsidR="006555F2" w:rsidRPr="005B1A16" w14:paraId="2B4AF3DF" w14:textId="77777777" w:rsidTr="00BA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7E0E67" w14:textId="77777777" w:rsidR="006555F2" w:rsidRPr="005B1A16" w:rsidRDefault="006555F2" w:rsidP="005B1A16">
            <w:pPr>
              <w:spacing w:line="360" w:lineRule="auto"/>
              <w:jc w:val="both"/>
              <w:rPr>
                <w:rFonts w:ascii="Book Antiqua" w:hAnsi="Book Antiqua"/>
                <w:b w:val="0"/>
                <w:color w:val="000000" w:themeColor="text1"/>
              </w:rPr>
            </w:pPr>
            <w:r w:rsidRPr="005B1A16">
              <w:rPr>
                <w:rFonts w:ascii="Book Antiqua" w:hAnsi="Book Antiqua"/>
                <w:b w:val="0"/>
                <w:color w:val="000000" w:themeColor="text1"/>
              </w:rPr>
              <w:t>Infliximab</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B288E" w14:textId="77777777" w:rsidR="006555F2" w:rsidRPr="005B1A16" w:rsidRDefault="006555F2" w:rsidP="005B1A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IV</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FD70F" w14:textId="77777777" w:rsidR="006555F2" w:rsidRPr="005B1A16" w:rsidRDefault="006555F2" w:rsidP="005B1A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Induction: 5–10 mg/kg (weeks 0, 2, and 6)</w:t>
            </w:r>
          </w:p>
          <w:p w14:paraId="19FA1D83" w14:textId="661053C5" w:rsidR="006555F2" w:rsidRPr="005B1A16" w:rsidRDefault="006555F2" w:rsidP="005B1A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000000" w:themeColor="text1"/>
                <w:lang w:eastAsia="zh-CN"/>
              </w:rPr>
            </w:pPr>
            <w:r w:rsidRPr="005B1A16">
              <w:rPr>
                <w:rFonts w:ascii="Book Antiqua" w:hAnsi="Book Antiqua"/>
                <w:color w:val="000000" w:themeColor="text1"/>
              </w:rPr>
              <w:t xml:space="preserve">Maintenance: 5–10 mg/kg every 4–8 </w:t>
            </w:r>
            <w:r w:rsidR="009867FF" w:rsidRPr="005B1A16">
              <w:rPr>
                <w:rFonts w:ascii="Book Antiqua" w:eastAsia="SimSun" w:hAnsi="Book Antiqua"/>
                <w:color w:val="000000" w:themeColor="text1"/>
                <w:lang w:eastAsia="zh-CN"/>
              </w:rPr>
              <w:t>wk</w:t>
            </w:r>
          </w:p>
        </w:tc>
      </w:tr>
      <w:tr w:rsidR="006555F2" w:rsidRPr="005B1A16" w14:paraId="798EF462" w14:textId="77777777" w:rsidTr="00BA3835">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A7E36" w14:textId="77777777" w:rsidR="006555F2" w:rsidRPr="005B1A16" w:rsidRDefault="006555F2" w:rsidP="005B1A16">
            <w:pPr>
              <w:spacing w:line="360" w:lineRule="auto"/>
              <w:jc w:val="both"/>
              <w:rPr>
                <w:rFonts w:ascii="Book Antiqua" w:hAnsi="Book Antiqua"/>
                <w:b w:val="0"/>
                <w:color w:val="000000" w:themeColor="text1"/>
              </w:rPr>
            </w:pPr>
            <w:r w:rsidRPr="005B1A16">
              <w:rPr>
                <w:rFonts w:ascii="Book Antiqua" w:hAnsi="Book Antiqua"/>
                <w:b w:val="0"/>
                <w:color w:val="000000" w:themeColor="text1"/>
              </w:rPr>
              <w:t>Adalimumab</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8D367" w14:textId="77777777"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SC</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304F0" w14:textId="77777777"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Induction: 160 mg (week 0), 80 mg (week 2)</w:t>
            </w:r>
          </w:p>
          <w:p w14:paraId="03414209" w14:textId="04E91C99" w:rsidR="006555F2" w:rsidRPr="005B1A16" w:rsidRDefault="006555F2" w:rsidP="00BA383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Maintenance: 40 mg every 7–14 d</w:t>
            </w:r>
          </w:p>
        </w:tc>
      </w:tr>
      <w:tr w:rsidR="006555F2" w:rsidRPr="005B1A16" w14:paraId="1D7807E5" w14:textId="77777777" w:rsidTr="00BA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25EBE" w14:textId="77777777" w:rsidR="006555F2" w:rsidRPr="005B1A16" w:rsidRDefault="006555F2" w:rsidP="005B1A16">
            <w:pPr>
              <w:spacing w:line="360" w:lineRule="auto"/>
              <w:jc w:val="both"/>
              <w:rPr>
                <w:rFonts w:ascii="Book Antiqua" w:hAnsi="Book Antiqua"/>
                <w:b w:val="0"/>
                <w:color w:val="000000" w:themeColor="text1"/>
              </w:rPr>
            </w:pPr>
            <w:r w:rsidRPr="005B1A16">
              <w:rPr>
                <w:rFonts w:ascii="Book Antiqua" w:hAnsi="Book Antiqua"/>
                <w:b w:val="0"/>
                <w:color w:val="000000" w:themeColor="text1"/>
              </w:rPr>
              <w:t>Golimumab</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99BA2" w14:textId="77777777" w:rsidR="006555F2" w:rsidRPr="005B1A16" w:rsidRDefault="006555F2" w:rsidP="005B1A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SC</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44C06" w14:textId="77777777" w:rsidR="006555F2" w:rsidRPr="005B1A16" w:rsidRDefault="006555F2" w:rsidP="005B1A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Induction: 200 mg (week 0), 100 mg (week 2)</w:t>
            </w:r>
          </w:p>
          <w:p w14:paraId="6FB56887" w14:textId="4AFA9ECE" w:rsidR="006555F2" w:rsidRPr="005B1A16" w:rsidRDefault="006555F2" w:rsidP="005B1A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000000" w:themeColor="text1"/>
                <w:lang w:eastAsia="zh-CN"/>
              </w:rPr>
            </w:pPr>
            <w:r w:rsidRPr="005B1A16">
              <w:rPr>
                <w:rFonts w:ascii="Book Antiqua" w:hAnsi="Book Antiqua"/>
                <w:color w:val="000000" w:themeColor="text1"/>
              </w:rPr>
              <w:t xml:space="preserve">Maintenance: 100 mg every 4 </w:t>
            </w:r>
            <w:r w:rsidR="009867FF" w:rsidRPr="005B1A16">
              <w:rPr>
                <w:rFonts w:ascii="Book Antiqua" w:eastAsia="SimSun" w:hAnsi="Book Antiqua"/>
                <w:color w:val="000000" w:themeColor="text1"/>
                <w:lang w:eastAsia="zh-CN"/>
              </w:rPr>
              <w:t>wk</w:t>
            </w:r>
          </w:p>
        </w:tc>
      </w:tr>
      <w:tr w:rsidR="006555F2" w:rsidRPr="005B1A16" w14:paraId="0B1325C5" w14:textId="77777777" w:rsidTr="00BA3835">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D3919E" w14:textId="77777777" w:rsidR="006555F2" w:rsidRPr="005B1A16" w:rsidRDefault="006555F2" w:rsidP="005B1A16">
            <w:pPr>
              <w:spacing w:line="360" w:lineRule="auto"/>
              <w:jc w:val="both"/>
              <w:rPr>
                <w:rFonts w:ascii="Book Antiqua" w:hAnsi="Book Antiqua"/>
                <w:b w:val="0"/>
                <w:color w:val="000000" w:themeColor="text1"/>
              </w:rPr>
            </w:pPr>
            <w:r w:rsidRPr="005B1A16">
              <w:rPr>
                <w:rFonts w:ascii="Book Antiqua" w:hAnsi="Book Antiqua"/>
                <w:b w:val="0"/>
                <w:color w:val="000000" w:themeColor="text1"/>
              </w:rPr>
              <w:t>Certolizumab</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6216E" w14:textId="77777777"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SC</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D5A4C" w14:textId="77777777"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Induction: 400 mg (weeks 0, 2, and 4)</w:t>
            </w:r>
          </w:p>
          <w:p w14:paraId="063DC74A" w14:textId="1B0D79FC"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lang w:eastAsia="zh-CN"/>
              </w:rPr>
            </w:pPr>
            <w:r w:rsidRPr="005B1A16">
              <w:rPr>
                <w:rFonts w:ascii="Book Antiqua" w:hAnsi="Book Antiqua"/>
                <w:color w:val="000000" w:themeColor="text1"/>
              </w:rPr>
              <w:t xml:space="preserve">Maintenance: 400 mg every 4 </w:t>
            </w:r>
            <w:r w:rsidR="009867FF" w:rsidRPr="005B1A16">
              <w:rPr>
                <w:rFonts w:ascii="Book Antiqua" w:eastAsia="SimSun" w:hAnsi="Book Antiqua"/>
                <w:color w:val="000000" w:themeColor="text1"/>
                <w:lang w:eastAsia="zh-CN"/>
              </w:rPr>
              <w:t>wk</w:t>
            </w:r>
          </w:p>
        </w:tc>
      </w:tr>
      <w:tr w:rsidR="006555F2" w:rsidRPr="005B1A16" w14:paraId="71B987AF" w14:textId="77777777" w:rsidTr="00BA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CBFC5" w14:textId="77777777" w:rsidR="006555F2" w:rsidRPr="005B1A16" w:rsidRDefault="006555F2" w:rsidP="005B1A16">
            <w:pPr>
              <w:spacing w:line="360" w:lineRule="auto"/>
              <w:jc w:val="both"/>
              <w:rPr>
                <w:rFonts w:ascii="Book Antiqua" w:hAnsi="Book Antiqua"/>
                <w:b w:val="0"/>
                <w:color w:val="000000" w:themeColor="text1"/>
              </w:rPr>
            </w:pPr>
            <w:r w:rsidRPr="005B1A16">
              <w:rPr>
                <w:rFonts w:ascii="Book Antiqua" w:hAnsi="Book Antiqua"/>
                <w:b w:val="0"/>
                <w:color w:val="000000" w:themeColor="text1"/>
              </w:rPr>
              <w:t>Vedolizumab</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5D42A" w14:textId="77777777" w:rsidR="006555F2" w:rsidRPr="005B1A16" w:rsidRDefault="006555F2" w:rsidP="005B1A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IV</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922CE" w14:textId="77777777" w:rsidR="006555F2" w:rsidRPr="005B1A16" w:rsidRDefault="006555F2" w:rsidP="005B1A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Induction: 300 mg (weeks 0, 2, and 6)</w:t>
            </w:r>
          </w:p>
          <w:p w14:paraId="7D99009D" w14:textId="729D004C" w:rsidR="006555F2" w:rsidRPr="005B1A16" w:rsidRDefault="006555F2" w:rsidP="005B1A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000000" w:themeColor="text1"/>
                <w:lang w:eastAsia="zh-CN"/>
              </w:rPr>
            </w:pPr>
            <w:r w:rsidRPr="005B1A16">
              <w:rPr>
                <w:rFonts w:ascii="Book Antiqua" w:hAnsi="Book Antiqua"/>
                <w:color w:val="000000" w:themeColor="text1"/>
              </w:rPr>
              <w:t xml:space="preserve">Maintenance: 300 mg every 4–8 </w:t>
            </w:r>
            <w:r w:rsidR="005C4B15" w:rsidRPr="005B1A16">
              <w:rPr>
                <w:rFonts w:ascii="Book Antiqua" w:eastAsia="SimSun" w:hAnsi="Book Antiqua"/>
                <w:color w:val="000000" w:themeColor="text1"/>
                <w:lang w:eastAsia="zh-CN"/>
              </w:rPr>
              <w:t>wk</w:t>
            </w:r>
          </w:p>
        </w:tc>
      </w:tr>
      <w:tr w:rsidR="006555F2" w:rsidRPr="005B1A16" w14:paraId="00BC46BD" w14:textId="77777777" w:rsidTr="00BA3835">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74021" w14:textId="77777777" w:rsidR="006555F2" w:rsidRPr="005B1A16" w:rsidRDefault="006555F2" w:rsidP="005B1A16">
            <w:pPr>
              <w:spacing w:line="360" w:lineRule="auto"/>
              <w:jc w:val="both"/>
              <w:rPr>
                <w:rFonts w:ascii="Book Antiqua" w:hAnsi="Book Antiqua"/>
                <w:b w:val="0"/>
                <w:color w:val="000000" w:themeColor="text1"/>
              </w:rPr>
            </w:pPr>
            <w:r w:rsidRPr="005B1A16">
              <w:rPr>
                <w:rFonts w:ascii="Book Antiqua" w:hAnsi="Book Antiqua"/>
                <w:b w:val="0"/>
                <w:color w:val="000000" w:themeColor="text1"/>
              </w:rPr>
              <w:t>Ustekinumab</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84200F" w14:textId="77777777"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IV</w:t>
            </w:r>
          </w:p>
          <w:p w14:paraId="55CEB2D8" w14:textId="77777777"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75AFE8AC" w14:textId="77777777"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SC</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7E1760" w14:textId="77777777"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Induction:</w:t>
            </w:r>
          </w:p>
          <w:p w14:paraId="1853B8AF" w14:textId="34D2C2CD"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&lt;</w:t>
            </w:r>
            <w:r w:rsidR="00D2076F">
              <w:rPr>
                <w:rFonts w:ascii="Book Antiqua" w:eastAsiaTheme="minorEastAsia" w:hAnsi="Book Antiqua" w:hint="eastAsia"/>
                <w:color w:val="000000" w:themeColor="text1"/>
                <w:lang w:eastAsia="zh-CN"/>
              </w:rPr>
              <w:t xml:space="preserve"> </w:t>
            </w:r>
            <w:r w:rsidRPr="005B1A16">
              <w:rPr>
                <w:rFonts w:ascii="Book Antiqua" w:hAnsi="Book Antiqua"/>
                <w:color w:val="000000" w:themeColor="text1"/>
              </w:rPr>
              <w:t>55 kg: 260 mg</w:t>
            </w:r>
          </w:p>
          <w:p w14:paraId="5EE0E053" w14:textId="77777777"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55–85 kg: 390 mg</w:t>
            </w:r>
          </w:p>
          <w:p w14:paraId="740AA651" w14:textId="6A9D6FB1"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B1A16">
              <w:rPr>
                <w:rFonts w:ascii="Book Antiqua" w:hAnsi="Book Antiqua"/>
                <w:color w:val="000000" w:themeColor="text1"/>
              </w:rPr>
              <w:t>&gt;</w:t>
            </w:r>
            <w:r w:rsidR="00D2076F">
              <w:rPr>
                <w:rFonts w:ascii="Book Antiqua" w:eastAsiaTheme="minorEastAsia" w:hAnsi="Book Antiqua" w:hint="eastAsia"/>
                <w:color w:val="000000" w:themeColor="text1"/>
                <w:lang w:eastAsia="zh-CN"/>
              </w:rPr>
              <w:t xml:space="preserve"> </w:t>
            </w:r>
            <w:r w:rsidRPr="005B1A16">
              <w:rPr>
                <w:rFonts w:ascii="Book Antiqua" w:hAnsi="Book Antiqua"/>
                <w:color w:val="000000" w:themeColor="text1"/>
              </w:rPr>
              <w:t>85 kg: 520 mg</w:t>
            </w:r>
          </w:p>
          <w:p w14:paraId="579B6D48" w14:textId="14FCB7F3" w:rsidR="006555F2" w:rsidRPr="005B1A16" w:rsidRDefault="006555F2" w:rsidP="005B1A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lang w:eastAsia="zh-CN"/>
              </w:rPr>
            </w:pPr>
            <w:r w:rsidRPr="005B1A16">
              <w:rPr>
                <w:rFonts w:ascii="Book Antiqua" w:hAnsi="Book Antiqua"/>
                <w:color w:val="000000" w:themeColor="text1"/>
              </w:rPr>
              <w:t xml:space="preserve">Maintenance: 90 mg every 8 </w:t>
            </w:r>
            <w:r w:rsidR="00CC2140" w:rsidRPr="005B1A16">
              <w:rPr>
                <w:rFonts w:ascii="Book Antiqua" w:eastAsia="SimSun" w:hAnsi="Book Antiqua"/>
                <w:color w:val="000000" w:themeColor="text1"/>
                <w:lang w:eastAsia="zh-CN"/>
              </w:rPr>
              <w:t>wk</w:t>
            </w:r>
          </w:p>
        </w:tc>
      </w:tr>
    </w:tbl>
    <w:p w14:paraId="51F2837F" w14:textId="77777777" w:rsidR="006555F2" w:rsidRPr="005B1A16" w:rsidRDefault="006555F2" w:rsidP="005B1A16">
      <w:pPr>
        <w:spacing w:line="360" w:lineRule="auto"/>
        <w:jc w:val="both"/>
        <w:rPr>
          <w:rFonts w:ascii="Book Antiqua" w:hAnsi="Book Antiqua"/>
          <w:color w:val="000000" w:themeColor="text1"/>
        </w:rPr>
      </w:pPr>
    </w:p>
    <w:p w14:paraId="71BB444D" w14:textId="77777777" w:rsidR="000E3B4F" w:rsidRPr="005B1A16" w:rsidRDefault="000E3B4F" w:rsidP="005B1A16">
      <w:pPr>
        <w:spacing w:line="360" w:lineRule="auto"/>
        <w:jc w:val="both"/>
        <w:rPr>
          <w:rFonts w:ascii="Book Antiqua" w:hAnsi="Book Antiqua"/>
          <w:color w:val="000000" w:themeColor="text1"/>
        </w:rPr>
      </w:pPr>
      <w:r w:rsidRPr="005B1A16">
        <w:rPr>
          <w:rFonts w:ascii="Book Antiqua" w:hAnsi="Book Antiqua"/>
          <w:color w:val="000000" w:themeColor="text1"/>
        </w:rPr>
        <w:br w:type="page"/>
      </w:r>
    </w:p>
    <w:p w14:paraId="387932A0" w14:textId="0B42CD6F" w:rsidR="006555F2" w:rsidRPr="005B1A16" w:rsidRDefault="006555F2"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lastRenderedPageBreak/>
        <w:t>Table 2</w:t>
      </w:r>
      <w:r w:rsidR="000E3B4F" w:rsidRPr="005B1A16">
        <w:rPr>
          <w:rFonts w:ascii="Book Antiqua" w:hAnsi="Book Antiqua"/>
          <w:b/>
          <w:color w:val="000000" w:themeColor="text1"/>
        </w:rPr>
        <w:t xml:space="preserve"> </w:t>
      </w:r>
      <w:r w:rsidRPr="005B1A16">
        <w:rPr>
          <w:rFonts w:ascii="Book Antiqua" w:hAnsi="Book Antiqua"/>
          <w:b/>
          <w:color w:val="000000" w:themeColor="text1"/>
        </w:rPr>
        <w:t xml:space="preserve">Biologic agents which have demonstrated efficacy in </w:t>
      </w:r>
      <w:r w:rsidR="000E3B4F" w:rsidRPr="005B1A16">
        <w:rPr>
          <w:rFonts w:ascii="Book Antiqua" w:hAnsi="Book Antiqua"/>
          <w:b/>
          <w:color w:val="000000" w:themeColor="text1"/>
        </w:rPr>
        <w:t xml:space="preserve">inflammatory bowel diseases </w:t>
      </w:r>
      <w:r w:rsidRPr="005B1A16">
        <w:rPr>
          <w:rFonts w:ascii="Book Antiqua" w:hAnsi="Book Antiqua"/>
          <w:b/>
          <w:color w:val="000000" w:themeColor="text1"/>
        </w:rPr>
        <w:t>and rheumatology</w:t>
      </w:r>
    </w:p>
    <w:tbl>
      <w:tblPr>
        <w:tblStyle w:val="TableGrid"/>
        <w:tblW w:w="0" w:type="auto"/>
        <w:tblInd w:w="-431" w:type="dxa"/>
        <w:tblLook w:val="04A0" w:firstRow="1" w:lastRow="0" w:firstColumn="1" w:lastColumn="0" w:noHBand="0" w:noVBand="1"/>
      </w:tblPr>
      <w:tblGrid>
        <w:gridCol w:w="2857"/>
        <w:gridCol w:w="1496"/>
        <w:gridCol w:w="617"/>
        <w:gridCol w:w="655"/>
        <w:gridCol w:w="1683"/>
        <w:gridCol w:w="1510"/>
        <w:gridCol w:w="1189"/>
      </w:tblGrid>
      <w:tr w:rsidR="000E3B4F" w:rsidRPr="005B1A16" w14:paraId="48C40BA9" w14:textId="77777777" w:rsidTr="00B45639">
        <w:tc>
          <w:tcPr>
            <w:tcW w:w="1596" w:type="dxa"/>
          </w:tcPr>
          <w:p w14:paraId="1C97E889" w14:textId="77777777" w:rsidR="006555F2" w:rsidRPr="005B1A16" w:rsidRDefault="006555F2" w:rsidP="005B1A16">
            <w:pPr>
              <w:spacing w:line="360" w:lineRule="auto"/>
              <w:jc w:val="both"/>
              <w:rPr>
                <w:rFonts w:ascii="Book Antiqua" w:hAnsi="Book Antiqua"/>
                <w:b/>
                <w:color w:val="000000" w:themeColor="text1"/>
              </w:rPr>
            </w:pPr>
          </w:p>
        </w:tc>
        <w:tc>
          <w:tcPr>
            <w:tcW w:w="1367" w:type="dxa"/>
          </w:tcPr>
          <w:p w14:paraId="0AC0A365" w14:textId="77777777" w:rsidR="006555F2" w:rsidRPr="005B1A16" w:rsidRDefault="006555F2"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Mechanism of action</w:t>
            </w:r>
          </w:p>
        </w:tc>
        <w:tc>
          <w:tcPr>
            <w:tcW w:w="781" w:type="dxa"/>
          </w:tcPr>
          <w:p w14:paraId="1B490215" w14:textId="77777777" w:rsidR="006555F2" w:rsidRPr="005B1A16" w:rsidRDefault="006555F2"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UC</w:t>
            </w:r>
          </w:p>
        </w:tc>
        <w:tc>
          <w:tcPr>
            <w:tcW w:w="920" w:type="dxa"/>
          </w:tcPr>
          <w:p w14:paraId="5AE18F6F" w14:textId="77777777" w:rsidR="006555F2" w:rsidRPr="005B1A16" w:rsidRDefault="006555F2"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CD</w:t>
            </w:r>
          </w:p>
        </w:tc>
        <w:tc>
          <w:tcPr>
            <w:tcW w:w="1497" w:type="dxa"/>
          </w:tcPr>
          <w:p w14:paraId="1A486AD2" w14:textId="065413F0" w:rsidR="006555F2" w:rsidRPr="005B1A16" w:rsidRDefault="000E3B4F" w:rsidP="005B1A16">
            <w:pPr>
              <w:spacing w:line="360" w:lineRule="auto"/>
              <w:jc w:val="both"/>
              <w:rPr>
                <w:rFonts w:ascii="Book Antiqua" w:hAnsi="Book Antiqua"/>
                <w:b/>
                <w:color w:val="000000" w:themeColor="text1"/>
              </w:rPr>
            </w:pPr>
            <w:r w:rsidRPr="005B1A16">
              <w:rPr>
                <w:rFonts w:ascii="Book Antiqua" w:eastAsia="SimSun" w:hAnsi="Book Antiqua"/>
                <w:b/>
                <w:color w:val="000000" w:themeColor="text1"/>
                <w:vertAlign w:val="superscript"/>
                <w:lang w:eastAsia="zh-CN"/>
              </w:rPr>
              <w:t>2</w:t>
            </w:r>
            <w:r w:rsidR="006555F2" w:rsidRPr="005B1A16">
              <w:rPr>
                <w:rFonts w:ascii="Book Antiqua" w:hAnsi="Book Antiqua"/>
                <w:b/>
                <w:color w:val="000000" w:themeColor="text1"/>
              </w:rPr>
              <w:t>Fistulization</w:t>
            </w:r>
          </w:p>
        </w:tc>
        <w:tc>
          <w:tcPr>
            <w:tcW w:w="1337" w:type="dxa"/>
          </w:tcPr>
          <w:p w14:paraId="6736B76E" w14:textId="77777777" w:rsidR="006555F2" w:rsidRPr="005B1A16" w:rsidRDefault="006555F2"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Ankylosing Spondylitis</w:t>
            </w:r>
          </w:p>
        </w:tc>
        <w:tc>
          <w:tcPr>
            <w:tcW w:w="1070" w:type="dxa"/>
          </w:tcPr>
          <w:p w14:paraId="3927D931" w14:textId="77777777" w:rsidR="006555F2" w:rsidRPr="005B1A16" w:rsidRDefault="006555F2"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t xml:space="preserve">Psoriasis </w:t>
            </w:r>
          </w:p>
        </w:tc>
      </w:tr>
      <w:tr w:rsidR="00067C58" w:rsidRPr="005B1A16" w14:paraId="356E8E51" w14:textId="77777777" w:rsidTr="00B45639">
        <w:tc>
          <w:tcPr>
            <w:tcW w:w="8568" w:type="dxa"/>
            <w:gridSpan w:val="7"/>
          </w:tcPr>
          <w:p w14:paraId="24002A96"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b/>
                <w:color w:val="000000" w:themeColor="text1"/>
              </w:rPr>
              <w:t>Anti-TNF</w:t>
            </w:r>
          </w:p>
        </w:tc>
      </w:tr>
      <w:tr w:rsidR="000E3B4F" w:rsidRPr="005B1A16" w14:paraId="3727FB84" w14:textId="77777777" w:rsidTr="00B45639">
        <w:tc>
          <w:tcPr>
            <w:tcW w:w="1596" w:type="dxa"/>
          </w:tcPr>
          <w:p w14:paraId="6D567A63" w14:textId="7ABE2212" w:rsidR="006555F2" w:rsidRPr="005B1A16" w:rsidRDefault="000E3B4F" w:rsidP="005B1A16">
            <w:pPr>
              <w:spacing w:line="360" w:lineRule="auto"/>
              <w:jc w:val="both"/>
              <w:rPr>
                <w:rFonts w:ascii="Book Antiqua" w:hAnsi="Book Antiqua"/>
                <w:color w:val="000000" w:themeColor="text1"/>
                <w:vertAlign w:val="superscript"/>
              </w:rPr>
            </w:pPr>
            <w:r w:rsidRPr="005B1A16">
              <w:rPr>
                <w:rFonts w:ascii="Book Antiqua" w:eastAsia="SimSun" w:hAnsi="Book Antiqua"/>
                <w:b/>
                <w:color w:val="000000" w:themeColor="text1"/>
                <w:vertAlign w:val="superscript"/>
                <w:lang w:eastAsia="zh-CN"/>
              </w:rPr>
              <w:t>1</w:t>
            </w:r>
            <w:r w:rsidR="006555F2" w:rsidRPr="005B1A16">
              <w:rPr>
                <w:rFonts w:ascii="Book Antiqua" w:hAnsi="Book Antiqua"/>
                <w:color w:val="000000" w:themeColor="text1"/>
              </w:rPr>
              <w:t>Infliximab</w:t>
            </w:r>
            <w:r w:rsidR="006555F2" w:rsidRPr="005B1A16">
              <w:rPr>
                <w:rFonts w:ascii="Book Antiqua" w:hAnsi="Book Antiqua"/>
                <w:color w:val="000000" w:themeColor="text1"/>
              </w:rPr>
              <w:fldChar w:fldCharType="begin"/>
            </w:r>
            <w:r w:rsidR="006555F2" w:rsidRPr="005B1A16">
              <w:rPr>
                <w:rFonts w:ascii="Book Antiqua" w:hAnsi="Book Antiqua"/>
                <w:color w:val="000000" w:themeColor="text1"/>
              </w:rPr>
              <w:instrText xml:space="preserve"> ADDIN ZOTERO_ITEM CSL_CITATION {"citationID":"fqfU2QOA","properties":{"formattedCitation":"\\super [20,22,51,119]\\nosupersub{}","plainCitation":"[20,22,51,119]","noteIndex":0},"citationItems":[{"id":45,"uris":["http://zotero.org/users/4672422/items/73JL7GQ6"],"uri":["http://zotero.org/users/4672422/items/73JL7GQ6"],"itemData":{"id":45,"type":"article-journal","title":"Maintenance infliximab for Crohn's disease: the ACCENT I randomised trial","container-title":"Lancet (London, England)","page":"1541-1549","volume":"359","issue":"9317","source":"PubMed","abstract":"BACKGROUND: We did a randomised controlled trial to assess the benefit of maintenance infliximab therapy in patients with active Crohn's disease who respond to a single infusion of infliximab.\nMETHODS: 573 patients with a score of at least 220 on the Crohn's disease activity index (CDAI) received a 5 mg/kg intravenous infusion of infliximab at week 0. After assessment of response at week 2, patients were randomly assigned repeat infusions of placebo at weeks 2 and 6 and then every 8 weeks thereafter until week 46 (group I), repeat infusions of 5 mg/kg infliximab at the same timepoints (group II), or 5 mg/kg infliximab at weeks 2 and 6 followed by 10 mg/kg (group III). The prespecified co-primary endpoints were the proportion of patients who responded at week 2 and were in remission (CDAI &lt;150) at week 30 and the time to loss of response up to week 54 in patients who responded. Analyses of the co-primary endpoints were by intention to treat.\nFINDINGS: 335 (58%) patients responded to a single infusion of infliximab within 2 weeks. At week 30, 23 of 110 (21%) group I patients were in remission, compared with 44 of 113 (39%) group II (p=0.003) and 50 of 112 (45%) group III (p=0.0002) patients. Thus, patients in groups II and III combined were more likely to sustain clinical remission than patients in group I (odds ratio 2.7, 95% CI 1.6-4.6). Throughout the 54-week trial, the median time to loss of response was 38 weeks (IQR 15 to &gt;54) and more than 54 weeks (21 to &gt;54) for groups II and III, respectively, compared with 19 weeks (10-45) for group I (p=0.002 and p=0.0002, respectively). Infliximab safety was consistent with that seen in other trials of infliximab in Crohn's disease and rheumatoid arthritis. In particular, the incidence of serious infections was similar across treatment groups.\nINTERPRETATION: Patients with Crohn's disease who respond to an initial dose of infliximab are more likely to be in remission at weeks 30 and 54, to discontinue corticosteroids, and to maintain their response for a longer period of time, if infliximab treatment is maintained every 8 weeks.","DOI":"10.1016/S0140-6736(02)08512-4","ISSN":"0140-6736","note":"PMID: 12047962","shortTitle":"Maintenance infliximab for Crohn's disease","journalAbbreviation":"Lancet","language":"eng","author":[{"family":"Hanauer","given":"Stephen B."},{"family":"Feagan","given":"Brian G."},{"family":"Lichtenstein","given":"Gary R."},{"family":"Mayer","given":"Lloyd F."},{"family":"Schreiber","given":"S."},{"family":"Colombel","given":"Jean Frederic"},{"family":"Rachmilewitz","given":"Daniel"},{"family":"Wolf","given":"Douglas C."},{"family":"Olson","given":"Allan"},{"family":"Bao","given":"Weihang"},{"family":"Rutgeerts","given":"Paul"},{"literal":"ACCENT I Study Group"}],"issued":{"date-parts":[["2002",5,4]]}}},{"id":48,"uris":["http://zotero.org/users/4672422/items/6P3V79CJ"],"uri":["http://zotero.org/users/4672422/items/6P3V79CJ"],"itemData":{"id":48,"type":"article-journal","title":"Infliximab Maintenance Therapy for Fistulizing Crohn's Disease","container-title":"New England Journal of Medicine","page":"876-885","volume":"350","issue":"9","source":"CrossRef","URL":"http://www.nejm.org/doi/abs/10.1056/NEJMoa030815","DOI":"10.1056/NEJMoa030815","ISSN":"0028-4793, 1533-4406","language":"en","author":[{"family":"Sands","given":"Bruce E."},{"family":"Anderson","given":"Frank H."},{"family":"Bernstein","given":"Charles N."},{"family":"Chey","given":"William Y."},{"family":"Feagan","given":"Brian G."},{"family":"Fedorak","given":"Richard N."},{"family":"Kamm","given":"Michael A."},{"family":"Korzenik","given":"Joshua R."},{"family":"Lashner","given":"Bret A."},{"family":"Onken","given":"Jane E."},{"family":"Rachmilewitz","given":"Daniel"},{"family":"Rutgeerts","given":"Paul"},{"family":"Wild","given":"Gary"},{"family":"Wolf","given":"Douglas C."},{"family":"Marsters","given":"Paul A."},{"family":"Travers","given":"Suzanne B."},{"family":"Blank","given":"Marion A."},{"family":"Deventer","given":"Sander J.","non-dropping-particle":"van"}],"issued":{"date-parts":[["2004",2,26]]},"accessed":{"date-parts":[["2018",3,27]]}}},{"id":121,"uris":["http://zotero.org/users/4672422/items/YPQWGJMQ"],"uri":["http://zotero.org/users/4672422/items/YPQWGJMQ"],"itemData":{"id":121,"type":"article-journal","title":"Infliximab for Induction and Maintenance Therapy for Ulcerative Colitis","container-title":"New England Journal of Medicine","page":"2462-2476","volume":"353","issue":"23","source":"CrossRef","URL":"http://www.nejm.org/doi/abs/10.1056/NEJMoa050516","DOI":"10.1056/NEJMoa050516","ISSN":"0028-4793, 1533-4406","language":"en","author":[{"family":"Rutgeerts","given":"Paul"},{"family":"Sandborn","given":"William J."},{"family":"Feagan","given":"Brian G."},{"family":"Reinisch","given":"Walter"},{"family":"Olson","given":"Allan"},{"family":"Johanns","given":"Jewel"},{"family":"Travers","given":"Suzanne"},{"family":"Rachmilewitz","given":"Daniel"},{"family":"Hanauer","given":"Stephen B."},{"family":"Lichtenstein","given":"Gary R."},{"family":"Villiers","given":"Willem J.S.","non-dropping-particle":"de"},{"family":"Present","given":"Daniel"},{"family":"Sands","given":"Bruce E."},{"family":"Colombel","given":"Jean Frédéric"}],"issued":{"date-parts":[["2005",12,8]]},"accessed":{"date-parts":[["2018",3,27]]}}},{"id":247,"uris":["http://zotero.org/users/4672422/items/LEZ4A7RJ"],"uri":["http://zotero.org/users/4672422/items/LEZ4A7RJ"],"itemData":{"id":247,"type":"article-journal","title":"Infliximab for psoriasis","container-title":"Journal of the American Academy of Dermatology","page":"112-117","volume":"49","issue":"2","source":"Crossref","URL":"http://linkinghub.elsevier.com/retrieve/pii/S0190962203011435","DOI":"10.1016/S0190-9622(03)01143-5","ISSN":"01909622","language":"en","author":[{"family":"Gottlieb","given":"Alice B"}],"issued":{"date-parts":[["2003",8]]},"accessed":{"date-parts":[["2018",5,9]]}}}],"schema":"https://github.com/citation-style-language/schema/raw/master/csl-citation.json"} </w:instrText>
            </w:r>
            <w:r w:rsidR="006555F2" w:rsidRPr="005B1A16">
              <w:rPr>
                <w:rFonts w:ascii="Book Antiqua" w:hAnsi="Book Antiqua"/>
                <w:color w:val="000000" w:themeColor="text1"/>
              </w:rPr>
              <w:fldChar w:fldCharType="separate"/>
            </w:r>
            <w:r w:rsidR="006555F2" w:rsidRPr="005B1A16">
              <w:rPr>
                <w:rFonts w:ascii="Book Antiqua" w:hAnsi="Book Antiqua"/>
                <w:color w:val="000000" w:themeColor="text1"/>
                <w:vertAlign w:val="superscript"/>
                <w:lang w:val="en-US"/>
              </w:rPr>
              <w:t>[20,22,51,119]</w:t>
            </w:r>
            <w:r w:rsidR="006555F2" w:rsidRPr="005B1A16">
              <w:rPr>
                <w:rFonts w:ascii="Book Antiqua" w:hAnsi="Book Antiqua"/>
                <w:color w:val="000000" w:themeColor="text1"/>
              </w:rPr>
              <w:fldChar w:fldCharType="end"/>
            </w:r>
          </w:p>
        </w:tc>
        <w:tc>
          <w:tcPr>
            <w:tcW w:w="1367" w:type="dxa"/>
          </w:tcPr>
          <w:p w14:paraId="29A21450"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Chimeric monoclonal antibody</w:t>
            </w:r>
          </w:p>
        </w:tc>
        <w:tc>
          <w:tcPr>
            <w:tcW w:w="781" w:type="dxa"/>
          </w:tcPr>
          <w:p w14:paraId="49F20D90"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920" w:type="dxa"/>
          </w:tcPr>
          <w:p w14:paraId="65FF389C"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497" w:type="dxa"/>
          </w:tcPr>
          <w:p w14:paraId="0B2B96B6"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337" w:type="dxa"/>
          </w:tcPr>
          <w:p w14:paraId="22417606"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070" w:type="dxa"/>
          </w:tcPr>
          <w:p w14:paraId="4459769B"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r>
      <w:tr w:rsidR="000E3B4F" w:rsidRPr="005B1A16" w14:paraId="010C530E" w14:textId="77777777" w:rsidTr="00B45639">
        <w:tc>
          <w:tcPr>
            <w:tcW w:w="1596" w:type="dxa"/>
          </w:tcPr>
          <w:p w14:paraId="13E8BD50"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Adalimumab</w:t>
            </w:r>
            <w:r w:rsidRPr="005B1A16">
              <w:rPr>
                <w:rFonts w:ascii="Book Antiqua" w:hAnsi="Book Antiqua"/>
                <w:color w:val="000000" w:themeColor="text1"/>
              </w:rPr>
              <w:fldChar w:fldCharType="begin"/>
            </w:r>
            <w:r w:rsidRPr="005B1A16">
              <w:rPr>
                <w:rFonts w:ascii="Book Antiqua" w:hAnsi="Book Antiqua"/>
                <w:color w:val="000000" w:themeColor="text1"/>
              </w:rPr>
              <w:instrText xml:space="preserve"> ADDIN ZOTERO_ITEM CSL_CITATION {"citationID":"UG4RFSis","properties":{"formattedCitation":"\\super [26,28,54,120,121]\\nosupersub{}","plainCitation":"[26,28,54,120,121]","noteIndex":0},"citationItems":[{"id":60,"uris":["http://zotero.org/users/4672422/items/4XJ46V66"],"uri":["http://zotero.org/users/4672422/items/4XJ46V66"],"itemData":{"id":60,"type":"article-journal","title":"Human anti-tumor necrosis factor monoclonal antibody (adalimumab) in Crohn's disease: the CLASSIC-I trial","container-title":"Gastroenterology","page":"323-333; quiz 591","volume":"130","issue":"2","source":"PubMed","abstract":"BACKGROUND &amp; AIMS: Tumor necrosis factor blockade has been shown to be an effective treatment strategy in Crohn's disease (CD). Adalimumab is a human immunoglobulin G1 (IgG(1)) monoclonal antibody targeting tumor necrosis factor (TNF). A randomized, double-blind, placebo-controlled, dose-ranging trial was performed to evaluate the efficacy of adalimumab induction therapy in patients with CD.\nMETHODS: A total of 299 patients with moderate to severe CD naive to anti-TNF therapy were randomized to receive subcutaneous injections at weeks 0 and 2 with adalimumab 40 mg/20 mg, 80 mg/40 mg, or 160 mg/80 mg or placebo. The primary endpoint was demonstration of a significant difference in the rates of remission at week 4 (defined as a Crohn's Disease Activity Index score &lt;150 points) among the 80 mg/40 mg, 160 mg/80 mg, and placebo groups.\nRESULTS: The rates of remission at week 4 in the adalimumab 40 mg/20 mg, 80 mg/40 mg, and 160 mg/80 mg groups were 18% (P = .36), 24% (P = .06), and 36% (P = .001), respectively, and 12% in the placebo group. Adverse events occurred at similar frequencies in all 4 treatment groups except injection site reactions, which were more common in adalimumab-treated patients.\nCONCLUSIONS: Adalimumab was superior to placebo for induction of remission in patients with moderate to severe Crohn's disease naive to anti-TNF therapy. The optimal induction dosing regimen for adalimumab in this study was 160 mg at week 0 followed by 80 mg at week 2. Adalimumab was well tolerated.","DOI":"10.1053/j.gastro.2005.11.030","ISSN":"0016-5085","note":"PMID: 16472588","shortTitle":"Human anti-tumor necrosis factor monoclonal antibody (adalimumab) in Crohn's disease","journalAbbreviation":"Gastroenterology","language":"eng","author":[{"family":"Hanauer","given":"Stephen B."},{"family":"Sandborn","given":"William J."},{"family":"Rutgeerts","given":"Paul"},{"family":"Fedorak","given":"Richard N."},{"family":"Lukas","given":"Milan"},{"family":"MacIntosh","given":"Donald"},{"family":"Panaccione","given":"Remo"},{"family":"Wolf","given":"Douglas"},{"family":"Pollack","given":"Paul"}],"issued":{"date-parts":[["2006",2]]}}},{"id":62,"uris":["http://zotero.org/users/4672422/items/VJEB3DR2"],"uri":["http://zotero.org/users/4672422/items/VJEB3DR2"],"itemData":{"id":62,"type":"article-journal","title":"Adalimumab for maintenance treatment of Crohn's disease: results of the CLASSIC II trial","container-title":"Gut","page":"1232-1239","volume":"56","issue":"9","source":"PubMed","abstract":"BACKGROUND: Adalimumab induced clinical remission after four weeks in patients with active Crohn's disease in the CLASSIC I trial.\nOBJECTIVE: To evaluate long term efficacy and safety of adalimumab maintenance therapy in Crohn's disease in a follow-on randomised controlled trial (CLASSIC II).\nMETHODS: In the preceding CLASSIC I trial, 299 patients with moderate to severe Crohn's disease naive to tumour necrosis factor antagonists received induction therapy with adalimumab 40 mg/20 mg, 80 mg/40 mg, or 160 mg/80 mg, or placebo, at weeks 0 and 2. In all, 276 patients from CLASSIC I enrolled in CLASSIC II and received open-label adalimumab 40 mg at weeks 0 (week 4 of CLASSIC I) and 2; 55 patients in remission at both weeks 0 and 4 were re-randomised to adalimumab 40 mg every other week, 40 mg weekly, or placebo for 56 weeks. Patients not in remission at both weeks 0 and 4 were enrolled in an open-label arm and received adalimumab 40 mg every other week. With non-response or flare, these patients could have their dosages increased to 40 mg weekly. Patients in the randomised arm with continued non-response or disease flare could switch to open-label adalimumab 40 mg every other week and again to 40 mg weekly. The primary end point was maintenance of remission (CDAI &lt;150) in randomised patients through week 56.\nRESULTS: Of 55 patients randomised at week 4, 79% who received adalimumab 40 mg every other week and 83% who received 40 mg weekly were in remission at week 56, v 44% for placebo (p&lt;0.05). In all, 204 patients entered the open-label arm. Of these, 93 (46%) were in clinical remission at week 56. Adalimumab was generally well-tolerated in all patients.\nCONCLUSIONS: Adalimumab induced and maintained clinical remission for up to 56 weeks in patients with moderate to severe Crohn's disease naive to anti-TNF treatment.","DOI":"10.1136/gut.2006.106781","ISSN":"0017-5749","note":"PMID: 17299059\nPMCID: PMC2701613","shortTitle":"Adalimumab for maintenance treatment of Crohn's disease","journalAbbreviation":"Gut","language":"eng","author":[{"family":"Sandborn","given":"W. J."},{"family":"Hanauer","given":"S. B."},{"family":"Rutgeerts","given":"P."},{"family":"Fedorak","given":"R. N."},{"family":"Lukas","given":"M."},{"family":"MacIntosh","given":"D. G."},{"family":"Panaccione","given":"R."},{"family":"Wolf","given":"D."},{"family":"Kent","given":"J. D."},{"family":"Bittle","given":"B."},{"family":"Li","given":"J."},{"family":"Pollack","given":"P. F."}],"issued":{"date-parts":[["2007",9]]}}},{"id":126,"uris":["http://zotero.org/users/4672422/items/XLLUALR7"],"uri":["http://zotero.org/users/4672422/items/XLLUALR7"],"itemData":{"id":126,"type":"article-journal","title":"Four-Year Maintenance Treatment With Adalimumab in Patients with Moderately to Severely Active Ulcerative Colitis: Data from ULTRA 1, 2 and 3","container-title":"The American Journal of Gastroenterology","page":"1771-1780","volume":"109","issue":"11","source":"CrossRef","URL":"http://www.nature.com/articles/ajg2014242","DOI":"10.1038/ajg.2014.242","ISSN":"0002-9270, 1572-0241","shortTitle":"Four-Year Maintenance Treatment With Adalimumab in Patients with Moderately to Severely Active Ulcerative Colitis","language":"en","author":[{"family":"Colombel","given":"Jean-Frederic"},{"family":"Sandborn","given":"William J"},{"family":"Ghosh","given":"Subrata"},{"family":"Wolf","given":"Douglas C"},{"family":"Panaccione","given":"Remo"},{"family":"Feagan","given":"Brian"},{"family":"Reinisch","given":"Walter"},{"family":"Robinson","given":"Anne M"},{"family":"Lazar","given":"Andreas"},{"family":"Kron","given":"Martina"},{"family":"Huang","given":"Bidan"},{"family":"Skup","given":"Martha"},{"family":"Thakkar","given":"Roopal B"}],"issued":{"date-parts":[["2014",11]]},"accessed":{"date-parts":[["2018",3,27]]}}},{"id":250,"uris":["http://zotero.org/users/4672422/items/LFCN63H8"],"uri":["http://zotero.org/users/4672422/items/LFCN63H8"],"itemData":{"id":250,"type":"article-journal","title":"Treating psoriasis with adalimumab","container-title":"Therapeutics and Clinical Risk Management","page":"345-351","volume":"4","issue":"2","source":"PubMed","abstract":"Psoriasis is a common, chronic, inflammatory skin disease that can have a significant impact on the quality of life of those who are afflicted. Recent advances in the understanding of the pathophysiology of psoriasis have led to the development of new, genetically engineered, targeted therapies for this disease. Among the most successful strategies for treatment has been the use of biologic immunotherapies targeting tumor necrosis factor alpha (TNF). Recent research has evaluated the efficacy and safety of a new anti-TNF agent, adalimumab. Adalimumab is a human monoclonal antibody that is approved by the US Food and Drug Administration (FDA) and the European Medicines Agency (EMEA) for the treatment of rheumatoid arthritis and psoriatic arthritis. Recently released data from large, randomized clinical trials suggests that adalimumab has significant efficacy for the treatment of chronic plaque psoriasis and is well tolerated. Thus, adalimumab seems to be a promising therapeutic approach for patients who suffer from moderate to severe plaque psoriasis.","ISSN":"1176-6336","note":"PMID: 18728850\nPMCID: PMC2504074","journalAbbreviation":"Ther Clin Risk Manag","language":"eng","author":[{"family":"Alwawi","given":"Eihab A."},{"family":"Mehlis","given":"Stephanie L."},{"family":"Gordon","given":"Kenneth B."}],"issued":{"date-parts":[["2008",4]]}}},{"id":248,"uris":["http://zotero.org/users/4672422/items/W7H5WSAJ"],"uri":["http://zotero.org/users/4672422/items/W7H5WSAJ"],"itemData":{"id":248,"type":"article-journal","title":"Efficacy and safety of adalimumab in ankylosing spondylitis","container-title":"Open Access Rheumatology: Research and Reviews","page":"83-90","volume":"6","source":"PubMed","abstract":"Ankylosing spondylitis (AS) is the most common and most severe subtype of spondyloarthritis. It also may be an outcome of any of the other spondyloarthritis subtypes. AS preferentially affects the sacroiliac joints and the tip of the column, with a tendency to later ankylosis. Peripheral joints, enthesis, and other extra-articular involvement may be observed. Tumor necrosis factor (TNF) inhibitors are now well-established, effective drugs in the treatment of AS symptoms. Adalimumab, which is a fully human monoclonal antibody that binds to and neutralizes TNF, has demonstrated efficacy in treating AS symptoms, including axial involvement, peripheral arthritis, enthesitis, uveitis, gut involvement, and psoriasis. Furthermore, adalimumab has showed an overall acceptable safety profile. In this paper, we review the efficacy and safety profile of adalimumab in the treatment of AS, and discuss its differences from the other anti-TNF drugs reported in the literature.","DOI":"10.2147/OARRR.S44550","ISSN":"1179-156X","note":"PMID: 27790037\nPMCID: PMC5045114","journalAbbreviation":"Open Access Rheumatol","language":"eng","author":[{"family":"Mounach","given":"Aziza"},{"family":"El Maghraoui","given":"Abdellah"}],"issued":{"date-parts":[["2014"]]}}}],"schema":"https://github.com/citation-style-language/schema/raw/master/csl-citation.json"} </w:instrText>
            </w:r>
            <w:r w:rsidRPr="005B1A16">
              <w:rPr>
                <w:rFonts w:ascii="Book Antiqua" w:hAnsi="Book Antiqua"/>
                <w:color w:val="000000" w:themeColor="text1"/>
              </w:rPr>
              <w:fldChar w:fldCharType="separate"/>
            </w:r>
            <w:r w:rsidRPr="005B1A16">
              <w:rPr>
                <w:rFonts w:ascii="Book Antiqua" w:hAnsi="Book Antiqua"/>
                <w:color w:val="000000" w:themeColor="text1"/>
                <w:vertAlign w:val="superscript"/>
                <w:lang w:val="en-US"/>
              </w:rPr>
              <w:t>[26,28,54,120,121]</w:t>
            </w:r>
            <w:r w:rsidRPr="005B1A16">
              <w:rPr>
                <w:rFonts w:ascii="Book Antiqua" w:hAnsi="Book Antiqua"/>
                <w:color w:val="000000" w:themeColor="text1"/>
              </w:rPr>
              <w:fldChar w:fldCharType="end"/>
            </w:r>
          </w:p>
        </w:tc>
        <w:tc>
          <w:tcPr>
            <w:tcW w:w="1367" w:type="dxa"/>
          </w:tcPr>
          <w:p w14:paraId="62B36F0A"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Fully human monoclonal antibody</w:t>
            </w:r>
          </w:p>
        </w:tc>
        <w:tc>
          <w:tcPr>
            <w:tcW w:w="781" w:type="dxa"/>
          </w:tcPr>
          <w:p w14:paraId="18B7CFB1"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920" w:type="dxa"/>
          </w:tcPr>
          <w:p w14:paraId="5EA772D8"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497" w:type="dxa"/>
          </w:tcPr>
          <w:p w14:paraId="58EDB57D"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337" w:type="dxa"/>
          </w:tcPr>
          <w:p w14:paraId="32586144"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070" w:type="dxa"/>
          </w:tcPr>
          <w:p w14:paraId="039833EA"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r>
      <w:tr w:rsidR="000E3B4F" w:rsidRPr="005B1A16" w14:paraId="1A5783AD" w14:textId="77777777" w:rsidTr="00B45639">
        <w:tc>
          <w:tcPr>
            <w:tcW w:w="1596" w:type="dxa"/>
          </w:tcPr>
          <w:p w14:paraId="50DAF8A8"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Certolizumab</w:t>
            </w:r>
            <w:r w:rsidRPr="005B1A16">
              <w:rPr>
                <w:rFonts w:ascii="Book Antiqua" w:hAnsi="Book Antiqua"/>
                <w:color w:val="000000" w:themeColor="text1"/>
              </w:rPr>
              <w:fldChar w:fldCharType="begin"/>
            </w:r>
            <w:r w:rsidRPr="005B1A16">
              <w:rPr>
                <w:rFonts w:ascii="Book Antiqua" w:hAnsi="Book Antiqua"/>
                <w:color w:val="000000" w:themeColor="text1"/>
              </w:rPr>
              <w:instrText xml:space="preserve"> ADDIN ZOTERO_ITEM CSL_CITATION {"citationID":"uf3EE4ps","properties":{"formattedCitation":"\\super [31,122,123]\\nosupersub{}","plainCitation":"[31,122,123]","noteIndex":0},"citationItems":[{"id":73,"uris":["http://zotero.org/users/4672422/items/QUENXH37"],"uri":["http://zotero.org/users/4672422/items/QUENXH37"],"itemData":{"id":73,"type":"article-journal","title":"Certolizumab pegol for the treatment of Crohn's disease","container-title":"The New England Journal of Medicine","page":"228-238","volume":"357","issue":"3","source":"PubMed","abstract":"BACKGROUND: Certolizumab pegol is a pegylated humanized Fab' fragment that binds tumor necrosis factor alpha.\nMETHODS: In a randomized, double-blind, placebo-controlled trial, we evaluated the efficacy of certolizumab pegol in 662 adults with moderate-to-severe Crohn's disease. Patients were stratified according to baseline levels of C-reactive protein (CRP) and were randomly assigned to receive either 400 mg of certolizumab pegol or placebo subcutaneously at weeks 0, 2, and 4 and then every 4 weeks. Primary end points were the induction of a response at week 6 and a response at both weeks 6 and 26.\nRESULTS: Among patients with a baseline CRP level of at least 10 mg per liter, 37% of patients in the certolizumab group had a response at week 6, as compared with 26% in the placebo group (P=0.04). At both weeks 6 and 26, the corresponding values were 22% and 12%, respectively (P=0.05). In the overall population, response rates at week 6 were 35% in the certolizumab group and 27% in the placebo group (P=0.02); at both weeks 6 and 26, the response rates were 23% and 16%, respectively (P=0.02). At weeks 6 and 26, the rates of remission in the two groups did not differ significantly (P=0.17). Serious adverse events were reported in 10% of patients in the certolizumab group and 7% of those in the placebo group; serious infections were reported in 2% and less than 1%, respectively. In the certolizumab group, antibodies to the drug developed in 8% of patients, and antinuclear antibodies developed in 2%.\nCONCLUSIONS: In patients with moderate-to-severe Crohn's disease, induction and maintenance therapy with certolizumab pegol was associated with a modest improvement in response rates, as compared with placebo, but with no significant improvement in remission rates. (ClinicalTrials.gov number, NCT00152490 [ClinicalTrials.gov].).","DOI":"10.1056/NEJMoa067594","ISSN":"1533-4406","note":"PMID: 17634458","journalAbbreviation":"N. Engl. J. Med.","language":"eng","author":[{"family":"Sandborn","given":"William J."},{"family":"Feagan","given":"Brian G."},{"family":"Stoinov","given":"Simeon"},{"family":"Honiball","given":"Pieter J."},{"family":"Rutgeerts","given":"Paul"},{"family":"Mason","given":"David"},{"family":"Bloomfield","given":"Ralph"},{"family":"Schreiber","given":"Stefan"},{"literal":"PRECISE 1 Study Investigators"}],"issued":{"date-parts":[["2007",7,19]]}}},{"id":252,"uris":["http://zotero.org/users/4672422/items/3Y3323MK"],"uri":["http://zotero.org/users/4672422/items/3Y3323MK"],"itemData":{"id":252,"type":"article-journal","title":"Certolizumab Pegol in the Treatment of Psoriasis and Psoriatic Arthritis: Preliminary Real-Life Data","container-title":"Dermatology and Therapy","page":"485-492","volume":"7","issue":"4","source":"PubMed","abstract":"INTRODUCTION: We present the results of real-life tests conducted in adults affected by psoriatic arthritis (PsA) with mild cutaneous involvement to evaluate the efficacy of certolizumab pegol (CZP), an anti-tumor necrosis factor-alpha agent approved in Europe for the treatment of rheumatoid arthritis and PsA.\nMETHODS: Assessments included an evaluation of the Psoriasis Area and Severity Index (PASI) and the Disease Activity Score computed on 44 joints (DAS-44) correlated to the erythrocyte sedimentation rate (ESR) (DAS44-ESR). A total of 41 patients (16 men, 25 women; mean age 59.8 ± 8 years) completed the study. Of these, 36 patients were affected by both PsA and psoriasis, and five patients were affected only by PsA. A total of 32 patients (group A) completed 3 months of treatment (W12), and 12 patients completed 6 months of treatment (W24) (group B).\nRESULTS: The clinical efficacy of CZP was consistent on both the cutaneous and rheumatic components of the treatment. The mean PASI score decreased from 4.4 ± 4.7 at baseline (BL) to 2.3 ± 3.7 at W12 (group A), and from 5.1 ± 5.7 at BL to 0.8 ± 1.2 at W24 (group B). The DAS44-ESR decreased from 4.4 ± 0.6 at BL to a mean of 2.2 ± 0.9 at W12 (group A) and from 4.1 ± 0.6 at BL to a mean of 1.9 ± 0.5 at W24 (group B). No adverse events were reported.\nCONCLUSION: Our results demonstrate that CZP can be used safely and effectively to treat both the cutaneous and joint components of PsA. However, long-term data are needed to confirm our preliminary observations.","DOI":"10.1007/s13555-017-0208-z","ISSN":"2193-8210","note":"PMID: 29139035\nPMCID: PMC5698207","shortTitle":"Certolizumab Pegol in the Treatment of Psoriasis and Psoriatic Arthritis","journalAbbreviation":"Dermatol Ther (Heidelb)","language":"eng","author":[{"family":"Dattola","given":"Annunziata"},{"family":"Cannizzaro","given":"Maria Vittoria"},{"family":"Mazzeo","given":"Mauro"},{"family":"Bianchi","given":"Luca"}],"issued":{"date-parts":[["2017",12]]}}},{"id":254,"uris":["http://zotero.org/users/4672422/items/TYT6APPV"],"uri":["http://zotero.org/users/4672422/items/TYT6APPV"],"itemData":{"id":254,"type":"article-journal","title":"Efficacy of certolizumab pegol on signs and symptoms of axial spondyloarthritis including ankylosing spondylitis: 24-week results of a double-blind randomised placebo-controlled Phase 3 study","container-title":"Annals of the Rheumatic Diseases","page":"39-47","volume":"73","issue":"1","source":"Crossref","URL":"http://ard.bmj.com/lookup/doi/10.1136/annrheumdis-2013-204231","DOI":"10.1136/annrheumdis-2013-204231","ISSN":"0003-4967, 1468-2060","shortTitle":"Efficacy of certolizumab pegol on signs and symptoms of axial spondyloarthritis including ankylosing spondylitis","language":"en","author":[{"family":"Landewé","given":"R"},{"family":"Braun","given":"J"},{"family":"Deodhar","given":"A"},{"family":"Dougados","given":"M"},{"family":"Maksymowych","given":"W P"},{"family":"Mease","given":"P J"},{"family":"Reveille","given":"J D"},{"family":"Rudwaleit","given":"M"},{"family":"Heijde","given":"D","non-dropping-particle":"van der"},{"family":"Stach","given":"C"},{"family":"Hoepken","given":"B"},{"family":"Fichtner","given":"A"},{"family":"Coteur","given":"G"},{"family":"Longueville","given":"M","non-dropping-particle":"de"},{"family":"Sieper","given":"J"}],"issued":{"date-parts":[["2014",1]]},"accessed":{"date-parts":[["2018",5,9]]}}}],"schema":"https://github.com/citation-style-language/schema/raw/master/csl-citation.json"} </w:instrText>
            </w:r>
            <w:r w:rsidRPr="005B1A16">
              <w:rPr>
                <w:rFonts w:ascii="Book Antiqua" w:hAnsi="Book Antiqua"/>
                <w:color w:val="000000" w:themeColor="text1"/>
              </w:rPr>
              <w:fldChar w:fldCharType="separate"/>
            </w:r>
            <w:r w:rsidRPr="005B1A16">
              <w:rPr>
                <w:rFonts w:ascii="Book Antiqua" w:hAnsi="Book Antiqua"/>
                <w:color w:val="000000" w:themeColor="text1"/>
                <w:vertAlign w:val="superscript"/>
                <w:lang w:val="en-US"/>
              </w:rPr>
              <w:t>[31,122,123]</w:t>
            </w:r>
            <w:r w:rsidRPr="005B1A16">
              <w:rPr>
                <w:rFonts w:ascii="Book Antiqua" w:hAnsi="Book Antiqua"/>
                <w:color w:val="000000" w:themeColor="text1"/>
              </w:rPr>
              <w:fldChar w:fldCharType="end"/>
            </w:r>
          </w:p>
        </w:tc>
        <w:tc>
          <w:tcPr>
            <w:tcW w:w="1367" w:type="dxa"/>
          </w:tcPr>
          <w:p w14:paraId="7B822430"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Pegylated humanized monoclonal antibody Fab' fragment</w:t>
            </w:r>
          </w:p>
        </w:tc>
        <w:tc>
          <w:tcPr>
            <w:tcW w:w="781" w:type="dxa"/>
          </w:tcPr>
          <w:p w14:paraId="4AB344F7" w14:textId="77777777" w:rsidR="006555F2" w:rsidRPr="005B1A16" w:rsidRDefault="006555F2" w:rsidP="005B1A16">
            <w:pPr>
              <w:spacing w:line="360" w:lineRule="auto"/>
              <w:jc w:val="both"/>
              <w:rPr>
                <w:rFonts w:ascii="Book Antiqua" w:hAnsi="Book Antiqua"/>
                <w:color w:val="000000" w:themeColor="text1"/>
              </w:rPr>
            </w:pPr>
          </w:p>
        </w:tc>
        <w:tc>
          <w:tcPr>
            <w:tcW w:w="920" w:type="dxa"/>
          </w:tcPr>
          <w:p w14:paraId="5A69976A"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497" w:type="dxa"/>
          </w:tcPr>
          <w:p w14:paraId="1FE295A0"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w:t>
            </w:r>
          </w:p>
        </w:tc>
        <w:tc>
          <w:tcPr>
            <w:tcW w:w="1337" w:type="dxa"/>
          </w:tcPr>
          <w:p w14:paraId="5292E5FA"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070" w:type="dxa"/>
          </w:tcPr>
          <w:p w14:paraId="688D9344"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r>
      <w:tr w:rsidR="000E3B4F" w:rsidRPr="005B1A16" w14:paraId="1CFAAFEB" w14:textId="77777777" w:rsidTr="00B45639">
        <w:tc>
          <w:tcPr>
            <w:tcW w:w="1596" w:type="dxa"/>
          </w:tcPr>
          <w:p w14:paraId="2A6353DF"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Golimumab</w:t>
            </w:r>
            <w:r w:rsidRPr="005B1A16">
              <w:rPr>
                <w:rFonts w:ascii="Book Antiqua" w:hAnsi="Book Antiqua"/>
                <w:color w:val="000000" w:themeColor="text1"/>
              </w:rPr>
              <w:fldChar w:fldCharType="begin"/>
            </w:r>
            <w:r w:rsidRPr="005B1A16">
              <w:rPr>
                <w:rFonts w:ascii="Book Antiqua" w:hAnsi="Book Antiqua"/>
                <w:color w:val="000000" w:themeColor="text1"/>
              </w:rPr>
              <w:instrText xml:space="preserve"> ADDIN ZOTERO_ITEM CSL_CITATION {"citationID":"a7Ot3LcN","properties":{"formattedCitation":"\\super [57,122,124]\\nosupersub{}","plainCitation":"[57,122,124]","noteIndex":0},"citationItems":[{"id":130,"uris":["http://zotero.org/users/4672422/items/PYBYTD29"],"uri":["http://zotero.org/users/4672422/items/PYBYTD29"],"itemData":{"id":130,"type":"article-journal","title":"Clinical Outcomes of Golimumab as First, Second or Third Anti-TNF Agent in Patients with Moderate-to-Severe Ulcerative Colitis","container-title":"Inflammatory Bowel Diseases","page":"1394-1402","volume":"23","issue":"8","source":"PubMed","abstract":"BACKGROUND: Golimumab efficacy data in ulcerative colitis (UC) are limited to anti-tumor necrosis factor α (TNF)-naive patients. The aim of this study was to assess the short-term and long-term efficacy of golimumab used as first, second, or third anti-TNF in UC in a real-life clinical setting.\nMETHODS: This retrospective multicenter cohort study included patients with moderate-to-severe UC treated with golimumab. The primary efficacy endpoints were short-term partial Mayo score response, long-term golimumab failure-free survival, and colectomy-free survival.\nRESULTS: In 142 patients with UC, golimumab was administered as first (40%), second (23%), or third anti-TNF (37%). Ninety-two patients (65%, 95% confidence interval 56.6-73) achieved short-term clinical response. Forty-five patients (32%, 95% confidence interval 23.7-39.7) achieved clinical remission. Response rates for golimumab were 75% as first anti-TNF, 70% as second anti-TNF (ns versus first anti-TNF), and 50% as third anti-TNF (P = 0.007 versus first anti-TNF). After 12 months median follow-up (interquartile range 6-18), 60 patients (42%, 95% confidence interval 34-51) had golimumab failure, and 15 patients (11%) needed colectomy. Thirty-one patients (22%) needed golimumab dose escalation, and 71% of these regained response after escalation. Starting maintenance with 100 mg golimumab doses and short-term nonresponse were independent predictors of golimumab failure.\nCONCLUSIONS: In this real-life cohort of patients with UC, golimumab therapy was effective for inducing and maintaining clinical response. Although anti-TNF-naive patients had better outcomes, golimumab was also effective in anti-TNF-experienced patients. Only the patients given golimumab after previous failure of 2 anti-TNF agents had significantly worse outcomes. Golimumab dose escalation was beneficial and safe.","DOI":"10.1097/MIB.0000000000001144","ISSN":"1536-4844","note":"PMID: 28671873","journalAbbreviation":"Inflamm. Bowel Dis.","language":"eng","author":[{"family":"Taxonera","given":"Carlos"},{"family":"Rodríguez","given":"Cristina"},{"family":"Bertoletti","given":"Federico"},{"family":"Menchén","given":"Luís"},{"family":"Arribas","given":"Julia"},{"family":"Sierra","given":"Mónica"},{"family":"Arias","given":"Lara"},{"family":"Martínez-Montiel","given":"Pilar"},{"family":"Juan","given":"Alba"},{"family":"Iglesias","given":"Eva"},{"family":"Algaba","given":"Alicia"},{"family":"Manceñido","given":"Noemí"},{"family":"Rivero","given":"Montserrat"},{"family":"Barreiro-de Acosta","given":"Manuel"},{"family":"López-Serrano","given":"Pilar"},{"family":"Argüelles-Arias","given":"Federico"},{"family":"Gutierrez","given":"Ana"},{"family":"Busquets","given":"David"},{"family":"Gisbert","given":"Javier P."},{"family":"Olivares","given":"David"},{"family":"Calvo","given":"Marta"},{"family":"Alba","given":"Cristina"},{"literal":"Collaborators"}],"issued":{"date-parts":[["2017",8]]}}},{"id":252,"uris":["http://zotero.org/users/4672422/items/3Y3323MK"],"uri":["http://zotero.org/users/4672422/items/3Y3323MK"],"itemData":{"id":252,"type":"article-journal","title":"Certolizumab Pegol in the Treatment of Psoriasis and Psoriatic Arthritis: Preliminary Real-Life Data","container-title":"Dermatology and Therapy","page":"485-492","volume":"7","issue":"4","source":"PubMed","abstract":"INTRODUCTION: We present the results of real-life tests conducted in adults affected by psoriatic arthritis (PsA) with mild cutaneous involvement to evaluate the efficacy of certolizumab pegol (CZP), an anti-tumor necrosis factor-alpha agent approved in Europe for the treatment of rheumatoid arthritis and PsA.\nMETHODS: Assessments included an evaluation of the Psoriasis Area and Severity Index (PASI) and the Disease Activity Score computed on 44 joints (DAS-44) correlated to the erythrocyte sedimentation rate (ESR) (DAS44-ESR). A total of 41 patients (16 men, 25 women; mean age 59.8 ± 8 years) completed the study. Of these, 36 patients were affected by both PsA and psoriasis, and five patients were affected only by PsA. A total of 32 patients (group A) completed 3 months of treatment (W12), and 12 patients completed 6 months of treatment (W24) (group B).\nRESULTS: The clinical efficacy of CZP was consistent on both the cutaneous and rheumatic components of the treatment. The mean PASI score decreased from 4.4 ± 4.7 at baseline (BL) to 2.3 ± 3.7 at W12 (group A), and from 5.1 ± 5.7 at BL to 0.8 ± 1.2 at W24 (group B). The DAS44-ESR decreased from 4.4 ± 0.6 at BL to a mean of 2.2 ± 0.9 at W12 (group A) and from 4.1 ± 0.6 at BL to a mean of 1.9 ± 0.5 at W24 (group B). No adverse events were reported.\nCONCLUSION: Our results demonstrate that CZP can be used safely and effectively to treat both the cutaneous and joint components of PsA. However, long-term data are needed to confirm our preliminary observations.","DOI":"10.1007/s13555-017-0208-z","ISSN":"2193-8210","note":"PMID: 29139035\nPMCID: PMC5698207","shortTitle":"Certolizumab Pegol in the Treatment of Psoriasis and Psoriatic Arthritis","journalAbbreviation":"Dermatol Ther (Heidelb)","language":"eng","author":[{"family":"Dattola","given":"Annunziata"},{"family":"Cannizzaro","given":"Maria Vittoria"},{"family":"Mazzeo","given":"Mauro"},{"family":"Bianchi","given":"Luca"}],"issued":{"date-parts":[["2017",12]]}}},{"id":256,"uris":["http://zotero.org/users/4672422/items/J6YXQAYP"],"uri":["http://zotero.org/users/4672422/items/J6YXQAYP"],"itemData":{"id":256,"type":"article-journal","title":"Golimumab for the treatment of psoriatic arthritis","container-title":"Health Technology Assessment","volume":"15","issue":"Suppl. 1","source":"Crossref","URL":"https://www.journalslibrary.nihr.ac.uk/hta/hta15Suppl110/","DOI":"10.3310/hta15suppl1/10","ISSN":"1366-5278, 2046-4924","language":"en","author":[{"family":"Yang","given":"H"},{"family":"Epstein","given":"D"},{"family":"Bojke","given":"L"},{"family":"Craig","given":"D"},{"family":"Light","given":"K"},{"family":"Bruce","given":"I"},{"family":"Sculpher","given":"M"},{"family":"Woolacott","given":"N"}],"issued":{"date-parts":[["2011",5]]},"accessed":{"date-parts":[["2018",5,9]]}}}],"schema":"https://github.com/citation-style-language/schema/raw/master/csl-citation.json"} </w:instrText>
            </w:r>
            <w:r w:rsidRPr="005B1A16">
              <w:rPr>
                <w:rFonts w:ascii="Book Antiqua" w:hAnsi="Book Antiqua"/>
                <w:color w:val="000000" w:themeColor="text1"/>
              </w:rPr>
              <w:fldChar w:fldCharType="separate"/>
            </w:r>
            <w:r w:rsidRPr="005B1A16">
              <w:rPr>
                <w:rFonts w:ascii="Book Antiqua" w:hAnsi="Book Antiqua"/>
                <w:color w:val="000000" w:themeColor="text1"/>
                <w:vertAlign w:val="superscript"/>
                <w:lang w:val="en-US"/>
              </w:rPr>
              <w:t>[57,122,124]</w:t>
            </w:r>
            <w:r w:rsidRPr="005B1A16">
              <w:rPr>
                <w:rFonts w:ascii="Book Antiqua" w:hAnsi="Book Antiqua"/>
                <w:color w:val="000000" w:themeColor="text1"/>
              </w:rPr>
              <w:fldChar w:fldCharType="end"/>
            </w:r>
          </w:p>
        </w:tc>
        <w:tc>
          <w:tcPr>
            <w:tcW w:w="1367" w:type="dxa"/>
          </w:tcPr>
          <w:p w14:paraId="3F956B8D"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Fully human monoclonal antibody</w:t>
            </w:r>
          </w:p>
        </w:tc>
        <w:tc>
          <w:tcPr>
            <w:tcW w:w="781" w:type="dxa"/>
          </w:tcPr>
          <w:p w14:paraId="624BDC62"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920" w:type="dxa"/>
          </w:tcPr>
          <w:p w14:paraId="1352857A" w14:textId="77777777" w:rsidR="006555F2" w:rsidRPr="005B1A16" w:rsidRDefault="006555F2" w:rsidP="005B1A16">
            <w:pPr>
              <w:spacing w:line="360" w:lineRule="auto"/>
              <w:jc w:val="both"/>
              <w:rPr>
                <w:rFonts w:ascii="Book Antiqua" w:hAnsi="Book Antiqua"/>
                <w:color w:val="000000" w:themeColor="text1"/>
              </w:rPr>
            </w:pPr>
          </w:p>
        </w:tc>
        <w:tc>
          <w:tcPr>
            <w:tcW w:w="1497" w:type="dxa"/>
          </w:tcPr>
          <w:p w14:paraId="5FD7660C" w14:textId="77777777" w:rsidR="006555F2" w:rsidRPr="005B1A16" w:rsidRDefault="006555F2" w:rsidP="005B1A16">
            <w:pPr>
              <w:spacing w:line="360" w:lineRule="auto"/>
              <w:jc w:val="both"/>
              <w:rPr>
                <w:rFonts w:ascii="Book Antiqua" w:hAnsi="Book Antiqua"/>
                <w:color w:val="000000" w:themeColor="text1"/>
              </w:rPr>
            </w:pPr>
          </w:p>
        </w:tc>
        <w:tc>
          <w:tcPr>
            <w:tcW w:w="1337" w:type="dxa"/>
          </w:tcPr>
          <w:p w14:paraId="6572B432"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070" w:type="dxa"/>
          </w:tcPr>
          <w:p w14:paraId="7C77DA32"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r>
      <w:tr w:rsidR="00067C58" w:rsidRPr="005B1A16" w14:paraId="015CD136" w14:textId="77777777" w:rsidTr="00B45639">
        <w:tc>
          <w:tcPr>
            <w:tcW w:w="8568" w:type="dxa"/>
            <w:gridSpan w:val="7"/>
          </w:tcPr>
          <w:p w14:paraId="583B98AC"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b/>
                <w:color w:val="000000" w:themeColor="text1"/>
              </w:rPr>
              <w:t>Anti-integrin</w:t>
            </w:r>
          </w:p>
        </w:tc>
      </w:tr>
      <w:tr w:rsidR="000E3B4F" w:rsidRPr="005B1A16" w14:paraId="1C776E63" w14:textId="77777777" w:rsidTr="00B45639">
        <w:tc>
          <w:tcPr>
            <w:tcW w:w="1596" w:type="dxa"/>
          </w:tcPr>
          <w:p w14:paraId="60D2A61C" w14:textId="45C515D2" w:rsidR="006555F2" w:rsidRPr="005B1A16" w:rsidRDefault="000E3B4F" w:rsidP="005B1A16">
            <w:pPr>
              <w:spacing w:line="360" w:lineRule="auto"/>
              <w:jc w:val="both"/>
              <w:rPr>
                <w:rFonts w:ascii="Book Antiqua" w:hAnsi="Book Antiqua"/>
                <w:color w:val="000000" w:themeColor="text1"/>
              </w:rPr>
            </w:pPr>
            <w:r w:rsidRPr="005B1A16">
              <w:rPr>
                <w:rFonts w:ascii="Book Antiqua" w:eastAsia="SimSun" w:hAnsi="Book Antiqua"/>
                <w:b/>
                <w:color w:val="000000" w:themeColor="text1"/>
                <w:vertAlign w:val="superscript"/>
                <w:lang w:eastAsia="zh-CN"/>
              </w:rPr>
              <w:t>4</w:t>
            </w:r>
            <w:r w:rsidR="006555F2" w:rsidRPr="005B1A16">
              <w:rPr>
                <w:rFonts w:ascii="Book Antiqua" w:hAnsi="Book Antiqua"/>
                <w:color w:val="000000" w:themeColor="text1"/>
              </w:rPr>
              <w:t>Natalizumab</w:t>
            </w:r>
            <w:r w:rsidR="006555F2" w:rsidRPr="005B1A16">
              <w:rPr>
                <w:rFonts w:ascii="Book Antiqua" w:hAnsi="Book Antiqua"/>
                <w:color w:val="000000" w:themeColor="text1"/>
              </w:rPr>
              <w:fldChar w:fldCharType="begin"/>
            </w:r>
            <w:r w:rsidR="006555F2" w:rsidRPr="005B1A16">
              <w:rPr>
                <w:rFonts w:ascii="Book Antiqua" w:hAnsi="Book Antiqua"/>
                <w:color w:val="000000" w:themeColor="text1"/>
              </w:rPr>
              <w:instrText xml:space="preserve"> ADDIN ZOTERO_ITEM CSL_CITATION {"citationID":"0kWR1FOE","properties":{"formattedCitation":"\\super [39]\\nosupersub{}","plainCitation":"[39]","noteIndex":0},"citationItems":[{"id":92,"uris":["http://zotero.org/users/4672422/items/8A4PQINM"],"uri":["http://zotero.org/users/4672422/items/8A4PQINM"],"itemData":{"id":92,"type":"article-journal","title":"Natalizumab for the treatment of active Crohn's disease: results of the ENCORE Trial","container-title":"Gastroenterology","page":"1672-1683","volume":"132","issue":"5","source":"PubMed","abstract":"BACKGROUND &amp; AIMS: A randomized placebo-controlled trial evaluated the efficacy of natalizumab induction therapy in patients with Crohn's disease.\nMETHODS: Patients (N = 509) with moderately to severely active Crohn's disease and active inflammation characterized by elevated C-reactive protein concentrations were randomized (1:1) to receive natalizumab 300 mg or placebo intravenously at Weeks 0, 4, and 8. The primary end point was induction of response (&gt; or =70-point decrease from baseline in the Crohn's Disease Activity Index score at Week 8 sustained through Week 12). Additional efficacy end points included the proportion of patients with sustained remission (Crohn's Disease Activity Index score &lt;150 points) and response or remission over time.\nRESULTS: Response at Week 8 sustained through Week 12 occurred in 48% of natalizumab-treated patients and 32% of patients receiving placebo (P &lt; .001). Sustained remission occurred in 26% of natalizumab-treated patients and 16% of patients receiving placebo (P = .002). Week 4 response rates were 51% for natalizumab and 37% for placebo (P = .001). Responses remained significantly higher at subsequent assessments (P &lt; .001) in natalizumab-treated patients. Natalizumab-treated patients also had significantly higher remission rates at Weeks 4, 8, and 12 (P &lt; or = .009). The frequency and types of adverse events were similar between treatment groups.\nCONCLUSIONS: Natalizumab induced response and remission at Week 8 that was sustained through Week 12. Response and remission rates for natalizumab were superior to those for placebo at Weeks 4, 8, and 12, demonstrating the early and sustained efficacy of natalizumab as induction therapy in patients with elevated C-reactive protein and active Crohn's disease. Natalizumab was well tolerated in this study.","DOI":"10.1053/j.gastro.2007.03.024","ISSN":"0016-5085","note":"PMID: 17484865","shortTitle":"Natalizumab for the treatment of active Crohn's disease","journalAbbreviation":"Gastroenterology","language":"eng","author":[{"family":"Targan","given":"Stephan R."},{"family":"Feagan","given":"Brian G."},{"family":"Fedorak","given":"Richard N."},{"family":"Lashner","given":"Bret A."},{"family":"Panaccione","given":"Remo"},{"family":"Present","given":"Daniel H."},{"family":"Spehlmann","given":"Martina E."},{"family":"Rutgeerts","given":"Paul J."},{"family":"Tulassay","given":"Zsolt"},{"family":"Volfova","given":"Miroslava"},{"family":"Wolf","given":"Douglas C."},{"family":"Hernandez","given":"Chito"},{"family":"Bornstein","given":"Jeffrey"},{"family":"Sandborn","given":"William J."},{"literal":"International Efficacy of Natalizumab in Crohn's Disease Response and Remission (ENCORE) Trial Group"}],"issued":{"date-parts":[["2007",5]]}}}],"schema":"https://github.com/citation-style-language/schema/raw/master/csl-citation.json"} </w:instrText>
            </w:r>
            <w:r w:rsidR="006555F2" w:rsidRPr="005B1A16">
              <w:rPr>
                <w:rFonts w:ascii="Book Antiqua" w:hAnsi="Book Antiqua"/>
                <w:color w:val="000000" w:themeColor="text1"/>
              </w:rPr>
              <w:fldChar w:fldCharType="separate"/>
            </w:r>
            <w:r w:rsidR="006555F2" w:rsidRPr="005B1A16">
              <w:rPr>
                <w:rFonts w:ascii="Book Antiqua" w:hAnsi="Book Antiqua"/>
                <w:color w:val="000000" w:themeColor="text1"/>
                <w:vertAlign w:val="superscript"/>
                <w:lang w:val="en-US"/>
              </w:rPr>
              <w:t>[39]</w:t>
            </w:r>
            <w:r w:rsidR="006555F2" w:rsidRPr="005B1A16">
              <w:rPr>
                <w:rFonts w:ascii="Book Antiqua" w:hAnsi="Book Antiqua"/>
                <w:color w:val="000000" w:themeColor="text1"/>
              </w:rPr>
              <w:fldChar w:fldCharType="end"/>
            </w:r>
          </w:p>
        </w:tc>
        <w:tc>
          <w:tcPr>
            <w:tcW w:w="1367" w:type="dxa"/>
          </w:tcPr>
          <w:p w14:paraId="0C3B616F"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Chimeric monoclonal antibody against α</w:t>
            </w:r>
            <w:r w:rsidRPr="005B1A16">
              <w:rPr>
                <w:rFonts w:ascii="Book Antiqua" w:hAnsi="Book Antiqua"/>
                <w:color w:val="000000" w:themeColor="text1"/>
                <w:vertAlign w:val="subscript"/>
              </w:rPr>
              <w:t xml:space="preserve">4 </w:t>
            </w:r>
            <w:r w:rsidRPr="005B1A16">
              <w:rPr>
                <w:rFonts w:ascii="Book Antiqua" w:hAnsi="Book Antiqua"/>
                <w:color w:val="000000" w:themeColor="text1"/>
              </w:rPr>
              <w:t>integrin</w:t>
            </w:r>
          </w:p>
        </w:tc>
        <w:tc>
          <w:tcPr>
            <w:tcW w:w="781" w:type="dxa"/>
          </w:tcPr>
          <w:p w14:paraId="5D15956C" w14:textId="77777777" w:rsidR="006555F2" w:rsidRPr="005B1A16" w:rsidRDefault="006555F2" w:rsidP="005B1A16">
            <w:pPr>
              <w:spacing w:line="360" w:lineRule="auto"/>
              <w:jc w:val="both"/>
              <w:rPr>
                <w:rFonts w:ascii="Book Antiqua" w:hAnsi="Book Antiqua"/>
                <w:color w:val="000000" w:themeColor="text1"/>
              </w:rPr>
            </w:pPr>
          </w:p>
        </w:tc>
        <w:tc>
          <w:tcPr>
            <w:tcW w:w="920" w:type="dxa"/>
          </w:tcPr>
          <w:p w14:paraId="20122F9F"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497" w:type="dxa"/>
          </w:tcPr>
          <w:p w14:paraId="74B9A300" w14:textId="77777777" w:rsidR="006555F2" w:rsidRPr="005B1A16" w:rsidRDefault="006555F2" w:rsidP="005B1A16">
            <w:pPr>
              <w:spacing w:line="360" w:lineRule="auto"/>
              <w:jc w:val="both"/>
              <w:rPr>
                <w:rFonts w:ascii="Book Antiqua" w:hAnsi="Book Antiqua"/>
                <w:color w:val="000000" w:themeColor="text1"/>
              </w:rPr>
            </w:pPr>
          </w:p>
        </w:tc>
        <w:tc>
          <w:tcPr>
            <w:tcW w:w="1337" w:type="dxa"/>
          </w:tcPr>
          <w:p w14:paraId="10AF38B4" w14:textId="77777777" w:rsidR="006555F2" w:rsidRPr="005B1A16" w:rsidRDefault="006555F2" w:rsidP="005B1A16">
            <w:pPr>
              <w:spacing w:line="360" w:lineRule="auto"/>
              <w:jc w:val="both"/>
              <w:rPr>
                <w:rFonts w:ascii="Book Antiqua" w:hAnsi="Book Antiqua"/>
                <w:color w:val="000000" w:themeColor="text1"/>
              </w:rPr>
            </w:pPr>
          </w:p>
        </w:tc>
        <w:tc>
          <w:tcPr>
            <w:tcW w:w="1070" w:type="dxa"/>
          </w:tcPr>
          <w:p w14:paraId="2D1F150D" w14:textId="77777777" w:rsidR="006555F2" w:rsidRPr="005B1A16" w:rsidRDefault="006555F2" w:rsidP="005B1A16">
            <w:pPr>
              <w:spacing w:line="360" w:lineRule="auto"/>
              <w:jc w:val="both"/>
              <w:rPr>
                <w:rFonts w:ascii="Book Antiqua" w:hAnsi="Book Antiqua"/>
                <w:color w:val="000000" w:themeColor="text1"/>
              </w:rPr>
            </w:pPr>
          </w:p>
        </w:tc>
      </w:tr>
      <w:tr w:rsidR="000E3B4F" w:rsidRPr="005B1A16" w14:paraId="2CA60BD7" w14:textId="77777777" w:rsidTr="00B45639">
        <w:tc>
          <w:tcPr>
            <w:tcW w:w="1596" w:type="dxa"/>
          </w:tcPr>
          <w:p w14:paraId="2CD29D90" w14:textId="5CB46231" w:rsidR="006555F2" w:rsidRPr="005B1A16" w:rsidRDefault="000E3B4F" w:rsidP="005B1A16">
            <w:pPr>
              <w:spacing w:line="360" w:lineRule="auto"/>
              <w:jc w:val="both"/>
              <w:rPr>
                <w:rFonts w:ascii="Book Antiqua" w:hAnsi="Book Antiqua"/>
                <w:color w:val="000000" w:themeColor="text1"/>
              </w:rPr>
            </w:pPr>
            <w:r w:rsidRPr="005B1A16">
              <w:rPr>
                <w:rFonts w:ascii="Book Antiqua" w:eastAsia="SimSun" w:hAnsi="Book Antiqua"/>
                <w:b/>
                <w:color w:val="000000" w:themeColor="text1"/>
                <w:vertAlign w:val="superscript"/>
                <w:lang w:eastAsia="zh-CN"/>
              </w:rPr>
              <w:lastRenderedPageBreak/>
              <w:t>3</w:t>
            </w:r>
            <w:r w:rsidR="006555F2" w:rsidRPr="005B1A16">
              <w:rPr>
                <w:rFonts w:ascii="Book Antiqua" w:hAnsi="Book Antiqua"/>
                <w:color w:val="000000" w:themeColor="text1"/>
              </w:rPr>
              <w:t>Vedolizumab</w:t>
            </w:r>
            <w:r w:rsidR="006555F2" w:rsidRPr="005B1A16">
              <w:rPr>
                <w:rFonts w:ascii="Book Antiqua" w:hAnsi="Book Antiqua"/>
                <w:color w:val="000000" w:themeColor="text1"/>
              </w:rPr>
              <w:fldChar w:fldCharType="begin"/>
            </w:r>
            <w:r w:rsidR="006555F2" w:rsidRPr="005B1A16">
              <w:rPr>
                <w:rFonts w:ascii="Book Antiqua" w:hAnsi="Book Antiqua"/>
                <w:color w:val="000000" w:themeColor="text1"/>
              </w:rPr>
              <w:instrText xml:space="preserve"> ADDIN ZOTERO_ITEM CSL_CITATION {"citationID":"hExNBISM","properties":{"formattedCitation":"\\super [46,96]\\nosupersub{}","plainCitation":"[46,96]","noteIndex":0},"citationItems":[{"id":107,"uris":["http://zotero.org/users/4672422/items/KURDTJND"],"uri":["http://zotero.org/users/4672422/items/KURDTJND"],"itemData":{"id":107,"type":"article-journal","title":"The safety of vedolizumab for ulcerative colitis and Crohn's disease","container-title":"Gut","page":"839-851","volume":"66","issue":"5","source":"PubMed","abstract":"OBJECTIVE: Vedolizumab is a gut-selective antibody to α4β7integrin for the treatment of ulcerative colitis (UC) and Crohn's disease (CD). We report an integrated summary of the safety of vedolizumab.\nDESIGN: Safety data (May 2009-June 2013) from six trials of vedolizumab were integrated. Adverse events were evaluated in patients who received ≥1 dose of vedolizumab or placebo and were reported as exposure-adjusted incidence rates as the number of patients experiencing the event per 100 person-years (PYs) of exposure. Predictors of serious infection were assessed using a Cox proportional hazards model.\nRESULTS: In total, 2830 patients had 4811 PYs of vedolizumab exposure (median exposure range, 1-1977</w:instrText>
            </w:r>
            <w:r w:rsidR="006555F2" w:rsidRPr="005B1A16">
              <w:rPr>
                <w:rFonts w:ascii="Cambria Math" w:hAnsi="Cambria Math" w:cs="Cambria Math"/>
                <w:color w:val="000000" w:themeColor="text1"/>
              </w:rPr>
              <w:instrText> </w:instrText>
            </w:r>
            <w:r w:rsidR="006555F2" w:rsidRPr="005B1A16">
              <w:rPr>
                <w:rFonts w:ascii="Book Antiqua" w:hAnsi="Book Antiqua"/>
                <w:color w:val="000000" w:themeColor="text1"/>
              </w:rPr>
              <w:instrText xml:space="preserve">days). No increased risk of any infection or serious infection was associated with vedolizumab exposure. Serious clostridial infections, sepsis and tuberculosis were reported infrequently (≤0.6% of patients). No cases of progressive multifocal leucoencephalopathy were observed. Independent risk factors for serious infection in UC were prior failure of a tumour necrosis factor α antagonist (HR, 1.99; 95% CIs 1.16 to 3.42; p=0.0122) and narcotic analgesic use (HR, 2.68; 95% CI 1.57 to 4.58; p=0.0003), and in CD were younger age (HR, 0.97; 95% CI 0.95 to 0.98; p&lt;0.0001), corticosteroid (HR, 1.88; 95% CI 1.35 to 2.63; p=0.0002) or narcotic analgesic use (HR, 2.72; 95% CI 1.90 to 3.89; p&lt;0.0001). Investigator-defined infusion-related reactions were reported for ≤5% of patients in each study. Eighteen vedolizumab-exposed patients (&lt;1%) were diagnosed with a malignancy.\nCONCLUSIONS: Vedolizumab has a favourable safety profile with low incidence rates of serious infections, infusion-related reactions and malignancies over an extended treatment period.\nTRIAL REGISTRATION NUMBER: NCT01177228, NCT00619489, NCT00783718, NCT00783692, NCT01224171, NCT00790933.","DOI":"10.1136/gutjnl-2015-311079","ISSN":"1468-3288","note":"PMID: 26893500\nPMCID: PMC5531223","journalAbbreviation":"Gut","language":"eng","author":[{"family":"Colombel","given":"Jean-Frédéric"},{"family":"Sands","given":"Bruce E."},{"family":"Rutgeerts","given":"Paul"},{"family":"Sandborn","given":"William"},{"family":"Danese","given":"Silvio"},{"family":"D'Haens","given":"Geert"},{"family":"Panaccione","given":"Remo"},{"family":"Loftus","given":"Edward V."},{"family":"Sankoh","given":"Serap"},{"family":"Fox","given":"Irving"},{"family":"Parikh","given":"Asit"},{"family":"Milch","given":"Catherine"},{"family":"Abhyankar","given":"Brihad"},{"family":"Feagan","given":"Brian G."}],"issued":{"date-parts":[["2017"]]}}},{"id":190,"uris":["http://zotero.org/users/4672422/items/SY3TN6ZF"],"uri":["http://zotero.org/users/4672422/items/SY3TN6ZF"],"itemData":{"id":190,"type":"article-journal","title":"Vedolizumab IV 300 mg in the Treatment of Fistulizing Crohn's Disease (ENTERPRISE)","author":[{"family":"NCT02630966","given":""}]}}],"schema":"https://github.com/citation-style-language/schema/raw/master/csl-citation.json"} </w:instrText>
            </w:r>
            <w:r w:rsidR="006555F2" w:rsidRPr="005B1A16">
              <w:rPr>
                <w:rFonts w:ascii="Book Antiqua" w:hAnsi="Book Antiqua"/>
                <w:color w:val="000000" w:themeColor="text1"/>
              </w:rPr>
              <w:fldChar w:fldCharType="separate"/>
            </w:r>
            <w:r w:rsidR="006555F2" w:rsidRPr="005B1A16">
              <w:rPr>
                <w:rFonts w:ascii="Book Antiqua" w:hAnsi="Book Antiqua"/>
                <w:color w:val="000000" w:themeColor="text1"/>
                <w:vertAlign w:val="superscript"/>
                <w:lang w:val="en-US"/>
              </w:rPr>
              <w:t>[46,96]</w:t>
            </w:r>
            <w:r w:rsidR="006555F2" w:rsidRPr="005B1A16">
              <w:rPr>
                <w:rFonts w:ascii="Book Antiqua" w:hAnsi="Book Antiqua"/>
                <w:color w:val="000000" w:themeColor="text1"/>
              </w:rPr>
              <w:fldChar w:fldCharType="end"/>
            </w:r>
          </w:p>
        </w:tc>
        <w:tc>
          <w:tcPr>
            <w:tcW w:w="1367" w:type="dxa"/>
          </w:tcPr>
          <w:p w14:paraId="26F36FBC"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Chimeric monoclonal antibody against α</w:t>
            </w:r>
            <w:r w:rsidRPr="005B1A16">
              <w:rPr>
                <w:rFonts w:ascii="Book Antiqua" w:hAnsi="Book Antiqua"/>
                <w:color w:val="000000" w:themeColor="text1"/>
                <w:vertAlign w:val="subscript"/>
              </w:rPr>
              <w:t>4</w:t>
            </w:r>
            <w:r w:rsidRPr="005B1A16">
              <w:rPr>
                <w:rFonts w:ascii="Book Antiqua" w:hAnsi="Book Antiqua"/>
                <w:color w:val="000000" w:themeColor="text1"/>
              </w:rPr>
              <w:t>β</w:t>
            </w:r>
            <w:r w:rsidRPr="005B1A16">
              <w:rPr>
                <w:rFonts w:ascii="Book Antiqua" w:hAnsi="Book Antiqua"/>
                <w:color w:val="000000" w:themeColor="text1"/>
                <w:vertAlign w:val="subscript"/>
              </w:rPr>
              <w:t xml:space="preserve">7 </w:t>
            </w:r>
            <w:r w:rsidRPr="005B1A16">
              <w:rPr>
                <w:rFonts w:ascii="Book Antiqua" w:hAnsi="Book Antiqua"/>
                <w:color w:val="000000" w:themeColor="text1"/>
              </w:rPr>
              <w:t>integrin</w:t>
            </w:r>
          </w:p>
        </w:tc>
        <w:tc>
          <w:tcPr>
            <w:tcW w:w="781" w:type="dxa"/>
          </w:tcPr>
          <w:p w14:paraId="641251A4"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920" w:type="dxa"/>
          </w:tcPr>
          <w:p w14:paraId="2DD2F252"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497" w:type="dxa"/>
          </w:tcPr>
          <w:p w14:paraId="10A7034B"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w:t>
            </w:r>
          </w:p>
        </w:tc>
        <w:tc>
          <w:tcPr>
            <w:tcW w:w="1337" w:type="dxa"/>
          </w:tcPr>
          <w:p w14:paraId="7235FD01" w14:textId="77777777" w:rsidR="006555F2" w:rsidRPr="005B1A16" w:rsidRDefault="006555F2" w:rsidP="005B1A16">
            <w:pPr>
              <w:spacing w:line="360" w:lineRule="auto"/>
              <w:jc w:val="both"/>
              <w:rPr>
                <w:rFonts w:ascii="Book Antiqua" w:hAnsi="Book Antiqua"/>
                <w:color w:val="000000" w:themeColor="text1"/>
              </w:rPr>
            </w:pPr>
          </w:p>
        </w:tc>
        <w:tc>
          <w:tcPr>
            <w:tcW w:w="1070" w:type="dxa"/>
          </w:tcPr>
          <w:p w14:paraId="1C380860" w14:textId="77777777" w:rsidR="006555F2" w:rsidRPr="005B1A16" w:rsidRDefault="006555F2" w:rsidP="005B1A16">
            <w:pPr>
              <w:spacing w:line="360" w:lineRule="auto"/>
              <w:jc w:val="both"/>
              <w:rPr>
                <w:rFonts w:ascii="Book Antiqua" w:hAnsi="Book Antiqua"/>
                <w:color w:val="000000" w:themeColor="text1"/>
              </w:rPr>
            </w:pPr>
          </w:p>
        </w:tc>
      </w:tr>
      <w:tr w:rsidR="000E3B4F" w:rsidRPr="005B1A16" w14:paraId="512C63B8" w14:textId="77777777" w:rsidTr="00B45639">
        <w:tc>
          <w:tcPr>
            <w:tcW w:w="1596" w:type="dxa"/>
          </w:tcPr>
          <w:p w14:paraId="7920FD16"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Ustekinumab</w:t>
            </w:r>
            <w:r w:rsidRPr="005B1A16">
              <w:rPr>
                <w:rFonts w:ascii="Book Antiqua" w:hAnsi="Book Antiqua"/>
                <w:color w:val="000000" w:themeColor="text1"/>
              </w:rPr>
              <w:fldChar w:fldCharType="begin"/>
            </w:r>
            <w:r w:rsidRPr="005B1A16">
              <w:rPr>
                <w:rFonts w:ascii="Book Antiqua" w:hAnsi="Book Antiqua"/>
                <w:color w:val="000000" w:themeColor="text1"/>
              </w:rPr>
              <w:instrText xml:space="preserve"> ADDIN ZOTERO_ITEM CSL_CITATION {"citationID":"P34O2rHP","properties":{"formattedCitation":"\\super [50,125,126]\\nosupersub{}","plainCitation":"[50,125,126]","noteIndex":0},"citationItems":[{"id":119,"uris":["http://zotero.org/users/4672422/items/J5IHC6BK"],"uri":["http://zotero.org/users/4672422/items/J5IHC6BK"],"itemData":{"id":119,"type":"article-journal","title":"Ustekinumab as Induction and Maintenance Therapy for Crohn's Disease","container-title":"The New England Journal of Medicine","page":"1946-1960","volume":"375","issue":"20","source":"PubMed","abstract":"BACKGROUND: Ustekinumab, a monoclonal antibody to the p40 subunit of interleukin-12 and interleukin-23, was evaluated as an intravenous induction therapy in two populations with moderately to severely active Crohn's disease. Ustekinumab was also evaluated as subcutaneous maintenance therapy.\nMETHODS: We randomly assigned patients to receive a single intravenous dose of ustekinumab (either 130 mg or approximately 6 mg per kilogram of body weight) or placebo in two induction trials. The UNITI-1 trial included 741 patients who met the criteria for primary or secondary nonresponse to tumor necrosis factor (TNF) antagonists or had unacceptable side effects. The UNITI-2 trial included 628 patients in whom conventional therapy failed or unacceptable side effects occurred. Patients who completed these induction trials then participated in IM-UNITI, in which the 397 patients who had a response to ustekinumab were randomly assigned to receive subcutaneous maintenance injections of 90 mg of ustekinumab (either every 8 weeks or every 12 weeks) or placebo. The primary end point for the induction trials was a clinical response at week 6 (defined as a decrease from baseline in the Crohn's Disease Activity Index [CDAI] score of ≥100 points or a CDAI score &lt;150). The primary end point for the maintenance trial was remission at week 44 (CDAI score &lt;150).\nRESULTS: The rates of response at week 6 among patients receiving intravenous ustekinumab at a dose of either 130 mg or approximately 6 mg per kilogram were significantly higher than the rates among patients receiving placebo (in UNITI-1, 34.3%, 33.7%, and 21.5%, respectively, with P≤0.003 for both comparisons with placebo; in UNITI-2, 51.7%, 55.5%, and 28.7%, respectively, with P&lt;0.001 for both doses). In the groups receiving maintenance doses of ustekinumab every 8 weeks or every 12 weeks, 53.1% and 48.8%, respectively, were in remission at week 44, as compared with 35.9% of those receiving placebo (P=0.005 and P=0.04, respectively). Within each trial, adverse-event rates were similar among treatment groups.\nCONCLUSIONS: Among patients with moderately to severely active Crohn's disease, those receiving intravenous ustekinumab had a significantly higher rate of response than did those receiving placebo. Subcutaneous ustekinumab maintained remission in patients who had a clinical response to induction therapy. (Funded by Janssen Research and Development; ClinicalTrials.gov numbers, NCT01369329 , NCT01369342 , and NCT01369355 .).","DOI":"10.1056/NEJMoa1602773","ISSN":"1533-4406","note":"PMID: 27959607","journalAbbreviation":"N. Engl. J. Med.","language":"eng","author":[{"family":"Feagan","given":"Brian G."},{"family":"Sandborn","given":"William J."},{"family":"Gasink","given":"Christopher"},{"family":"Jacobstein","given":"Douglas"},{"family":"Lang","given":"Yinghua"},{"family":"Friedman","given":"Joshua R."},{"family":"Blank","given":"Marion A."},{"family":"Johanns","given":"Jewel"},{"family":"Gao","given":"Long-Long"},{"family":"Miao","given":"Ye"},{"family":"Adedokun","given":"Omoniyi J."},{"family":"Sands","given":"Bruce E."},{"family":"Hanauer","given":"Stephen B."},{"family":"Vermeire","given":"Severine"},{"family":"Targan","given":"Stephan"},{"family":"Ghosh","given":"Subrata"},{"family":"Villiers","given":"Willem J.","non-dropping-particle":"de"},{"family":"Colombel","given":"Jean-Frédéric"},{"family":"Tulassay","given":"Zsolt"},{"family":"Seidler","given":"Ursula"},{"family":"Salzberg","given":"Bruce A."},{"family":"Desreumaux","given":"Pierre"},{"family":"Lee","given":"Scott D."},{"family":"Loftus","given":"Edward V."},{"family":"Dieleman","given":"Levinus A."},{"family":"Katz","given":"Seymour"},{"family":"Rutgeerts","given":"Paul"},{"literal":"UNITI–IM-UNITI Study Group"}],"issued":{"date-parts":[["2016"]],"season":"17"}}},{"id":258,"uris":["http://zotero.org/users/4672422/items/QTMQXVGL"],"uri":["http://zotero.org/users/4672422/items/QTMQXVGL"],"itemData":{"id":258,"type":"article-journal","title":"Ustekinumab for the treatment of patients with active ankylosing spondylitis: results of a 28-week, prospective, open-label, proof-of-concept study (TOPAS)","container-title":"Annals of the Rheumatic Diseases","page":"817-823","volume":"73","issue":"5","source":"Crossref","URL":"http://ard.bmj.com/lookup/doi/10.1136/annrheumdis-2013-204248","DOI":"10.1136/annrheumdis-2013-204248","ISSN":"0003-4967, 1468-2060","shortTitle":"Ustekinumab for the treatment of patients with active ankylosing spondylitis","language":"en","author":[{"family":"Poddubnyy","given":"Denis"},{"family":"Hermann","given":"Kay-Geert A"},{"family":"Callhoff","given":"Johanna"},{"family":"Listing","given":"Joachim"},{"family":"Sieper","given":"Joachim"}],"issued":{"date-parts":[["2014",5]]},"accessed":{"date-parts":[["2018",5,9]]}}},{"id":257,"uris":["http://zotero.org/users/4672422/items/WHAR3X6M"],"uri":["http://zotero.org/users/4672422/items/WHAR3X6M"],"itemData":{"id":257,"type":"article-journal","title":"Ustekinumab in the Treatment of Psoriasis and Psoriatic Arthritis","container-title":"Rheumatology and Therapy","page":"1-16","volume":"2","issue":"1","source":"Crossref","URL":"http://link.springer.com/10.1007/s40744-015-0010-2","DOI":"10.1007/s40744-015-0010-2","ISSN":"2198-6576, 2198-6584","language":"en","author":[{"family":"Savage","given":"Laura J."},{"family":"Wittmann","given":"Miriam"},{"family":"McGonagle","given":"Dennis"},{"family":"Helliwell","given":"Philip S."}],"issued":{"date-parts":[["2015",6]]},"accessed":{"date-parts":[["2018",5,9]]}}}],"schema":"https://github.com/citation-style-language/schema/raw/master/csl-citation.json"} </w:instrText>
            </w:r>
            <w:r w:rsidRPr="005B1A16">
              <w:rPr>
                <w:rFonts w:ascii="Book Antiqua" w:hAnsi="Book Antiqua"/>
                <w:color w:val="000000" w:themeColor="text1"/>
              </w:rPr>
              <w:fldChar w:fldCharType="separate"/>
            </w:r>
            <w:r w:rsidRPr="005B1A16">
              <w:rPr>
                <w:rFonts w:ascii="Book Antiqua" w:hAnsi="Book Antiqua"/>
                <w:color w:val="000000" w:themeColor="text1"/>
                <w:vertAlign w:val="superscript"/>
                <w:lang w:val="en-US"/>
              </w:rPr>
              <w:t>[50,125,126]</w:t>
            </w:r>
            <w:r w:rsidRPr="005B1A16">
              <w:rPr>
                <w:rFonts w:ascii="Book Antiqua" w:hAnsi="Book Antiqua"/>
                <w:color w:val="000000" w:themeColor="text1"/>
              </w:rPr>
              <w:fldChar w:fldCharType="end"/>
            </w:r>
          </w:p>
        </w:tc>
        <w:tc>
          <w:tcPr>
            <w:tcW w:w="1367" w:type="dxa"/>
          </w:tcPr>
          <w:p w14:paraId="019A27DD"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Fully human monoclonal antibody against P40 sub-unit of IL-12 and IL-23</w:t>
            </w:r>
          </w:p>
        </w:tc>
        <w:tc>
          <w:tcPr>
            <w:tcW w:w="781" w:type="dxa"/>
          </w:tcPr>
          <w:p w14:paraId="11F7E7EF" w14:textId="77777777" w:rsidR="006555F2" w:rsidRPr="005B1A16" w:rsidRDefault="006555F2" w:rsidP="005B1A16">
            <w:pPr>
              <w:spacing w:line="360" w:lineRule="auto"/>
              <w:jc w:val="both"/>
              <w:rPr>
                <w:rFonts w:ascii="Book Antiqua" w:hAnsi="Book Antiqua"/>
                <w:color w:val="000000" w:themeColor="text1"/>
              </w:rPr>
            </w:pPr>
          </w:p>
        </w:tc>
        <w:tc>
          <w:tcPr>
            <w:tcW w:w="920" w:type="dxa"/>
          </w:tcPr>
          <w:p w14:paraId="6E897A77"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497" w:type="dxa"/>
          </w:tcPr>
          <w:p w14:paraId="2B2C06E1"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w:t>
            </w:r>
          </w:p>
        </w:tc>
        <w:tc>
          <w:tcPr>
            <w:tcW w:w="1337" w:type="dxa"/>
          </w:tcPr>
          <w:p w14:paraId="5310A726"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c>
          <w:tcPr>
            <w:tcW w:w="1070" w:type="dxa"/>
          </w:tcPr>
          <w:p w14:paraId="40E94C99"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rPr>
              <w:t>x</w:t>
            </w:r>
          </w:p>
        </w:tc>
      </w:tr>
    </w:tbl>
    <w:p w14:paraId="1695D877" w14:textId="77777777" w:rsidR="00F716F0" w:rsidRPr="005B1A16" w:rsidRDefault="000E3B4F" w:rsidP="005B1A16">
      <w:pPr>
        <w:spacing w:line="360" w:lineRule="auto"/>
        <w:jc w:val="both"/>
        <w:rPr>
          <w:rFonts w:ascii="Book Antiqua" w:eastAsia="SimSun" w:hAnsi="Book Antiqua"/>
          <w:color w:val="000000" w:themeColor="text1"/>
          <w:lang w:eastAsia="zh-CN"/>
        </w:rPr>
      </w:pPr>
      <w:r w:rsidRPr="005B1A16">
        <w:rPr>
          <w:rFonts w:ascii="Book Antiqua" w:eastAsia="SimSun" w:hAnsi="Book Antiqua"/>
          <w:b/>
          <w:color w:val="000000" w:themeColor="text1"/>
          <w:vertAlign w:val="superscript"/>
          <w:lang w:eastAsia="zh-CN"/>
        </w:rPr>
        <w:t>1</w:t>
      </w:r>
      <w:r w:rsidR="006555F2" w:rsidRPr="005B1A16">
        <w:rPr>
          <w:rFonts w:ascii="Book Antiqua" w:hAnsi="Book Antiqua"/>
          <w:color w:val="000000" w:themeColor="text1"/>
        </w:rPr>
        <w:t>Infliximab</w:t>
      </w:r>
      <w:r w:rsidR="006555F2" w:rsidRPr="005B1A16">
        <w:rPr>
          <w:rFonts w:ascii="Book Antiqua" w:hAnsi="Book Antiqua"/>
          <w:b/>
          <w:color w:val="000000" w:themeColor="text1"/>
          <w:vertAlign w:val="superscript"/>
        </w:rPr>
        <w:t xml:space="preserve"> </w:t>
      </w:r>
      <w:r w:rsidR="006555F2" w:rsidRPr="005B1A16">
        <w:rPr>
          <w:rFonts w:ascii="Book Antiqua" w:hAnsi="Book Antiqua"/>
          <w:color w:val="000000" w:themeColor="text1"/>
        </w:rPr>
        <w:t>is the only biologic which has been evaluated to be an effective ‘rescue’ agent. Evidence is lacki</w:t>
      </w:r>
      <w:r w:rsidRPr="005B1A16">
        <w:rPr>
          <w:rFonts w:ascii="Book Antiqua" w:hAnsi="Book Antiqua"/>
          <w:color w:val="000000" w:themeColor="text1"/>
        </w:rPr>
        <w:t>ng for the remaining biologics</w:t>
      </w:r>
      <w:r w:rsidRPr="005B1A16">
        <w:rPr>
          <w:rFonts w:ascii="Book Antiqua" w:eastAsia="SimSun" w:hAnsi="Book Antiqua"/>
          <w:color w:val="000000" w:themeColor="text1"/>
          <w:lang w:eastAsia="zh-CN"/>
        </w:rPr>
        <w:t xml:space="preserve">; </w:t>
      </w:r>
      <w:r w:rsidRPr="005B1A16">
        <w:rPr>
          <w:rFonts w:ascii="Book Antiqua" w:eastAsia="SimSun" w:hAnsi="Book Antiqua"/>
          <w:b/>
          <w:color w:val="000000" w:themeColor="text1"/>
          <w:vertAlign w:val="superscript"/>
          <w:lang w:eastAsia="zh-CN"/>
        </w:rPr>
        <w:t>2</w:t>
      </w:r>
      <w:r w:rsidR="006555F2" w:rsidRPr="005B1A16">
        <w:rPr>
          <w:rFonts w:ascii="Book Antiqua" w:hAnsi="Book Antiqua"/>
          <w:color w:val="000000" w:themeColor="text1"/>
        </w:rPr>
        <w:t>Improvement in fistulizing disease was evaluated as a primary outcome only in infliximab. Efficacy was otherwise determined indirectly from secondary outcomes, subgroup analyses and small scale studi</w:t>
      </w:r>
      <w:r w:rsidRPr="005B1A16">
        <w:rPr>
          <w:rFonts w:ascii="Book Antiqua" w:hAnsi="Book Antiqua"/>
          <w:color w:val="000000" w:themeColor="text1"/>
        </w:rPr>
        <w:t>es for the remaining biologics</w:t>
      </w:r>
      <w:r w:rsidRPr="005B1A16">
        <w:rPr>
          <w:rFonts w:ascii="Book Antiqua" w:eastAsia="SimSun" w:hAnsi="Book Antiqua"/>
          <w:color w:val="000000" w:themeColor="text1"/>
          <w:lang w:eastAsia="zh-CN"/>
        </w:rPr>
        <w:t xml:space="preserve">; </w:t>
      </w:r>
      <w:r w:rsidRPr="005B1A16">
        <w:rPr>
          <w:rFonts w:ascii="Book Antiqua" w:eastAsia="SimSun" w:hAnsi="Book Antiqua"/>
          <w:b/>
          <w:color w:val="000000" w:themeColor="text1"/>
          <w:vertAlign w:val="superscript"/>
          <w:lang w:eastAsia="zh-CN"/>
        </w:rPr>
        <w:t>3</w:t>
      </w:r>
      <w:r w:rsidR="006555F2" w:rsidRPr="005B1A16">
        <w:rPr>
          <w:rFonts w:ascii="Book Antiqua" w:hAnsi="Book Antiqua"/>
          <w:color w:val="000000" w:themeColor="text1"/>
        </w:rPr>
        <w:t xml:space="preserve">Consider the use of vedolizumab as a first-line biologic agent in patients at high risk for infectious complications. Vedolizumab has a slower onset of action (approximately 6-8 </w:t>
      </w:r>
      <w:r w:rsidR="00CB4601" w:rsidRPr="005B1A16">
        <w:rPr>
          <w:rFonts w:ascii="Book Antiqua" w:eastAsia="SimSun" w:hAnsi="Book Antiqua"/>
          <w:color w:val="000000" w:themeColor="text1"/>
          <w:lang w:eastAsia="zh-CN"/>
        </w:rPr>
        <w:t>wk</w:t>
      </w:r>
      <w:r w:rsidR="006555F2" w:rsidRPr="005B1A16">
        <w:rPr>
          <w:rFonts w:ascii="Book Antiqua" w:hAnsi="Book Antiqua"/>
          <w:color w:val="000000" w:themeColor="text1"/>
        </w:rPr>
        <w:t xml:space="preserve">) as </w:t>
      </w:r>
      <w:r w:rsidRPr="005B1A16">
        <w:rPr>
          <w:rFonts w:ascii="Book Antiqua" w:hAnsi="Book Antiqua"/>
          <w:color w:val="000000" w:themeColor="text1"/>
        </w:rPr>
        <w:t>compared to alternate biologics</w:t>
      </w:r>
      <w:r w:rsidRPr="005B1A16">
        <w:rPr>
          <w:rFonts w:ascii="Book Antiqua" w:eastAsia="SimSun" w:hAnsi="Book Antiqua"/>
          <w:color w:val="000000" w:themeColor="text1"/>
          <w:lang w:eastAsia="zh-CN"/>
        </w:rPr>
        <w:t xml:space="preserve">; </w:t>
      </w:r>
      <w:r w:rsidRPr="005B1A16">
        <w:rPr>
          <w:rFonts w:ascii="Book Antiqua" w:eastAsia="SimSun" w:hAnsi="Book Antiqua"/>
          <w:b/>
          <w:color w:val="000000" w:themeColor="text1"/>
          <w:vertAlign w:val="superscript"/>
          <w:lang w:eastAsia="zh-CN"/>
        </w:rPr>
        <w:t>4</w:t>
      </w:r>
      <w:r w:rsidR="006555F2" w:rsidRPr="005B1A16">
        <w:rPr>
          <w:rFonts w:ascii="Book Antiqua" w:hAnsi="Book Antiqua"/>
          <w:color w:val="000000" w:themeColor="text1"/>
        </w:rPr>
        <w:t>Use of natalizumab is contraindicated if the patient is JC virus antibody positive due to the risk of progressive multifocal leukoencephalopathy.</w:t>
      </w:r>
      <w:r w:rsidRPr="005B1A16">
        <w:rPr>
          <w:rFonts w:ascii="Book Antiqua" w:eastAsia="SimSun" w:hAnsi="Book Antiqua"/>
          <w:color w:val="000000" w:themeColor="text1"/>
          <w:lang w:eastAsia="zh-CN"/>
        </w:rPr>
        <w:t xml:space="preserve"> UD:</w:t>
      </w:r>
      <w:r w:rsidRPr="005B1A16">
        <w:rPr>
          <w:rFonts w:ascii="Book Antiqua" w:hAnsi="Book Antiqua"/>
          <w:color w:val="000000" w:themeColor="text1"/>
        </w:rPr>
        <w:t xml:space="preserve"> Ulcerative colitis</w:t>
      </w:r>
      <w:r w:rsidRPr="005B1A16">
        <w:rPr>
          <w:rFonts w:ascii="Book Antiqua" w:eastAsia="SimSun" w:hAnsi="Book Antiqua"/>
          <w:color w:val="000000" w:themeColor="text1"/>
          <w:lang w:eastAsia="zh-CN"/>
        </w:rPr>
        <w:t>;</w:t>
      </w:r>
      <w:r w:rsidRPr="005B1A16">
        <w:rPr>
          <w:rFonts w:ascii="Book Antiqua" w:hAnsi="Book Antiqua"/>
          <w:color w:val="000000" w:themeColor="text1"/>
        </w:rPr>
        <w:t xml:space="preserve"> CD</w:t>
      </w:r>
      <w:r w:rsidRPr="005B1A16">
        <w:rPr>
          <w:rFonts w:ascii="Book Antiqua" w:eastAsia="SimSun" w:hAnsi="Book Antiqua"/>
          <w:color w:val="000000" w:themeColor="text1"/>
          <w:lang w:eastAsia="zh-CN"/>
        </w:rPr>
        <w:t>:</w:t>
      </w:r>
      <w:r w:rsidRPr="005B1A16">
        <w:rPr>
          <w:rFonts w:ascii="Book Antiqua" w:hAnsi="Book Antiqua"/>
          <w:color w:val="000000" w:themeColor="text1"/>
        </w:rPr>
        <w:t xml:space="preserve"> Crohn’s disease</w:t>
      </w:r>
      <w:r w:rsidRPr="005B1A16">
        <w:rPr>
          <w:rFonts w:ascii="Book Antiqua" w:eastAsia="SimSun" w:hAnsi="Book Antiqua"/>
          <w:color w:val="000000" w:themeColor="text1"/>
          <w:lang w:eastAsia="zh-CN"/>
        </w:rPr>
        <w:t>.</w:t>
      </w:r>
    </w:p>
    <w:p w14:paraId="03963A06" w14:textId="77777777" w:rsidR="00F716F0" w:rsidRPr="005B1A16" w:rsidRDefault="00F716F0" w:rsidP="005B1A16">
      <w:pPr>
        <w:spacing w:line="360" w:lineRule="auto"/>
        <w:jc w:val="both"/>
        <w:rPr>
          <w:rFonts w:ascii="Book Antiqua" w:eastAsia="SimSun" w:hAnsi="Book Antiqua"/>
          <w:color w:val="000000" w:themeColor="text1"/>
          <w:lang w:eastAsia="zh-CN"/>
        </w:rPr>
      </w:pPr>
    </w:p>
    <w:p w14:paraId="4A1FD956" w14:textId="77777777" w:rsidR="00F716F0" w:rsidRPr="005B1A16" w:rsidRDefault="00F716F0" w:rsidP="005B1A16">
      <w:pPr>
        <w:spacing w:line="360" w:lineRule="auto"/>
        <w:jc w:val="both"/>
        <w:rPr>
          <w:rFonts w:ascii="Book Antiqua" w:hAnsi="Book Antiqua"/>
          <w:b/>
          <w:color w:val="000000" w:themeColor="text1"/>
        </w:rPr>
      </w:pPr>
      <w:r w:rsidRPr="005B1A16">
        <w:rPr>
          <w:rFonts w:ascii="Book Antiqua" w:hAnsi="Book Antiqua"/>
          <w:b/>
          <w:color w:val="000000" w:themeColor="text1"/>
        </w:rPr>
        <w:br w:type="page"/>
      </w:r>
    </w:p>
    <w:p w14:paraId="74D80289" w14:textId="23CBDFD6" w:rsidR="006555F2" w:rsidRPr="005B1A16" w:rsidRDefault="006555F2" w:rsidP="005B1A16">
      <w:pPr>
        <w:spacing w:line="360" w:lineRule="auto"/>
        <w:jc w:val="both"/>
        <w:rPr>
          <w:rFonts w:ascii="Book Antiqua" w:eastAsia="SimSun" w:hAnsi="Book Antiqua"/>
          <w:b/>
          <w:color w:val="000000" w:themeColor="text1"/>
          <w:lang w:eastAsia="zh-CN"/>
        </w:rPr>
      </w:pPr>
      <w:r w:rsidRPr="005B1A16">
        <w:rPr>
          <w:rFonts w:ascii="Book Antiqua" w:hAnsi="Book Antiqua"/>
          <w:b/>
          <w:color w:val="000000" w:themeColor="text1"/>
        </w:rPr>
        <w:lastRenderedPageBreak/>
        <w:t>Table 3 Recommendations for treating to target in Crohn’s disease</w:t>
      </w:r>
      <w:r w:rsidR="003A2A97">
        <w:rPr>
          <w:rFonts w:ascii="Book Antiqua" w:eastAsia="SimSun" w:hAnsi="Book Antiqua" w:hint="eastAsia"/>
          <w:b/>
          <w:color w:val="000000" w:themeColor="text1"/>
          <w:lang w:eastAsia="zh-CN"/>
        </w:rPr>
        <w:t xml:space="preserve"> </w:t>
      </w:r>
      <w:r w:rsidRPr="005B1A16">
        <w:rPr>
          <w:rFonts w:ascii="Book Antiqua" w:hAnsi="Book Antiqua"/>
          <w:b/>
          <w:color w:val="000000" w:themeColor="text1"/>
        </w:rPr>
        <w:t>by the International Organization for the Study of Inflammatory Bowel Diseases</w:t>
      </w:r>
      <w:r w:rsidRPr="005B1A16">
        <w:rPr>
          <w:rFonts w:ascii="Book Antiqua" w:hAnsi="Book Antiqua"/>
          <w:b/>
          <w:color w:val="000000" w:themeColor="text1"/>
        </w:rPr>
        <w:fldChar w:fldCharType="begin"/>
      </w:r>
      <w:r w:rsidRPr="005B1A16">
        <w:rPr>
          <w:rFonts w:ascii="Book Antiqua" w:hAnsi="Book Antiqua"/>
          <w:b/>
          <w:color w:val="000000" w:themeColor="text1"/>
        </w:rPr>
        <w:instrText xml:space="preserve"> ADDIN ZOTERO_ITEM CSL_CITATION {"citationID":"a1li2l2ukfm","properties":{"formattedCitation":"\\super [19]\\nosupersub{}","plainCitation":"[19]","noteIndex":0},"citationItems":[{"id":40,"uris":["http://zotero.org/users/4672422/items/TS32XL45"],"uri":["http://zotero.org/users/4672422/items/TS32XL45"],"itemData":{"id":40,"type":"article-journal","title":"Selecting Therapeutic Targets in Inflammatory Bowel Disease (STRIDE): Determining Therapeutic Goals for Treat-to-Target","container-title":"The American Journal of Gastroenterology","page":"1324-1338","volume":"110","issue":"9","source":"PubMed","abstract":"OBJECTIVES: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\"treat-to-target\" clinical management strategy using an evidence-based expert consensus process.\nMETHODS: A Steering Committee of 28 IBD specialists developed recommendations based on a systematic literature review and expert opinion. Consensus was gained if ≥75% of participants scored the recommendation as 7-10 on a 10-point rating scale (where 10=agree completely).\nRESULTS: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target.\nCONCLUSIONS: Evidence- and consensus-based recommendations for selecting the goals for treat-to-target strategies in patients with IBD are made available. Prospective studies are needed to determine how these targets will change disease course and patients' quality of life.","DOI":"10.1038/ajg.2015.233","ISSN":"1572-0241","note":"PMID: 26303131","shortTitle":"Selecting Therapeutic Targets in Inflammatory Bowel Disease (STRIDE)","journalAbbreviation":"Am. J. Gastroenterol.","language":"eng","author":[{"family":"Peyrin-Biroulet","given":"L."},{"family":"Sandborn","given":"W."},{"family":"Sands","given":"B.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F."}],"issued":{"date-parts":[["2015",9]]}}}],"schema":"https://github.com/citation-style-language/schema/raw/master/csl-citation.json"} </w:instrText>
      </w:r>
      <w:r w:rsidRPr="005B1A16">
        <w:rPr>
          <w:rFonts w:ascii="Book Antiqua" w:hAnsi="Book Antiqua"/>
          <w:b/>
          <w:color w:val="000000" w:themeColor="text1"/>
        </w:rPr>
        <w:fldChar w:fldCharType="separate"/>
      </w:r>
      <w:r w:rsidRPr="005B1A16">
        <w:rPr>
          <w:rFonts w:ascii="Book Antiqua" w:hAnsi="Book Antiqua" w:cs="Calibri"/>
          <w:b/>
          <w:color w:val="000000" w:themeColor="text1"/>
          <w:vertAlign w:val="superscript"/>
        </w:rPr>
        <w:t>[19]</w:t>
      </w:r>
      <w:r w:rsidRPr="005B1A16">
        <w:rPr>
          <w:rFonts w:ascii="Book Antiqua" w:hAnsi="Book Antiqua"/>
          <w:b/>
          <w:color w:val="000000" w:themeColor="text1"/>
        </w:rPr>
        <w:fldChar w:fldCharType="end"/>
      </w:r>
    </w:p>
    <w:tbl>
      <w:tblPr>
        <w:tblStyle w:val="PlainTable11"/>
        <w:tblW w:w="9049" w:type="dxa"/>
        <w:tblLook w:val="0420" w:firstRow="1" w:lastRow="0" w:firstColumn="0" w:lastColumn="0" w:noHBand="0" w:noVBand="1"/>
      </w:tblPr>
      <w:tblGrid>
        <w:gridCol w:w="4513"/>
        <w:gridCol w:w="4536"/>
      </w:tblGrid>
      <w:tr w:rsidR="006555F2" w:rsidRPr="005B1A16" w14:paraId="5C9DBB3A" w14:textId="77777777" w:rsidTr="00B45639">
        <w:trPr>
          <w:cnfStyle w:val="100000000000" w:firstRow="1" w:lastRow="0" w:firstColumn="0" w:lastColumn="0" w:oddVBand="0" w:evenVBand="0" w:oddHBand="0" w:evenHBand="0" w:firstRowFirstColumn="0" w:firstRowLastColumn="0" w:lastRowFirstColumn="0" w:lastRowLastColumn="0"/>
          <w:trHeight w:val="504"/>
        </w:trPr>
        <w:tc>
          <w:tcPr>
            <w:tcW w:w="45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E63250" w14:textId="59BDAF72"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lang w:val="en-GB"/>
              </w:rPr>
              <w:t xml:space="preserve">Crohn’s </w:t>
            </w:r>
            <w:r w:rsidR="00F716F0" w:rsidRPr="005B1A16">
              <w:rPr>
                <w:rFonts w:ascii="Book Antiqua" w:hAnsi="Book Antiqua"/>
                <w:color w:val="000000" w:themeColor="text1"/>
                <w:lang w:val="en-GB"/>
              </w:rPr>
              <w:t>disease</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24FA29" w14:textId="329D67AA"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color w:val="000000" w:themeColor="text1"/>
                <w:lang w:val="en-GB"/>
              </w:rPr>
              <w:t xml:space="preserve">Ulcerative </w:t>
            </w:r>
            <w:r w:rsidR="00F716F0" w:rsidRPr="005B1A16">
              <w:rPr>
                <w:rFonts w:ascii="Book Antiqua" w:hAnsi="Book Antiqua"/>
                <w:color w:val="000000" w:themeColor="text1"/>
                <w:lang w:val="en-GB"/>
              </w:rPr>
              <w:t>colitis</w:t>
            </w:r>
          </w:p>
        </w:tc>
      </w:tr>
      <w:tr w:rsidR="006555F2" w:rsidRPr="005B1A16" w14:paraId="582B85DD" w14:textId="77777777" w:rsidTr="00B45639">
        <w:trPr>
          <w:cnfStyle w:val="000000100000" w:firstRow="0" w:lastRow="0" w:firstColumn="0" w:lastColumn="0" w:oddVBand="0" w:evenVBand="0" w:oddHBand="1" w:evenHBand="0" w:firstRowFirstColumn="0" w:firstRowLastColumn="0" w:lastRowFirstColumn="0" w:lastRowLastColumn="0"/>
          <w:trHeight w:val="504"/>
        </w:trPr>
        <w:tc>
          <w:tcPr>
            <w:tcW w:w="90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49316" w14:textId="77777777" w:rsidR="006555F2" w:rsidRPr="005B1A16" w:rsidRDefault="006555F2" w:rsidP="005B1A16">
            <w:pPr>
              <w:spacing w:line="360" w:lineRule="auto"/>
              <w:jc w:val="both"/>
              <w:rPr>
                <w:rFonts w:ascii="Book Antiqua" w:eastAsia="SimSun" w:hAnsi="Book Antiqua"/>
                <w:color w:val="000000" w:themeColor="text1"/>
                <w:lang w:eastAsia="zh-CN"/>
              </w:rPr>
            </w:pPr>
            <w:r w:rsidRPr="005B1A16">
              <w:rPr>
                <w:rFonts w:ascii="Book Antiqua" w:hAnsi="Book Antiqua"/>
                <w:b/>
                <w:bCs/>
                <w:color w:val="000000" w:themeColor="text1"/>
                <w:lang w:val="en-GB"/>
              </w:rPr>
              <w:t>The consensus target is a combination of:</w:t>
            </w:r>
          </w:p>
        </w:tc>
      </w:tr>
      <w:tr w:rsidR="006555F2" w:rsidRPr="005B1A16" w14:paraId="48C6A408" w14:textId="77777777" w:rsidTr="00B45639">
        <w:trPr>
          <w:trHeight w:val="3439"/>
        </w:trPr>
        <w:tc>
          <w:tcPr>
            <w:tcW w:w="45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B4515" w14:textId="554CB6B3"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bCs/>
                <w:color w:val="000000" w:themeColor="text1"/>
                <w:lang w:val="en-GB"/>
              </w:rPr>
              <w:t xml:space="preserve">Clinical / </w:t>
            </w:r>
            <w:r w:rsidR="00F716F0" w:rsidRPr="005B1A16">
              <w:rPr>
                <w:rFonts w:ascii="Book Antiqua" w:eastAsia="SimSun" w:hAnsi="Book Antiqua"/>
                <w:bCs/>
                <w:color w:val="000000" w:themeColor="text1"/>
                <w:vertAlign w:val="superscript"/>
                <w:lang w:val="en-GB" w:eastAsia="zh-CN"/>
              </w:rPr>
              <w:t>1</w:t>
            </w:r>
            <w:r w:rsidRPr="005B1A16">
              <w:rPr>
                <w:rFonts w:ascii="Book Antiqua" w:hAnsi="Book Antiqua"/>
                <w:bCs/>
                <w:color w:val="000000" w:themeColor="text1"/>
                <w:lang w:val="en-GB"/>
              </w:rPr>
              <w:t xml:space="preserve">PRO remission defined as resolution of abdominal pain and diarrhea or altered bowel habits which should be assessed every 3 </w:t>
            </w:r>
            <w:r w:rsidR="00AD7E30" w:rsidRPr="005B1A16">
              <w:rPr>
                <w:rFonts w:ascii="Book Antiqua" w:eastAsia="SimSun" w:hAnsi="Book Antiqua"/>
                <w:bCs/>
                <w:color w:val="000000" w:themeColor="text1"/>
                <w:lang w:val="en-GB" w:eastAsia="zh-CN"/>
              </w:rPr>
              <w:t>mo</w:t>
            </w:r>
            <w:r w:rsidRPr="005B1A16">
              <w:rPr>
                <w:rFonts w:ascii="Book Antiqua" w:hAnsi="Book Antiqua"/>
                <w:bCs/>
                <w:color w:val="000000" w:themeColor="text1"/>
                <w:lang w:val="en-GB"/>
              </w:rPr>
              <w:t xml:space="preserve"> until resolution then 6-12 </w:t>
            </w:r>
            <w:r w:rsidR="00AD7E30" w:rsidRPr="005B1A16">
              <w:rPr>
                <w:rFonts w:ascii="Book Antiqua" w:eastAsia="SimSun" w:hAnsi="Book Antiqua"/>
                <w:bCs/>
                <w:color w:val="000000" w:themeColor="text1"/>
                <w:lang w:val="en-GB" w:eastAsia="zh-CN"/>
              </w:rPr>
              <w:t>mo</w:t>
            </w:r>
            <w:r w:rsidRPr="005B1A16">
              <w:rPr>
                <w:rFonts w:ascii="Book Antiqua" w:hAnsi="Book Antiqua"/>
                <w:bCs/>
                <w:color w:val="000000" w:themeColor="text1"/>
                <w:lang w:val="en-GB"/>
              </w:rPr>
              <w:t xml:space="preserve"> thereafter.</w:t>
            </w:r>
          </w:p>
          <w:p w14:paraId="6355E947"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bCs/>
                <w:color w:val="000000" w:themeColor="text1"/>
                <w:lang w:val="en-GB"/>
              </w:rPr>
              <w:t xml:space="preserve">and </w:t>
            </w:r>
          </w:p>
          <w:p w14:paraId="71E340E6" w14:textId="1098352F" w:rsidR="006555F2" w:rsidRPr="005B1A16" w:rsidRDefault="006555F2" w:rsidP="00F96345">
            <w:pPr>
              <w:spacing w:line="360" w:lineRule="auto"/>
              <w:jc w:val="both"/>
              <w:rPr>
                <w:rFonts w:ascii="Book Antiqua" w:hAnsi="Book Antiqua"/>
                <w:color w:val="000000" w:themeColor="text1"/>
              </w:rPr>
            </w:pPr>
            <w:r w:rsidRPr="005B1A16">
              <w:rPr>
                <w:rFonts w:ascii="Book Antiqua" w:hAnsi="Book Antiqua"/>
                <w:bCs/>
                <w:color w:val="000000" w:themeColor="text1"/>
                <w:lang w:val="en-GB"/>
              </w:rPr>
              <w:t>Endoscopic remission</w:t>
            </w:r>
            <w:r w:rsidR="00F96345" w:rsidRPr="00F96345">
              <w:rPr>
                <w:rFonts w:ascii="Book Antiqua" w:eastAsiaTheme="minorEastAsia" w:hAnsi="Book Antiqua" w:hint="eastAsia"/>
                <w:bCs/>
                <w:color w:val="000000" w:themeColor="text1"/>
                <w:vertAlign w:val="superscript"/>
                <w:lang w:val="en-GB" w:eastAsia="zh-CN"/>
              </w:rPr>
              <w:t>2</w:t>
            </w:r>
            <w:r w:rsidRPr="005B1A16">
              <w:rPr>
                <w:rFonts w:ascii="Book Antiqua" w:hAnsi="Book Antiqua"/>
                <w:bCs/>
                <w:color w:val="000000" w:themeColor="text1"/>
                <w:lang w:val="en-GB"/>
              </w:rPr>
              <w:t xml:space="preserve"> defined as resolution of ulceration at ileocolonoscopy which should be assessed at 6–9 </w:t>
            </w:r>
            <w:r w:rsidR="00AD7E30" w:rsidRPr="005B1A16">
              <w:rPr>
                <w:rFonts w:ascii="Book Antiqua" w:eastAsia="SimSun" w:hAnsi="Book Antiqua"/>
                <w:bCs/>
                <w:color w:val="000000" w:themeColor="text1"/>
                <w:lang w:val="en-GB" w:eastAsia="zh-CN"/>
              </w:rPr>
              <w:t>mo</w:t>
            </w:r>
            <w:r w:rsidRPr="005B1A16">
              <w:rPr>
                <w:rFonts w:ascii="Book Antiqua" w:hAnsi="Book Antiqua"/>
                <w:bCs/>
                <w:color w:val="000000" w:themeColor="text1"/>
                <w:lang w:val="en-GB"/>
              </w:rPr>
              <w:t xml:space="preserve"> intervals during the active phase</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DBE47" w14:textId="4C6360F3"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bCs/>
                <w:color w:val="000000" w:themeColor="text1"/>
                <w:lang w:val="en-GB"/>
              </w:rPr>
              <w:t xml:space="preserve">Clinical / </w:t>
            </w:r>
            <w:r w:rsidR="00F716F0" w:rsidRPr="005B1A16">
              <w:rPr>
                <w:rFonts w:ascii="Book Antiqua" w:eastAsia="SimSun" w:hAnsi="Book Antiqua"/>
                <w:bCs/>
                <w:color w:val="000000" w:themeColor="text1"/>
                <w:vertAlign w:val="superscript"/>
                <w:lang w:val="en-GB" w:eastAsia="zh-CN"/>
              </w:rPr>
              <w:t>1</w:t>
            </w:r>
            <w:r w:rsidRPr="005B1A16">
              <w:rPr>
                <w:rFonts w:ascii="Book Antiqua" w:hAnsi="Book Antiqua"/>
                <w:bCs/>
                <w:color w:val="000000" w:themeColor="text1"/>
                <w:lang w:val="en-GB"/>
              </w:rPr>
              <w:t xml:space="preserve">PRO remission defined as resolution of rectal bleeding and diarrhea or altered bowel habits which should be assessed every 3 </w:t>
            </w:r>
            <w:r w:rsidR="00AD7E30" w:rsidRPr="005B1A16">
              <w:rPr>
                <w:rFonts w:ascii="Book Antiqua" w:eastAsia="SimSun" w:hAnsi="Book Antiqua"/>
                <w:bCs/>
                <w:color w:val="000000" w:themeColor="text1"/>
                <w:lang w:val="en-GB" w:eastAsia="zh-CN"/>
              </w:rPr>
              <w:t>mo</w:t>
            </w:r>
            <w:r w:rsidRPr="005B1A16">
              <w:rPr>
                <w:rFonts w:ascii="Book Antiqua" w:hAnsi="Book Antiqua"/>
                <w:bCs/>
                <w:color w:val="000000" w:themeColor="text1"/>
                <w:lang w:val="en-GB"/>
              </w:rPr>
              <w:t xml:space="preserve"> until resolution then 6-12 </w:t>
            </w:r>
            <w:r w:rsidR="00AD7E30" w:rsidRPr="005B1A16">
              <w:rPr>
                <w:rFonts w:ascii="Book Antiqua" w:eastAsia="SimSun" w:hAnsi="Book Antiqua"/>
                <w:bCs/>
                <w:color w:val="000000" w:themeColor="text1"/>
                <w:lang w:val="en-GB" w:eastAsia="zh-CN"/>
              </w:rPr>
              <w:t>mo</w:t>
            </w:r>
            <w:r w:rsidRPr="005B1A16">
              <w:rPr>
                <w:rFonts w:ascii="Book Antiqua" w:hAnsi="Book Antiqua"/>
                <w:bCs/>
                <w:color w:val="000000" w:themeColor="text1"/>
                <w:lang w:val="en-GB"/>
              </w:rPr>
              <w:t xml:space="preserve"> thereafter.</w:t>
            </w:r>
          </w:p>
          <w:p w14:paraId="79B973E5"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bCs/>
                <w:color w:val="000000" w:themeColor="text1"/>
                <w:lang w:val="en-GB"/>
              </w:rPr>
              <w:t xml:space="preserve">and </w:t>
            </w:r>
          </w:p>
          <w:p w14:paraId="5AA00AAE" w14:textId="68F3FFF1"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bCs/>
                <w:color w:val="000000" w:themeColor="text1"/>
                <w:lang w:val="en-GB"/>
              </w:rPr>
              <w:t>Endoscopic remission</w:t>
            </w:r>
            <w:r w:rsidR="00F716F0" w:rsidRPr="005B1A16">
              <w:rPr>
                <w:rFonts w:ascii="Book Antiqua" w:eastAsia="SimSun" w:hAnsi="Book Antiqua"/>
                <w:bCs/>
                <w:color w:val="000000" w:themeColor="text1"/>
                <w:vertAlign w:val="superscript"/>
                <w:lang w:val="en-GB" w:eastAsia="zh-CN"/>
              </w:rPr>
              <w:t>2</w:t>
            </w:r>
            <w:r w:rsidRPr="005B1A16">
              <w:rPr>
                <w:rFonts w:ascii="Book Antiqua" w:hAnsi="Book Antiqua"/>
                <w:bCs/>
                <w:color w:val="000000" w:themeColor="text1"/>
                <w:lang w:val="en-GB"/>
              </w:rPr>
              <w:t xml:space="preserve"> defined as resolution of friability and ulceration at flexible sigmoidoscopy or colonoscopy</w:t>
            </w:r>
            <w:r w:rsidR="00F716F0" w:rsidRPr="005B1A16">
              <w:rPr>
                <w:rFonts w:ascii="Book Antiqua" w:eastAsia="SimSun" w:hAnsi="Book Antiqua"/>
                <w:bCs/>
                <w:color w:val="000000" w:themeColor="text1"/>
                <w:vertAlign w:val="superscript"/>
                <w:lang w:val="en-GB" w:eastAsia="zh-CN"/>
              </w:rPr>
              <w:t>3</w:t>
            </w:r>
            <w:r w:rsidRPr="005B1A16">
              <w:rPr>
                <w:rFonts w:ascii="Book Antiqua" w:hAnsi="Book Antiqua"/>
                <w:bCs/>
                <w:color w:val="000000" w:themeColor="text1"/>
                <w:lang w:val="en-GB"/>
              </w:rPr>
              <w:t xml:space="preserve"> which should be assessed at 3 </w:t>
            </w:r>
            <w:r w:rsidR="00AD7E30" w:rsidRPr="005B1A16">
              <w:rPr>
                <w:rFonts w:ascii="Book Antiqua" w:eastAsia="SimSun" w:hAnsi="Book Antiqua"/>
                <w:bCs/>
                <w:color w:val="000000" w:themeColor="text1"/>
                <w:lang w:val="en-GB" w:eastAsia="zh-CN"/>
              </w:rPr>
              <w:t>mo</w:t>
            </w:r>
            <w:r w:rsidRPr="005B1A16">
              <w:rPr>
                <w:rFonts w:ascii="Book Antiqua" w:hAnsi="Book Antiqua"/>
                <w:bCs/>
                <w:color w:val="000000" w:themeColor="text1"/>
                <w:lang w:val="en-GB"/>
              </w:rPr>
              <w:t xml:space="preserve"> intervals during the active phase</w:t>
            </w:r>
          </w:p>
        </w:tc>
      </w:tr>
      <w:tr w:rsidR="0008169B" w:rsidRPr="005B1A16" w14:paraId="2A0E4878" w14:textId="77777777" w:rsidTr="00B45639">
        <w:trPr>
          <w:cnfStyle w:val="000000100000" w:firstRow="0" w:lastRow="0" w:firstColumn="0" w:lastColumn="0" w:oddVBand="0" w:evenVBand="0" w:oddHBand="1" w:evenHBand="0" w:firstRowFirstColumn="0" w:firstRowLastColumn="0" w:lastRowFirstColumn="0" w:lastRowLastColumn="0"/>
          <w:trHeight w:val="864"/>
        </w:trPr>
        <w:tc>
          <w:tcPr>
            <w:tcW w:w="90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F9330" w14:textId="77777777" w:rsidR="006555F2" w:rsidRPr="005B1A16" w:rsidRDefault="006555F2" w:rsidP="005B1A16">
            <w:pPr>
              <w:spacing w:line="360" w:lineRule="auto"/>
              <w:jc w:val="both"/>
              <w:rPr>
                <w:rFonts w:ascii="Book Antiqua" w:eastAsia="SimSun" w:hAnsi="Book Antiqua"/>
                <w:color w:val="000000" w:themeColor="text1"/>
                <w:lang w:eastAsia="zh-CN"/>
              </w:rPr>
            </w:pPr>
            <w:r w:rsidRPr="005B1A16">
              <w:rPr>
                <w:rFonts w:ascii="Book Antiqua" w:hAnsi="Book Antiqua"/>
                <w:b/>
                <w:bCs/>
                <w:color w:val="000000" w:themeColor="text1"/>
                <w:lang w:val="en-GB"/>
              </w:rPr>
              <w:t>Adjunctive measures of disease activity that may be useful in the management of selected patients but are not a treatment target include:</w:t>
            </w:r>
          </w:p>
        </w:tc>
      </w:tr>
      <w:tr w:rsidR="006555F2" w:rsidRPr="005B1A16" w14:paraId="17D35444" w14:textId="77777777" w:rsidTr="00B45639">
        <w:trPr>
          <w:trHeight w:val="1196"/>
        </w:trPr>
        <w:tc>
          <w:tcPr>
            <w:tcW w:w="45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8E2A1" w14:textId="77777777" w:rsidR="006555F2" w:rsidRPr="005B1A16" w:rsidRDefault="006555F2" w:rsidP="005B1A16">
            <w:pPr>
              <w:numPr>
                <w:ilvl w:val="1"/>
                <w:numId w:val="24"/>
              </w:numPr>
              <w:spacing w:line="360" w:lineRule="auto"/>
              <w:jc w:val="both"/>
              <w:rPr>
                <w:rFonts w:ascii="Book Antiqua" w:hAnsi="Book Antiqua"/>
                <w:color w:val="000000" w:themeColor="text1"/>
              </w:rPr>
            </w:pPr>
            <w:r w:rsidRPr="005B1A16">
              <w:rPr>
                <w:rFonts w:ascii="Book Antiqua" w:hAnsi="Book Antiqua"/>
                <w:bCs/>
                <w:color w:val="000000" w:themeColor="text1"/>
                <w:lang w:val="en-GB"/>
              </w:rPr>
              <w:t>Faecal calprotectin</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B1DD8" w14:textId="77777777" w:rsidR="006555F2" w:rsidRPr="005B1A16" w:rsidRDefault="006555F2" w:rsidP="005B1A16">
            <w:pPr>
              <w:numPr>
                <w:ilvl w:val="1"/>
                <w:numId w:val="24"/>
              </w:numPr>
              <w:spacing w:line="360" w:lineRule="auto"/>
              <w:jc w:val="both"/>
              <w:rPr>
                <w:rFonts w:ascii="Book Antiqua" w:hAnsi="Book Antiqua"/>
                <w:color w:val="000000" w:themeColor="text1"/>
              </w:rPr>
            </w:pPr>
            <w:r w:rsidRPr="005B1A16">
              <w:rPr>
                <w:rFonts w:ascii="Book Antiqua" w:hAnsi="Book Antiqua"/>
                <w:bCs/>
                <w:color w:val="000000" w:themeColor="text1"/>
                <w:lang w:val="en-GB"/>
              </w:rPr>
              <w:t>CRP</w:t>
            </w:r>
          </w:p>
          <w:p w14:paraId="67E4C73A" w14:textId="77777777" w:rsidR="006555F2" w:rsidRPr="005B1A16" w:rsidRDefault="006555F2" w:rsidP="005B1A16">
            <w:pPr>
              <w:numPr>
                <w:ilvl w:val="1"/>
                <w:numId w:val="24"/>
              </w:numPr>
              <w:spacing w:line="360" w:lineRule="auto"/>
              <w:jc w:val="both"/>
              <w:rPr>
                <w:rFonts w:ascii="Book Antiqua" w:hAnsi="Book Antiqua"/>
                <w:color w:val="000000" w:themeColor="text1"/>
              </w:rPr>
            </w:pPr>
            <w:r w:rsidRPr="005B1A16">
              <w:rPr>
                <w:rFonts w:ascii="Book Antiqua" w:hAnsi="Book Antiqua"/>
                <w:bCs/>
                <w:color w:val="000000" w:themeColor="text1"/>
                <w:lang w:val="en-GB"/>
              </w:rPr>
              <w:t>Faecal calprotectin</w:t>
            </w:r>
          </w:p>
          <w:p w14:paraId="4EBBDB27" w14:textId="77777777" w:rsidR="006555F2" w:rsidRPr="005B1A16" w:rsidRDefault="006555F2" w:rsidP="005B1A16">
            <w:pPr>
              <w:numPr>
                <w:ilvl w:val="1"/>
                <w:numId w:val="24"/>
              </w:numPr>
              <w:spacing w:line="360" w:lineRule="auto"/>
              <w:jc w:val="both"/>
              <w:rPr>
                <w:rFonts w:ascii="Book Antiqua" w:hAnsi="Book Antiqua"/>
                <w:color w:val="000000" w:themeColor="text1"/>
              </w:rPr>
            </w:pPr>
            <w:r w:rsidRPr="005B1A16">
              <w:rPr>
                <w:rFonts w:ascii="Book Antiqua" w:hAnsi="Book Antiqua"/>
                <w:bCs/>
                <w:color w:val="000000" w:themeColor="text1"/>
                <w:lang w:val="en-GB"/>
              </w:rPr>
              <w:t>Histology</w:t>
            </w:r>
          </w:p>
        </w:tc>
      </w:tr>
      <w:tr w:rsidR="006555F2" w:rsidRPr="005B1A16" w14:paraId="40DF5F58" w14:textId="77777777" w:rsidTr="00B45639">
        <w:trPr>
          <w:cnfStyle w:val="000000100000" w:firstRow="0" w:lastRow="0" w:firstColumn="0" w:lastColumn="0" w:oddVBand="0" w:evenVBand="0" w:oddHBand="1" w:evenHBand="0" w:firstRowFirstColumn="0" w:firstRowLastColumn="0" w:lastRowFirstColumn="0" w:lastRowLastColumn="0"/>
          <w:trHeight w:val="504"/>
        </w:trPr>
        <w:tc>
          <w:tcPr>
            <w:tcW w:w="90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47A2A" w14:textId="77777777" w:rsidR="006555F2" w:rsidRPr="005B1A16" w:rsidRDefault="006555F2" w:rsidP="005B1A16">
            <w:pPr>
              <w:spacing w:line="360" w:lineRule="auto"/>
              <w:jc w:val="both"/>
              <w:rPr>
                <w:rFonts w:ascii="Book Antiqua" w:hAnsi="Book Antiqua"/>
                <w:color w:val="000000" w:themeColor="text1"/>
              </w:rPr>
            </w:pPr>
            <w:r w:rsidRPr="005B1A16">
              <w:rPr>
                <w:rFonts w:ascii="Book Antiqua" w:hAnsi="Book Antiqua"/>
                <w:b/>
                <w:bCs/>
                <w:color w:val="000000" w:themeColor="text1"/>
                <w:lang w:val="en-GB"/>
              </w:rPr>
              <w:t>Measures of disease activity that are not a target:</w:t>
            </w:r>
          </w:p>
        </w:tc>
      </w:tr>
      <w:tr w:rsidR="006555F2" w:rsidRPr="005B1A16" w14:paraId="1224E924" w14:textId="77777777" w:rsidTr="00B45639">
        <w:trPr>
          <w:trHeight w:val="883"/>
        </w:trPr>
        <w:tc>
          <w:tcPr>
            <w:tcW w:w="45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994C0" w14:textId="77777777" w:rsidR="006555F2" w:rsidRPr="005B1A16" w:rsidRDefault="006555F2" w:rsidP="005B1A16">
            <w:pPr>
              <w:numPr>
                <w:ilvl w:val="1"/>
                <w:numId w:val="25"/>
              </w:numPr>
              <w:spacing w:line="360" w:lineRule="auto"/>
              <w:jc w:val="both"/>
              <w:rPr>
                <w:rFonts w:ascii="Book Antiqua" w:hAnsi="Book Antiqua"/>
                <w:color w:val="000000" w:themeColor="text1"/>
              </w:rPr>
            </w:pPr>
            <w:r w:rsidRPr="005B1A16">
              <w:rPr>
                <w:rFonts w:ascii="Book Antiqua" w:hAnsi="Book Antiqua"/>
                <w:bCs/>
                <w:color w:val="000000" w:themeColor="text1"/>
                <w:lang w:val="en-GB"/>
              </w:rPr>
              <w:t>Histology</w:t>
            </w:r>
          </w:p>
          <w:p w14:paraId="0BAC652B" w14:textId="77777777" w:rsidR="006555F2" w:rsidRPr="005B1A16" w:rsidRDefault="006555F2" w:rsidP="005B1A16">
            <w:pPr>
              <w:numPr>
                <w:ilvl w:val="1"/>
                <w:numId w:val="25"/>
              </w:numPr>
              <w:spacing w:line="360" w:lineRule="auto"/>
              <w:jc w:val="both"/>
              <w:rPr>
                <w:rFonts w:ascii="Book Antiqua" w:hAnsi="Book Antiqua"/>
                <w:color w:val="000000" w:themeColor="text1"/>
              </w:rPr>
            </w:pPr>
            <w:r w:rsidRPr="005B1A16">
              <w:rPr>
                <w:rFonts w:ascii="Book Antiqua" w:hAnsi="Book Antiqua"/>
                <w:bCs/>
                <w:color w:val="000000" w:themeColor="text1"/>
                <w:lang w:val="en-GB"/>
              </w:rPr>
              <w:t>Cross-sectional imaging</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1C6CF" w14:textId="77777777" w:rsidR="006555F2" w:rsidRPr="005B1A16" w:rsidRDefault="006555F2" w:rsidP="005B1A16">
            <w:pPr>
              <w:numPr>
                <w:ilvl w:val="1"/>
                <w:numId w:val="25"/>
              </w:numPr>
              <w:spacing w:line="360" w:lineRule="auto"/>
              <w:jc w:val="both"/>
              <w:rPr>
                <w:rFonts w:ascii="Book Antiqua" w:hAnsi="Book Antiqua"/>
                <w:color w:val="000000" w:themeColor="text1"/>
              </w:rPr>
            </w:pPr>
            <w:r w:rsidRPr="005B1A16">
              <w:rPr>
                <w:rFonts w:ascii="Book Antiqua" w:hAnsi="Book Antiqua"/>
                <w:bCs/>
                <w:color w:val="000000" w:themeColor="text1"/>
                <w:lang w:val="en-GB"/>
              </w:rPr>
              <w:t>Cross-sectional imaging</w:t>
            </w:r>
          </w:p>
        </w:tc>
      </w:tr>
    </w:tbl>
    <w:p w14:paraId="3EDD7F7A" w14:textId="6EB7AECC" w:rsidR="001E5845" w:rsidRPr="005B1A16" w:rsidRDefault="00F716F0" w:rsidP="005B1A16">
      <w:pPr>
        <w:spacing w:line="360" w:lineRule="auto"/>
        <w:jc w:val="both"/>
        <w:rPr>
          <w:rFonts w:ascii="Book Antiqua" w:hAnsi="Book Antiqua"/>
          <w:color w:val="000000" w:themeColor="text1"/>
        </w:rPr>
      </w:pPr>
      <w:r w:rsidRPr="005B1A16">
        <w:rPr>
          <w:rFonts w:ascii="Book Antiqua" w:eastAsia="SimSun" w:hAnsi="Book Antiqua"/>
          <w:color w:val="000000" w:themeColor="text1"/>
          <w:vertAlign w:val="superscript"/>
          <w:lang w:eastAsia="zh-CN"/>
        </w:rPr>
        <w:t>1</w:t>
      </w:r>
      <w:r w:rsidR="006555F2" w:rsidRPr="005B1A16">
        <w:rPr>
          <w:rFonts w:ascii="Book Antiqua" w:hAnsi="Book Antiqua"/>
          <w:color w:val="000000" w:themeColor="text1"/>
        </w:rPr>
        <w:t>Patient reported outcomes</w:t>
      </w:r>
      <w:r w:rsidRPr="005B1A16">
        <w:rPr>
          <w:rFonts w:ascii="Book Antiqua" w:eastAsia="SimSun" w:hAnsi="Book Antiqua"/>
          <w:color w:val="000000" w:themeColor="text1"/>
          <w:lang w:eastAsia="zh-CN"/>
        </w:rPr>
        <w:t xml:space="preserve">; </w:t>
      </w:r>
      <w:r w:rsidRPr="005B1A16">
        <w:rPr>
          <w:rFonts w:ascii="Book Antiqua" w:eastAsia="SimSun" w:hAnsi="Book Antiqua"/>
          <w:color w:val="000000" w:themeColor="text1"/>
          <w:vertAlign w:val="superscript"/>
          <w:lang w:eastAsia="zh-CN"/>
        </w:rPr>
        <w:t>2</w:t>
      </w:r>
      <w:r w:rsidR="006555F2" w:rsidRPr="005B1A16">
        <w:rPr>
          <w:rFonts w:ascii="Book Antiqua" w:hAnsi="Book Antiqua"/>
          <w:color w:val="000000" w:themeColor="text1"/>
        </w:rPr>
        <w:t>When endoscopy cannot adequately evaluate inflammation, resolution of inflammation as assessed by cross-secti</w:t>
      </w:r>
      <w:r w:rsidRPr="005B1A16">
        <w:rPr>
          <w:rFonts w:ascii="Book Antiqua" w:hAnsi="Book Antiqua"/>
          <w:color w:val="000000" w:themeColor="text1"/>
        </w:rPr>
        <w:t>onal imaging can be substituted</w:t>
      </w:r>
      <w:r w:rsidRPr="005B1A16">
        <w:rPr>
          <w:rFonts w:ascii="Book Antiqua" w:eastAsia="SimSun" w:hAnsi="Book Antiqua"/>
          <w:color w:val="000000" w:themeColor="text1"/>
          <w:lang w:eastAsia="zh-CN"/>
        </w:rPr>
        <w:t xml:space="preserve">; </w:t>
      </w:r>
      <w:r w:rsidRPr="005B1A16">
        <w:rPr>
          <w:rFonts w:ascii="Book Antiqua" w:eastAsia="SimSun" w:hAnsi="Book Antiqua"/>
          <w:color w:val="000000" w:themeColor="text1"/>
          <w:vertAlign w:val="superscript"/>
          <w:lang w:eastAsia="zh-CN"/>
        </w:rPr>
        <w:t>3</w:t>
      </w:r>
      <w:r w:rsidR="006555F2" w:rsidRPr="005B1A16">
        <w:rPr>
          <w:rFonts w:ascii="Book Antiqua" w:hAnsi="Book Antiqua"/>
          <w:color w:val="000000" w:themeColor="text1"/>
        </w:rPr>
        <w:t>While Mayo subscore of 0 may be defined as the target, there is currently insufficient evidence to recommend it in all patients; only Mayo subscore of 0–1 can be systematically recommended in practice.</w:t>
      </w:r>
    </w:p>
    <w:sectPr w:rsidR="001E5845" w:rsidRPr="005B1A16" w:rsidSect="00FE6054">
      <w:footerReference w:type="even" r:id="rId9"/>
      <w:footerReference w:type="default" r:id="rId10"/>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79F8" w14:textId="77777777" w:rsidR="004F4193" w:rsidRDefault="004F4193" w:rsidP="001916A7">
      <w:r>
        <w:separator/>
      </w:r>
    </w:p>
  </w:endnote>
  <w:endnote w:type="continuationSeparator" w:id="0">
    <w:p w14:paraId="69B3F594" w14:textId="77777777" w:rsidR="004F4193" w:rsidRDefault="004F4193" w:rsidP="0019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微软雅黑"/>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inion Pro">
    <w:altName w:val="Cambria Math"/>
    <w:charset w:val="00"/>
    <w:family w:val="roman"/>
    <w:pitch w:val="default"/>
    <w:sig w:usb0="00000003" w:usb1="00000000" w:usb2="00000000" w:usb3="00000000" w:csb0="00000001" w:csb1="00000000"/>
  </w:font>
  <w:font w:name="ITC Symbol Std Medium">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0000000000000000000"/>
    <w:charset w:val="00"/>
    <w:family w:val="roman"/>
    <w:notTrueType/>
    <w:pitch w:val="variable"/>
    <w:sig w:usb0="E0000AFF" w:usb1="00007843" w:usb2="00000001" w:usb3="00000000" w:csb0="000001BF" w:csb1="00000000"/>
  </w:font>
  <w:font w:name="DengXian">
    <w:altName w:val="微软雅黑"/>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46506543"/>
      <w:docPartObj>
        <w:docPartGallery w:val="Page Numbers (Bottom of Page)"/>
        <w:docPartUnique/>
      </w:docPartObj>
    </w:sdtPr>
    <w:sdtEndPr>
      <w:rPr>
        <w:rStyle w:val="PageNumber"/>
      </w:rPr>
    </w:sdtEndPr>
    <w:sdtContent>
      <w:p w14:paraId="20079529" w14:textId="276B7E03" w:rsidR="00617CA3" w:rsidRDefault="00617CA3" w:rsidP="005E6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A7BAD" w14:textId="77777777" w:rsidR="00617CA3" w:rsidRDefault="00617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3083459"/>
      <w:docPartObj>
        <w:docPartGallery w:val="Page Numbers (Bottom of Page)"/>
        <w:docPartUnique/>
      </w:docPartObj>
    </w:sdtPr>
    <w:sdtEndPr>
      <w:rPr>
        <w:rStyle w:val="PageNumber"/>
      </w:rPr>
    </w:sdtEndPr>
    <w:sdtContent>
      <w:p w14:paraId="54EA51EC" w14:textId="23F9EADB" w:rsidR="00617CA3" w:rsidRDefault="00617CA3" w:rsidP="005E6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408E">
          <w:rPr>
            <w:rStyle w:val="PageNumber"/>
            <w:noProof/>
          </w:rPr>
          <w:t>49</w:t>
        </w:r>
        <w:r>
          <w:rPr>
            <w:rStyle w:val="PageNumber"/>
          </w:rPr>
          <w:fldChar w:fldCharType="end"/>
        </w:r>
      </w:p>
    </w:sdtContent>
  </w:sdt>
  <w:p w14:paraId="3DDFFC99" w14:textId="77777777" w:rsidR="00617CA3" w:rsidRDefault="00617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DAB8A" w14:textId="77777777" w:rsidR="004F4193" w:rsidRDefault="004F4193" w:rsidP="001916A7">
      <w:r>
        <w:separator/>
      </w:r>
    </w:p>
  </w:footnote>
  <w:footnote w:type="continuationSeparator" w:id="0">
    <w:p w14:paraId="1E244906" w14:textId="77777777" w:rsidR="004F4193" w:rsidRDefault="004F4193" w:rsidP="00191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E9F"/>
    <w:multiLevelType w:val="multilevel"/>
    <w:tmpl w:val="C414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D5280"/>
    <w:multiLevelType w:val="hybridMultilevel"/>
    <w:tmpl w:val="91D2A624"/>
    <w:lvl w:ilvl="0" w:tplc="3648D270">
      <w:start w:val="1"/>
      <w:numFmt w:val="bullet"/>
      <w:lvlText w:val="●"/>
      <w:lvlJc w:val="left"/>
      <w:pPr>
        <w:tabs>
          <w:tab w:val="num" w:pos="720"/>
        </w:tabs>
        <w:ind w:left="720" w:hanging="360"/>
      </w:pPr>
      <w:rPr>
        <w:rFonts w:ascii="Calibri" w:hAnsi="Calibri" w:cs="Times New Roman" w:hint="default"/>
      </w:rPr>
    </w:lvl>
    <w:lvl w:ilvl="1" w:tplc="89529A4E">
      <w:start w:val="1"/>
      <w:numFmt w:val="bullet"/>
      <w:lvlText w:val="●"/>
      <w:lvlJc w:val="left"/>
      <w:pPr>
        <w:tabs>
          <w:tab w:val="num" w:pos="1440"/>
        </w:tabs>
        <w:ind w:left="1440" w:hanging="360"/>
      </w:pPr>
      <w:rPr>
        <w:rFonts w:ascii="Calibri" w:hAnsi="Calibri" w:cs="Times New Roman" w:hint="default"/>
      </w:rPr>
    </w:lvl>
    <w:lvl w:ilvl="2" w:tplc="22DC9BBA">
      <w:start w:val="1"/>
      <w:numFmt w:val="bullet"/>
      <w:lvlText w:val="●"/>
      <w:lvlJc w:val="left"/>
      <w:pPr>
        <w:tabs>
          <w:tab w:val="num" w:pos="2160"/>
        </w:tabs>
        <w:ind w:left="2160" w:hanging="360"/>
      </w:pPr>
      <w:rPr>
        <w:rFonts w:ascii="Calibri" w:hAnsi="Calibri" w:cs="Times New Roman" w:hint="default"/>
      </w:rPr>
    </w:lvl>
    <w:lvl w:ilvl="3" w:tplc="B826181C">
      <w:start w:val="1"/>
      <w:numFmt w:val="bullet"/>
      <w:lvlText w:val="●"/>
      <w:lvlJc w:val="left"/>
      <w:pPr>
        <w:tabs>
          <w:tab w:val="num" w:pos="2880"/>
        </w:tabs>
        <w:ind w:left="2880" w:hanging="360"/>
      </w:pPr>
      <w:rPr>
        <w:rFonts w:ascii="Calibri" w:hAnsi="Calibri" w:cs="Times New Roman" w:hint="default"/>
      </w:rPr>
    </w:lvl>
    <w:lvl w:ilvl="4" w:tplc="62EA1AC4">
      <w:start w:val="1"/>
      <w:numFmt w:val="bullet"/>
      <w:lvlText w:val="●"/>
      <w:lvlJc w:val="left"/>
      <w:pPr>
        <w:tabs>
          <w:tab w:val="num" w:pos="3600"/>
        </w:tabs>
        <w:ind w:left="3600" w:hanging="360"/>
      </w:pPr>
      <w:rPr>
        <w:rFonts w:ascii="Calibri" w:hAnsi="Calibri" w:cs="Times New Roman" w:hint="default"/>
      </w:rPr>
    </w:lvl>
    <w:lvl w:ilvl="5" w:tplc="46A6E1CC">
      <w:start w:val="1"/>
      <w:numFmt w:val="bullet"/>
      <w:lvlText w:val="●"/>
      <w:lvlJc w:val="left"/>
      <w:pPr>
        <w:tabs>
          <w:tab w:val="num" w:pos="4320"/>
        </w:tabs>
        <w:ind w:left="4320" w:hanging="360"/>
      </w:pPr>
      <w:rPr>
        <w:rFonts w:ascii="Calibri" w:hAnsi="Calibri" w:cs="Times New Roman" w:hint="default"/>
      </w:rPr>
    </w:lvl>
    <w:lvl w:ilvl="6" w:tplc="DCCE84D6">
      <w:start w:val="1"/>
      <w:numFmt w:val="bullet"/>
      <w:lvlText w:val="●"/>
      <w:lvlJc w:val="left"/>
      <w:pPr>
        <w:tabs>
          <w:tab w:val="num" w:pos="5040"/>
        </w:tabs>
        <w:ind w:left="5040" w:hanging="360"/>
      </w:pPr>
      <w:rPr>
        <w:rFonts w:ascii="Calibri" w:hAnsi="Calibri" w:cs="Times New Roman" w:hint="default"/>
      </w:rPr>
    </w:lvl>
    <w:lvl w:ilvl="7" w:tplc="6500309E">
      <w:start w:val="1"/>
      <w:numFmt w:val="bullet"/>
      <w:lvlText w:val="●"/>
      <w:lvlJc w:val="left"/>
      <w:pPr>
        <w:tabs>
          <w:tab w:val="num" w:pos="5760"/>
        </w:tabs>
        <w:ind w:left="5760" w:hanging="360"/>
      </w:pPr>
      <w:rPr>
        <w:rFonts w:ascii="Calibri" w:hAnsi="Calibri" w:cs="Times New Roman" w:hint="default"/>
      </w:rPr>
    </w:lvl>
    <w:lvl w:ilvl="8" w:tplc="ACEC7830">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07590BBB"/>
    <w:multiLevelType w:val="hybridMultilevel"/>
    <w:tmpl w:val="B2DEA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573E0"/>
    <w:multiLevelType w:val="multilevel"/>
    <w:tmpl w:val="68C2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01015"/>
    <w:multiLevelType w:val="multilevel"/>
    <w:tmpl w:val="6A84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F3D49"/>
    <w:multiLevelType w:val="multilevel"/>
    <w:tmpl w:val="BE84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F51049"/>
    <w:multiLevelType w:val="hybridMultilevel"/>
    <w:tmpl w:val="C616ACFE"/>
    <w:lvl w:ilvl="0" w:tplc="1BA87306">
      <w:start w:val="1"/>
      <w:numFmt w:val="bullet"/>
      <w:lvlText w:val="●"/>
      <w:lvlJc w:val="left"/>
      <w:pPr>
        <w:tabs>
          <w:tab w:val="num" w:pos="720"/>
        </w:tabs>
        <w:ind w:left="720" w:hanging="360"/>
      </w:pPr>
      <w:rPr>
        <w:rFonts w:ascii="Calibri" w:hAnsi="Calibri" w:cs="Times New Roman" w:hint="default"/>
      </w:rPr>
    </w:lvl>
    <w:lvl w:ilvl="1" w:tplc="2E5AB04A">
      <w:start w:val="1"/>
      <w:numFmt w:val="bullet"/>
      <w:lvlText w:val="●"/>
      <w:lvlJc w:val="left"/>
      <w:pPr>
        <w:tabs>
          <w:tab w:val="num" w:pos="1440"/>
        </w:tabs>
        <w:ind w:left="1440" w:hanging="360"/>
      </w:pPr>
      <w:rPr>
        <w:rFonts w:ascii="Calibri" w:hAnsi="Calibri" w:cs="Times New Roman" w:hint="default"/>
      </w:rPr>
    </w:lvl>
    <w:lvl w:ilvl="2" w:tplc="966641AE">
      <w:start w:val="1"/>
      <w:numFmt w:val="bullet"/>
      <w:lvlText w:val="●"/>
      <w:lvlJc w:val="left"/>
      <w:pPr>
        <w:tabs>
          <w:tab w:val="num" w:pos="2160"/>
        </w:tabs>
        <w:ind w:left="2160" w:hanging="360"/>
      </w:pPr>
      <w:rPr>
        <w:rFonts w:ascii="Calibri" w:hAnsi="Calibri" w:cs="Times New Roman" w:hint="default"/>
      </w:rPr>
    </w:lvl>
    <w:lvl w:ilvl="3" w:tplc="373EB244">
      <w:start w:val="1"/>
      <w:numFmt w:val="bullet"/>
      <w:lvlText w:val="●"/>
      <w:lvlJc w:val="left"/>
      <w:pPr>
        <w:tabs>
          <w:tab w:val="num" w:pos="2880"/>
        </w:tabs>
        <w:ind w:left="2880" w:hanging="360"/>
      </w:pPr>
      <w:rPr>
        <w:rFonts w:ascii="Calibri" w:hAnsi="Calibri" w:cs="Times New Roman" w:hint="default"/>
      </w:rPr>
    </w:lvl>
    <w:lvl w:ilvl="4" w:tplc="87925836">
      <w:start w:val="1"/>
      <w:numFmt w:val="bullet"/>
      <w:lvlText w:val="●"/>
      <w:lvlJc w:val="left"/>
      <w:pPr>
        <w:tabs>
          <w:tab w:val="num" w:pos="3600"/>
        </w:tabs>
        <w:ind w:left="3600" w:hanging="360"/>
      </w:pPr>
      <w:rPr>
        <w:rFonts w:ascii="Calibri" w:hAnsi="Calibri" w:cs="Times New Roman" w:hint="default"/>
      </w:rPr>
    </w:lvl>
    <w:lvl w:ilvl="5" w:tplc="AAA619E8">
      <w:start w:val="1"/>
      <w:numFmt w:val="bullet"/>
      <w:lvlText w:val="●"/>
      <w:lvlJc w:val="left"/>
      <w:pPr>
        <w:tabs>
          <w:tab w:val="num" w:pos="4320"/>
        </w:tabs>
        <w:ind w:left="4320" w:hanging="360"/>
      </w:pPr>
      <w:rPr>
        <w:rFonts w:ascii="Calibri" w:hAnsi="Calibri" w:cs="Times New Roman" w:hint="default"/>
      </w:rPr>
    </w:lvl>
    <w:lvl w:ilvl="6" w:tplc="23049DAE">
      <w:start w:val="1"/>
      <w:numFmt w:val="bullet"/>
      <w:lvlText w:val="●"/>
      <w:lvlJc w:val="left"/>
      <w:pPr>
        <w:tabs>
          <w:tab w:val="num" w:pos="5040"/>
        </w:tabs>
        <w:ind w:left="5040" w:hanging="360"/>
      </w:pPr>
      <w:rPr>
        <w:rFonts w:ascii="Calibri" w:hAnsi="Calibri" w:cs="Times New Roman" w:hint="default"/>
      </w:rPr>
    </w:lvl>
    <w:lvl w:ilvl="7" w:tplc="856E5AA6">
      <w:start w:val="1"/>
      <w:numFmt w:val="bullet"/>
      <w:lvlText w:val="●"/>
      <w:lvlJc w:val="left"/>
      <w:pPr>
        <w:tabs>
          <w:tab w:val="num" w:pos="5760"/>
        </w:tabs>
        <w:ind w:left="5760" w:hanging="360"/>
      </w:pPr>
      <w:rPr>
        <w:rFonts w:ascii="Calibri" w:hAnsi="Calibri" w:cs="Times New Roman" w:hint="default"/>
      </w:rPr>
    </w:lvl>
    <w:lvl w:ilvl="8" w:tplc="24DC7D70">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14BD5A76"/>
    <w:multiLevelType w:val="multilevel"/>
    <w:tmpl w:val="4964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BA6C4A"/>
    <w:multiLevelType w:val="multilevel"/>
    <w:tmpl w:val="4C40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362FA"/>
    <w:multiLevelType w:val="multilevel"/>
    <w:tmpl w:val="D5E0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F09B1"/>
    <w:multiLevelType w:val="multilevel"/>
    <w:tmpl w:val="D892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1359F1"/>
    <w:multiLevelType w:val="multilevel"/>
    <w:tmpl w:val="5960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57DBF"/>
    <w:multiLevelType w:val="multilevel"/>
    <w:tmpl w:val="B2C6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B29B7"/>
    <w:multiLevelType w:val="multilevel"/>
    <w:tmpl w:val="10A6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B69BE"/>
    <w:multiLevelType w:val="multilevel"/>
    <w:tmpl w:val="E04A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456EC"/>
    <w:multiLevelType w:val="multilevel"/>
    <w:tmpl w:val="D0D4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FA2AAE"/>
    <w:multiLevelType w:val="hybridMultilevel"/>
    <w:tmpl w:val="9C4A3E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CB13A0"/>
    <w:multiLevelType w:val="multilevel"/>
    <w:tmpl w:val="2746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442BBE"/>
    <w:multiLevelType w:val="multilevel"/>
    <w:tmpl w:val="BAD8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C01A6"/>
    <w:multiLevelType w:val="hybridMultilevel"/>
    <w:tmpl w:val="6A9E9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D3E6F"/>
    <w:multiLevelType w:val="hybridMultilevel"/>
    <w:tmpl w:val="FDD0B6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841240"/>
    <w:multiLevelType w:val="multilevel"/>
    <w:tmpl w:val="BA0C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A60008"/>
    <w:multiLevelType w:val="multilevel"/>
    <w:tmpl w:val="BAEC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49699D"/>
    <w:multiLevelType w:val="multilevel"/>
    <w:tmpl w:val="F85A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B862BC"/>
    <w:multiLevelType w:val="multilevel"/>
    <w:tmpl w:val="2C76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3E568A"/>
    <w:multiLevelType w:val="hybridMultilevel"/>
    <w:tmpl w:val="9C4A3E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9"/>
  </w:num>
  <w:num w:numId="3">
    <w:abstractNumId w:val="16"/>
  </w:num>
  <w:num w:numId="4">
    <w:abstractNumId w:val="7"/>
  </w:num>
  <w:num w:numId="5">
    <w:abstractNumId w:val="3"/>
  </w:num>
  <w:num w:numId="6">
    <w:abstractNumId w:val="21"/>
  </w:num>
  <w:num w:numId="7">
    <w:abstractNumId w:val="18"/>
  </w:num>
  <w:num w:numId="8">
    <w:abstractNumId w:val="5"/>
  </w:num>
  <w:num w:numId="9">
    <w:abstractNumId w:val="22"/>
  </w:num>
  <w:num w:numId="10">
    <w:abstractNumId w:val="17"/>
  </w:num>
  <w:num w:numId="11">
    <w:abstractNumId w:val="8"/>
  </w:num>
  <w:num w:numId="12">
    <w:abstractNumId w:val="10"/>
  </w:num>
  <w:num w:numId="13">
    <w:abstractNumId w:val="20"/>
  </w:num>
  <w:num w:numId="14">
    <w:abstractNumId w:val="9"/>
  </w:num>
  <w:num w:numId="15">
    <w:abstractNumId w:val="14"/>
  </w:num>
  <w:num w:numId="16">
    <w:abstractNumId w:val="4"/>
  </w:num>
  <w:num w:numId="17">
    <w:abstractNumId w:val="15"/>
  </w:num>
  <w:num w:numId="18">
    <w:abstractNumId w:val="0"/>
  </w:num>
  <w:num w:numId="19">
    <w:abstractNumId w:val="23"/>
  </w:num>
  <w:num w:numId="20">
    <w:abstractNumId w:val="11"/>
  </w:num>
  <w:num w:numId="21">
    <w:abstractNumId w:val="24"/>
  </w:num>
  <w:num w:numId="22">
    <w:abstractNumId w:val="12"/>
  </w:num>
  <w:num w:numId="23">
    <w:abstractNumId w:val="13"/>
  </w:num>
  <w:num w:numId="24">
    <w:abstractNumId w:val="6"/>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11"/>
    <w:rsid w:val="0000006A"/>
    <w:rsid w:val="00000651"/>
    <w:rsid w:val="0000232C"/>
    <w:rsid w:val="0001613B"/>
    <w:rsid w:val="00016687"/>
    <w:rsid w:val="00017649"/>
    <w:rsid w:val="000200A0"/>
    <w:rsid w:val="00020395"/>
    <w:rsid w:val="00021910"/>
    <w:rsid w:val="00023C54"/>
    <w:rsid w:val="00024EA8"/>
    <w:rsid w:val="00032F1A"/>
    <w:rsid w:val="000356CC"/>
    <w:rsid w:val="000359A8"/>
    <w:rsid w:val="00035CAE"/>
    <w:rsid w:val="00035D36"/>
    <w:rsid w:val="00035E21"/>
    <w:rsid w:val="000366BC"/>
    <w:rsid w:val="0003723C"/>
    <w:rsid w:val="0004217D"/>
    <w:rsid w:val="0004221A"/>
    <w:rsid w:val="00045CDF"/>
    <w:rsid w:val="00046F73"/>
    <w:rsid w:val="000472D8"/>
    <w:rsid w:val="000542B0"/>
    <w:rsid w:val="00055F4A"/>
    <w:rsid w:val="00057457"/>
    <w:rsid w:val="00060AE8"/>
    <w:rsid w:val="0006168E"/>
    <w:rsid w:val="000622EF"/>
    <w:rsid w:val="00062598"/>
    <w:rsid w:val="00063FDD"/>
    <w:rsid w:val="00064D40"/>
    <w:rsid w:val="000655AB"/>
    <w:rsid w:val="00067C58"/>
    <w:rsid w:val="000723E3"/>
    <w:rsid w:val="00072772"/>
    <w:rsid w:val="000750B9"/>
    <w:rsid w:val="0007523B"/>
    <w:rsid w:val="00076FB9"/>
    <w:rsid w:val="0007793B"/>
    <w:rsid w:val="0008024D"/>
    <w:rsid w:val="0008028D"/>
    <w:rsid w:val="0008169B"/>
    <w:rsid w:val="00082D59"/>
    <w:rsid w:val="00083470"/>
    <w:rsid w:val="00083ADD"/>
    <w:rsid w:val="0008431C"/>
    <w:rsid w:val="0008454F"/>
    <w:rsid w:val="00085D82"/>
    <w:rsid w:val="000871CD"/>
    <w:rsid w:val="00092285"/>
    <w:rsid w:val="0009431A"/>
    <w:rsid w:val="000956F0"/>
    <w:rsid w:val="00095BB2"/>
    <w:rsid w:val="0009758B"/>
    <w:rsid w:val="000A1D88"/>
    <w:rsid w:val="000A665F"/>
    <w:rsid w:val="000B06AA"/>
    <w:rsid w:val="000B49A6"/>
    <w:rsid w:val="000B7CA2"/>
    <w:rsid w:val="000C27F1"/>
    <w:rsid w:val="000C3339"/>
    <w:rsid w:val="000C34BD"/>
    <w:rsid w:val="000C613E"/>
    <w:rsid w:val="000C7FA8"/>
    <w:rsid w:val="000D26A8"/>
    <w:rsid w:val="000D34A0"/>
    <w:rsid w:val="000D3703"/>
    <w:rsid w:val="000D6256"/>
    <w:rsid w:val="000E3B4F"/>
    <w:rsid w:val="000E4BF2"/>
    <w:rsid w:val="000E4EDB"/>
    <w:rsid w:val="000E7FCB"/>
    <w:rsid w:val="000F0ACF"/>
    <w:rsid w:val="000F2593"/>
    <w:rsid w:val="000F4224"/>
    <w:rsid w:val="000F5DC8"/>
    <w:rsid w:val="000F6F03"/>
    <w:rsid w:val="000F7493"/>
    <w:rsid w:val="00103E26"/>
    <w:rsid w:val="00105A6C"/>
    <w:rsid w:val="00106290"/>
    <w:rsid w:val="001108CE"/>
    <w:rsid w:val="00113C08"/>
    <w:rsid w:val="00114A14"/>
    <w:rsid w:val="00114C9A"/>
    <w:rsid w:val="001167B6"/>
    <w:rsid w:val="001211F9"/>
    <w:rsid w:val="00124291"/>
    <w:rsid w:val="001247C9"/>
    <w:rsid w:val="00125856"/>
    <w:rsid w:val="001324D3"/>
    <w:rsid w:val="00133E12"/>
    <w:rsid w:val="00137320"/>
    <w:rsid w:val="00137EBF"/>
    <w:rsid w:val="00140F0B"/>
    <w:rsid w:val="00142C18"/>
    <w:rsid w:val="00143E27"/>
    <w:rsid w:val="001444F0"/>
    <w:rsid w:val="001505E1"/>
    <w:rsid w:val="00152A2B"/>
    <w:rsid w:val="00152F84"/>
    <w:rsid w:val="001559EC"/>
    <w:rsid w:val="001678DB"/>
    <w:rsid w:val="00167D16"/>
    <w:rsid w:val="0017069D"/>
    <w:rsid w:val="00174419"/>
    <w:rsid w:val="00174F0C"/>
    <w:rsid w:val="00182443"/>
    <w:rsid w:val="00185915"/>
    <w:rsid w:val="00186319"/>
    <w:rsid w:val="00190142"/>
    <w:rsid w:val="001910B2"/>
    <w:rsid w:val="001916A7"/>
    <w:rsid w:val="001919B8"/>
    <w:rsid w:val="00193788"/>
    <w:rsid w:val="001942A7"/>
    <w:rsid w:val="00194A23"/>
    <w:rsid w:val="0019530E"/>
    <w:rsid w:val="001957D1"/>
    <w:rsid w:val="001A0D72"/>
    <w:rsid w:val="001A2F1F"/>
    <w:rsid w:val="001A388F"/>
    <w:rsid w:val="001B14B9"/>
    <w:rsid w:val="001B220B"/>
    <w:rsid w:val="001B2521"/>
    <w:rsid w:val="001B426D"/>
    <w:rsid w:val="001B4EB2"/>
    <w:rsid w:val="001B6803"/>
    <w:rsid w:val="001C4C79"/>
    <w:rsid w:val="001D0B22"/>
    <w:rsid w:val="001D3661"/>
    <w:rsid w:val="001D46D2"/>
    <w:rsid w:val="001E430D"/>
    <w:rsid w:val="001E5845"/>
    <w:rsid w:val="001E5E71"/>
    <w:rsid w:val="001F01E8"/>
    <w:rsid w:val="001F02C2"/>
    <w:rsid w:val="001F6645"/>
    <w:rsid w:val="001F7598"/>
    <w:rsid w:val="002050E9"/>
    <w:rsid w:val="00205D6F"/>
    <w:rsid w:val="002061D6"/>
    <w:rsid w:val="00206B0F"/>
    <w:rsid w:val="00207007"/>
    <w:rsid w:val="00210CE0"/>
    <w:rsid w:val="00210DD6"/>
    <w:rsid w:val="002129FE"/>
    <w:rsid w:val="002138D2"/>
    <w:rsid w:val="002139D4"/>
    <w:rsid w:val="00213E46"/>
    <w:rsid w:val="0021525D"/>
    <w:rsid w:val="00216FF3"/>
    <w:rsid w:val="00217990"/>
    <w:rsid w:val="00220E11"/>
    <w:rsid w:val="002210F6"/>
    <w:rsid w:val="0022121B"/>
    <w:rsid w:val="002232DB"/>
    <w:rsid w:val="00224134"/>
    <w:rsid w:val="00227C92"/>
    <w:rsid w:val="00230B1C"/>
    <w:rsid w:val="00235FEF"/>
    <w:rsid w:val="00236537"/>
    <w:rsid w:val="0024158D"/>
    <w:rsid w:val="002432E2"/>
    <w:rsid w:val="0024413B"/>
    <w:rsid w:val="00244F14"/>
    <w:rsid w:val="00246AC9"/>
    <w:rsid w:val="00250D2E"/>
    <w:rsid w:val="00251E79"/>
    <w:rsid w:val="00253538"/>
    <w:rsid w:val="002566F5"/>
    <w:rsid w:val="0025779C"/>
    <w:rsid w:val="002628FB"/>
    <w:rsid w:val="00265024"/>
    <w:rsid w:val="0027228C"/>
    <w:rsid w:val="00272EE5"/>
    <w:rsid w:val="00277468"/>
    <w:rsid w:val="002811DF"/>
    <w:rsid w:val="00282BEC"/>
    <w:rsid w:val="002839E6"/>
    <w:rsid w:val="00283E34"/>
    <w:rsid w:val="00284AF0"/>
    <w:rsid w:val="00284FFB"/>
    <w:rsid w:val="00287F0B"/>
    <w:rsid w:val="00294AC9"/>
    <w:rsid w:val="0029556C"/>
    <w:rsid w:val="002958A1"/>
    <w:rsid w:val="00295EFE"/>
    <w:rsid w:val="0029657B"/>
    <w:rsid w:val="00296613"/>
    <w:rsid w:val="00296D5A"/>
    <w:rsid w:val="002A2396"/>
    <w:rsid w:val="002A3B4C"/>
    <w:rsid w:val="002A5C95"/>
    <w:rsid w:val="002A693B"/>
    <w:rsid w:val="002B163D"/>
    <w:rsid w:val="002B3149"/>
    <w:rsid w:val="002B3638"/>
    <w:rsid w:val="002B3CCC"/>
    <w:rsid w:val="002B69C8"/>
    <w:rsid w:val="002C125A"/>
    <w:rsid w:val="002C2AF7"/>
    <w:rsid w:val="002C3B87"/>
    <w:rsid w:val="002C5329"/>
    <w:rsid w:val="002C535E"/>
    <w:rsid w:val="002C5B91"/>
    <w:rsid w:val="002C6A29"/>
    <w:rsid w:val="002C7CB6"/>
    <w:rsid w:val="002D0E8B"/>
    <w:rsid w:val="002D1814"/>
    <w:rsid w:val="002D6094"/>
    <w:rsid w:val="002D760D"/>
    <w:rsid w:val="002E1177"/>
    <w:rsid w:val="002E2239"/>
    <w:rsid w:val="002E4062"/>
    <w:rsid w:val="002E41AE"/>
    <w:rsid w:val="002E52BD"/>
    <w:rsid w:val="002E55C3"/>
    <w:rsid w:val="002E74CA"/>
    <w:rsid w:val="002F0F0C"/>
    <w:rsid w:val="002F24A8"/>
    <w:rsid w:val="002F4770"/>
    <w:rsid w:val="002F5872"/>
    <w:rsid w:val="002F5E19"/>
    <w:rsid w:val="002F6F2A"/>
    <w:rsid w:val="002F7534"/>
    <w:rsid w:val="00303E78"/>
    <w:rsid w:val="00303EF2"/>
    <w:rsid w:val="003053F0"/>
    <w:rsid w:val="003069B6"/>
    <w:rsid w:val="003105AF"/>
    <w:rsid w:val="00310AEA"/>
    <w:rsid w:val="0031158C"/>
    <w:rsid w:val="00312289"/>
    <w:rsid w:val="00313AC8"/>
    <w:rsid w:val="00313B0A"/>
    <w:rsid w:val="00313D50"/>
    <w:rsid w:val="0031408E"/>
    <w:rsid w:val="003168CD"/>
    <w:rsid w:val="00317224"/>
    <w:rsid w:val="003208B0"/>
    <w:rsid w:val="00320943"/>
    <w:rsid w:val="003209D4"/>
    <w:rsid w:val="003222F2"/>
    <w:rsid w:val="00324B3A"/>
    <w:rsid w:val="00325D91"/>
    <w:rsid w:val="00331E2F"/>
    <w:rsid w:val="00333FC9"/>
    <w:rsid w:val="003340B6"/>
    <w:rsid w:val="0033550A"/>
    <w:rsid w:val="00335948"/>
    <w:rsid w:val="00337672"/>
    <w:rsid w:val="00341F15"/>
    <w:rsid w:val="003434FD"/>
    <w:rsid w:val="00345203"/>
    <w:rsid w:val="0034574C"/>
    <w:rsid w:val="00346628"/>
    <w:rsid w:val="00350496"/>
    <w:rsid w:val="00351796"/>
    <w:rsid w:val="003522D5"/>
    <w:rsid w:val="003524A5"/>
    <w:rsid w:val="00355586"/>
    <w:rsid w:val="003676D9"/>
    <w:rsid w:val="0037119C"/>
    <w:rsid w:val="003721D6"/>
    <w:rsid w:val="00376BB5"/>
    <w:rsid w:val="00380F4A"/>
    <w:rsid w:val="00383618"/>
    <w:rsid w:val="00383E6A"/>
    <w:rsid w:val="00386169"/>
    <w:rsid w:val="00392015"/>
    <w:rsid w:val="00393D45"/>
    <w:rsid w:val="00394746"/>
    <w:rsid w:val="00396685"/>
    <w:rsid w:val="003978A6"/>
    <w:rsid w:val="003A10F5"/>
    <w:rsid w:val="003A2A97"/>
    <w:rsid w:val="003A488C"/>
    <w:rsid w:val="003A7341"/>
    <w:rsid w:val="003A7413"/>
    <w:rsid w:val="003B4166"/>
    <w:rsid w:val="003B6017"/>
    <w:rsid w:val="003B6987"/>
    <w:rsid w:val="003B7447"/>
    <w:rsid w:val="003C08FC"/>
    <w:rsid w:val="003C205A"/>
    <w:rsid w:val="003C5FFA"/>
    <w:rsid w:val="003D07FB"/>
    <w:rsid w:val="003D08B7"/>
    <w:rsid w:val="003D1C3B"/>
    <w:rsid w:val="003D3665"/>
    <w:rsid w:val="003E43E8"/>
    <w:rsid w:val="003E4DCE"/>
    <w:rsid w:val="003E5925"/>
    <w:rsid w:val="003E6D41"/>
    <w:rsid w:val="003E7F93"/>
    <w:rsid w:val="003F18DA"/>
    <w:rsid w:val="003F2549"/>
    <w:rsid w:val="003F4CF9"/>
    <w:rsid w:val="003F51A4"/>
    <w:rsid w:val="003F6662"/>
    <w:rsid w:val="003F666A"/>
    <w:rsid w:val="003F6AA1"/>
    <w:rsid w:val="00400877"/>
    <w:rsid w:val="0040182F"/>
    <w:rsid w:val="00401B9B"/>
    <w:rsid w:val="00403068"/>
    <w:rsid w:val="0040417D"/>
    <w:rsid w:val="00406FD0"/>
    <w:rsid w:val="00410E7E"/>
    <w:rsid w:val="00411ADE"/>
    <w:rsid w:val="004126A6"/>
    <w:rsid w:val="00412FE8"/>
    <w:rsid w:val="00413C0B"/>
    <w:rsid w:val="00414529"/>
    <w:rsid w:val="00414FFC"/>
    <w:rsid w:val="0041570E"/>
    <w:rsid w:val="004168DC"/>
    <w:rsid w:val="00420285"/>
    <w:rsid w:val="004204F0"/>
    <w:rsid w:val="00421D7A"/>
    <w:rsid w:val="004242CB"/>
    <w:rsid w:val="00424F7C"/>
    <w:rsid w:val="0042582C"/>
    <w:rsid w:val="004278CE"/>
    <w:rsid w:val="00431047"/>
    <w:rsid w:val="00431AB6"/>
    <w:rsid w:val="00434312"/>
    <w:rsid w:val="00435AD5"/>
    <w:rsid w:val="00437E2F"/>
    <w:rsid w:val="00442A81"/>
    <w:rsid w:val="00442D63"/>
    <w:rsid w:val="004436F3"/>
    <w:rsid w:val="00443BF1"/>
    <w:rsid w:val="00443D62"/>
    <w:rsid w:val="0044488C"/>
    <w:rsid w:val="00444CE5"/>
    <w:rsid w:val="004452F3"/>
    <w:rsid w:val="00445849"/>
    <w:rsid w:val="00453697"/>
    <w:rsid w:val="0045412D"/>
    <w:rsid w:val="0045422A"/>
    <w:rsid w:val="00454BEC"/>
    <w:rsid w:val="004600CF"/>
    <w:rsid w:val="0046027A"/>
    <w:rsid w:val="0046067D"/>
    <w:rsid w:val="00460A16"/>
    <w:rsid w:val="0046223E"/>
    <w:rsid w:val="00462F42"/>
    <w:rsid w:val="00463801"/>
    <w:rsid w:val="004639F1"/>
    <w:rsid w:val="00465491"/>
    <w:rsid w:val="004663DA"/>
    <w:rsid w:val="00466F85"/>
    <w:rsid w:val="0046728B"/>
    <w:rsid w:val="00467DDA"/>
    <w:rsid w:val="00470185"/>
    <w:rsid w:val="004711A8"/>
    <w:rsid w:val="0047449E"/>
    <w:rsid w:val="00475978"/>
    <w:rsid w:val="0048076F"/>
    <w:rsid w:val="00480C22"/>
    <w:rsid w:val="00482FC1"/>
    <w:rsid w:val="00484BAF"/>
    <w:rsid w:val="00484D90"/>
    <w:rsid w:val="00484EEA"/>
    <w:rsid w:val="0048639D"/>
    <w:rsid w:val="004867F8"/>
    <w:rsid w:val="0048692B"/>
    <w:rsid w:val="00486CD8"/>
    <w:rsid w:val="00486EF8"/>
    <w:rsid w:val="00490022"/>
    <w:rsid w:val="004920D1"/>
    <w:rsid w:val="004920F5"/>
    <w:rsid w:val="00492B0A"/>
    <w:rsid w:val="00492D39"/>
    <w:rsid w:val="00494857"/>
    <w:rsid w:val="004954C6"/>
    <w:rsid w:val="004956AB"/>
    <w:rsid w:val="0049576A"/>
    <w:rsid w:val="004966CF"/>
    <w:rsid w:val="00496A29"/>
    <w:rsid w:val="00496DC0"/>
    <w:rsid w:val="004972FF"/>
    <w:rsid w:val="004973B6"/>
    <w:rsid w:val="004A0673"/>
    <w:rsid w:val="004A2FA6"/>
    <w:rsid w:val="004A6F6B"/>
    <w:rsid w:val="004B076C"/>
    <w:rsid w:val="004B0CF8"/>
    <w:rsid w:val="004B12FE"/>
    <w:rsid w:val="004B17BC"/>
    <w:rsid w:val="004B1EA4"/>
    <w:rsid w:val="004B2C8B"/>
    <w:rsid w:val="004B33FF"/>
    <w:rsid w:val="004B4857"/>
    <w:rsid w:val="004B4DDC"/>
    <w:rsid w:val="004B7348"/>
    <w:rsid w:val="004C0376"/>
    <w:rsid w:val="004C12A5"/>
    <w:rsid w:val="004C2C6E"/>
    <w:rsid w:val="004C2D0F"/>
    <w:rsid w:val="004C2E0C"/>
    <w:rsid w:val="004C552E"/>
    <w:rsid w:val="004D1CA7"/>
    <w:rsid w:val="004D1D1C"/>
    <w:rsid w:val="004D2744"/>
    <w:rsid w:val="004D51BB"/>
    <w:rsid w:val="004D52D5"/>
    <w:rsid w:val="004D59C2"/>
    <w:rsid w:val="004D64F9"/>
    <w:rsid w:val="004D686D"/>
    <w:rsid w:val="004E2D63"/>
    <w:rsid w:val="004E2FBE"/>
    <w:rsid w:val="004E4BE4"/>
    <w:rsid w:val="004E7132"/>
    <w:rsid w:val="004E7520"/>
    <w:rsid w:val="004F1CF6"/>
    <w:rsid w:val="004F2963"/>
    <w:rsid w:val="004F4193"/>
    <w:rsid w:val="004F4394"/>
    <w:rsid w:val="004F6C73"/>
    <w:rsid w:val="0050021F"/>
    <w:rsid w:val="005006C3"/>
    <w:rsid w:val="005019C8"/>
    <w:rsid w:val="00501BB2"/>
    <w:rsid w:val="00504CC5"/>
    <w:rsid w:val="0050598D"/>
    <w:rsid w:val="0050740A"/>
    <w:rsid w:val="00511F80"/>
    <w:rsid w:val="00513444"/>
    <w:rsid w:val="00515D6B"/>
    <w:rsid w:val="00516390"/>
    <w:rsid w:val="00516B21"/>
    <w:rsid w:val="0052024A"/>
    <w:rsid w:val="005205F2"/>
    <w:rsid w:val="00521840"/>
    <w:rsid w:val="00521EE5"/>
    <w:rsid w:val="00524774"/>
    <w:rsid w:val="0052502C"/>
    <w:rsid w:val="0052541B"/>
    <w:rsid w:val="00525874"/>
    <w:rsid w:val="0053073A"/>
    <w:rsid w:val="00537BE5"/>
    <w:rsid w:val="005401E8"/>
    <w:rsid w:val="005408F3"/>
    <w:rsid w:val="00540C6F"/>
    <w:rsid w:val="0054472E"/>
    <w:rsid w:val="00545654"/>
    <w:rsid w:val="00546625"/>
    <w:rsid w:val="00555240"/>
    <w:rsid w:val="00560B35"/>
    <w:rsid w:val="00563395"/>
    <w:rsid w:val="00563BBD"/>
    <w:rsid w:val="00564588"/>
    <w:rsid w:val="00565792"/>
    <w:rsid w:val="00565EC0"/>
    <w:rsid w:val="005703A8"/>
    <w:rsid w:val="00573054"/>
    <w:rsid w:val="0057664B"/>
    <w:rsid w:val="00582753"/>
    <w:rsid w:val="005855EA"/>
    <w:rsid w:val="00585BEF"/>
    <w:rsid w:val="00587249"/>
    <w:rsid w:val="0059013F"/>
    <w:rsid w:val="00591E12"/>
    <w:rsid w:val="005939D0"/>
    <w:rsid w:val="00596AD6"/>
    <w:rsid w:val="005971AB"/>
    <w:rsid w:val="005A330E"/>
    <w:rsid w:val="005A4EBA"/>
    <w:rsid w:val="005A5F8F"/>
    <w:rsid w:val="005A7B96"/>
    <w:rsid w:val="005B1A16"/>
    <w:rsid w:val="005B4882"/>
    <w:rsid w:val="005B61CC"/>
    <w:rsid w:val="005C06F0"/>
    <w:rsid w:val="005C24F3"/>
    <w:rsid w:val="005C3893"/>
    <w:rsid w:val="005C4B15"/>
    <w:rsid w:val="005C5D4B"/>
    <w:rsid w:val="005D0656"/>
    <w:rsid w:val="005D53ED"/>
    <w:rsid w:val="005D5D77"/>
    <w:rsid w:val="005D5D95"/>
    <w:rsid w:val="005D61B5"/>
    <w:rsid w:val="005E1848"/>
    <w:rsid w:val="005E3307"/>
    <w:rsid w:val="005E3954"/>
    <w:rsid w:val="005E3E43"/>
    <w:rsid w:val="005E5DCB"/>
    <w:rsid w:val="005E6EC3"/>
    <w:rsid w:val="005F018F"/>
    <w:rsid w:val="005F0BFD"/>
    <w:rsid w:val="005F19A8"/>
    <w:rsid w:val="005F59D8"/>
    <w:rsid w:val="005F6291"/>
    <w:rsid w:val="005F62B4"/>
    <w:rsid w:val="00600113"/>
    <w:rsid w:val="006001F8"/>
    <w:rsid w:val="00602803"/>
    <w:rsid w:val="0060380B"/>
    <w:rsid w:val="00604B4C"/>
    <w:rsid w:val="00607BAB"/>
    <w:rsid w:val="00607CB5"/>
    <w:rsid w:val="00610D3A"/>
    <w:rsid w:val="00614FDC"/>
    <w:rsid w:val="00617739"/>
    <w:rsid w:val="00617CA3"/>
    <w:rsid w:val="0062130C"/>
    <w:rsid w:val="006222C8"/>
    <w:rsid w:val="0062619D"/>
    <w:rsid w:val="00626E1B"/>
    <w:rsid w:val="0062756A"/>
    <w:rsid w:val="006302CE"/>
    <w:rsid w:val="00631A00"/>
    <w:rsid w:val="006321ED"/>
    <w:rsid w:val="0063428B"/>
    <w:rsid w:val="006349DC"/>
    <w:rsid w:val="006372AE"/>
    <w:rsid w:val="0064394C"/>
    <w:rsid w:val="0064704A"/>
    <w:rsid w:val="0065102D"/>
    <w:rsid w:val="00651539"/>
    <w:rsid w:val="00654FBA"/>
    <w:rsid w:val="006550E6"/>
    <w:rsid w:val="006555F2"/>
    <w:rsid w:val="00657C43"/>
    <w:rsid w:val="00661D61"/>
    <w:rsid w:val="006625AE"/>
    <w:rsid w:val="0066309A"/>
    <w:rsid w:val="00667106"/>
    <w:rsid w:val="006677B2"/>
    <w:rsid w:val="00667F6C"/>
    <w:rsid w:val="006704F8"/>
    <w:rsid w:val="00671B56"/>
    <w:rsid w:val="00675399"/>
    <w:rsid w:val="00675848"/>
    <w:rsid w:val="0067672D"/>
    <w:rsid w:val="00677C18"/>
    <w:rsid w:val="00681B2E"/>
    <w:rsid w:val="00681FB6"/>
    <w:rsid w:val="006864F3"/>
    <w:rsid w:val="00687055"/>
    <w:rsid w:val="00690C45"/>
    <w:rsid w:val="006964CE"/>
    <w:rsid w:val="00696603"/>
    <w:rsid w:val="00697591"/>
    <w:rsid w:val="00697A3F"/>
    <w:rsid w:val="006A09DC"/>
    <w:rsid w:val="006A1A8B"/>
    <w:rsid w:val="006A2606"/>
    <w:rsid w:val="006A2EB9"/>
    <w:rsid w:val="006A5E65"/>
    <w:rsid w:val="006A6ECF"/>
    <w:rsid w:val="006B38CF"/>
    <w:rsid w:val="006B3F4C"/>
    <w:rsid w:val="006B6255"/>
    <w:rsid w:val="006B63E0"/>
    <w:rsid w:val="006C0B03"/>
    <w:rsid w:val="006C3982"/>
    <w:rsid w:val="006C3F3B"/>
    <w:rsid w:val="006C4391"/>
    <w:rsid w:val="006C76F8"/>
    <w:rsid w:val="006D0689"/>
    <w:rsid w:val="006D23E9"/>
    <w:rsid w:val="006D2854"/>
    <w:rsid w:val="006D2D67"/>
    <w:rsid w:val="006D5269"/>
    <w:rsid w:val="006D6E4E"/>
    <w:rsid w:val="006E4C1B"/>
    <w:rsid w:val="006E69C0"/>
    <w:rsid w:val="006E7C9A"/>
    <w:rsid w:val="006F1A0F"/>
    <w:rsid w:val="006F1F1A"/>
    <w:rsid w:val="006F487A"/>
    <w:rsid w:val="006F6596"/>
    <w:rsid w:val="006F7AA5"/>
    <w:rsid w:val="006F7B40"/>
    <w:rsid w:val="00700510"/>
    <w:rsid w:val="00700C5B"/>
    <w:rsid w:val="00701431"/>
    <w:rsid w:val="00701869"/>
    <w:rsid w:val="00702946"/>
    <w:rsid w:val="007029A3"/>
    <w:rsid w:val="00704427"/>
    <w:rsid w:val="007057A4"/>
    <w:rsid w:val="00711BD2"/>
    <w:rsid w:val="00711C53"/>
    <w:rsid w:val="00713BF6"/>
    <w:rsid w:val="007220C8"/>
    <w:rsid w:val="007229EF"/>
    <w:rsid w:val="00722E30"/>
    <w:rsid w:val="007233AD"/>
    <w:rsid w:val="00724670"/>
    <w:rsid w:val="00727AA6"/>
    <w:rsid w:val="0073343A"/>
    <w:rsid w:val="00733590"/>
    <w:rsid w:val="00733747"/>
    <w:rsid w:val="0073603A"/>
    <w:rsid w:val="007367CD"/>
    <w:rsid w:val="00741B2A"/>
    <w:rsid w:val="00741E4D"/>
    <w:rsid w:val="007424D9"/>
    <w:rsid w:val="00743705"/>
    <w:rsid w:val="00744DB9"/>
    <w:rsid w:val="00745F1C"/>
    <w:rsid w:val="00745F91"/>
    <w:rsid w:val="00752352"/>
    <w:rsid w:val="007570D2"/>
    <w:rsid w:val="0076167E"/>
    <w:rsid w:val="00763613"/>
    <w:rsid w:val="007639F0"/>
    <w:rsid w:val="00764366"/>
    <w:rsid w:val="00764D77"/>
    <w:rsid w:val="00765646"/>
    <w:rsid w:val="007701F6"/>
    <w:rsid w:val="007732F8"/>
    <w:rsid w:val="00773A0E"/>
    <w:rsid w:val="00773CFE"/>
    <w:rsid w:val="00774C18"/>
    <w:rsid w:val="00776C23"/>
    <w:rsid w:val="00777100"/>
    <w:rsid w:val="0078124E"/>
    <w:rsid w:val="0078260A"/>
    <w:rsid w:val="00783230"/>
    <w:rsid w:val="0078397A"/>
    <w:rsid w:val="007864B0"/>
    <w:rsid w:val="00786A7A"/>
    <w:rsid w:val="00790880"/>
    <w:rsid w:val="00790BD3"/>
    <w:rsid w:val="0079125F"/>
    <w:rsid w:val="00791395"/>
    <w:rsid w:val="007952E4"/>
    <w:rsid w:val="00795452"/>
    <w:rsid w:val="00795D38"/>
    <w:rsid w:val="00796EEE"/>
    <w:rsid w:val="007972DE"/>
    <w:rsid w:val="007A0C78"/>
    <w:rsid w:val="007A1240"/>
    <w:rsid w:val="007A248D"/>
    <w:rsid w:val="007A332B"/>
    <w:rsid w:val="007A49FD"/>
    <w:rsid w:val="007A6333"/>
    <w:rsid w:val="007A70C8"/>
    <w:rsid w:val="007B0D4A"/>
    <w:rsid w:val="007B137D"/>
    <w:rsid w:val="007B1605"/>
    <w:rsid w:val="007B2144"/>
    <w:rsid w:val="007B2197"/>
    <w:rsid w:val="007B3439"/>
    <w:rsid w:val="007B5A3B"/>
    <w:rsid w:val="007B6BEE"/>
    <w:rsid w:val="007B7AAF"/>
    <w:rsid w:val="007B7C00"/>
    <w:rsid w:val="007C13BB"/>
    <w:rsid w:val="007C1567"/>
    <w:rsid w:val="007C3BFA"/>
    <w:rsid w:val="007C45A6"/>
    <w:rsid w:val="007C6669"/>
    <w:rsid w:val="007C7527"/>
    <w:rsid w:val="007D20D1"/>
    <w:rsid w:val="007D3837"/>
    <w:rsid w:val="007D4BCD"/>
    <w:rsid w:val="007D5600"/>
    <w:rsid w:val="007D570D"/>
    <w:rsid w:val="007D6D42"/>
    <w:rsid w:val="007D778C"/>
    <w:rsid w:val="007E2C74"/>
    <w:rsid w:val="007E5961"/>
    <w:rsid w:val="007F0284"/>
    <w:rsid w:val="007F3376"/>
    <w:rsid w:val="007F403D"/>
    <w:rsid w:val="007F5081"/>
    <w:rsid w:val="007F58ED"/>
    <w:rsid w:val="007F656E"/>
    <w:rsid w:val="00802834"/>
    <w:rsid w:val="008059DC"/>
    <w:rsid w:val="0080655F"/>
    <w:rsid w:val="008075E2"/>
    <w:rsid w:val="00810002"/>
    <w:rsid w:val="00810DF0"/>
    <w:rsid w:val="00810EF2"/>
    <w:rsid w:val="008120BB"/>
    <w:rsid w:val="00812592"/>
    <w:rsid w:val="00813D20"/>
    <w:rsid w:val="008167BF"/>
    <w:rsid w:val="00822592"/>
    <w:rsid w:val="0082437D"/>
    <w:rsid w:val="00825AD2"/>
    <w:rsid w:val="00827A6A"/>
    <w:rsid w:val="00830827"/>
    <w:rsid w:val="00830E61"/>
    <w:rsid w:val="00831813"/>
    <w:rsid w:val="008328C3"/>
    <w:rsid w:val="00832F54"/>
    <w:rsid w:val="00833F33"/>
    <w:rsid w:val="00836739"/>
    <w:rsid w:val="00836FB6"/>
    <w:rsid w:val="008423FA"/>
    <w:rsid w:val="008424B6"/>
    <w:rsid w:val="00842BC5"/>
    <w:rsid w:val="008438C3"/>
    <w:rsid w:val="008440D5"/>
    <w:rsid w:val="0084727B"/>
    <w:rsid w:val="008479EF"/>
    <w:rsid w:val="0085333E"/>
    <w:rsid w:val="008563BA"/>
    <w:rsid w:val="008604A8"/>
    <w:rsid w:val="008617BA"/>
    <w:rsid w:val="008632DA"/>
    <w:rsid w:val="00863E64"/>
    <w:rsid w:val="00863FC3"/>
    <w:rsid w:val="00866A90"/>
    <w:rsid w:val="00866B3D"/>
    <w:rsid w:val="0087282F"/>
    <w:rsid w:val="008731A5"/>
    <w:rsid w:val="008745AE"/>
    <w:rsid w:val="00890387"/>
    <w:rsid w:val="0089242D"/>
    <w:rsid w:val="00892E2D"/>
    <w:rsid w:val="00893443"/>
    <w:rsid w:val="008954AE"/>
    <w:rsid w:val="00897B83"/>
    <w:rsid w:val="008A4E7C"/>
    <w:rsid w:val="008A7325"/>
    <w:rsid w:val="008B3683"/>
    <w:rsid w:val="008B36A7"/>
    <w:rsid w:val="008B387A"/>
    <w:rsid w:val="008B4793"/>
    <w:rsid w:val="008B523D"/>
    <w:rsid w:val="008C00FD"/>
    <w:rsid w:val="008C197E"/>
    <w:rsid w:val="008C205C"/>
    <w:rsid w:val="008C3EE9"/>
    <w:rsid w:val="008C4CD1"/>
    <w:rsid w:val="008C62A0"/>
    <w:rsid w:val="008C684D"/>
    <w:rsid w:val="008D3882"/>
    <w:rsid w:val="008D414B"/>
    <w:rsid w:val="008E11E7"/>
    <w:rsid w:val="008E1F3C"/>
    <w:rsid w:val="008E3556"/>
    <w:rsid w:val="008E3FDD"/>
    <w:rsid w:val="008F24E2"/>
    <w:rsid w:val="008F348D"/>
    <w:rsid w:val="008F49B2"/>
    <w:rsid w:val="008F4C64"/>
    <w:rsid w:val="008F5425"/>
    <w:rsid w:val="008F58E4"/>
    <w:rsid w:val="008F7EBB"/>
    <w:rsid w:val="009040F0"/>
    <w:rsid w:val="00905242"/>
    <w:rsid w:val="00905DB0"/>
    <w:rsid w:val="00907BB0"/>
    <w:rsid w:val="00907DB5"/>
    <w:rsid w:val="009110E2"/>
    <w:rsid w:val="00911944"/>
    <w:rsid w:val="00911C0D"/>
    <w:rsid w:val="009121ED"/>
    <w:rsid w:val="00914B32"/>
    <w:rsid w:val="00916B49"/>
    <w:rsid w:val="009230FA"/>
    <w:rsid w:val="0092449F"/>
    <w:rsid w:val="0092573B"/>
    <w:rsid w:val="0092678F"/>
    <w:rsid w:val="0092792A"/>
    <w:rsid w:val="00930951"/>
    <w:rsid w:val="00932A6C"/>
    <w:rsid w:val="00933B39"/>
    <w:rsid w:val="009340EF"/>
    <w:rsid w:val="009425CF"/>
    <w:rsid w:val="00943383"/>
    <w:rsid w:val="00943529"/>
    <w:rsid w:val="00943A2B"/>
    <w:rsid w:val="00945C1D"/>
    <w:rsid w:val="00945F7E"/>
    <w:rsid w:val="009465C3"/>
    <w:rsid w:val="009502E8"/>
    <w:rsid w:val="00952CA7"/>
    <w:rsid w:val="00953B2E"/>
    <w:rsid w:val="00954EAC"/>
    <w:rsid w:val="00954F6F"/>
    <w:rsid w:val="0096051C"/>
    <w:rsid w:val="00961A08"/>
    <w:rsid w:val="00961BC7"/>
    <w:rsid w:val="00965E93"/>
    <w:rsid w:val="00970AD9"/>
    <w:rsid w:val="00972C14"/>
    <w:rsid w:val="0097376A"/>
    <w:rsid w:val="00973ED0"/>
    <w:rsid w:val="00973F43"/>
    <w:rsid w:val="00984FC3"/>
    <w:rsid w:val="00985016"/>
    <w:rsid w:val="009867FF"/>
    <w:rsid w:val="00986DB7"/>
    <w:rsid w:val="009877CA"/>
    <w:rsid w:val="00990075"/>
    <w:rsid w:val="00994DFE"/>
    <w:rsid w:val="00995428"/>
    <w:rsid w:val="00995670"/>
    <w:rsid w:val="009958DD"/>
    <w:rsid w:val="009A01E6"/>
    <w:rsid w:val="009A6666"/>
    <w:rsid w:val="009B1EFA"/>
    <w:rsid w:val="009B2509"/>
    <w:rsid w:val="009B35B5"/>
    <w:rsid w:val="009C2233"/>
    <w:rsid w:val="009C2AFF"/>
    <w:rsid w:val="009C321B"/>
    <w:rsid w:val="009C6018"/>
    <w:rsid w:val="009C7143"/>
    <w:rsid w:val="009D0666"/>
    <w:rsid w:val="009D1ECB"/>
    <w:rsid w:val="009D2163"/>
    <w:rsid w:val="009D2F9A"/>
    <w:rsid w:val="009D3F3F"/>
    <w:rsid w:val="009D489B"/>
    <w:rsid w:val="009D6E87"/>
    <w:rsid w:val="009D7340"/>
    <w:rsid w:val="009E0E22"/>
    <w:rsid w:val="009E38AE"/>
    <w:rsid w:val="009E3D7A"/>
    <w:rsid w:val="009E49E6"/>
    <w:rsid w:val="009E7221"/>
    <w:rsid w:val="009E7FE8"/>
    <w:rsid w:val="009F0050"/>
    <w:rsid w:val="009F02AD"/>
    <w:rsid w:val="009F1101"/>
    <w:rsid w:val="009F6EFB"/>
    <w:rsid w:val="009F73B4"/>
    <w:rsid w:val="009F7DBA"/>
    <w:rsid w:val="00A0462A"/>
    <w:rsid w:val="00A071D9"/>
    <w:rsid w:val="00A0742D"/>
    <w:rsid w:val="00A07566"/>
    <w:rsid w:val="00A126EB"/>
    <w:rsid w:val="00A14545"/>
    <w:rsid w:val="00A17AAC"/>
    <w:rsid w:val="00A20B07"/>
    <w:rsid w:val="00A22AE5"/>
    <w:rsid w:val="00A25944"/>
    <w:rsid w:val="00A25BA7"/>
    <w:rsid w:val="00A2718F"/>
    <w:rsid w:val="00A27C27"/>
    <w:rsid w:val="00A3154D"/>
    <w:rsid w:val="00A33431"/>
    <w:rsid w:val="00A353A9"/>
    <w:rsid w:val="00A357B5"/>
    <w:rsid w:val="00A35CC2"/>
    <w:rsid w:val="00A43F63"/>
    <w:rsid w:val="00A449DD"/>
    <w:rsid w:val="00A45904"/>
    <w:rsid w:val="00A515BF"/>
    <w:rsid w:val="00A53C9B"/>
    <w:rsid w:val="00A60E44"/>
    <w:rsid w:val="00A611D0"/>
    <w:rsid w:val="00A6194F"/>
    <w:rsid w:val="00A61C93"/>
    <w:rsid w:val="00A661DB"/>
    <w:rsid w:val="00A670BC"/>
    <w:rsid w:val="00A67204"/>
    <w:rsid w:val="00A67CD3"/>
    <w:rsid w:val="00A7101B"/>
    <w:rsid w:val="00A71CC3"/>
    <w:rsid w:val="00A725C1"/>
    <w:rsid w:val="00A73CBD"/>
    <w:rsid w:val="00A7700F"/>
    <w:rsid w:val="00A770F7"/>
    <w:rsid w:val="00A7742F"/>
    <w:rsid w:val="00A80B43"/>
    <w:rsid w:val="00A8272A"/>
    <w:rsid w:val="00A8296A"/>
    <w:rsid w:val="00A83AF3"/>
    <w:rsid w:val="00A84825"/>
    <w:rsid w:val="00A857F6"/>
    <w:rsid w:val="00A929DF"/>
    <w:rsid w:val="00A93F01"/>
    <w:rsid w:val="00A942CE"/>
    <w:rsid w:val="00A94AE8"/>
    <w:rsid w:val="00A94DDA"/>
    <w:rsid w:val="00A952DF"/>
    <w:rsid w:val="00A97FD7"/>
    <w:rsid w:val="00AA2FE2"/>
    <w:rsid w:val="00AA3096"/>
    <w:rsid w:val="00AA41A4"/>
    <w:rsid w:val="00AA4B56"/>
    <w:rsid w:val="00AA7654"/>
    <w:rsid w:val="00AB565C"/>
    <w:rsid w:val="00AC5534"/>
    <w:rsid w:val="00AC57BA"/>
    <w:rsid w:val="00AC5EB7"/>
    <w:rsid w:val="00AD21E4"/>
    <w:rsid w:val="00AD456D"/>
    <w:rsid w:val="00AD58FC"/>
    <w:rsid w:val="00AD6786"/>
    <w:rsid w:val="00AD7E30"/>
    <w:rsid w:val="00AE088B"/>
    <w:rsid w:val="00AE173B"/>
    <w:rsid w:val="00AE5144"/>
    <w:rsid w:val="00AE6FBC"/>
    <w:rsid w:val="00AE7F7C"/>
    <w:rsid w:val="00AF1437"/>
    <w:rsid w:val="00AF60F0"/>
    <w:rsid w:val="00AF677C"/>
    <w:rsid w:val="00AF69D2"/>
    <w:rsid w:val="00AF73F4"/>
    <w:rsid w:val="00AF74AF"/>
    <w:rsid w:val="00B01DD0"/>
    <w:rsid w:val="00B021A7"/>
    <w:rsid w:val="00B0227E"/>
    <w:rsid w:val="00B04D30"/>
    <w:rsid w:val="00B05B3D"/>
    <w:rsid w:val="00B06328"/>
    <w:rsid w:val="00B06874"/>
    <w:rsid w:val="00B156F2"/>
    <w:rsid w:val="00B1683E"/>
    <w:rsid w:val="00B209B1"/>
    <w:rsid w:val="00B21713"/>
    <w:rsid w:val="00B23C03"/>
    <w:rsid w:val="00B24984"/>
    <w:rsid w:val="00B25382"/>
    <w:rsid w:val="00B26ACA"/>
    <w:rsid w:val="00B26CCC"/>
    <w:rsid w:val="00B30030"/>
    <w:rsid w:val="00B365ED"/>
    <w:rsid w:val="00B4033F"/>
    <w:rsid w:val="00B422E4"/>
    <w:rsid w:val="00B42E20"/>
    <w:rsid w:val="00B44692"/>
    <w:rsid w:val="00B44783"/>
    <w:rsid w:val="00B45639"/>
    <w:rsid w:val="00B46148"/>
    <w:rsid w:val="00B46D51"/>
    <w:rsid w:val="00B5263E"/>
    <w:rsid w:val="00B533F1"/>
    <w:rsid w:val="00B54810"/>
    <w:rsid w:val="00B564E7"/>
    <w:rsid w:val="00B568F3"/>
    <w:rsid w:val="00B64418"/>
    <w:rsid w:val="00B646E9"/>
    <w:rsid w:val="00B673D0"/>
    <w:rsid w:val="00B67716"/>
    <w:rsid w:val="00B71AF0"/>
    <w:rsid w:val="00B71F79"/>
    <w:rsid w:val="00B76BFD"/>
    <w:rsid w:val="00B8128E"/>
    <w:rsid w:val="00B81B84"/>
    <w:rsid w:val="00B83DFE"/>
    <w:rsid w:val="00B84989"/>
    <w:rsid w:val="00B906BA"/>
    <w:rsid w:val="00B90CE1"/>
    <w:rsid w:val="00B9658B"/>
    <w:rsid w:val="00B97923"/>
    <w:rsid w:val="00BA1437"/>
    <w:rsid w:val="00BA1867"/>
    <w:rsid w:val="00BA330E"/>
    <w:rsid w:val="00BA3835"/>
    <w:rsid w:val="00BA736E"/>
    <w:rsid w:val="00BB00C7"/>
    <w:rsid w:val="00BB29F8"/>
    <w:rsid w:val="00BB30D1"/>
    <w:rsid w:val="00BB60DF"/>
    <w:rsid w:val="00BB6C6A"/>
    <w:rsid w:val="00BB754D"/>
    <w:rsid w:val="00BB7ECB"/>
    <w:rsid w:val="00BC1A68"/>
    <w:rsid w:val="00BC33D4"/>
    <w:rsid w:val="00BC3C02"/>
    <w:rsid w:val="00BC5639"/>
    <w:rsid w:val="00BC78D7"/>
    <w:rsid w:val="00BD15A6"/>
    <w:rsid w:val="00BD7299"/>
    <w:rsid w:val="00BD792D"/>
    <w:rsid w:val="00BE15FB"/>
    <w:rsid w:val="00BE207D"/>
    <w:rsid w:val="00BE65DF"/>
    <w:rsid w:val="00BE6AF8"/>
    <w:rsid w:val="00BE722E"/>
    <w:rsid w:val="00BF018A"/>
    <w:rsid w:val="00BF1D30"/>
    <w:rsid w:val="00BF2098"/>
    <w:rsid w:val="00BF26A9"/>
    <w:rsid w:val="00BF38DA"/>
    <w:rsid w:val="00BF3D2E"/>
    <w:rsid w:val="00BF522B"/>
    <w:rsid w:val="00BF676D"/>
    <w:rsid w:val="00BF6920"/>
    <w:rsid w:val="00C00C5A"/>
    <w:rsid w:val="00C0469E"/>
    <w:rsid w:val="00C05294"/>
    <w:rsid w:val="00C05793"/>
    <w:rsid w:val="00C062A8"/>
    <w:rsid w:val="00C1122D"/>
    <w:rsid w:val="00C1255A"/>
    <w:rsid w:val="00C13FAE"/>
    <w:rsid w:val="00C1485C"/>
    <w:rsid w:val="00C1712F"/>
    <w:rsid w:val="00C1798B"/>
    <w:rsid w:val="00C2008D"/>
    <w:rsid w:val="00C25227"/>
    <w:rsid w:val="00C25BF1"/>
    <w:rsid w:val="00C31D0A"/>
    <w:rsid w:val="00C3423C"/>
    <w:rsid w:val="00C366A3"/>
    <w:rsid w:val="00C37598"/>
    <w:rsid w:val="00C37D16"/>
    <w:rsid w:val="00C40BB5"/>
    <w:rsid w:val="00C41E57"/>
    <w:rsid w:val="00C443A1"/>
    <w:rsid w:val="00C466A1"/>
    <w:rsid w:val="00C47A36"/>
    <w:rsid w:val="00C47EB8"/>
    <w:rsid w:val="00C525B5"/>
    <w:rsid w:val="00C53330"/>
    <w:rsid w:val="00C56A5E"/>
    <w:rsid w:val="00C5734B"/>
    <w:rsid w:val="00C60C05"/>
    <w:rsid w:val="00C708BD"/>
    <w:rsid w:val="00C711F2"/>
    <w:rsid w:val="00C71E37"/>
    <w:rsid w:val="00C751B1"/>
    <w:rsid w:val="00C75F07"/>
    <w:rsid w:val="00C764FE"/>
    <w:rsid w:val="00C776F4"/>
    <w:rsid w:val="00C77F4B"/>
    <w:rsid w:val="00C80DFF"/>
    <w:rsid w:val="00C81A23"/>
    <w:rsid w:val="00C82C79"/>
    <w:rsid w:val="00C85149"/>
    <w:rsid w:val="00C93B2E"/>
    <w:rsid w:val="00C9567A"/>
    <w:rsid w:val="00C95B93"/>
    <w:rsid w:val="00CA2CC6"/>
    <w:rsid w:val="00CA3769"/>
    <w:rsid w:val="00CA584F"/>
    <w:rsid w:val="00CA7BD2"/>
    <w:rsid w:val="00CB0048"/>
    <w:rsid w:val="00CB1474"/>
    <w:rsid w:val="00CB1FC9"/>
    <w:rsid w:val="00CB4601"/>
    <w:rsid w:val="00CB46C9"/>
    <w:rsid w:val="00CB4B1C"/>
    <w:rsid w:val="00CB6169"/>
    <w:rsid w:val="00CB6268"/>
    <w:rsid w:val="00CB6DA7"/>
    <w:rsid w:val="00CB6E1D"/>
    <w:rsid w:val="00CB7067"/>
    <w:rsid w:val="00CB7E48"/>
    <w:rsid w:val="00CC1256"/>
    <w:rsid w:val="00CC2140"/>
    <w:rsid w:val="00CC24A5"/>
    <w:rsid w:val="00CC3B3F"/>
    <w:rsid w:val="00CC64CE"/>
    <w:rsid w:val="00CC674B"/>
    <w:rsid w:val="00CC7A5F"/>
    <w:rsid w:val="00CD11D4"/>
    <w:rsid w:val="00CD2563"/>
    <w:rsid w:val="00CD3168"/>
    <w:rsid w:val="00CD337A"/>
    <w:rsid w:val="00CD548C"/>
    <w:rsid w:val="00CD6233"/>
    <w:rsid w:val="00CD6485"/>
    <w:rsid w:val="00CE18CA"/>
    <w:rsid w:val="00CE41CD"/>
    <w:rsid w:val="00CE540D"/>
    <w:rsid w:val="00CE54DE"/>
    <w:rsid w:val="00CE6FBA"/>
    <w:rsid w:val="00CE7B45"/>
    <w:rsid w:val="00CE7E31"/>
    <w:rsid w:val="00CF0E6B"/>
    <w:rsid w:val="00CF0E76"/>
    <w:rsid w:val="00CF1116"/>
    <w:rsid w:val="00CF25D6"/>
    <w:rsid w:val="00CF352E"/>
    <w:rsid w:val="00CF51DF"/>
    <w:rsid w:val="00CF5A98"/>
    <w:rsid w:val="00CF70B6"/>
    <w:rsid w:val="00CF7795"/>
    <w:rsid w:val="00D01A84"/>
    <w:rsid w:val="00D02179"/>
    <w:rsid w:val="00D02A6C"/>
    <w:rsid w:val="00D03F31"/>
    <w:rsid w:val="00D04889"/>
    <w:rsid w:val="00D06411"/>
    <w:rsid w:val="00D06CD7"/>
    <w:rsid w:val="00D07CB0"/>
    <w:rsid w:val="00D13546"/>
    <w:rsid w:val="00D2076F"/>
    <w:rsid w:val="00D2097C"/>
    <w:rsid w:val="00D22244"/>
    <w:rsid w:val="00D2265A"/>
    <w:rsid w:val="00D23369"/>
    <w:rsid w:val="00D23B9C"/>
    <w:rsid w:val="00D24B7A"/>
    <w:rsid w:val="00D27536"/>
    <w:rsid w:val="00D30406"/>
    <w:rsid w:val="00D30EBC"/>
    <w:rsid w:val="00D31672"/>
    <w:rsid w:val="00D32277"/>
    <w:rsid w:val="00D32D4C"/>
    <w:rsid w:val="00D35001"/>
    <w:rsid w:val="00D357F9"/>
    <w:rsid w:val="00D35873"/>
    <w:rsid w:val="00D36BB6"/>
    <w:rsid w:val="00D424F9"/>
    <w:rsid w:val="00D43048"/>
    <w:rsid w:val="00D43C1A"/>
    <w:rsid w:val="00D46A2D"/>
    <w:rsid w:val="00D53656"/>
    <w:rsid w:val="00D65232"/>
    <w:rsid w:val="00D6533B"/>
    <w:rsid w:val="00D66FF9"/>
    <w:rsid w:val="00D679DC"/>
    <w:rsid w:val="00D704B4"/>
    <w:rsid w:val="00D71D6D"/>
    <w:rsid w:val="00D736BB"/>
    <w:rsid w:val="00D739F0"/>
    <w:rsid w:val="00D73E62"/>
    <w:rsid w:val="00D74510"/>
    <w:rsid w:val="00D74633"/>
    <w:rsid w:val="00D75A4E"/>
    <w:rsid w:val="00D77996"/>
    <w:rsid w:val="00D83D66"/>
    <w:rsid w:val="00D86164"/>
    <w:rsid w:val="00D908DF"/>
    <w:rsid w:val="00D91F12"/>
    <w:rsid w:val="00D94AC2"/>
    <w:rsid w:val="00D9512C"/>
    <w:rsid w:val="00D95AEE"/>
    <w:rsid w:val="00D977FB"/>
    <w:rsid w:val="00D97924"/>
    <w:rsid w:val="00DA0ABA"/>
    <w:rsid w:val="00DA1AF6"/>
    <w:rsid w:val="00DA27DD"/>
    <w:rsid w:val="00DA2D98"/>
    <w:rsid w:val="00DA3089"/>
    <w:rsid w:val="00DA44B6"/>
    <w:rsid w:val="00DB200A"/>
    <w:rsid w:val="00DB6F53"/>
    <w:rsid w:val="00DC0417"/>
    <w:rsid w:val="00DC103F"/>
    <w:rsid w:val="00DC2755"/>
    <w:rsid w:val="00DC277A"/>
    <w:rsid w:val="00DC2F53"/>
    <w:rsid w:val="00DC6015"/>
    <w:rsid w:val="00DC6D66"/>
    <w:rsid w:val="00DC7011"/>
    <w:rsid w:val="00DD0EB9"/>
    <w:rsid w:val="00DD16A3"/>
    <w:rsid w:val="00DD1F5E"/>
    <w:rsid w:val="00DD2E53"/>
    <w:rsid w:val="00DD33F7"/>
    <w:rsid w:val="00DD6D3F"/>
    <w:rsid w:val="00DE4776"/>
    <w:rsid w:val="00DE5892"/>
    <w:rsid w:val="00DE600E"/>
    <w:rsid w:val="00DE69C6"/>
    <w:rsid w:val="00DE7477"/>
    <w:rsid w:val="00DF0CB0"/>
    <w:rsid w:val="00DF2805"/>
    <w:rsid w:val="00DF2B5C"/>
    <w:rsid w:val="00DF4195"/>
    <w:rsid w:val="00DF4966"/>
    <w:rsid w:val="00DF5CD6"/>
    <w:rsid w:val="00DF6B8D"/>
    <w:rsid w:val="00DF707A"/>
    <w:rsid w:val="00E00A21"/>
    <w:rsid w:val="00E00F2C"/>
    <w:rsid w:val="00E03619"/>
    <w:rsid w:val="00E04D7F"/>
    <w:rsid w:val="00E06DBA"/>
    <w:rsid w:val="00E07AA6"/>
    <w:rsid w:val="00E1125B"/>
    <w:rsid w:val="00E139AB"/>
    <w:rsid w:val="00E16033"/>
    <w:rsid w:val="00E16226"/>
    <w:rsid w:val="00E21BEE"/>
    <w:rsid w:val="00E22FEC"/>
    <w:rsid w:val="00E23591"/>
    <w:rsid w:val="00E24AA6"/>
    <w:rsid w:val="00E24F69"/>
    <w:rsid w:val="00E26DAB"/>
    <w:rsid w:val="00E30B8C"/>
    <w:rsid w:val="00E30D4D"/>
    <w:rsid w:val="00E31E8E"/>
    <w:rsid w:val="00E34ADE"/>
    <w:rsid w:val="00E351AC"/>
    <w:rsid w:val="00E36B79"/>
    <w:rsid w:val="00E36FE3"/>
    <w:rsid w:val="00E371B8"/>
    <w:rsid w:val="00E4158B"/>
    <w:rsid w:val="00E41E45"/>
    <w:rsid w:val="00E42854"/>
    <w:rsid w:val="00E43B60"/>
    <w:rsid w:val="00E4465B"/>
    <w:rsid w:val="00E45EEA"/>
    <w:rsid w:val="00E467D8"/>
    <w:rsid w:val="00E47445"/>
    <w:rsid w:val="00E531C6"/>
    <w:rsid w:val="00E54A69"/>
    <w:rsid w:val="00E54FDC"/>
    <w:rsid w:val="00E55AAE"/>
    <w:rsid w:val="00E55F27"/>
    <w:rsid w:val="00E56197"/>
    <w:rsid w:val="00E617B6"/>
    <w:rsid w:val="00E62835"/>
    <w:rsid w:val="00E65B04"/>
    <w:rsid w:val="00E66BAC"/>
    <w:rsid w:val="00E679AD"/>
    <w:rsid w:val="00E71D4B"/>
    <w:rsid w:val="00E72436"/>
    <w:rsid w:val="00E73E27"/>
    <w:rsid w:val="00E76D4F"/>
    <w:rsid w:val="00E778CF"/>
    <w:rsid w:val="00E80743"/>
    <w:rsid w:val="00E821D1"/>
    <w:rsid w:val="00E82F7D"/>
    <w:rsid w:val="00E844F1"/>
    <w:rsid w:val="00E8701B"/>
    <w:rsid w:val="00E87386"/>
    <w:rsid w:val="00E90FAA"/>
    <w:rsid w:val="00E91113"/>
    <w:rsid w:val="00E91462"/>
    <w:rsid w:val="00E94635"/>
    <w:rsid w:val="00EA031B"/>
    <w:rsid w:val="00EA5C65"/>
    <w:rsid w:val="00EA792A"/>
    <w:rsid w:val="00EC1598"/>
    <w:rsid w:val="00EC1B65"/>
    <w:rsid w:val="00EC21EC"/>
    <w:rsid w:val="00EC23B9"/>
    <w:rsid w:val="00EC2547"/>
    <w:rsid w:val="00EC4B32"/>
    <w:rsid w:val="00EC719A"/>
    <w:rsid w:val="00EC7C34"/>
    <w:rsid w:val="00EC7ED6"/>
    <w:rsid w:val="00ED00E8"/>
    <w:rsid w:val="00ED0E5A"/>
    <w:rsid w:val="00ED2EA4"/>
    <w:rsid w:val="00ED4787"/>
    <w:rsid w:val="00EE1BB9"/>
    <w:rsid w:val="00EE3AE4"/>
    <w:rsid w:val="00EE5A54"/>
    <w:rsid w:val="00EE7ABD"/>
    <w:rsid w:val="00EF055E"/>
    <w:rsid w:val="00EF141C"/>
    <w:rsid w:val="00EF409D"/>
    <w:rsid w:val="00EF428B"/>
    <w:rsid w:val="00EF5F25"/>
    <w:rsid w:val="00EF7150"/>
    <w:rsid w:val="00F0425F"/>
    <w:rsid w:val="00F04C8C"/>
    <w:rsid w:val="00F0772A"/>
    <w:rsid w:val="00F11420"/>
    <w:rsid w:val="00F128B5"/>
    <w:rsid w:val="00F16F5C"/>
    <w:rsid w:val="00F171E3"/>
    <w:rsid w:val="00F17508"/>
    <w:rsid w:val="00F202B9"/>
    <w:rsid w:val="00F21395"/>
    <w:rsid w:val="00F27E17"/>
    <w:rsid w:val="00F31171"/>
    <w:rsid w:val="00F33009"/>
    <w:rsid w:val="00F33401"/>
    <w:rsid w:val="00F33D04"/>
    <w:rsid w:val="00F34A52"/>
    <w:rsid w:val="00F3550A"/>
    <w:rsid w:val="00F408F2"/>
    <w:rsid w:val="00F40DB7"/>
    <w:rsid w:val="00F413BB"/>
    <w:rsid w:val="00F43493"/>
    <w:rsid w:val="00F452C5"/>
    <w:rsid w:val="00F453DC"/>
    <w:rsid w:val="00F534A3"/>
    <w:rsid w:val="00F54AEE"/>
    <w:rsid w:val="00F54F97"/>
    <w:rsid w:val="00F5600F"/>
    <w:rsid w:val="00F57C84"/>
    <w:rsid w:val="00F63487"/>
    <w:rsid w:val="00F65E0F"/>
    <w:rsid w:val="00F66E7E"/>
    <w:rsid w:val="00F676E1"/>
    <w:rsid w:val="00F714EA"/>
    <w:rsid w:val="00F716F0"/>
    <w:rsid w:val="00F76C8F"/>
    <w:rsid w:val="00F80AFD"/>
    <w:rsid w:val="00F843BB"/>
    <w:rsid w:val="00F85E3D"/>
    <w:rsid w:val="00F91483"/>
    <w:rsid w:val="00F94FA1"/>
    <w:rsid w:val="00F96345"/>
    <w:rsid w:val="00FA0694"/>
    <w:rsid w:val="00FA16CE"/>
    <w:rsid w:val="00FA21F0"/>
    <w:rsid w:val="00FA251F"/>
    <w:rsid w:val="00FA38B1"/>
    <w:rsid w:val="00FA5005"/>
    <w:rsid w:val="00FA7797"/>
    <w:rsid w:val="00FB530E"/>
    <w:rsid w:val="00FB7ADF"/>
    <w:rsid w:val="00FB7D8D"/>
    <w:rsid w:val="00FC037F"/>
    <w:rsid w:val="00FC1196"/>
    <w:rsid w:val="00FC43E8"/>
    <w:rsid w:val="00FC4C46"/>
    <w:rsid w:val="00FC5354"/>
    <w:rsid w:val="00FC68BD"/>
    <w:rsid w:val="00FD02DB"/>
    <w:rsid w:val="00FD07D8"/>
    <w:rsid w:val="00FD185A"/>
    <w:rsid w:val="00FD1ED5"/>
    <w:rsid w:val="00FD29BC"/>
    <w:rsid w:val="00FD2A8C"/>
    <w:rsid w:val="00FD31DA"/>
    <w:rsid w:val="00FD59A7"/>
    <w:rsid w:val="00FD5DA6"/>
    <w:rsid w:val="00FD7F01"/>
    <w:rsid w:val="00FE36D0"/>
    <w:rsid w:val="00FE4516"/>
    <w:rsid w:val="00FE49BF"/>
    <w:rsid w:val="00FE6054"/>
    <w:rsid w:val="00FE737A"/>
    <w:rsid w:val="00FF07A9"/>
    <w:rsid w:val="00FF07BF"/>
    <w:rsid w:val="00FF17D6"/>
    <w:rsid w:val="00FF18E3"/>
    <w:rsid w:val="00FF1FFE"/>
    <w:rsid w:val="00FF3006"/>
    <w:rsid w:val="00FF5D1B"/>
    <w:rsid w:val="00FF620A"/>
    <w:rsid w:val="00FF64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A9DF"/>
  <w15:docId w15:val="{F74B25F8-00B9-48BB-8880-91C3864B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27"/>
    <w:rPr>
      <w:rFonts w:ascii="Times New Roman" w:eastAsia="Times New Roman" w:hAnsi="Times New Roman" w:cs="Times New Roman"/>
      <w:lang w:val="en-CA" w:eastAsia="en-CA"/>
    </w:rPr>
  </w:style>
  <w:style w:type="paragraph" w:styleId="Heading1">
    <w:name w:val="heading 1"/>
    <w:basedOn w:val="Normal"/>
    <w:next w:val="Normal"/>
    <w:link w:val="Heading1Char"/>
    <w:uiPriority w:val="9"/>
    <w:qFormat/>
    <w:rsid w:val="00DF28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333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673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DB"/>
    <w:pPr>
      <w:ind w:left="720"/>
      <w:contextualSpacing/>
    </w:pPr>
  </w:style>
  <w:style w:type="paragraph" w:customStyle="1" w:styleId="p1">
    <w:name w:val="p1"/>
    <w:basedOn w:val="Normal"/>
    <w:rsid w:val="00FD02DB"/>
    <w:rPr>
      <w:rFonts w:ascii="Helvetica" w:hAnsi="Helvetica"/>
      <w:sz w:val="12"/>
      <w:szCs w:val="12"/>
    </w:rPr>
  </w:style>
  <w:style w:type="paragraph" w:styleId="EndnoteText">
    <w:name w:val="endnote text"/>
    <w:basedOn w:val="Normal"/>
    <w:link w:val="EndnoteTextChar"/>
    <w:uiPriority w:val="99"/>
    <w:semiHidden/>
    <w:unhideWhenUsed/>
    <w:rsid w:val="001916A7"/>
    <w:rPr>
      <w:sz w:val="20"/>
      <w:szCs w:val="20"/>
    </w:rPr>
  </w:style>
  <w:style w:type="character" w:customStyle="1" w:styleId="EndnoteTextChar">
    <w:name w:val="Endnote Text Char"/>
    <w:basedOn w:val="DefaultParagraphFont"/>
    <w:link w:val="EndnoteText"/>
    <w:uiPriority w:val="99"/>
    <w:semiHidden/>
    <w:rsid w:val="001916A7"/>
    <w:rPr>
      <w:sz w:val="20"/>
      <w:szCs w:val="20"/>
    </w:rPr>
  </w:style>
  <w:style w:type="character" w:styleId="EndnoteReference">
    <w:name w:val="endnote reference"/>
    <w:basedOn w:val="DefaultParagraphFont"/>
    <w:uiPriority w:val="99"/>
    <w:semiHidden/>
    <w:unhideWhenUsed/>
    <w:rsid w:val="001916A7"/>
    <w:rPr>
      <w:vertAlign w:val="superscript"/>
    </w:rPr>
  </w:style>
  <w:style w:type="paragraph" w:styleId="Bibliography">
    <w:name w:val="Bibliography"/>
    <w:basedOn w:val="Normal"/>
    <w:next w:val="Normal"/>
    <w:uiPriority w:val="37"/>
    <w:unhideWhenUsed/>
    <w:rsid w:val="001916A7"/>
    <w:pPr>
      <w:tabs>
        <w:tab w:val="left" w:pos="260"/>
        <w:tab w:val="left" w:pos="620"/>
      </w:tabs>
      <w:spacing w:after="240"/>
      <w:ind w:left="624" w:hanging="624"/>
    </w:pPr>
  </w:style>
  <w:style w:type="character" w:customStyle="1" w:styleId="apple-converted-space">
    <w:name w:val="apple-converted-space"/>
    <w:basedOn w:val="DefaultParagraphFont"/>
    <w:rsid w:val="00657C43"/>
  </w:style>
  <w:style w:type="character" w:customStyle="1" w:styleId="citationsource-journal">
    <w:name w:val="citation_source-journal"/>
    <w:basedOn w:val="DefaultParagraphFont"/>
    <w:rsid w:val="00657C43"/>
  </w:style>
  <w:style w:type="character" w:customStyle="1" w:styleId="nlmyear">
    <w:name w:val="nlm_year"/>
    <w:basedOn w:val="DefaultParagraphFont"/>
    <w:rsid w:val="00657C43"/>
  </w:style>
  <w:style w:type="character" w:customStyle="1" w:styleId="nlmfpage">
    <w:name w:val="nlm_fpage"/>
    <w:basedOn w:val="DefaultParagraphFont"/>
    <w:rsid w:val="00657C43"/>
  </w:style>
  <w:style w:type="character" w:styleId="Hyperlink">
    <w:name w:val="Hyperlink"/>
    <w:basedOn w:val="DefaultParagraphFont"/>
    <w:uiPriority w:val="99"/>
    <w:unhideWhenUsed/>
    <w:rsid w:val="00C062A8"/>
    <w:rPr>
      <w:color w:val="0000FF"/>
      <w:u w:val="single"/>
    </w:rPr>
  </w:style>
  <w:style w:type="character" w:customStyle="1" w:styleId="UnresolvedMention1">
    <w:name w:val="Unresolved Mention1"/>
    <w:basedOn w:val="DefaultParagraphFont"/>
    <w:uiPriority w:val="99"/>
    <w:rsid w:val="007D4BCD"/>
    <w:rPr>
      <w:color w:val="808080"/>
      <w:shd w:val="clear" w:color="auto" w:fill="E6E6E6"/>
    </w:rPr>
  </w:style>
  <w:style w:type="paragraph" w:styleId="NormalWeb">
    <w:name w:val="Normal (Web)"/>
    <w:basedOn w:val="Normal"/>
    <w:uiPriority w:val="99"/>
    <w:semiHidden/>
    <w:unhideWhenUsed/>
    <w:rsid w:val="00CF7795"/>
  </w:style>
  <w:style w:type="character" w:styleId="FollowedHyperlink">
    <w:name w:val="FollowedHyperlink"/>
    <w:basedOn w:val="DefaultParagraphFont"/>
    <w:uiPriority w:val="99"/>
    <w:semiHidden/>
    <w:unhideWhenUsed/>
    <w:rsid w:val="002839E6"/>
    <w:rPr>
      <w:color w:val="954F72" w:themeColor="followedHyperlink"/>
      <w:u w:val="single"/>
    </w:rPr>
  </w:style>
  <w:style w:type="character" w:customStyle="1" w:styleId="Heading1Char">
    <w:name w:val="Heading 1 Char"/>
    <w:basedOn w:val="DefaultParagraphFont"/>
    <w:link w:val="Heading1"/>
    <w:uiPriority w:val="9"/>
    <w:rsid w:val="00DF2805"/>
    <w:rPr>
      <w:rFonts w:asciiTheme="majorHAnsi" w:eastAsiaTheme="majorEastAsia" w:hAnsiTheme="majorHAnsi" w:cstheme="majorBidi"/>
      <w:color w:val="2F5496" w:themeColor="accent1" w:themeShade="BF"/>
      <w:sz w:val="32"/>
      <w:szCs w:val="32"/>
      <w:lang w:val="en-CA" w:eastAsia="en-CA"/>
    </w:rPr>
  </w:style>
  <w:style w:type="character" w:customStyle="1" w:styleId="A1">
    <w:name w:val="A1"/>
    <w:uiPriority w:val="99"/>
    <w:rsid w:val="00DF0CB0"/>
    <w:rPr>
      <w:rFonts w:cs="Minion Pro"/>
      <w:color w:val="000000"/>
      <w:sz w:val="10"/>
      <w:szCs w:val="10"/>
    </w:rPr>
  </w:style>
  <w:style w:type="paragraph" w:customStyle="1" w:styleId="Default">
    <w:name w:val="Default"/>
    <w:rsid w:val="00DF0CB0"/>
    <w:pPr>
      <w:autoSpaceDE w:val="0"/>
      <w:autoSpaceDN w:val="0"/>
      <w:adjustRightInd w:val="0"/>
    </w:pPr>
    <w:rPr>
      <w:rFonts w:ascii="ITC Symbol Std Medium" w:hAnsi="ITC Symbol Std Medium" w:cs="ITC Symbol Std Medium"/>
      <w:color w:val="000000"/>
      <w:lang w:val="en-CA"/>
    </w:rPr>
  </w:style>
  <w:style w:type="paragraph" w:styleId="HTMLPreformatted">
    <w:name w:val="HTML Preformatted"/>
    <w:basedOn w:val="Normal"/>
    <w:link w:val="HTMLPreformattedChar"/>
    <w:uiPriority w:val="99"/>
    <w:semiHidden/>
    <w:unhideWhenUsed/>
    <w:rsid w:val="007220C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220C8"/>
    <w:rPr>
      <w:rFonts w:ascii="Consolas" w:eastAsia="Times New Roman" w:hAnsi="Consolas" w:cs="Consolas"/>
      <w:sz w:val="20"/>
      <w:szCs w:val="20"/>
      <w:lang w:val="en-CA" w:eastAsia="en-CA"/>
    </w:rPr>
  </w:style>
  <w:style w:type="character" w:customStyle="1" w:styleId="Heading4Char">
    <w:name w:val="Heading 4 Char"/>
    <w:basedOn w:val="DefaultParagraphFont"/>
    <w:link w:val="Heading4"/>
    <w:uiPriority w:val="9"/>
    <w:semiHidden/>
    <w:rsid w:val="00B673D0"/>
    <w:rPr>
      <w:rFonts w:asciiTheme="majorHAnsi" w:eastAsiaTheme="majorEastAsia" w:hAnsiTheme="majorHAnsi" w:cstheme="majorBidi"/>
      <w:i/>
      <w:iCs/>
      <w:color w:val="2F5496" w:themeColor="accent1" w:themeShade="BF"/>
      <w:lang w:val="en-CA" w:eastAsia="en-CA"/>
    </w:rPr>
  </w:style>
  <w:style w:type="paragraph" w:styleId="Footer">
    <w:name w:val="footer"/>
    <w:basedOn w:val="Normal"/>
    <w:link w:val="FooterChar"/>
    <w:uiPriority w:val="99"/>
    <w:unhideWhenUsed/>
    <w:rsid w:val="00FE6054"/>
    <w:pPr>
      <w:tabs>
        <w:tab w:val="center" w:pos="4680"/>
        <w:tab w:val="right" w:pos="9360"/>
      </w:tabs>
    </w:pPr>
  </w:style>
  <w:style w:type="character" w:customStyle="1" w:styleId="FooterChar">
    <w:name w:val="Footer Char"/>
    <w:basedOn w:val="DefaultParagraphFont"/>
    <w:link w:val="Footer"/>
    <w:uiPriority w:val="99"/>
    <w:rsid w:val="00FE6054"/>
    <w:rPr>
      <w:rFonts w:ascii="Times New Roman" w:eastAsia="Times New Roman" w:hAnsi="Times New Roman" w:cs="Times New Roman"/>
      <w:lang w:val="en-CA" w:eastAsia="en-CA"/>
    </w:rPr>
  </w:style>
  <w:style w:type="character" w:styleId="PageNumber">
    <w:name w:val="page number"/>
    <w:basedOn w:val="DefaultParagraphFont"/>
    <w:uiPriority w:val="99"/>
    <w:semiHidden/>
    <w:unhideWhenUsed/>
    <w:rsid w:val="00FE6054"/>
  </w:style>
  <w:style w:type="paragraph" w:styleId="BalloonText">
    <w:name w:val="Balloon Text"/>
    <w:basedOn w:val="Normal"/>
    <w:link w:val="BalloonTextChar"/>
    <w:uiPriority w:val="99"/>
    <w:semiHidden/>
    <w:unhideWhenUsed/>
    <w:rsid w:val="00305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F0"/>
    <w:rPr>
      <w:rFonts w:ascii="Segoe UI" w:eastAsia="Times New Roman" w:hAnsi="Segoe UI" w:cs="Segoe UI"/>
      <w:sz w:val="18"/>
      <w:szCs w:val="18"/>
      <w:lang w:val="en-CA" w:eastAsia="en-CA"/>
    </w:rPr>
  </w:style>
  <w:style w:type="character" w:styleId="CommentReference">
    <w:name w:val="annotation reference"/>
    <w:basedOn w:val="DefaultParagraphFont"/>
    <w:uiPriority w:val="99"/>
    <w:semiHidden/>
    <w:unhideWhenUsed/>
    <w:rsid w:val="00092285"/>
    <w:rPr>
      <w:sz w:val="16"/>
      <w:szCs w:val="16"/>
    </w:rPr>
  </w:style>
  <w:style w:type="paragraph" w:styleId="CommentText">
    <w:name w:val="annotation text"/>
    <w:basedOn w:val="Normal"/>
    <w:link w:val="CommentTextChar"/>
    <w:uiPriority w:val="99"/>
    <w:semiHidden/>
    <w:unhideWhenUsed/>
    <w:rsid w:val="00092285"/>
    <w:rPr>
      <w:sz w:val="20"/>
      <w:szCs w:val="20"/>
    </w:rPr>
  </w:style>
  <w:style w:type="character" w:customStyle="1" w:styleId="CommentTextChar">
    <w:name w:val="Comment Text Char"/>
    <w:basedOn w:val="DefaultParagraphFont"/>
    <w:link w:val="CommentText"/>
    <w:uiPriority w:val="99"/>
    <w:semiHidden/>
    <w:rsid w:val="00092285"/>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092285"/>
    <w:rPr>
      <w:b/>
      <w:bCs/>
    </w:rPr>
  </w:style>
  <w:style w:type="character" w:customStyle="1" w:styleId="CommentSubjectChar">
    <w:name w:val="Comment Subject Char"/>
    <w:basedOn w:val="CommentTextChar"/>
    <w:link w:val="CommentSubject"/>
    <w:uiPriority w:val="99"/>
    <w:semiHidden/>
    <w:rsid w:val="00092285"/>
    <w:rPr>
      <w:rFonts w:ascii="Times New Roman" w:eastAsia="Times New Roman" w:hAnsi="Times New Roman" w:cs="Times New Roman"/>
      <w:b/>
      <w:bCs/>
      <w:sz w:val="20"/>
      <w:szCs w:val="20"/>
      <w:lang w:val="en-CA" w:eastAsia="en-CA"/>
    </w:rPr>
  </w:style>
  <w:style w:type="paragraph" w:styleId="Caption">
    <w:name w:val="caption"/>
    <w:basedOn w:val="Normal"/>
    <w:next w:val="Normal"/>
    <w:uiPriority w:val="35"/>
    <w:unhideWhenUsed/>
    <w:qFormat/>
    <w:rsid w:val="005E6EC3"/>
    <w:pPr>
      <w:spacing w:after="200"/>
    </w:pPr>
    <w:rPr>
      <w:rFonts w:asciiTheme="minorHAnsi" w:eastAsiaTheme="minorHAnsi" w:hAnsiTheme="minorHAnsi" w:cstheme="minorBidi"/>
      <w:i/>
      <w:iCs/>
      <w:color w:val="44546A" w:themeColor="text2"/>
      <w:sz w:val="18"/>
      <w:szCs w:val="18"/>
      <w:lang w:val="en-US" w:eastAsia="en-US"/>
    </w:rPr>
  </w:style>
  <w:style w:type="table" w:customStyle="1" w:styleId="PlainTable11">
    <w:name w:val="Plain Table 11"/>
    <w:basedOn w:val="TableNormal"/>
    <w:uiPriority w:val="41"/>
    <w:rsid w:val="005E6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6167E"/>
    <w:pPr>
      <w:tabs>
        <w:tab w:val="center" w:pos="4536"/>
        <w:tab w:val="right" w:pos="9072"/>
      </w:tabs>
    </w:pPr>
  </w:style>
  <w:style w:type="character" w:customStyle="1" w:styleId="HeaderChar">
    <w:name w:val="Header Char"/>
    <w:basedOn w:val="DefaultParagraphFont"/>
    <w:link w:val="Header"/>
    <w:uiPriority w:val="99"/>
    <w:rsid w:val="0076167E"/>
    <w:rPr>
      <w:rFonts w:ascii="Times New Roman" w:eastAsia="Times New Roman" w:hAnsi="Times New Roman" w:cs="Times New Roman"/>
      <w:lang w:val="en-CA" w:eastAsia="en-CA"/>
    </w:rPr>
  </w:style>
  <w:style w:type="paragraph" w:customStyle="1" w:styleId="Cm1">
    <w:name w:val="Cím1"/>
    <w:basedOn w:val="Normal"/>
    <w:rsid w:val="00AC5EB7"/>
    <w:pPr>
      <w:spacing w:before="100" w:beforeAutospacing="1" w:after="100" w:afterAutospacing="1"/>
    </w:pPr>
    <w:rPr>
      <w:lang w:val="hu-HU" w:eastAsia="hu-HU"/>
    </w:rPr>
  </w:style>
  <w:style w:type="paragraph" w:customStyle="1" w:styleId="desc">
    <w:name w:val="desc"/>
    <w:basedOn w:val="Normal"/>
    <w:rsid w:val="00AC5EB7"/>
    <w:pPr>
      <w:spacing w:before="100" w:beforeAutospacing="1" w:after="100" w:afterAutospacing="1"/>
    </w:pPr>
    <w:rPr>
      <w:lang w:val="hu-HU" w:eastAsia="hu-HU"/>
    </w:rPr>
  </w:style>
  <w:style w:type="paragraph" w:customStyle="1" w:styleId="details">
    <w:name w:val="details"/>
    <w:basedOn w:val="Normal"/>
    <w:rsid w:val="00AC5EB7"/>
    <w:pPr>
      <w:spacing w:before="100" w:beforeAutospacing="1" w:after="100" w:afterAutospacing="1"/>
    </w:pPr>
    <w:rPr>
      <w:lang w:val="hu-HU" w:eastAsia="hu-HU"/>
    </w:rPr>
  </w:style>
  <w:style w:type="character" w:customStyle="1" w:styleId="jrnl">
    <w:name w:val="jrnl"/>
    <w:basedOn w:val="DefaultParagraphFont"/>
    <w:rsid w:val="00AC5EB7"/>
  </w:style>
  <w:style w:type="character" w:customStyle="1" w:styleId="UnresolvedMention2">
    <w:name w:val="Unresolved Mention2"/>
    <w:basedOn w:val="DefaultParagraphFont"/>
    <w:uiPriority w:val="99"/>
    <w:semiHidden/>
    <w:unhideWhenUsed/>
    <w:rsid w:val="00D86164"/>
    <w:rPr>
      <w:color w:val="808080"/>
      <w:shd w:val="clear" w:color="auto" w:fill="E6E6E6"/>
    </w:rPr>
  </w:style>
  <w:style w:type="paragraph" w:styleId="Revision">
    <w:name w:val="Revision"/>
    <w:hidden/>
    <w:uiPriority w:val="99"/>
    <w:semiHidden/>
    <w:rsid w:val="00244F14"/>
    <w:rPr>
      <w:rFonts w:ascii="Times New Roman" w:eastAsia="Times New Roman" w:hAnsi="Times New Roman" w:cs="Times New Roman"/>
      <w:lang w:val="en-CA" w:eastAsia="en-CA"/>
    </w:rPr>
  </w:style>
  <w:style w:type="character" w:customStyle="1" w:styleId="Heading3Char">
    <w:name w:val="Heading 3 Char"/>
    <w:basedOn w:val="DefaultParagraphFont"/>
    <w:link w:val="Heading3"/>
    <w:uiPriority w:val="9"/>
    <w:semiHidden/>
    <w:rsid w:val="0085333E"/>
    <w:rPr>
      <w:rFonts w:asciiTheme="majorHAnsi" w:eastAsiaTheme="majorEastAsia" w:hAnsiTheme="majorHAnsi" w:cstheme="majorBidi"/>
      <w:color w:val="1F3763" w:themeColor="accent1" w:themeShade="7F"/>
      <w:lang w:val="en-CA" w:eastAsia="en-CA"/>
    </w:rPr>
  </w:style>
  <w:style w:type="character" w:customStyle="1" w:styleId="ui-ncbitoggler-master-text">
    <w:name w:val="ui-ncbitoggler-master-text"/>
    <w:basedOn w:val="DefaultParagraphFont"/>
    <w:rsid w:val="0085333E"/>
  </w:style>
  <w:style w:type="table" w:styleId="TableGrid">
    <w:name w:val="Table Grid"/>
    <w:basedOn w:val="TableNormal"/>
    <w:uiPriority w:val="39"/>
    <w:rsid w:val="00236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87">
      <w:bodyDiv w:val="1"/>
      <w:marLeft w:val="0"/>
      <w:marRight w:val="0"/>
      <w:marTop w:val="0"/>
      <w:marBottom w:val="0"/>
      <w:divBdr>
        <w:top w:val="none" w:sz="0" w:space="0" w:color="auto"/>
        <w:left w:val="none" w:sz="0" w:space="0" w:color="auto"/>
        <w:bottom w:val="none" w:sz="0" w:space="0" w:color="auto"/>
        <w:right w:val="none" w:sz="0" w:space="0" w:color="auto"/>
      </w:divBdr>
    </w:div>
    <w:div w:id="933268">
      <w:bodyDiv w:val="1"/>
      <w:marLeft w:val="0"/>
      <w:marRight w:val="0"/>
      <w:marTop w:val="0"/>
      <w:marBottom w:val="0"/>
      <w:divBdr>
        <w:top w:val="none" w:sz="0" w:space="0" w:color="auto"/>
        <w:left w:val="none" w:sz="0" w:space="0" w:color="auto"/>
        <w:bottom w:val="none" w:sz="0" w:space="0" w:color="auto"/>
        <w:right w:val="none" w:sz="0" w:space="0" w:color="auto"/>
      </w:divBdr>
    </w:div>
    <w:div w:id="1199817">
      <w:bodyDiv w:val="1"/>
      <w:marLeft w:val="0"/>
      <w:marRight w:val="0"/>
      <w:marTop w:val="0"/>
      <w:marBottom w:val="0"/>
      <w:divBdr>
        <w:top w:val="none" w:sz="0" w:space="0" w:color="auto"/>
        <w:left w:val="none" w:sz="0" w:space="0" w:color="auto"/>
        <w:bottom w:val="none" w:sz="0" w:space="0" w:color="auto"/>
        <w:right w:val="none" w:sz="0" w:space="0" w:color="auto"/>
      </w:divBdr>
    </w:div>
    <w:div w:id="13264008">
      <w:bodyDiv w:val="1"/>
      <w:marLeft w:val="0"/>
      <w:marRight w:val="0"/>
      <w:marTop w:val="0"/>
      <w:marBottom w:val="0"/>
      <w:divBdr>
        <w:top w:val="none" w:sz="0" w:space="0" w:color="auto"/>
        <w:left w:val="none" w:sz="0" w:space="0" w:color="auto"/>
        <w:bottom w:val="none" w:sz="0" w:space="0" w:color="auto"/>
        <w:right w:val="none" w:sz="0" w:space="0" w:color="auto"/>
      </w:divBdr>
    </w:div>
    <w:div w:id="16390382">
      <w:bodyDiv w:val="1"/>
      <w:marLeft w:val="0"/>
      <w:marRight w:val="0"/>
      <w:marTop w:val="0"/>
      <w:marBottom w:val="0"/>
      <w:divBdr>
        <w:top w:val="none" w:sz="0" w:space="0" w:color="auto"/>
        <w:left w:val="none" w:sz="0" w:space="0" w:color="auto"/>
        <w:bottom w:val="none" w:sz="0" w:space="0" w:color="auto"/>
        <w:right w:val="none" w:sz="0" w:space="0" w:color="auto"/>
      </w:divBdr>
    </w:div>
    <w:div w:id="16464348">
      <w:bodyDiv w:val="1"/>
      <w:marLeft w:val="0"/>
      <w:marRight w:val="0"/>
      <w:marTop w:val="0"/>
      <w:marBottom w:val="0"/>
      <w:divBdr>
        <w:top w:val="none" w:sz="0" w:space="0" w:color="auto"/>
        <w:left w:val="none" w:sz="0" w:space="0" w:color="auto"/>
        <w:bottom w:val="none" w:sz="0" w:space="0" w:color="auto"/>
        <w:right w:val="none" w:sz="0" w:space="0" w:color="auto"/>
      </w:divBdr>
    </w:div>
    <w:div w:id="30886125">
      <w:bodyDiv w:val="1"/>
      <w:marLeft w:val="0"/>
      <w:marRight w:val="0"/>
      <w:marTop w:val="0"/>
      <w:marBottom w:val="0"/>
      <w:divBdr>
        <w:top w:val="none" w:sz="0" w:space="0" w:color="auto"/>
        <w:left w:val="none" w:sz="0" w:space="0" w:color="auto"/>
        <w:bottom w:val="none" w:sz="0" w:space="0" w:color="auto"/>
        <w:right w:val="none" w:sz="0" w:space="0" w:color="auto"/>
      </w:divBdr>
    </w:div>
    <w:div w:id="38014623">
      <w:bodyDiv w:val="1"/>
      <w:marLeft w:val="0"/>
      <w:marRight w:val="0"/>
      <w:marTop w:val="0"/>
      <w:marBottom w:val="0"/>
      <w:divBdr>
        <w:top w:val="none" w:sz="0" w:space="0" w:color="auto"/>
        <w:left w:val="none" w:sz="0" w:space="0" w:color="auto"/>
        <w:bottom w:val="none" w:sz="0" w:space="0" w:color="auto"/>
        <w:right w:val="none" w:sz="0" w:space="0" w:color="auto"/>
      </w:divBdr>
    </w:div>
    <w:div w:id="48966852">
      <w:bodyDiv w:val="1"/>
      <w:marLeft w:val="0"/>
      <w:marRight w:val="0"/>
      <w:marTop w:val="0"/>
      <w:marBottom w:val="0"/>
      <w:divBdr>
        <w:top w:val="none" w:sz="0" w:space="0" w:color="auto"/>
        <w:left w:val="none" w:sz="0" w:space="0" w:color="auto"/>
        <w:bottom w:val="none" w:sz="0" w:space="0" w:color="auto"/>
        <w:right w:val="none" w:sz="0" w:space="0" w:color="auto"/>
      </w:divBdr>
    </w:div>
    <w:div w:id="54667322">
      <w:bodyDiv w:val="1"/>
      <w:marLeft w:val="0"/>
      <w:marRight w:val="0"/>
      <w:marTop w:val="0"/>
      <w:marBottom w:val="0"/>
      <w:divBdr>
        <w:top w:val="none" w:sz="0" w:space="0" w:color="auto"/>
        <w:left w:val="none" w:sz="0" w:space="0" w:color="auto"/>
        <w:bottom w:val="none" w:sz="0" w:space="0" w:color="auto"/>
        <w:right w:val="none" w:sz="0" w:space="0" w:color="auto"/>
      </w:divBdr>
    </w:div>
    <w:div w:id="65954147">
      <w:bodyDiv w:val="1"/>
      <w:marLeft w:val="0"/>
      <w:marRight w:val="0"/>
      <w:marTop w:val="0"/>
      <w:marBottom w:val="0"/>
      <w:divBdr>
        <w:top w:val="none" w:sz="0" w:space="0" w:color="auto"/>
        <w:left w:val="none" w:sz="0" w:space="0" w:color="auto"/>
        <w:bottom w:val="none" w:sz="0" w:space="0" w:color="auto"/>
        <w:right w:val="none" w:sz="0" w:space="0" w:color="auto"/>
      </w:divBdr>
    </w:div>
    <w:div w:id="67047312">
      <w:bodyDiv w:val="1"/>
      <w:marLeft w:val="0"/>
      <w:marRight w:val="0"/>
      <w:marTop w:val="0"/>
      <w:marBottom w:val="0"/>
      <w:divBdr>
        <w:top w:val="none" w:sz="0" w:space="0" w:color="auto"/>
        <w:left w:val="none" w:sz="0" w:space="0" w:color="auto"/>
        <w:bottom w:val="none" w:sz="0" w:space="0" w:color="auto"/>
        <w:right w:val="none" w:sz="0" w:space="0" w:color="auto"/>
      </w:divBdr>
      <w:divsChild>
        <w:div w:id="1394811736">
          <w:marLeft w:val="0"/>
          <w:marRight w:val="0"/>
          <w:marTop w:val="0"/>
          <w:marBottom w:val="0"/>
          <w:divBdr>
            <w:top w:val="none" w:sz="0" w:space="0" w:color="auto"/>
            <w:left w:val="none" w:sz="0" w:space="0" w:color="auto"/>
            <w:bottom w:val="none" w:sz="0" w:space="0" w:color="auto"/>
            <w:right w:val="none" w:sz="0" w:space="0" w:color="auto"/>
          </w:divBdr>
          <w:divsChild>
            <w:div w:id="637564648">
              <w:marLeft w:val="0"/>
              <w:marRight w:val="0"/>
              <w:marTop w:val="0"/>
              <w:marBottom w:val="0"/>
              <w:divBdr>
                <w:top w:val="none" w:sz="0" w:space="0" w:color="auto"/>
                <w:left w:val="none" w:sz="0" w:space="0" w:color="auto"/>
                <w:bottom w:val="none" w:sz="0" w:space="0" w:color="auto"/>
                <w:right w:val="none" w:sz="0" w:space="0" w:color="auto"/>
              </w:divBdr>
              <w:divsChild>
                <w:div w:id="5621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282">
      <w:bodyDiv w:val="1"/>
      <w:marLeft w:val="0"/>
      <w:marRight w:val="0"/>
      <w:marTop w:val="0"/>
      <w:marBottom w:val="0"/>
      <w:divBdr>
        <w:top w:val="none" w:sz="0" w:space="0" w:color="auto"/>
        <w:left w:val="none" w:sz="0" w:space="0" w:color="auto"/>
        <w:bottom w:val="none" w:sz="0" w:space="0" w:color="auto"/>
        <w:right w:val="none" w:sz="0" w:space="0" w:color="auto"/>
      </w:divBdr>
    </w:div>
    <w:div w:id="87385546">
      <w:bodyDiv w:val="1"/>
      <w:marLeft w:val="0"/>
      <w:marRight w:val="0"/>
      <w:marTop w:val="0"/>
      <w:marBottom w:val="0"/>
      <w:divBdr>
        <w:top w:val="none" w:sz="0" w:space="0" w:color="auto"/>
        <w:left w:val="none" w:sz="0" w:space="0" w:color="auto"/>
        <w:bottom w:val="none" w:sz="0" w:space="0" w:color="auto"/>
        <w:right w:val="none" w:sz="0" w:space="0" w:color="auto"/>
      </w:divBdr>
    </w:div>
    <w:div w:id="95751845">
      <w:bodyDiv w:val="1"/>
      <w:marLeft w:val="0"/>
      <w:marRight w:val="0"/>
      <w:marTop w:val="0"/>
      <w:marBottom w:val="0"/>
      <w:divBdr>
        <w:top w:val="none" w:sz="0" w:space="0" w:color="auto"/>
        <w:left w:val="none" w:sz="0" w:space="0" w:color="auto"/>
        <w:bottom w:val="none" w:sz="0" w:space="0" w:color="auto"/>
        <w:right w:val="none" w:sz="0" w:space="0" w:color="auto"/>
      </w:divBdr>
    </w:div>
    <w:div w:id="96217676">
      <w:bodyDiv w:val="1"/>
      <w:marLeft w:val="0"/>
      <w:marRight w:val="0"/>
      <w:marTop w:val="0"/>
      <w:marBottom w:val="0"/>
      <w:divBdr>
        <w:top w:val="none" w:sz="0" w:space="0" w:color="auto"/>
        <w:left w:val="none" w:sz="0" w:space="0" w:color="auto"/>
        <w:bottom w:val="none" w:sz="0" w:space="0" w:color="auto"/>
        <w:right w:val="none" w:sz="0" w:space="0" w:color="auto"/>
      </w:divBdr>
    </w:div>
    <w:div w:id="125053198">
      <w:bodyDiv w:val="1"/>
      <w:marLeft w:val="0"/>
      <w:marRight w:val="0"/>
      <w:marTop w:val="0"/>
      <w:marBottom w:val="0"/>
      <w:divBdr>
        <w:top w:val="none" w:sz="0" w:space="0" w:color="auto"/>
        <w:left w:val="none" w:sz="0" w:space="0" w:color="auto"/>
        <w:bottom w:val="none" w:sz="0" w:space="0" w:color="auto"/>
        <w:right w:val="none" w:sz="0" w:space="0" w:color="auto"/>
      </w:divBdr>
    </w:div>
    <w:div w:id="150370203">
      <w:bodyDiv w:val="1"/>
      <w:marLeft w:val="0"/>
      <w:marRight w:val="0"/>
      <w:marTop w:val="0"/>
      <w:marBottom w:val="0"/>
      <w:divBdr>
        <w:top w:val="none" w:sz="0" w:space="0" w:color="auto"/>
        <w:left w:val="none" w:sz="0" w:space="0" w:color="auto"/>
        <w:bottom w:val="none" w:sz="0" w:space="0" w:color="auto"/>
        <w:right w:val="none" w:sz="0" w:space="0" w:color="auto"/>
      </w:divBdr>
    </w:div>
    <w:div w:id="151334892">
      <w:bodyDiv w:val="1"/>
      <w:marLeft w:val="0"/>
      <w:marRight w:val="0"/>
      <w:marTop w:val="0"/>
      <w:marBottom w:val="0"/>
      <w:divBdr>
        <w:top w:val="none" w:sz="0" w:space="0" w:color="auto"/>
        <w:left w:val="none" w:sz="0" w:space="0" w:color="auto"/>
        <w:bottom w:val="none" w:sz="0" w:space="0" w:color="auto"/>
        <w:right w:val="none" w:sz="0" w:space="0" w:color="auto"/>
      </w:divBdr>
    </w:div>
    <w:div w:id="158664083">
      <w:bodyDiv w:val="1"/>
      <w:marLeft w:val="0"/>
      <w:marRight w:val="0"/>
      <w:marTop w:val="0"/>
      <w:marBottom w:val="0"/>
      <w:divBdr>
        <w:top w:val="none" w:sz="0" w:space="0" w:color="auto"/>
        <w:left w:val="none" w:sz="0" w:space="0" w:color="auto"/>
        <w:bottom w:val="none" w:sz="0" w:space="0" w:color="auto"/>
        <w:right w:val="none" w:sz="0" w:space="0" w:color="auto"/>
      </w:divBdr>
    </w:div>
    <w:div w:id="177090042">
      <w:bodyDiv w:val="1"/>
      <w:marLeft w:val="0"/>
      <w:marRight w:val="0"/>
      <w:marTop w:val="0"/>
      <w:marBottom w:val="0"/>
      <w:divBdr>
        <w:top w:val="none" w:sz="0" w:space="0" w:color="auto"/>
        <w:left w:val="none" w:sz="0" w:space="0" w:color="auto"/>
        <w:bottom w:val="none" w:sz="0" w:space="0" w:color="auto"/>
        <w:right w:val="none" w:sz="0" w:space="0" w:color="auto"/>
      </w:divBdr>
    </w:div>
    <w:div w:id="187530536">
      <w:bodyDiv w:val="1"/>
      <w:marLeft w:val="0"/>
      <w:marRight w:val="0"/>
      <w:marTop w:val="0"/>
      <w:marBottom w:val="0"/>
      <w:divBdr>
        <w:top w:val="none" w:sz="0" w:space="0" w:color="auto"/>
        <w:left w:val="none" w:sz="0" w:space="0" w:color="auto"/>
        <w:bottom w:val="none" w:sz="0" w:space="0" w:color="auto"/>
        <w:right w:val="none" w:sz="0" w:space="0" w:color="auto"/>
      </w:divBdr>
    </w:div>
    <w:div w:id="191039064">
      <w:bodyDiv w:val="1"/>
      <w:marLeft w:val="0"/>
      <w:marRight w:val="0"/>
      <w:marTop w:val="0"/>
      <w:marBottom w:val="0"/>
      <w:divBdr>
        <w:top w:val="none" w:sz="0" w:space="0" w:color="auto"/>
        <w:left w:val="none" w:sz="0" w:space="0" w:color="auto"/>
        <w:bottom w:val="none" w:sz="0" w:space="0" w:color="auto"/>
        <w:right w:val="none" w:sz="0" w:space="0" w:color="auto"/>
      </w:divBdr>
    </w:div>
    <w:div w:id="220016955">
      <w:bodyDiv w:val="1"/>
      <w:marLeft w:val="0"/>
      <w:marRight w:val="0"/>
      <w:marTop w:val="0"/>
      <w:marBottom w:val="0"/>
      <w:divBdr>
        <w:top w:val="none" w:sz="0" w:space="0" w:color="auto"/>
        <w:left w:val="none" w:sz="0" w:space="0" w:color="auto"/>
        <w:bottom w:val="none" w:sz="0" w:space="0" w:color="auto"/>
        <w:right w:val="none" w:sz="0" w:space="0" w:color="auto"/>
      </w:divBdr>
    </w:div>
    <w:div w:id="244459525">
      <w:bodyDiv w:val="1"/>
      <w:marLeft w:val="0"/>
      <w:marRight w:val="0"/>
      <w:marTop w:val="0"/>
      <w:marBottom w:val="0"/>
      <w:divBdr>
        <w:top w:val="none" w:sz="0" w:space="0" w:color="auto"/>
        <w:left w:val="none" w:sz="0" w:space="0" w:color="auto"/>
        <w:bottom w:val="none" w:sz="0" w:space="0" w:color="auto"/>
        <w:right w:val="none" w:sz="0" w:space="0" w:color="auto"/>
      </w:divBdr>
    </w:div>
    <w:div w:id="245845125">
      <w:bodyDiv w:val="1"/>
      <w:marLeft w:val="0"/>
      <w:marRight w:val="0"/>
      <w:marTop w:val="0"/>
      <w:marBottom w:val="0"/>
      <w:divBdr>
        <w:top w:val="none" w:sz="0" w:space="0" w:color="auto"/>
        <w:left w:val="none" w:sz="0" w:space="0" w:color="auto"/>
        <w:bottom w:val="none" w:sz="0" w:space="0" w:color="auto"/>
        <w:right w:val="none" w:sz="0" w:space="0" w:color="auto"/>
      </w:divBdr>
    </w:div>
    <w:div w:id="260142961">
      <w:bodyDiv w:val="1"/>
      <w:marLeft w:val="0"/>
      <w:marRight w:val="0"/>
      <w:marTop w:val="0"/>
      <w:marBottom w:val="0"/>
      <w:divBdr>
        <w:top w:val="none" w:sz="0" w:space="0" w:color="auto"/>
        <w:left w:val="none" w:sz="0" w:space="0" w:color="auto"/>
        <w:bottom w:val="none" w:sz="0" w:space="0" w:color="auto"/>
        <w:right w:val="none" w:sz="0" w:space="0" w:color="auto"/>
      </w:divBdr>
    </w:div>
    <w:div w:id="282620705">
      <w:bodyDiv w:val="1"/>
      <w:marLeft w:val="0"/>
      <w:marRight w:val="0"/>
      <w:marTop w:val="0"/>
      <w:marBottom w:val="0"/>
      <w:divBdr>
        <w:top w:val="none" w:sz="0" w:space="0" w:color="auto"/>
        <w:left w:val="none" w:sz="0" w:space="0" w:color="auto"/>
        <w:bottom w:val="none" w:sz="0" w:space="0" w:color="auto"/>
        <w:right w:val="none" w:sz="0" w:space="0" w:color="auto"/>
      </w:divBdr>
    </w:div>
    <w:div w:id="292178359">
      <w:bodyDiv w:val="1"/>
      <w:marLeft w:val="0"/>
      <w:marRight w:val="0"/>
      <w:marTop w:val="0"/>
      <w:marBottom w:val="0"/>
      <w:divBdr>
        <w:top w:val="none" w:sz="0" w:space="0" w:color="auto"/>
        <w:left w:val="none" w:sz="0" w:space="0" w:color="auto"/>
        <w:bottom w:val="none" w:sz="0" w:space="0" w:color="auto"/>
        <w:right w:val="none" w:sz="0" w:space="0" w:color="auto"/>
      </w:divBdr>
    </w:div>
    <w:div w:id="298846283">
      <w:bodyDiv w:val="1"/>
      <w:marLeft w:val="0"/>
      <w:marRight w:val="0"/>
      <w:marTop w:val="0"/>
      <w:marBottom w:val="0"/>
      <w:divBdr>
        <w:top w:val="none" w:sz="0" w:space="0" w:color="auto"/>
        <w:left w:val="none" w:sz="0" w:space="0" w:color="auto"/>
        <w:bottom w:val="none" w:sz="0" w:space="0" w:color="auto"/>
        <w:right w:val="none" w:sz="0" w:space="0" w:color="auto"/>
      </w:divBdr>
    </w:div>
    <w:div w:id="302080555">
      <w:bodyDiv w:val="1"/>
      <w:marLeft w:val="0"/>
      <w:marRight w:val="0"/>
      <w:marTop w:val="0"/>
      <w:marBottom w:val="0"/>
      <w:divBdr>
        <w:top w:val="none" w:sz="0" w:space="0" w:color="auto"/>
        <w:left w:val="none" w:sz="0" w:space="0" w:color="auto"/>
        <w:bottom w:val="none" w:sz="0" w:space="0" w:color="auto"/>
        <w:right w:val="none" w:sz="0" w:space="0" w:color="auto"/>
      </w:divBdr>
      <w:divsChild>
        <w:div w:id="217590200">
          <w:marLeft w:val="0"/>
          <w:marRight w:val="0"/>
          <w:marTop w:val="0"/>
          <w:marBottom w:val="0"/>
          <w:divBdr>
            <w:top w:val="none" w:sz="0" w:space="0" w:color="auto"/>
            <w:left w:val="none" w:sz="0" w:space="0" w:color="auto"/>
            <w:bottom w:val="none" w:sz="0" w:space="0" w:color="auto"/>
            <w:right w:val="none" w:sz="0" w:space="0" w:color="auto"/>
          </w:divBdr>
          <w:divsChild>
            <w:div w:id="1673140936">
              <w:marLeft w:val="0"/>
              <w:marRight w:val="0"/>
              <w:marTop w:val="0"/>
              <w:marBottom w:val="0"/>
              <w:divBdr>
                <w:top w:val="none" w:sz="0" w:space="0" w:color="auto"/>
                <w:left w:val="none" w:sz="0" w:space="0" w:color="auto"/>
                <w:bottom w:val="none" w:sz="0" w:space="0" w:color="auto"/>
                <w:right w:val="none" w:sz="0" w:space="0" w:color="auto"/>
              </w:divBdr>
              <w:divsChild>
                <w:div w:id="14123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36520">
      <w:bodyDiv w:val="1"/>
      <w:marLeft w:val="0"/>
      <w:marRight w:val="0"/>
      <w:marTop w:val="0"/>
      <w:marBottom w:val="0"/>
      <w:divBdr>
        <w:top w:val="none" w:sz="0" w:space="0" w:color="auto"/>
        <w:left w:val="none" w:sz="0" w:space="0" w:color="auto"/>
        <w:bottom w:val="none" w:sz="0" w:space="0" w:color="auto"/>
        <w:right w:val="none" w:sz="0" w:space="0" w:color="auto"/>
      </w:divBdr>
    </w:div>
    <w:div w:id="319626936">
      <w:bodyDiv w:val="1"/>
      <w:marLeft w:val="0"/>
      <w:marRight w:val="0"/>
      <w:marTop w:val="0"/>
      <w:marBottom w:val="0"/>
      <w:divBdr>
        <w:top w:val="none" w:sz="0" w:space="0" w:color="auto"/>
        <w:left w:val="none" w:sz="0" w:space="0" w:color="auto"/>
        <w:bottom w:val="none" w:sz="0" w:space="0" w:color="auto"/>
        <w:right w:val="none" w:sz="0" w:space="0" w:color="auto"/>
      </w:divBdr>
    </w:div>
    <w:div w:id="324627159">
      <w:bodyDiv w:val="1"/>
      <w:marLeft w:val="0"/>
      <w:marRight w:val="0"/>
      <w:marTop w:val="0"/>
      <w:marBottom w:val="0"/>
      <w:divBdr>
        <w:top w:val="none" w:sz="0" w:space="0" w:color="auto"/>
        <w:left w:val="none" w:sz="0" w:space="0" w:color="auto"/>
        <w:bottom w:val="none" w:sz="0" w:space="0" w:color="auto"/>
        <w:right w:val="none" w:sz="0" w:space="0" w:color="auto"/>
      </w:divBdr>
      <w:divsChild>
        <w:div w:id="275598192">
          <w:marLeft w:val="0"/>
          <w:marRight w:val="0"/>
          <w:marTop w:val="0"/>
          <w:marBottom w:val="0"/>
          <w:divBdr>
            <w:top w:val="none" w:sz="0" w:space="0" w:color="auto"/>
            <w:left w:val="none" w:sz="0" w:space="0" w:color="auto"/>
            <w:bottom w:val="none" w:sz="0" w:space="0" w:color="auto"/>
            <w:right w:val="none" w:sz="0" w:space="0" w:color="auto"/>
          </w:divBdr>
          <w:divsChild>
            <w:div w:id="1035734204">
              <w:marLeft w:val="0"/>
              <w:marRight w:val="0"/>
              <w:marTop w:val="0"/>
              <w:marBottom w:val="0"/>
              <w:divBdr>
                <w:top w:val="none" w:sz="0" w:space="0" w:color="auto"/>
                <w:left w:val="none" w:sz="0" w:space="0" w:color="auto"/>
                <w:bottom w:val="none" w:sz="0" w:space="0" w:color="auto"/>
                <w:right w:val="none" w:sz="0" w:space="0" w:color="auto"/>
              </w:divBdr>
              <w:divsChild>
                <w:div w:id="19937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40158">
      <w:bodyDiv w:val="1"/>
      <w:marLeft w:val="0"/>
      <w:marRight w:val="0"/>
      <w:marTop w:val="0"/>
      <w:marBottom w:val="0"/>
      <w:divBdr>
        <w:top w:val="none" w:sz="0" w:space="0" w:color="auto"/>
        <w:left w:val="none" w:sz="0" w:space="0" w:color="auto"/>
        <w:bottom w:val="none" w:sz="0" w:space="0" w:color="auto"/>
        <w:right w:val="none" w:sz="0" w:space="0" w:color="auto"/>
      </w:divBdr>
    </w:div>
    <w:div w:id="349913300">
      <w:bodyDiv w:val="1"/>
      <w:marLeft w:val="0"/>
      <w:marRight w:val="0"/>
      <w:marTop w:val="0"/>
      <w:marBottom w:val="0"/>
      <w:divBdr>
        <w:top w:val="none" w:sz="0" w:space="0" w:color="auto"/>
        <w:left w:val="none" w:sz="0" w:space="0" w:color="auto"/>
        <w:bottom w:val="none" w:sz="0" w:space="0" w:color="auto"/>
        <w:right w:val="none" w:sz="0" w:space="0" w:color="auto"/>
      </w:divBdr>
    </w:div>
    <w:div w:id="352001006">
      <w:bodyDiv w:val="1"/>
      <w:marLeft w:val="0"/>
      <w:marRight w:val="0"/>
      <w:marTop w:val="0"/>
      <w:marBottom w:val="0"/>
      <w:divBdr>
        <w:top w:val="none" w:sz="0" w:space="0" w:color="auto"/>
        <w:left w:val="none" w:sz="0" w:space="0" w:color="auto"/>
        <w:bottom w:val="none" w:sz="0" w:space="0" w:color="auto"/>
        <w:right w:val="none" w:sz="0" w:space="0" w:color="auto"/>
      </w:divBdr>
      <w:divsChild>
        <w:div w:id="1918595024">
          <w:marLeft w:val="0"/>
          <w:marRight w:val="0"/>
          <w:marTop w:val="0"/>
          <w:marBottom w:val="0"/>
          <w:divBdr>
            <w:top w:val="none" w:sz="0" w:space="0" w:color="auto"/>
            <w:left w:val="none" w:sz="0" w:space="0" w:color="auto"/>
            <w:bottom w:val="none" w:sz="0" w:space="0" w:color="auto"/>
            <w:right w:val="none" w:sz="0" w:space="0" w:color="auto"/>
          </w:divBdr>
          <w:divsChild>
            <w:div w:id="621889090">
              <w:marLeft w:val="0"/>
              <w:marRight w:val="0"/>
              <w:marTop w:val="0"/>
              <w:marBottom w:val="0"/>
              <w:divBdr>
                <w:top w:val="none" w:sz="0" w:space="0" w:color="auto"/>
                <w:left w:val="none" w:sz="0" w:space="0" w:color="auto"/>
                <w:bottom w:val="none" w:sz="0" w:space="0" w:color="auto"/>
                <w:right w:val="none" w:sz="0" w:space="0" w:color="auto"/>
              </w:divBdr>
              <w:divsChild>
                <w:div w:id="18033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7235">
      <w:bodyDiv w:val="1"/>
      <w:marLeft w:val="0"/>
      <w:marRight w:val="0"/>
      <w:marTop w:val="0"/>
      <w:marBottom w:val="0"/>
      <w:divBdr>
        <w:top w:val="none" w:sz="0" w:space="0" w:color="auto"/>
        <w:left w:val="none" w:sz="0" w:space="0" w:color="auto"/>
        <w:bottom w:val="none" w:sz="0" w:space="0" w:color="auto"/>
        <w:right w:val="none" w:sz="0" w:space="0" w:color="auto"/>
      </w:divBdr>
    </w:div>
    <w:div w:id="357004166">
      <w:bodyDiv w:val="1"/>
      <w:marLeft w:val="0"/>
      <w:marRight w:val="0"/>
      <w:marTop w:val="0"/>
      <w:marBottom w:val="0"/>
      <w:divBdr>
        <w:top w:val="none" w:sz="0" w:space="0" w:color="auto"/>
        <w:left w:val="none" w:sz="0" w:space="0" w:color="auto"/>
        <w:bottom w:val="none" w:sz="0" w:space="0" w:color="auto"/>
        <w:right w:val="none" w:sz="0" w:space="0" w:color="auto"/>
      </w:divBdr>
      <w:divsChild>
        <w:div w:id="23554438">
          <w:marLeft w:val="0"/>
          <w:marRight w:val="0"/>
          <w:marTop w:val="0"/>
          <w:marBottom w:val="0"/>
          <w:divBdr>
            <w:top w:val="none" w:sz="0" w:space="0" w:color="auto"/>
            <w:left w:val="none" w:sz="0" w:space="0" w:color="auto"/>
            <w:bottom w:val="none" w:sz="0" w:space="0" w:color="auto"/>
            <w:right w:val="none" w:sz="0" w:space="0" w:color="auto"/>
          </w:divBdr>
        </w:div>
        <w:div w:id="1775786385">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295678536">
          <w:marLeft w:val="0"/>
          <w:marRight w:val="0"/>
          <w:marTop w:val="0"/>
          <w:marBottom w:val="0"/>
          <w:divBdr>
            <w:top w:val="none" w:sz="0" w:space="0" w:color="auto"/>
            <w:left w:val="none" w:sz="0" w:space="0" w:color="auto"/>
            <w:bottom w:val="none" w:sz="0" w:space="0" w:color="auto"/>
            <w:right w:val="none" w:sz="0" w:space="0" w:color="auto"/>
          </w:divBdr>
        </w:div>
        <w:div w:id="361789822">
          <w:marLeft w:val="0"/>
          <w:marRight w:val="0"/>
          <w:marTop w:val="0"/>
          <w:marBottom w:val="0"/>
          <w:divBdr>
            <w:top w:val="none" w:sz="0" w:space="0" w:color="auto"/>
            <w:left w:val="none" w:sz="0" w:space="0" w:color="auto"/>
            <w:bottom w:val="none" w:sz="0" w:space="0" w:color="auto"/>
            <w:right w:val="none" w:sz="0" w:space="0" w:color="auto"/>
          </w:divBdr>
        </w:div>
      </w:divsChild>
    </w:div>
    <w:div w:id="368147345">
      <w:bodyDiv w:val="1"/>
      <w:marLeft w:val="0"/>
      <w:marRight w:val="0"/>
      <w:marTop w:val="0"/>
      <w:marBottom w:val="0"/>
      <w:divBdr>
        <w:top w:val="none" w:sz="0" w:space="0" w:color="auto"/>
        <w:left w:val="none" w:sz="0" w:space="0" w:color="auto"/>
        <w:bottom w:val="none" w:sz="0" w:space="0" w:color="auto"/>
        <w:right w:val="none" w:sz="0" w:space="0" w:color="auto"/>
      </w:divBdr>
    </w:div>
    <w:div w:id="376515946">
      <w:bodyDiv w:val="1"/>
      <w:marLeft w:val="0"/>
      <w:marRight w:val="0"/>
      <w:marTop w:val="0"/>
      <w:marBottom w:val="0"/>
      <w:divBdr>
        <w:top w:val="none" w:sz="0" w:space="0" w:color="auto"/>
        <w:left w:val="none" w:sz="0" w:space="0" w:color="auto"/>
        <w:bottom w:val="none" w:sz="0" w:space="0" w:color="auto"/>
        <w:right w:val="none" w:sz="0" w:space="0" w:color="auto"/>
      </w:divBdr>
    </w:div>
    <w:div w:id="384181961">
      <w:bodyDiv w:val="1"/>
      <w:marLeft w:val="0"/>
      <w:marRight w:val="0"/>
      <w:marTop w:val="0"/>
      <w:marBottom w:val="0"/>
      <w:divBdr>
        <w:top w:val="none" w:sz="0" w:space="0" w:color="auto"/>
        <w:left w:val="none" w:sz="0" w:space="0" w:color="auto"/>
        <w:bottom w:val="none" w:sz="0" w:space="0" w:color="auto"/>
        <w:right w:val="none" w:sz="0" w:space="0" w:color="auto"/>
      </w:divBdr>
      <w:divsChild>
        <w:div w:id="53624917">
          <w:marLeft w:val="0"/>
          <w:marRight w:val="0"/>
          <w:marTop w:val="120"/>
          <w:marBottom w:val="0"/>
          <w:divBdr>
            <w:top w:val="none" w:sz="0" w:space="0" w:color="auto"/>
            <w:left w:val="none" w:sz="0" w:space="0" w:color="auto"/>
            <w:bottom w:val="none" w:sz="0" w:space="0" w:color="auto"/>
            <w:right w:val="none" w:sz="0" w:space="0" w:color="auto"/>
          </w:divBdr>
        </w:div>
        <w:div w:id="170224401">
          <w:marLeft w:val="0"/>
          <w:marRight w:val="0"/>
          <w:marTop w:val="120"/>
          <w:marBottom w:val="0"/>
          <w:divBdr>
            <w:top w:val="none" w:sz="0" w:space="0" w:color="auto"/>
            <w:left w:val="none" w:sz="0" w:space="0" w:color="auto"/>
            <w:bottom w:val="none" w:sz="0" w:space="0" w:color="auto"/>
            <w:right w:val="none" w:sz="0" w:space="0" w:color="auto"/>
          </w:divBdr>
        </w:div>
      </w:divsChild>
    </w:div>
    <w:div w:id="387388141">
      <w:bodyDiv w:val="1"/>
      <w:marLeft w:val="0"/>
      <w:marRight w:val="0"/>
      <w:marTop w:val="0"/>
      <w:marBottom w:val="0"/>
      <w:divBdr>
        <w:top w:val="none" w:sz="0" w:space="0" w:color="auto"/>
        <w:left w:val="none" w:sz="0" w:space="0" w:color="auto"/>
        <w:bottom w:val="none" w:sz="0" w:space="0" w:color="auto"/>
        <w:right w:val="none" w:sz="0" w:space="0" w:color="auto"/>
      </w:divBdr>
    </w:div>
    <w:div w:id="399595467">
      <w:bodyDiv w:val="1"/>
      <w:marLeft w:val="0"/>
      <w:marRight w:val="0"/>
      <w:marTop w:val="0"/>
      <w:marBottom w:val="0"/>
      <w:divBdr>
        <w:top w:val="none" w:sz="0" w:space="0" w:color="auto"/>
        <w:left w:val="none" w:sz="0" w:space="0" w:color="auto"/>
        <w:bottom w:val="none" w:sz="0" w:space="0" w:color="auto"/>
        <w:right w:val="none" w:sz="0" w:space="0" w:color="auto"/>
      </w:divBdr>
      <w:divsChild>
        <w:div w:id="1286807835">
          <w:marLeft w:val="0"/>
          <w:marRight w:val="0"/>
          <w:marTop w:val="0"/>
          <w:marBottom w:val="0"/>
          <w:divBdr>
            <w:top w:val="none" w:sz="0" w:space="0" w:color="auto"/>
            <w:left w:val="none" w:sz="0" w:space="0" w:color="auto"/>
            <w:bottom w:val="none" w:sz="0" w:space="0" w:color="auto"/>
            <w:right w:val="none" w:sz="0" w:space="0" w:color="auto"/>
          </w:divBdr>
          <w:divsChild>
            <w:div w:id="1712417488">
              <w:marLeft w:val="0"/>
              <w:marRight w:val="0"/>
              <w:marTop w:val="0"/>
              <w:marBottom w:val="0"/>
              <w:divBdr>
                <w:top w:val="none" w:sz="0" w:space="0" w:color="auto"/>
                <w:left w:val="none" w:sz="0" w:space="0" w:color="auto"/>
                <w:bottom w:val="none" w:sz="0" w:space="0" w:color="auto"/>
                <w:right w:val="none" w:sz="0" w:space="0" w:color="auto"/>
              </w:divBdr>
              <w:divsChild>
                <w:div w:id="15386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0605">
      <w:bodyDiv w:val="1"/>
      <w:marLeft w:val="0"/>
      <w:marRight w:val="0"/>
      <w:marTop w:val="0"/>
      <w:marBottom w:val="0"/>
      <w:divBdr>
        <w:top w:val="none" w:sz="0" w:space="0" w:color="auto"/>
        <w:left w:val="none" w:sz="0" w:space="0" w:color="auto"/>
        <w:bottom w:val="none" w:sz="0" w:space="0" w:color="auto"/>
        <w:right w:val="none" w:sz="0" w:space="0" w:color="auto"/>
      </w:divBdr>
    </w:div>
    <w:div w:id="429666492">
      <w:bodyDiv w:val="1"/>
      <w:marLeft w:val="0"/>
      <w:marRight w:val="0"/>
      <w:marTop w:val="0"/>
      <w:marBottom w:val="0"/>
      <w:divBdr>
        <w:top w:val="none" w:sz="0" w:space="0" w:color="auto"/>
        <w:left w:val="none" w:sz="0" w:space="0" w:color="auto"/>
        <w:bottom w:val="none" w:sz="0" w:space="0" w:color="auto"/>
        <w:right w:val="none" w:sz="0" w:space="0" w:color="auto"/>
      </w:divBdr>
    </w:div>
    <w:div w:id="431248558">
      <w:bodyDiv w:val="1"/>
      <w:marLeft w:val="0"/>
      <w:marRight w:val="0"/>
      <w:marTop w:val="0"/>
      <w:marBottom w:val="0"/>
      <w:divBdr>
        <w:top w:val="none" w:sz="0" w:space="0" w:color="auto"/>
        <w:left w:val="none" w:sz="0" w:space="0" w:color="auto"/>
        <w:bottom w:val="none" w:sz="0" w:space="0" w:color="auto"/>
        <w:right w:val="none" w:sz="0" w:space="0" w:color="auto"/>
      </w:divBdr>
    </w:div>
    <w:div w:id="437213749">
      <w:bodyDiv w:val="1"/>
      <w:marLeft w:val="0"/>
      <w:marRight w:val="0"/>
      <w:marTop w:val="0"/>
      <w:marBottom w:val="0"/>
      <w:divBdr>
        <w:top w:val="none" w:sz="0" w:space="0" w:color="auto"/>
        <w:left w:val="none" w:sz="0" w:space="0" w:color="auto"/>
        <w:bottom w:val="none" w:sz="0" w:space="0" w:color="auto"/>
        <w:right w:val="none" w:sz="0" w:space="0" w:color="auto"/>
      </w:divBdr>
    </w:div>
    <w:div w:id="439881966">
      <w:bodyDiv w:val="1"/>
      <w:marLeft w:val="0"/>
      <w:marRight w:val="0"/>
      <w:marTop w:val="0"/>
      <w:marBottom w:val="0"/>
      <w:divBdr>
        <w:top w:val="none" w:sz="0" w:space="0" w:color="auto"/>
        <w:left w:val="none" w:sz="0" w:space="0" w:color="auto"/>
        <w:bottom w:val="none" w:sz="0" w:space="0" w:color="auto"/>
        <w:right w:val="none" w:sz="0" w:space="0" w:color="auto"/>
      </w:divBdr>
    </w:div>
    <w:div w:id="446124840">
      <w:bodyDiv w:val="1"/>
      <w:marLeft w:val="0"/>
      <w:marRight w:val="0"/>
      <w:marTop w:val="0"/>
      <w:marBottom w:val="0"/>
      <w:divBdr>
        <w:top w:val="none" w:sz="0" w:space="0" w:color="auto"/>
        <w:left w:val="none" w:sz="0" w:space="0" w:color="auto"/>
        <w:bottom w:val="none" w:sz="0" w:space="0" w:color="auto"/>
        <w:right w:val="none" w:sz="0" w:space="0" w:color="auto"/>
      </w:divBdr>
    </w:div>
    <w:div w:id="448428577">
      <w:bodyDiv w:val="1"/>
      <w:marLeft w:val="0"/>
      <w:marRight w:val="0"/>
      <w:marTop w:val="0"/>
      <w:marBottom w:val="0"/>
      <w:divBdr>
        <w:top w:val="none" w:sz="0" w:space="0" w:color="auto"/>
        <w:left w:val="none" w:sz="0" w:space="0" w:color="auto"/>
        <w:bottom w:val="none" w:sz="0" w:space="0" w:color="auto"/>
        <w:right w:val="none" w:sz="0" w:space="0" w:color="auto"/>
      </w:divBdr>
    </w:div>
    <w:div w:id="452286030">
      <w:bodyDiv w:val="1"/>
      <w:marLeft w:val="0"/>
      <w:marRight w:val="0"/>
      <w:marTop w:val="0"/>
      <w:marBottom w:val="0"/>
      <w:divBdr>
        <w:top w:val="none" w:sz="0" w:space="0" w:color="auto"/>
        <w:left w:val="none" w:sz="0" w:space="0" w:color="auto"/>
        <w:bottom w:val="none" w:sz="0" w:space="0" w:color="auto"/>
        <w:right w:val="none" w:sz="0" w:space="0" w:color="auto"/>
      </w:divBdr>
      <w:divsChild>
        <w:div w:id="1266502628">
          <w:marLeft w:val="0"/>
          <w:marRight w:val="0"/>
          <w:marTop w:val="0"/>
          <w:marBottom w:val="0"/>
          <w:divBdr>
            <w:top w:val="none" w:sz="0" w:space="0" w:color="auto"/>
            <w:left w:val="none" w:sz="0" w:space="0" w:color="auto"/>
            <w:bottom w:val="none" w:sz="0" w:space="0" w:color="auto"/>
            <w:right w:val="none" w:sz="0" w:space="0" w:color="auto"/>
          </w:divBdr>
        </w:div>
      </w:divsChild>
    </w:div>
    <w:div w:id="456029137">
      <w:bodyDiv w:val="1"/>
      <w:marLeft w:val="0"/>
      <w:marRight w:val="0"/>
      <w:marTop w:val="0"/>
      <w:marBottom w:val="0"/>
      <w:divBdr>
        <w:top w:val="none" w:sz="0" w:space="0" w:color="auto"/>
        <w:left w:val="none" w:sz="0" w:space="0" w:color="auto"/>
        <w:bottom w:val="none" w:sz="0" w:space="0" w:color="auto"/>
        <w:right w:val="none" w:sz="0" w:space="0" w:color="auto"/>
      </w:divBdr>
    </w:div>
    <w:div w:id="467936709">
      <w:bodyDiv w:val="1"/>
      <w:marLeft w:val="0"/>
      <w:marRight w:val="0"/>
      <w:marTop w:val="0"/>
      <w:marBottom w:val="0"/>
      <w:divBdr>
        <w:top w:val="none" w:sz="0" w:space="0" w:color="auto"/>
        <w:left w:val="none" w:sz="0" w:space="0" w:color="auto"/>
        <w:bottom w:val="none" w:sz="0" w:space="0" w:color="auto"/>
        <w:right w:val="none" w:sz="0" w:space="0" w:color="auto"/>
      </w:divBdr>
    </w:div>
    <w:div w:id="478569975">
      <w:bodyDiv w:val="1"/>
      <w:marLeft w:val="0"/>
      <w:marRight w:val="0"/>
      <w:marTop w:val="0"/>
      <w:marBottom w:val="0"/>
      <w:divBdr>
        <w:top w:val="none" w:sz="0" w:space="0" w:color="auto"/>
        <w:left w:val="none" w:sz="0" w:space="0" w:color="auto"/>
        <w:bottom w:val="none" w:sz="0" w:space="0" w:color="auto"/>
        <w:right w:val="none" w:sz="0" w:space="0" w:color="auto"/>
      </w:divBdr>
    </w:div>
    <w:div w:id="482623389">
      <w:bodyDiv w:val="1"/>
      <w:marLeft w:val="0"/>
      <w:marRight w:val="0"/>
      <w:marTop w:val="0"/>
      <w:marBottom w:val="0"/>
      <w:divBdr>
        <w:top w:val="none" w:sz="0" w:space="0" w:color="auto"/>
        <w:left w:val="none" w:sz="0" w:space="0" w:color="auto"/>
        <w:bottom w:val="none" w:sz="0" w:space="0" w:color="auto"/>
        <w:right w:val="none" w:sz="0" w:space="0" w:color="auto"/>
      </w:divBdr>
    </w:div>
    <w:div w:id="482967467">
      <w:bodyDiv w:val="1"/>
      <w:marLeft w:val="0"/>
      <w:marRight w:val="0"/>
      <w:marTop w:val="0"/>
      <w:marBottom w:val="0"/>
      <w:divBdr>
        <w:top w:val="none" w:sz="0" w:space="0" w:color="auto"/>
        <w:left w:val="none" w:sz="0" w:space="0" w:color="auto"/>
        <w:bottom w:val="none" w:sz="0" w:space="0" w:color="auto"/>
        <w:right w:val="none" w:sz="0" w:space="0" w:color="auto"/>
      </w:divBdr>
    </w:div>
    <w:div w:id="494731840">
      <w:bodyDiv w:val="1"/>
      <w:marLeft w:val="0"/>
      <w:marRight w:val="0"/>
      <w:marTop w:val="0"/>
      <w:marBottom w:val="0"/>
      <w:divBdr>
        <w:top w:val="none" w:sz="0" w:space="0" w:color="auto"/>
        <w:left w:val="none" w:sz="0" w:space="0" w:color="auto"/>
        <w:bottom w:val="none" w:sz="0" w:space="0" w:color="auto"/>
        <w:right w:val="none" w:sz="0" w:space="0" w:color="auto"/>
      </w:divBdr>
    </w:div>
    <w:div w:id="502404113">
      <w:bodyDiv w:val="1"/>
      <w:marLeft w:val="0"/>
      <w:marRight w:val="0"/>
      <w:marTop w:val="0"/>
      <w:marBottom w:val="0"/>
      <w:divBdr>
        <w:top w:val="none" w:sz="0" w:space="0" w:color="auto"/>
        <w:left w:val="none" w:sz="0" w:space="0" w:color="auto"/>
        <w:bottom w:val="none" w:sz="0" w:space="0" w:color="auto"/>
        <w:right w:val="none" w:sz="0" w:space="0" w:color="auto"/>
      </w:divBdr>
    </w:div>
    <w:div w:id="530844754">
      <w:bodyDiv w:val="1"/>
      <w:marLeft w:val="0"/>
      <w:marRight w:val="0"/>
      <w:marTop w:val="0"/>
      <w:marBottom w:val="0"/>
      <w:divBdr>
        <w:top w:val="none" w:sz="0" w:space="0" w:color="auto"/>
        <w:left w:val="none" w:sz="0" w:space="0" w:color="auto"/>
        <w:bottom w:val="none" w:sz="0" w:space="0" w:color="auto"/>
        <w:right w:val="none" w:sz="0" w:space="0" w:color="auto"/>
      </w:divBdr>
      <w:divsChild>
        <w:div w:id="925266369">
          <w:marLeft w:val="0"/>
          <w:marRight w:val="0"/>
          <w:marTop w:val="0"/>
          <w:marBottom w:val="0"/>
          <w:divBdr>
            <w:top w:val="none" w:sz="0" w:space="0" w:color="auto"/>
            <w:left w:val="none" w:sz="0" w:space="0" w:color="auto"/>
            <w:bottom w:val="none" w:sz="0" w:space="0" w:color="auto"/>
            <w:right w:val="none" w:sz="0" w:space="0" w:color="auto"/>
          </w:divBdr>
          <w:divsChild>
            <w:div w:id="1692796936">
              <w:marLeft w:val="0"/>
              <w:marRight w:val="0"/>
              <w:marTop w:val="0"/>
              <w:marBottom w:val="0"/>
              <w:divBdr>
                <w:top w:val="none" w:sz="0" w:space="0" w:color="auto"/>
                <w:left w:val="none" w:sz="0" w:space="0" w:color="auto"/>
                <w:bottom w:val="none" w:sz="0" w:space="0" w:color="auto"/>
                <w:right w:val="none" w:sz="0" w:space="0" w:color="auto"/>
              </w:divBdr>
              <w:divsChild>
                <w:div w:id="1477796310">
                  <w:marLeft w:val="0"/>
                  <w:marRight w:val="0"/>
                  <w:marTop w:val="0"/>
                  <w:marBottom w:val="0"/>
                  <w:divBdr>
                    <w:top w:val="none" w:sz="0" w:space="0" w:color="auto"/>
                    <w:left w:val="none" w:sz="0" w:space="0" w:color="auto"/>
                    <w:bottom w:val="none" w:sz="0" w:space="0" w:color="auto"/>
                    <w:right w:val="none" w:sz="0" w:space="0" w:color="auto"/>
                  </w:divBdr>
                  <w:divsChild>
                    <w:div w:id="4300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18638">
      <w:bodyDiv w:val="1"/>
      <w:marLeft w:val="0"/>
      <w:marRight w:val="0"/>
      <w:marTop w:val="0"/>
      <w:marBottom w:val="0"/>
      <w:divBdr>
        <w:top w:val="none" w:sz="0" w:space="0" w:color="auto"/>
        <w:left w:val="none" w:sz="0" w:space="0" w:color="auto"/>
        <w:bottom w:val="none" w:sz="0" w:space="0" w:color="auto"/>
        <w:right w:val="none" w:sz="0" w:space="0" w:color="auto"/>
      </w:divBdr>
    </w:div>
    <w:div w:id="553347146">
      <w:bodyDiv w:val="1"/>
      <w:marLeft w:val="0"/>
      <w:marRight w:val="0"/>
      <w:marTop w:val="0"/>
      <w:marBottom w:val="0"/>
      <w:divBdr>
        <w:top w:val="none" w:sz="0" w:space="0" w:color="auto"/>
        <w:left w:val="none" w:sz="0" w:space="0" w:color="auto"/>
        <w:bottom w:val="none" w:sz="0" w:space="0" w:color="auto"/>
        <w:right w:val="none" w:sz="0" w:space="0" w:color="auto"/>
      </w:divBdr>
    </w:div>
    <w:div w:id="558369408">
      <w:bodyDiv w:val="1"/>
      <w:marLeft w:val="0"/>
      <w:marRight w:val="0"/>
      <w:marTop w:val="0"/>
      <w:marBottom w:val="0"/>
      <w:divBdr>
        <w:top w:val="none" w:sz="0" w:space="0" w:color="auto"/>
        <w:left w:val="none" w:sz="0" w:space="0" w:color="auto"/>
        <w:bottom w:val="none" w:sz="0" w:space="0" w:color="auto"/>
        <w:right w:val="none" w:sz="0" w:space="0" w:color="auto"/>
      </w:divBdr>
    </w:div>
    <w:div w:id="559680054">
      <w:bodyDiv w:val="1"/>
      <w:marLeft w:val="0"/>
      <w:marRight w:val="0"/>
      <w:marTop w:val="0"/>
      <w:marBottom w:val="0"/>
      <w:divBdr>
        <w:top w:val="none" w:sz="0" w:space="0" w:color="auto"/>
        <w:left w:val="none" w:sz="0" w:space="0" w:color="auto"/>
        <w:bottom w:val="none" w:sz="0" w:space="0" w:color="auto"/>
        <w:right w:val="none" w:sz="0" w:space="0" w:color="auto"/>
      </w:divBdr>
    </w:div>
    <w:div w:id="567808456">
      <w:bodyDiv w:val="1"/>
      <w:marLeft w:val="0"/>
      <w:marRight w:val="0"/>
      <w:marTop w:val="0"/>
      <w:marBottom w:val="0"/>
      <w:divBdr>
        <w:top w:val="none" w:sz="0" w:space="0" w:color="auto"/>
        <w:left w:val="none" w:sz="0" w:space="0" w:color="auto"/>
        <w:bottom w:val="none" w:sz="0" w:space="0" w:color="auto"/>
        <w:right w:val="none" w:sz="0" w:space="0" w:color="auto"/>
      </w:divBdr>
      <w:divsChild>
        <w:div w:id="1236359793">
          <w:marLeft w:val="0"/>
          <w:marRight w:val="0"/>
          <w:marTop w:val="0"/>
          <w:marBottom w:val="0"/>
          <w:divBdr>
            <w:top w:val="none" w:sz="0" w:space="0" w:color="auto"/>
            <w:left w:val="none" w:sz="0" w:space="0" w:color="auto"/>
            <w:bottom w:val="none" w:sz="0" w:space="0" w:color="auto"/>
            <w:right w:val="none" w:sz="0" w:space="0" w:color="auto"/>
          </w:divBdr>
          <w:divsChild>
            <w:div w:id="1288706216">
              <w:marLeft w:val="0"/>
              <w:marRight w:val="0"/>
              <w:marTop w:val="0"/>
              <w:marBottom w:val="0"/>
              <w:divBdr>
                <w:top w:val="none" w:sz="0" w:space="0" w:color="auto"/>
                <w:left w:val="none" w:sz="0" w:space="0" w:color="auto"/>
                <w:bottom w:val="none" w:sz="0" w:space="0" w:color="auto"/>
                <w:right w:val="none" w:sz="0" w:space="0" w:color="auto"/>
              </w:divBdr>
              <w:divsChild>
                <w:div w:id="1227716303">
                  <w:marLeft w:val="0"/>
                  <w:marRight w:val="0"/>
                  <w:marTop w:val="0"/>
                  <w:marBottom w:val="0"/>
                  <w:divBdr>
                    <w:top w:val="none" w:sz="0" w:space="0" w:color="auto"/>
                    <w:left w:val="none" w:sz="0" w:space="0" w:color="auto"/>
                    <w:bottom w:val="none" w:sz="0" w:space="0" w:color="auto"/>
                    <w:right w:val="none" w:sz="0" w:space="0" w:color="auto"/>
                  </w:divBdr>
                </w:div>
                <w:div w:id="105925406">
                  <w:marLeft w:val="0"/>
                  <w:marRight w:val="0"/>
                  <w:marTop w:val="0"/>
                  <w:marBottom w:val="0"/>
                  <w:divBdr>
                    <w:top w:val="none" w:sz="0" w:space="0" w:color="auto"/>
                    <w:left w:val="none" w:sz="0" w:space="0" w:color="auto"/>
                    <w:bottom w:val="none" w:sz="0" w:space="0" w:color="auto"/>
                    <w:right w:val="none" w:sz="0" w:space="0" w:color="auto"/>
                  </w:divBdr>
                </w:div>
              </w:divsChild>
            </w:div>
            <w:div w:id="1255212953">
              <w:marLeft w:val="0"/>
              <w:marRight w:val="0"/>
              <w:marTop w:val="0"/>
              <w:marBottom w:val="0"/>
              <w:divBdr>
                <w:top w:val="none" w:sz="0" w:space="0" w:color="auto"/>
                <w:left w:val="none" w:sz="0" w:space="0" w:color="auto"/>
                <w:bottom w:val="none" w:sz="0" w:space="0" w:color="auto"/>
                <w:right w:val="none" w:sz="0" w:space="0" w:color="auto"/>
              </w:divBdr>
              <w:divsChild>
                <w:div w:id="1971157934">
                  <w:marLeft w:val="0"/>
                  <w:marRight w:val="0"/>
                  <w:marTop w:val="0"/>
                  <w:marBottom w:val="0"/>
                  <w:divBdr>
                    <w:top w:val="none" w:sz="0" w:space="0" w:color="auto"/>
                    <w:left w:val="none" w:sz="0" w:space="0" w:color="auto"/>
                    <w:bottom w:val="none" w:sz="0" w:space="0" w:color="auto"/>
                    <w:right w:val="none" w:sz="0" w:space="0" w:color="auto"/>
                  </w:divBdr>
                </w:div>
                <w:div w:id="1891334551">
                  <w:marLeft w:val="0"/>
                  <w:marRight w:val="0"/>
                  <w:marTop w:val="0"/>
                  <w:marBottom w:val="0"/>
                  <w:divBdr>
                    <w:top w:val="none" w:sz="0" w:space="0" w:color="auto"/>
                    <w:left w:val="none" w:sz="0" w:space="0" w:color="auto"/>
                    <w:bottom w:val="none" w:sz="0" w:space="0" w:color="auto"/>
                    <w:right w:val="none" w:sz="0" w:space="0" w:color="auto"/>
                  </w:divBdr>
                </w:div>
              </w:divsChild>
            </w:div>
            <w:div w:id="1014191912">
              <w:marLeft w:val="0"/>
              <w:marRight w:val="0"/>
              <w:marTop w:val="0"/>
              <w:marBottom w:val="0"/>
              <w:divBdr>
                <w:top w:val="none" w:sz="0" w:space="0" w:color="auto"/>
                <w:left w:val="none" w:sz="0" w:space="0" w:color="auto"/>
                <w:bottom w:val="none" w:sz="0" w:space="0" w:color="auto"/>
                <w:right w:val="none" w:sz="0" w:space="0" w:color="auto"/>
              </w:divBdr>
              <w:divsChild>
                <w:div w:id="193465285">
                  <w:marLeft w:val="0"/>
                  <w:marRight w:val="0"/>
                  <w:marTop w:val="0"/>
                  <w:marBottom w:val="0"/>
                  <w:divBdr>
                    <w:top w:val="none" w:sz="0" w:space="0" w:color="auto"/>
                    <w:left w:val="none" w:sz="0" w:space="0" w:color="auto"/>
                    <w:bottom w:val="none" w:sz="0" w:space="0" w:color="auto"/>
                    <w:right w:val="none" w:sz="0" w:space="0" w:color="auto"/>
                  </w:divBdr>
                </w:div>
                <w:div w:id="510024161">
                  <w:marLeft w:val="0"/>
                  <w:marRight w:val="0"/>
                  <w:marTop w:val="0"/>
                  <w:marBottom w:val="0"/>
                  <w:divBdr>
                    <w:top w:val="none" w:sz="0" w:space="0" w:color="auto"/>
                    <w:left w:val="none" w:sz="0" w:space="0" w:color="auto"/>
                    <w:bottom w:val="none" w:sz="0" w:space="0" w:color="auto"/>
                    <w:right w:val="none" w:sz="0" w:space="0" w:color="auto"/>
                  </w:divBdr>
                </w:div>
              </w:divsChild>
            </w:div>
            <w:div w:id="1533810365">
              <w:marLeft w:val="0"/>
              <w:marRight w:val="0"/>
              <w:marTop w:val="0"/>
              <w:marBottom w:val="0"/>
              <w:divBdr>
                <w:top w:val="none" w:sz="0" w:space="0" w:color="auto"/>
                <w:left w:val="none" w:sz="0" w:space="0" w:color="auto"/>
                <w:bottom w:val="none" w:sz="0" w:space="0" w:color="auto"/>
                <w:right w:val="none" w:sz="0" w:space="0" w:color="auto"/>
              </w:divBdr>
              <w:divsChild>
                <w:div w:id="1103762404">
                  <w:marLeft w:val="0"/>
                  <w:marRight w:val="0"/>
                  <w:marTop w:val="0"/>
                  <w:marBottom w:val="0"/>
                  <w:divBdr>
                    <w:top w:val="none" w:sz="0" w:space="0" w:color="auto"/>
                    <w:left w:val="none" w:sz="0" w:space="0" w:color="auto"/>
                    <w:bottom w:val="none" w:sz="0" w:space="0" w:color="auto"/>
                    <w:right w:val="none" w:sz="0" w:space="0" w:color="auto"/>
                  </w:divBdr>
                </w:div>
                <w:div w:id="519517290">
                  <w:marLeft w:val="0"/>
                  <w:marRight w:val="0"/>
                  <w:marTop w:val="0"/>
                  <w:marBottom w:val="0"/>
                  <w:divBdr>
                    <w:top w:val="none" w:sz="0" w:space="0" w:color="auto"/>
                    <w:left w:val="none" w:sz="0" w:space="0" w:color="auto"/>
                    <w:bottom w:val="none" w:sz="0" w:space="0" w:color="auto"/>
                    <w:right w:val="none" w:sz="0" w:space="0" w:color="auto"/>
                  </w:divBdr>
                </w:div>
              </w:divsChild>
            </w:div>
            <w:div w:id="1717390934">
              <w:marLeft w:val="0"/>
              <w:marRight w:val="0"/>
              <w:marTop w:val="0"/>
              <w:marBottom w:val="0"/>
              <w:divBdr>
                <w:top w:val="none" w:sz="0" w:space="0" w:color="auto"/>
                <w:left w:val="none" w:sz="0" w:space="0" w:color="auto"/>
                <w:bottom w:val="none" w:sz="0" w:space="0" w:color="auto"/>
                <w:right w:val="none" w:sz="0" w:space="0" w:color="auto"/>
              </w:divBdr>
              <w:divsChild>
                <w:div w:id="1492794766">
                  <w:marLeft w:val="0"/>
                  <w:marRight w:val="0"/>
                  <w:marTop w:val="0"/>
                  <w:marBottom w:val="0"/>
                  <w:divBdr>
                    <w:top w:val="none" w:sz="0" w:space="0" w:color="auto"/>
                    <w:left w:val="none" w:sz="0" w:space="0" w:color="auto"/>
                    <w:bottom w:val="none" w:sz="0" w:space="0" w:color="auto"/>
                    <w:right w:val="none" w:sz="0" w:space="0" w:color="auto"/>
                  </w:divBdr>
                </w:div>
                <w:div w:id="218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93904">
          <w:marLeft w:val="0"/>
          <w:marRight w:val="0"/>
          <w:marTop w:val="0"/>
          <w:marBottom w:val="0"/>
          <w:divBdr>
            <w:top w:val="none" w:sz="0" w:space="0" w:color="auto"/>
            <w:left w:val="none" w:sz="0" w:space="0" w:color="auto"/>
            <w:bottom w:val="none" w:sz="0" w:space="0" w:color="auto"/>
            <w:right w:val="none" w:sz="0" w:space="0" w:color="auto"/>
          </w:divBdr>
        </w:div>
        <w:div w:id="21978864">
          <w:marLeft w:val="0"/>
          <w:marRight w:val="0"/>
          <w:marTop w:val="0"/>
          <w:marBottom w:val="0"/>
          <w:divBdr>
            <w:top w:val="none" w:sz="0" w:space="0" w:color="auto"/>
            <w:left w:val="none" w:sz="0" w:space="0" w:color="auto"/>
            <w:bottom w:val="none" w:sz="0" w:space="0" w:color="auto"/>
            <w:right w:val="none" w:sz="0" w:space="0" w:color="auto"/>
          </w:divBdr>
        </w:div>
        <w:div w:id="1363675717">
          <w:marLeft w:val="0"/>
          <w:marRight w:val="0"/>
          <w:marTop w:val="0"/>
          <w:marBottom w:val="0"/>
          <w:divBdr>
            <w:top w:val="none" w:sz="0" w:space="0" w:color="auto"/>
            <w:left w:val="none" w:sz="0" w:space="0" w:color="auto"/>
            <w:bottom w:val="none" w:sz="0" w:space="0" w:color="auto"/>
            <w:right w:val="none" w:sz="0" w:space="0" w:color="auto"/>
          </w:divBdr>
        </w:div>
        <w:div w:id="275986142">
          <w:marLeft w:val="0"/>
          <w:marRight w:val="0"/>
          <w:marTop w:val="0"/>
          <w:marBottom w:val="0"/>
          <w:divBdr>
            <w:top w:val="none" w:sz="0" w:space="0" w:color="auto"/>
            <w:left w:val="none" w:sz="0" w:space="0" w:color="auto"/>
            <w:bottom w:val="none" w:sz="0" w:space="0" w:color="auto"/>
            <w:right w:val="none" w:sz="0" w:space="0" w:color="auto"/>
          </w:divBdr>
        </w:div>
        <w:div w:id="2012834786">
          <w:marLeft w:val="0"/>
          <w:marRight w:val="0"/>
          <w:marTop w:val="0"/>
          <w:marBottom w:val="0"/>
          <w:divBdr>
            <w:top w:val="none" w:sz="0" w:space="0" w:color="auto"/>
            <w:left w:val="none" w:sz="0" w:space="0" w:color="auto"/>
            <w:bottom w:val="none" w:sz="0" w:space="0" w:color="auto"/>
            <w:right w:val="none" w:sz="0" w:space="0" w:color="auto"/>
          </w:divBdr>
        </w:div>
        <w:div w:id="1994212504">
          <w:marLeft w:val="0"/>
          <w:marRight w:val="0"/>
          <w:marTop w:val="0"/>
          <w:marBottom w:val="0"/>
          <w:divBdr>
            <w:top w:val="none" w:sz="0" w:space="0" w:color="auto"/>
            <w:left w:val="none" w:sz="0" w:space="0" w:color="auto"/>
            <w:bottom w:val="none" w:sz="0" w:space="0" w:color="auto"/>
            <w:right w:val="none" w:sz="0" w:space="0" w:color="auto"/>
          </w:divBdr>
        </w:div>
      </w:divsChild>
    </w:div>
    <w:div w:id="639965247">
      <w:bodyDiv w:val="1"/>
      <w:marLeft w:val="0"/>
      <w:marRight w:val="0"/>
      <w:marTop w:val="0"/>
      <w:marBottom w:val="0"/>
      <w:divBdr>
        <w:top w:val="none" w:sz="0" w:space="0" w:color="auto"/>
        <w:left w:val="none" w:sz="0" w:space="0" w:color="auto"/>
        <w:bottom w:val="none" w:sz="0" w:space="0" w:color="auto"/>
        <w:right w:val="none" w:sz="0" w:space="0" w:color="auto"/>
      </w:divBdr>
      <w:divsChild>
        <w:div w:id="514808456">
          <w:marLeft w:val="0"/>
          <w:marRight w:val="0"/>
          <w:marTop w:val="0"/>
          <w:marBottom w:val="0"/>
          <w:divBdr>
            <w:top w:val="none" w:sz="0" w:space="0" w:color="auto"/>
            <w:left w:val="none" w:sz="0" w:space="0" w:color="auto"/>
            <w:bottom w:val="none" w:sz="0" w:space="0" w:color="auto"/>
            <w:right w:val="none" w:sz="0" w:space="0" w:color="auto"/>
          </w:divBdr>
          <w:divsChild>
            <w:div w:id="1117866640">
              <w:marLeft w:val="0"/>
              <w:marRight w:val="0"/>
              <w:marTop w:val="0"/>
              <w:marBottom w:val="0"/>
              <w:divBdr>
                <w:top w:val="none" w:sz="0" w:space="0" w:color="auto"/>
                <w:left w:val="none" w:sz="0" w:space="0" w:color="auto"/>
                <w:bottom w:val="none" w:sz="0" w:space="0" w:color="auto"/>
                <w:right w:val="none" w:sz="0" w:space="0" w:color="auto"/>
              </w:divBdr>
              <w:divsChild>
                <w:div w:id="20913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6830">
      <w:bodyDiv w:val="1"/>
      <w:marLeft w:val="0"/>
      <w:marRight w:val="0"/>
      <w:marTop w:val="0"/>
      <w:marBottom w:val="0"/>
      <w:divBdr>
        <w:top w:val="none" w:sz="0" w:space="0" w:color="auto"/>
        <w:left w:val="none" w:sz="0" w:space="0" w:color="auto"/>
        <w:bottom w:val="none" w:sz="0" w:space="0" w:color="auto"/>
        <w:right w:val="none" w:sz="0" w:space="0" w:color="auto"/>
      </w:divBdr>
    </w:div>
    <w:div w:id="659694493">
      <w:bodyDiv w:val="1"/>
      <w:marLeft w:val="0"/>
      <w:marRight w:val="0"/>
      <w:marTop w:val="0"/>
      <w:marBottom w:val="0"/>
      <w:divBdr>
        <w:top w:val="none" w:sz="0" w:space="0" w:color="auto"/>
        <w:left w:val="none" w:sz="0" w:space="0" w:color="auto"/>
        <w:bottom w:val="none" w:sz="0" w:space="0" w:color="auto"/>
        <w:right w:val="none" w:sz="0" w:space="0" w:color="auto"/>
      </w:divBdr>
      <w:divsChild>
        <w:div w:id="628629137">
          <w:marLeft w:val="0"/>
          <w:marRight w:val="0"/>
          <w:marTop w:val="0"/>
          <w:marBottom w:val="0"/>
          <w:divBdr>
            <w:top w:val="none" w:sz="0" w:space="0" w:color="auto"/>
            <w:left w:val="none" w:sz="0" w:space="0" w:color="auto"/>
            <w:bottom w:val="none" w:sz="0" w:space="0" w:color="auto"/>
            <w:right w:val="none" w:sz="0" w:space="0" w:color="auto"/>
          </w:divBdr>
          <w:divsChild>
            <w:div w:id="884223290">
              <w:marLeft w:val="0"/>
              <w:marRight w:val="0"/>
              <w:marTop w:val="0"/>
              <w:marBottom w:val="0"/>
              <w:divBdr>
                <w:top w:val="none" w:sz="0" w:space="0" w:color="auto"/>
                <w:left w:val="none" w:sz="0" w:space="0" w:color="auto"/>
                <w:bottom w:val="none" w:sz="0" w:space="0" w:color="auto"/>
                <w:right w:val="none" w:sz="0" w:space="0" w:color="auto"/>
              </w:divBdr>
              <w:divsChild>
                <w:div w:id="14502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2634">
      <w:bodyDiv w:val="1"/>
      <w:marLeft w:val="0"/>
      <w:marRight w:val="0"/>
      <w:marTop w:val="0"/>
      <w:marBottom w:val="0"/>
      <w:divBdr>
        <w:top w:val="none" w:sz="0" w:space="0" w:color="auto"/>
        <w:left w:val="none" w:sz="0" w:space="0" w:color="auto"/>
        <w:bottom w:val="none" w:sz="0" w:space="0" w:color="auto"/>
        <w:right w:val="none" w:sz="0" w:space="0" w:color="auto"/>
      </w:divBdr>
    </w:div>
    <w:div w:id="674891174">
      <w:bodyDiv w:val="1"/>
      <w:marLeft w:val="0"/>
      <w:marRight w:val="0"/>
      <w:marTop w:val="0"/>
      <w:marBottom w:val="0"/>
      <w:divBdr>
        <w:top w:val="none" w:sz="0" w:space="0" w:color="auto"/>
        <w:left w:val="none" w:sz="0" w:space="0" w:color="auto"/>
        <w:bottom w:val="none" w:sz="0" w:space="0" w:color="auto"/>
        <w:right w:val="none" w:sz="0" w:space="0" w:color="auto"/>
      </w:divBdr>
      <w:divsChild>
        <w:div w:id="137648906">
          <w:marLeft w:val="0"/>
          <w:marRight w:val="0"/>
          <w:marTop w:val="0"/>
          <w:marBottom w:val="0"/>
          <w:divBdr>
            <w:top w:val="none" w:sz="0" w:space="0" w:color="auto"/>
            <w:left w:val="none" w:sz="0" w:space="0" w:color="auto"/>
            <w:bottom w:val="none" w:sz="0" w:space="0" w:color="auto"/>
            <w:right w:val="none" w:sz="0" w:space="0" w:color="auto"/>
          </w:divBdr>
          <w:divsChild>
            <w:div w:id="1521429784">
              <w:marLeft w:val="0"/>
              <w:marRight w:val="0"/>
              <w:marTop w:val="0"/>
              <w:marBottom w:val="0"/>
              <w:divBdr>
                <w:top w:val="none" w:sz="0" w:space="0" w:color="auto"/>
                <w:left w:val="none" w:sz="0" w:space="0" w:color="auto"/>
                <w:bottom w:val="none" w:sz="0" w:space="0" w:color="auto"/>
                <w:right w:val="none" w:sz="0" w:space="0" w:color="auto"/>
              </w:divBdr>
              <w:divsChild>
                <w:div w:id="21041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0774">
      <w:bodyDiv w:val="1"/>
      <w:marLeft w:val="0"/>
      <w:marRight w:val="0"/>
      <w:marTop w:val="0"/>
      <w:marBottom w:val="0"/>
      <w:divBdr>
        <w:top w:val="none" w:sz="0" w:space="0" w:color="auto"/>
        <w:left w:val="none" w:sz="0" w:space="0" w:color="auto"/>
        <w:bottom w:val="none" w:sz="0" w:space="0" w:color="auto"/>
        <w:right w:val="none" w:sz="0" w:space="0" w:color="auto"/>
      </w:divBdr>
    </w:div>
    <w:div w:id="676925829">
      <w:bodyDiv w:val="1"/>
      <w:marLeft w:val="0"/>
      <w:marRight w:val="0"/>
      <w:marTop w:val="0"/>
      <w:marBottom w:val="0"/>
      <w:divBdr>
        <w:top w:val="none" w:sz="0" w:space="0" w:color="auto"/>
        <w:left w:val="none" w:sz="0" w:space="0" w:color="auto"/>
        <w:bottom w:val="none" w:sz="0" w:space="0" w:color="auto"/>
        <w:right w:val="none" w:sz="0" w:space="0" w:color="auto"/>
      </w:divBdr>
    </w:div>
    <w:div w:id="685326530">
      <w:bodyDiv w:val="1"/>
      <w:marLeft w:val="0"/>
      <w:marRight w:val="0"/>
      <w:marTop w:val="0"/>
      <w:marBottom w:val="0"/>
      <w:divBdr>
        <w:top w:val="none" w:sz="0" w:space="0" w:color="auto"/>
        <w:left w:val="none" w:sz="0" w:space="0" w:color="auto"/>
        <w:bottom w:val="none" w:sz="0" w:space="0" w:color="auto"/>
        <w:right w:val="none" w:sz="0" w:space="0" w:color="auto"/>
      </w:divBdr>
    </w:div>
    <w:div w:id="695931675">
      <w:bodyDiv w:val="1"/>
      <w:marLeft w:val="0"/>
      <w:marRight w:val="0"/>
      <w:marTop w:val="0"/>
      <w:marBottom w:val="0"/>
      <w:divBdr>
        <w:top w:val="none" w:sz="0" w:space="0" w:color="auto"/>
        <w:left w:val="none" w:sz="0" w:space="0" w:color="auto"/>
        <w:bottom w:val="none" w:sz="0" w:space="0" w:color="auto"/>
        <w:right w:val="none" w:sz="0" w:space="0" w:color="auto"/>
      </w:divBdr>
    </w:div>
    <w:div w:id="715079793">
      <w:bodyDiv w:val="1"/>
      <w:marLeft w:val="0"/>
      <w:marRight w:val="0"/>
      <w:marTop w:val="0"/>
      <w:marBottom w:val="0"/>
      <w:divBdr>
        <w:top w:val="none" w:sz="0" w:space="0" w:color="auto"/>
        <w:left w:val="none" w:sz="0" w:space="0" w:color="auto"/>
        <w:bottom w:val="none" w:sz="0" w:space="0" w:color="auto"/>
        <w:right w:val="none" w:sz="0" w:space="0" w:color="auto"/>
      </w:divBdr>
    </w:div>
    <w:div w:id="729812194">
      <w:bodyDiv w:val="1"/>
      <w:marLeft w:val="0"/>
      <w:marRight w:val="0"/>
      <w:marTop w:val="0"/>
      <w:marBottom w:val="0"/>
      <w:divBdr>
        <w:top w:val="none" w:sz="0" w:space="0" w:color="auto"/>
        <w:left w:val="none" w:sz="0" w:space="0" w:color="auto"/>
        <w:bottom w:val="none" w:sz="0" w:space="0" w:color="auto"/>
        <w:right w:val="none" w:sz="0" w:space="0" w:color="auto"/>
      </w:divBdr>
      <w:divsChild>
        <w:div w:id="262153872">
          <w:marLeft w:val="0"/>
          <w:marRight w:val="0"/>
          <w:marTop w:val="120"/>
          <w:marBottom w:val="0"/>
          <w:divBdr>
            <w:top w:val="none" w:sz="0" w:space="0" w:color="auto"/>
            <w:left w:val="none" w:sz="0" w:space="0" w:color="auto"/>
            <w:bottom w:val="none" w:sz="0" w:space="0" w:color="auto"/>
            <w:right w:val="none" w:sz="0" w:space="0" w:color="auto"/>
          </w:divBdr>
        </w:div>
        <w:div w:id="1945576655">
          <w:marLeft w:val="0"/>
          <w:marRight w:val="0"/>
          <w:marTop w:val="120"/>
          <w:marBottom w:val="0"/>
          <w:divBdr>
            <w:top w:val="none" w:sz="0" w:space="0" w:color="auto"/>
            <w:left w:val="none" w:sz="0" w:space="0" w:color="auto"/>
            <w:bottom w:val="none" w:sz="0" w:space="0" w:color="auto"/>
            <w:right w:val="none" w:sz="0" w:space="0" w:color="auto"/>
          </w:divBdr>
        </w:div>
      </w:divsChild>
    </w:div>
    <w:div w:id="741609224">
      <w:bodyDiv w:val="1"/>
      <w:marLeft w:val="0"/>
      <w:marRight w:val="0"/>
      <w:marTop w:val="0"/>
      <w:marBottom w:val="0"/>
      <w:divBdr>
        <w:top w:val="none" w:sz="0" w:space="0" w:color="auto"/>
        <w:left w:val="none" w:sz="0" w:space="0" w:color="auto"/>
        <w:bottom w:val="none" w:sz="0" w:space="0" w:color="auto"/>
        <w:right w:val="none" w:sz="0" w:space="0" w:color="auto"/>
      </w:divBdr>
    </w:div>
    <w:div w:id="765809856">
      <w:bodyDiv w:val="1"/>
      <w:marLeft w:val="0"/>
      <w:marRight w:val="0"/>
      <w:marTop w:val="0"/>
      <w:marBottom w:val="0"/>
      <w:divBdr>
        <w:top w:val="none" w:sz="0" w:space="0" w:color="auto"/>
        <w:left w:val="none" w:sz="0" w:space="0" w:color="auto"/>
        <w:bottom w:val="none" w:sz="0" w:space="0" w:color="auto"/>
        <w:right w:val="none" w:sz="0" w:space="0" w:color="auto"/>
      </w:divBdr>
      <w:divsChild>
        <w:div w:id="1048913855">
          <w:marLeft w:val="0"/>
          <w:marRight w:val="0"/>
          <w:marTop w:val="0"/>
          <w:marBottom w:val="0"/>
          <w:divBdr>
            <w:top w:val="none" w:sz="0" w:space="0" w:color="auto"/>
            <w:left w:val="none" w:sz="0" w:space="0" w:color="auto"/>
            <w:bottom w:val="none" w:sz="0" w:space="0" w:color="auto"/>
            <w:right w:val="none" w:sz="0" w:space="0" w:color="auto"/>
          </w:divBdr>
          <w:divsChild>
            <w:div w:id="1517185136">
              <w:marLeft w:val="0"/>
              <w:marRight w:val="0"/>
              <w:marTop w:val="0"/>
              <w:marBottom w:val="0"/>
              <w:divBdr>
                <w:top w:val="none" w:sz="0" w:space="0" w:color="auto"/>
                <w:left w:val="none" w:sz="0" w:space="0" w:color="auto"/>
                <w:bottom w:val="none" w:sz="0" w:space="0" w:color="auto"/>
                <w:right w:val="none" w:sz="0" w:space="0" w:color="auto"/>
              </w:divBdr>
              <w:divsChild>
                <w:div w:id="1739744856">
                  <w:marLeft w:val="0"/>
                  <w:marRight w:val="0"/>
                  <w:marTop w:val="0"/>
                  <w:marBottom w:val="0"/>
                  <w:divBdr>
                    <w:top w:val="none" w:sz="0" w:space="0" w:color="auto"/>
                    <w:left w:val="none" w:sz="0" w:space="0" w:color="auto"/>
                    <w:bottom w:val="none" w:sz="0" w:space="0" w:color="auto"/>
                    <w:right w:val="none" w:sz="0" w:space="0" w:color="auto"/>
                  </w:divBdr>
                  <w:divsChild>
                    <w:div w:id="946153144">
                      <w:marLeft w:val="0"/>
                      <w:marRight w:val="0"/>
                      <w:marTop w:val="0"/>
                      <w:marBottom w:val="0"/>
                      <w:divBdr>
                        <w:top w:val="none" w:sz="0" w:space="0" w:color="auto"/>
                        <w:left w:val="none" w:sz="0" w:space="0" w:color="auto"/>
                        <w:bottom w:val="none" w:sz="0" w:space="0" w:color="auto"/>
                        <w:right w:val="none" w:sz="0" w:space="0" w:color="auto"/>
                      </w:divBdr>
                      <w:divsChild>
                        <w:div w:id="378475726">
                          <w:marLeft w:val="0"/>
                          <w:marRight w:val="0"/>
                          <w:marTop w:val="0"/>
                          <w:marBottom w:val="0"/>
                          <w:divBdr>
                            <w:top w:val="none" w:sz="0" w:space="0" w:color="auto"/>
                            <w:left w:val="none" w:sz="0" w:space="0" w:color="auto"/>
                            <w:bottom w:val="none" w:sz="0" w:space="0" w:color="auto"/>
                            <w:right w:val="none" w:sz="0" w:space="0" w:color="auto"/>
                          </w:divBdr>
                          <w:divsChild>
                            <w:div w:id="391927835">
                              <w:marLeft w:val="0"/>
                              <w:marRight w:val="0"/>
                              <w:marTop w:val="0"/>
                              <w:marBottom w:val="0"/>
                              <w:divBdr>
                                <w:top w:val="none" w:sz="0" w:space="0" w:color="auto"/>
                                <w:left w:val="none" w:sz="0" w:space="0" w:color="auto"/>
                                <w:bottom w:val="none" w:sz="0" w:space="0" w:color="auto"/>
                                <w:right w:val="none" w:sz="0" w:space="0" w:color="auto"/>
                              </w:divBdr>
                              <w:divsChild>
                                <w:div w:id="1279486664">
                                  <w:marLeft w:val="0"/>
                                  <w:marRight w:val="0"/>
                                  <w:marTop w:val="0"/>
                                  <w:marBottom w:val="0"/>
                                  <w:divBdr>
                                    <w:top w:val="none" w:sz="0" w:space="0" w:color="auto"/>
                                    <w:left w:val="none" w:sz="0" w:space="0" w:color="auto"/>
                                    <w:bottom w:val="none" w:sz="0" w:space="0" w:color="auto"/>
                                    <w:right w:val="none" w:sz="0" w:space="0" w:color="auto"/>
                                  </w:divBdr>
                                  <w:divsChild>
                                    <w:div w:id="603879604">
                                      <w:marLeft w:val="0"/>
                                      <w:marRight w:val="0"/>
                                      <w:marTop w:val="0"/>
                                      <w:marBottom w:val="0"/>
                                      <w:divBdr>
                                        <w:top w:val="none" w:sz="0" w:space="0" w:color="auto"/>
                                        <w:left w:val="none" w:sz="0" w:space="0" w:color="auto"/>
                                        <w:bottom w:val="none" w:sz="0" w:space="0" w:color="auto"/>
                                        <w:right w:val="none" w:sz="0" w:space="0" w:color="auto"/>
                                      </w:divBdr>
                                      <w:divsChild>
                                        <w:div w:id="1809198644">
                                          <w:marLeft w:val="105"/>
                                          <w:marRight w:val="105"/>
                                          <w:marTop w:val="150"/>
                                          <w:marBottom w:val="150"/>
                                          <w:divBdr>
                                            <w:top w:val="none" w:sz="0" w:space="0" w:color="auto"/>
                                            <w:left w:val="none" w:sz="0" w:space="0" w:color="auto"/>
                                            <w:bottom w:val="none" w:sz="0" w:space="0" w:color="auto"/>
                                            <w:right w:val="none" w:sz="0" w:space="0" w:color="auto"/>
                                          </w:divBdr>
                                          <w:divsChild>
                                            <w:div w:id="500967606">
                                              <w:marLeft w:val="0"/>
                                              <w:marRight w:val="0"/>
                                              <w:marTop w:val="0"/>
                                              <w:marBottom w:val="0"/>
                                              <w:divBdr>
                                                <w:top w:val="none" w:sz="0" w:space="0" w:color="auto"/>
                                                <w:left w:val="none" w:sz="0" w:space="0" w:color="auto"/>
                                                <w:bottom w:val="none" w:sz="0" w:space="0" w:color="auto"/>
                                                <w:right w:val="none" w:sz="0" w:space="0" w:color="auto"/>
                                              </w:divBdr>
                                              <w:divsChild>
                                                <w:div w:id="1821845859">
                                                  <w:marLeft w:val="0"/>
                                                  <w:marRight w:val="0"/>
                                                  <w:marTop w:val="0"/>
                                                  <w:marBottom w:val="0"/>
                                                  <w:divBdr>
                                                    <w:top w:val="none" w:sz="0" w:space="0" w:color="auto"/>
                                                    <w:left w:val="none" w:sz="0" w:space="0" w:color="auto"/>
                                                    <w:bottom w:val="none" w:sz="0" w:space="0" w:color="auto"/>
                                                    <w:right w:val="none" w:sz="0" w:space="0" w:color="auto"/>
                                                  </w:divBdr>
                                                </w:div>
                                                <w:div w:id="12612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734297">
          <w:marLeft w:val="0"/>
          <w:marRight w:val="0"/>
          <w:marTop w:val="0"/>
          <w:marBottom w:val="0"/>
          <w:divBdr>
            <w:top w:val="none" w:sz="0" w:space="0" w:color="auto"/>
            <w:left w:val="none" w:sz="0" w:space="0" w:color="auto"/>
            <w:bottom w:val="none" w:sz="0" w:space="0" w:color="auto"/>
            <w:right w:val="none" w:sz="0" w:space="0" w:color="auto"/>
          </w:divBdr>
          <w:divsChild>
            <w:div w:id="598611003">
              <w:marLeft w:val="0"/>
              <w:marRight w:val="0"/>
              <w:marTop w:val="0"/>
              <w:marBottom w:val="0"/>
              <w:divBdr>
                <w:top w:val="none" w:sz="0" w:space="0" w:color="auto"/>
                <w:left w:val="none" w:sz="0" w:space="0" w:color="auto"/>
                <w:bottom w:val="none" w:sz="0" w:space="0" w:color="auto"/>
                <w:right w:val="none" w:sz="0" w:space="0" w:color="auto"/>
              </w:divBdr>
              <w:divsChild>
                <w:div w:id="108663793">
                  <w:marLeft w:val="0"/>
                  <w:marRight w:val="0"/>
                  <w:marTop w:val="0"/>
                  <w:marBottom w:val="0"/>
                  <w:divBdr>
                    <w:top w:val="none" w:sz="0" w:space="0" w:color="auto"/>
                    <w:left w:val="none" w:sz="0" w:space="0" w:color="auto"/>
                    <w:bottom w:val="none" w:sz="0" w:space="0" w:color="auto"/>
                    <w:right w:val="none" w:sz="0" w:space="0" w:color="auto"/>
                  </w:divBdr>
                  <w:divsChild>
                    <w:div w:id="290524715">
                      <w:marLeft w:val="0"/>
                      <w:marRight w:val="0"/>
                      <w:marTop w:val="0"/>
                      <w:marBottom w:val="0"/>
                      <w:divBdr>
                        <w:top w:val="none" w:sz="0" w:space="0" w:color="auto"/>
                        <w:left w:val="none" w:sz="0" w:space="0" w:color="auto"/>
                        <w:bottom w:val="none" w:sz="0" w:space="0" w:color="auto"/>
                        <w:right w:val="none" w:sz="0" w:space="0" w:color="auto"/>
                      </w:divBdr>
                      <w:divsChild>
                        <w:div w:id="17375806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65400">
      <w:bodyDiv w:val="1"/>
      <w:marLeft w:val="0"/>
      <w:marRight w:val="0"/>
      <w:marTop w:val="0"/>
      <w:marBottom w:val="0"/>
      <w:divBdr>
        <w:top w:val="none" w:sz="0" w:space="0" w:color="auto"/>
        <w:left w:val="none" w:sz="0" w:space="0" w:color="auto"/>
        <w:bottom w:val="none" w:sz="0" w:space="0" w:color="auto"/>
        <w:right w:val="none" w:sz="0" w:space="0" w:color="auto"/>
      </w:divBdr>
    </w:div>
    <w:div w:id="794567914">
      <w:bodyDiv w:val="1"/>
      <w:marLeft w:val="0"/>
      <w:marRight w:val="0"/>
      <w:marTop w:val="0"/>
      <w:marBottom w:val="0"/>
      <w:divBdr>
        <w:top w:val="none" w:sz="0" w:space="0" w:color="auto"/>
        <w:left w:val="none" w:sz="0" w:space="0" w:color="auto"/>
        <w:bottom w:val="none" w:sz="0" w:space="0" w:color="auto"/>
        <w:right w:val="none" w:sz="0" w:space="0" w:color="auto"/>
      </w:divBdr>
    </w:div>
    <w:div w:id="795441953">
      <w:bodyDiv w:val="1"/>
      <w:marLeft w:val="0"/>
      <w:marRight w:val="0"/>
      <w:marTop w:val="0"/>
      <w:marBottom w:val="0"/>
      <w:divBdr>
        <w:top w:val="none" w:sz="0" w:space="0" w:color="auto"/>
        <w:left w:val="none" w:sz="0" w:space="0" w:color="auto"/>
        <w:bottom w:val="none" w:sz="0" w:space="0" w:color="auto"/>
        <w:right w:val="none" w:sz="0" w:space="0" w:color="auto"/>
      </w:divBdr>
    </w:div>
    <w:div w:id="801846803">
      <w:bodyDiv w:val="1"/>
      <w:marLeft w:val="0"/>
      <w:marRight w:val="0"/>
      <w:marTop w:val="0"/>
      <w:marBottom w:val="0"/>
      <w:divBdr>
        <w:top w:val="none" w:sz="0" w:space="0" w:color="auto"/>
        <w:left w:val="none" w:sz="0" w:space="0" w:color="auto"/>
        <w:bottom w:val="none" w:sz="0" w:space="0" w:color="auto"/>
        <w:right w:val="none" w:sz="0" w:space="0" w:color="auto"/>
      </w:divBdr>
    </w:div>
    <w:div w:id="813915956">
      <w:bodyDiv w:val="1"/>
      <w:marLeft w:val="0"/>
      <w:marRight w:val="0"/>
      <w:marTop w:val="0"/>
      <w:marBottom w:val="0"/>
      <w:divBdr>
        <w:top w:val="none" w:sz="0" w:space="0" w:color="auto"/>
        <w:left w:val="none" w:sz="0" w:space="0" w:color="auto"/>
        <w:bottom w:val="none" w:sz="0" w:space="0" w:color="auto"/>
        <w:right w:val="none" w:sz="0" w:space="0" w:color="auto"/>
      </w:divBdr>
    </w:div>
    <w:div w:id="828908493">
      <w:bodyDiv w:val="1"/>
      <w:marLeft w:val="0"/>
      <w:marRight w:val="0"/>
      <w:marTop w:val="0"/>
      <w:marBottom w:val="0"/>
      <w:divBdr>
        <w:top w:val="none" w:sz="0" w:space="0" w:color="auto"/>
        <w:left w:val="none" w:sz="0" w:space="0" w:color="auto"/>
        <w:bottom w:val="none" w:sz="0" w:space="0" w:color="auto"/>
        <w:right w:val="none" w:sz="0" w:space="0" w:color="auto"/>
      </w:divBdr>
    </w:div>
    <w:div w:id="845436061">
      <w:bodyDiv w:val="1"/>
      <w:marLeft w:val="0"/>
      <w:marRight w:val="0"/>
      <w:marTop w:val="0"/>
      <w:marBottom w:val="0"/>
      <w:divBdr>
        <w:top w:val="none" w:sz="0" w:space="0" w:color="auto"/>
        <w:left w:val="none" w:sz="0" w:space="0" w:color="auto"/>
        <w:bottom w:val="none" w:sz="0" w:space="0" w:color="auto"/>
        <w:right w:val="none" w:sz="0" w:space="0" w:color="auto"/>
      </w:divBdr>
      <w:divsChild>
        <w:div w:id="1794056392">
          <w:marLeft w:val="0"/>
          <w:marRight w:val="0"/>
          <w:marTop w:val="0"/>
          <w:marBottom w:val="0"/>
          <w:divBdr>
            <w:top w:val="none" w:sz="0" w:space="0" w:color="auto"/>
            <w:left w:val="none" w:sz="0" w:space="0" w:color="auto"/>
            <w:bottom w:val="none" w:sz="0" w:space="0" w:color="auto"/>
            <w:right w:val="none" w:sz="0" w:space="0" w:color="auto"/>
          </w:divBdr>
          <w:divsChild>
            <w:div w:id="1867017800">
              <w:marLeft w:val="0"/>
              <w:marRight w:val="0"/>
              <w:marTop w:val="0"/>
              <w:marBottom w:val="0"/>
              <w:divBdr>
                <w:top w:val="none" w:sz="0" w:space="0" w:color="auto"/>
                <w:left w:val="none" w:sz="0" w:space="0" w:color="auto"/>
                <w:bottom w:val="none" w:sz="0" w:space="0" w:color="auto"/>
                <w:right w:val="none" w:sz="0" w:space="0" w:color="auto"/>
              </w:divBdr>
              <w:divsChild>
                <w:div w:id="1035814149">
                  <w:marLeft w:val="0"/>
                  <w:marRight w:val="0"/>
                  <w:marTop w:val="0"/>
                  <w:marBottom w:val="0"/>
                  <w:divBdr>
                    <w:top w:val="none" w:sz="0" w:space="0" w:color="auto"/>
                    <w:left w:val="none" w:sz="0" w:space="0" w:color="auto"/>
                    <w:bottom w:val="none" w:sz="0" w:space="0" w:color="auto"/>
                    <w:right w:val="none" w:sz="0" w:space="0" w:color="auto"/>
                  </w:divBdr>
                  <w:divsChild>
                    <w:div w:id="5326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29662">
      <w:bodyDiv w:val="1"/>
      <w:marLeft w:val="0"/>
      <w:marRight w:val="0"/>
      <w:marTop w:val="0"/>
      <w:marBottom w:val="0"/>
      <w:divBdr>
        <w:top w:val="none" w:sz="0" w:space="0" w:color="auto"/>
        <w:left w:val="none" w:sz="0" w:space="0" w:color="auto"/>
        <w:bottom w:val="none" w:sz="0" w:space="0" w:color="auto"/>
        <w:right w:val="none" w:sz="0" w:space="0" w:color="auto"/>
      </w:divBdr>
    </w:div>
    <w:div w:id="860123606">
      <w:bodyDiv w:val="1"/>
      <w:marLeft w:val="0"/>
      <w:marRight w:val="0"/>
      <w:marTop w:val="0"/>
      <w:marBottom w:val="0"/>
      <w:divBdr>
        <w:top w:val="none" w:sz="0" w:space="0" w:color="auto"/>
        <w:left w:val="none" w:sz="0" w:space="0" w:color="auto"/>
        <w:bottom w:val="none" w:sz="0" w:space="0" w:color="auto"/>
        <w:right w:val="none" w:sz="0" w:space="0" w:color="auto"/>
      </w:divBdr>
    </w:div>
    <w:div w:id="866718530">
      <w:bodyDiv w:val="1"/>
      <w:marLeft w:val="0"/>
      <w:marRight w:val="0"/>
      <w:marTop w:val="0"/>
      <w:marBottom w:val="0"/>
      <w:divBdr>
        <w:top w:val="none" w:sz="0" w:space="0" w:color="auto"/>
        <w:left w:val="none" w:sz="0" w:space="0" w:color="auto"/>
        <w:bottom w:val="none" w:sz="0" w:space="0" w:color="auto"/>
        <w:right w:val="none" w:sz="0" w:space="0" w:color="auto"/>
      </w:divBdr>
    </w:div>
    <w:div w:id="884760429">
      <w:bodyDiv w:val="1"/>
      <w:marLeft w:val="0"/>
      <w:marRight w:val="0"/>
      <w:marTop w:val="0"/>
      <w:marBottom w:val="0"/>
      <w:divBdr>
        <w:top w:val="none" w:sz="0" w:space="0" w:color="auto"/>
        <w:left w:val="none" w:sz="0" w:space="0" w:color="auto"/>
        <w:bottom w:val="none" w:sz="0" w:space="0" w:color="auto"/>
        <w:right w:val="none" w:sz="0" w:space="0" w:color="auto"/>
      </w:divBdr>
    </w:div>
    <w:div w:id="929117068">
      <w:bodyDiv w:val="1"/>
      <w:marLeft w:val="0"/>
      <w:marRight w:val="0"/>
      <w:marTop w:val="0"/>
      <w:marBottom w:val="0"/>
      <w:divBdr>
        <w:top w:val="none" w:sz="0" w:space="0" w:color="auto"/>
        <w:left w:val="none" w:sz="0" w:space="0" w:color="auto"/>
        <w:bottom w:val="none" w:sz="0" w:space="0" w:color="auto"/>
        <w:right w:val="none" w:sz="0" w:space="0" w:color="auto"/>
      </w:divBdr>
    </w:div>
    <w:div w:id="930045314">
      <w:bodyDiv w:val="1"/>
      <w:marLeft w:val="0"/>
      <w:marRight w:val="0"/>
      <w:marTop w:val="0"/>
      <w:marBottom w:val="0"/>
      <w:divBdr>
        <w:top w:val="none" w:sz="0" w:space="0" w:color="auto"/>
        <w:left w:val="none" w:sz="0" w:space="0" w:color="auto"/>
        <w:bottom w:val="none" w:sz="0" w:space="0" w:color="auto"/>
        <w:right w:val="none" w:sz="0" w:space="0" w:color="auto"/>
      </w:divBdr>
    </w:div>
    <w:div w:id="952785003">
      <w:bodyDiv w:val="1"/>
      <w:marLeft w:val="0"/>
      <w:marRight w:val="0"/>
      <w:marTop w:val="0"/>
      <w:marBottom w:val="0"/>
      <w:divBdr>
        <w:top w:val="none" w:sz="0" w:space="0" w:color="auto"/>
        <w:left w:val="none" w:sz="0" w:space="0" w:color="auto"/>
        <w:bottom w:val="none" w:sz="0" w:space="0" w:color="auto"/>
        <w:right w:val="none" w:sz="0" w:space="0" w:color="auto"/>
      </w:divBdr>
    </w:div>
    <w:div w:id="955066292">
      <w:bodyDiv w:val="1"/>
      <w:marLeft w:val="0"/>
      <w:marRight w:val="0"/>
      <w:marTop w:val="0"/>
      <w:marBottom w:val="0"/>
      <w:divBdr>
        <w:top w:val="none" w:sz="0" w:space="0" w:color="auto"/>
        <w:left w:val="none" w:sz="0" w:space="0" w:color="auto"/>
        <w:bottom w:val="none" w:sz="0" w:space="0" w:color="auto"/>
        <w:right w:val="none" w:sz="0" w:space="0" w:color="auto"/>
      </w:divBdr>
    </w:div>
    <w:div w:id="965240002">
      <w:bodyDiv w:val="1"/>
      <w:marLeft w:val="0"/>
      <w:marRight w:val="0"/>
      <w:marTop w:val="0"/>
      <w:marBottom w:val="0"/>
      <w:divBdr>
        <w:top w:val="none" w:sz="0" w:space="0" w:color="auto"/>
        <w:left w:val="none" w:sz="0" w:space="0" w:color="auto"/>
        <w:bottom w:val="none" w:sz="0" w:space="0" w:color="auto"/>
        <w:right w:val="none" w:sz="0" w:space="0" w:color="auto"/>
      </w:divBdr>
    </w:div>
    <w:div w:id="988440566">
      <w:bodyDiv w:val="1"/>
      <w:marLeft w:val="0"/>
      <w:marRight w:val="0"/>
      <w:marTop w:val="0"/>
      <w:marBottom w:val="0"/>
      <w:divBdr>
        <w:top w:val="none" w:sz="0" w:space="0" w:color="auto"/>
        <w:left w:val="none" w:sz="0" w:space="0" w:color="auto"/>
        <w:bottom w:val="none" w:sz="0" w:space="0" w:color="auto"/>
        <w:right w:val="none" w:sz="0" w:space="0" w:color="auto"/>
      </w:divBdr>
    </w:div>
    <w:div w:id="1000307705">
      <w:bodyDiv w:val="1"/>
      <w:marLeft w:val="0"/>
      <w:marRight w:val="0"/>
      <w:marTop w:val="0"/>
      <w:marBottom w:val="0"/>
      <w:divBdr>
        <w:top w:val="none" w:sz="0" w:space="0" w:color="auto"/>
        <w:left w:val="none" w:sz="0" w:space="0" w:color="auto"/>
        <w:bottom w:val="none" w:sz="0" w:space="0" w:color="auto"/>
        <w:right w:val="none" w:sz="0" w:space="0" w:color="auto"/>
      </w:divBdr>
    </w:div>
    <w:div w:id="1003436615">
      <w:bodyDiv w:val="1"/>
      <w:marLeft w:val="0"/>
      <w:marRight w:val="0"/>
      <w:marTop w:val="0"/>
      <w:marBottom w:val="0"/>
      <w:divBdr>
        <w:top w:val="none" w:sz="0" w:space="0" w:color="auto"/>
        <w:left w:val="none" w:sz="0" w:space="0" w:color="auto"/>
        <w:bottom w:val="none" w:sz="0" w:space="0" w:color="auto"/>
        <w:right w:val="none" w:sz="0" w:space="0" w:color="auto"/>
      </w:divBdr>
    </w:div>
    <w:div w:id="1006517440">
      <w:bodyDiv w:val="1"/>
      <w:marLeft w:val="0"/>
      <w:marRight w:val="0"/>
      <w:marTop w:val="0"/>
      <w:marBottom w:val="0"/>
      <w:divBdr>
        <w:top w:val="none" w:sz="0" w:space="0" w:color="auto"/>
        <w:left w:val="none" w:sz="0" w:space="0" w:color="auto"/>
        <w:bottom w:val="none" w:sz="0" w:space="0" w:color="auto"/>
        <w:right w:val="none" w:sz="0" w:space="0" w:color="auto"/>
      </w:divBdr>
      <w:divsChild>
        <w:div w:id="1217619983">
          <w:marLeft w:val="0"/>
          <w:marRight w:val="0"/>
          <w:marTop w:val="0"/>
          <w:marBottom w:val="0"/>
          <w:divBdr>
            <w:top w:val="none" w:sz="0" w:space="0" w:color="auto"/>
            <w:left w:val="none" w:sz="0" w:space="0" w:color="auto"/>
            <w:bottom w:val="none" w:sz="0" w:space="0" w:color="auto"/>
            <w:right w:val="none" w:sz="0" w:space="0" w:color="auto"/>
          </w:divBdr>
          <w:divsChild>
            <w:div w:id="1110778097">
              <w:marLeft w:val="0"/>
              <w:marRight w:val="0"/>
              <w:marTop w:val="0"/>
              <w:marBottom w:val="0"/>
              <w:divBdr>
                <w:top w:val="none" w:sz="0" w:space="0" w:color="auto"/>
                <w:left w:val="none" w:sz="0" w:space="0" w:color="auto"/>
                <w:bottom w:val="none" w:sz="0" w:space="0" w:color="auto"/>
                <w:right w:val="none" w:sz="0" w:space="0" w:color="auto"/>
              </w:divBdr>
              <w:divsChild>
                <w:div w:id="6161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9517">
      <w:bodyDiv w:val="1"/>
      <w:marLeft w:val="0"/>
      <w:marRight w:val="0"/>
      <w:marTop w:val="0"/>
      <w:marBottom w:val="0"/>
      <w:divBdr>
        <w:top w:val="none" w:sz="0" w:space="0" w:color="auto"/>
        <w:left w:val="none" w:sz="0" w:space="0" w:color="auto"/>
        <w:bottom w:val="none" w:sz="0" w:space="0" w:color="auto"/>
        <w:right w:val="none" w:sz="0" w:space="0" w:color="auto"/>
      </w:divBdr>
    </w:div>
    <w:div w:id="1024214399">
      <w:bodyDiv w:val="1"/>
      <w:marLeft w:val="0"/>
      <w:marRight w:val="0"/>
      <w:marTop w:val="0"/>
      <w:marBottom w:val="0"/>
      <w:divBdr>
        <w:top w:val="none" w:sz="0" w:space="0" w:color="auto"/>
        <w:left w:val="none" w:sz="0" w:space="0" w:color="auto"/>
        <w:bottom w:val="none" w:sz="0" w:space="0" w:color="auto"/>
        <w:right w:val="none" w:sz="0" w:space="0" w:color="auto"/>
      </w:divBdr>
    </w:div>
    <w:div w:id="1027565369">
      <w:bodyDiv w:val="1"/>
      <w:marLeft w:val="0"/>
      <w:marRight w:val="0"/>
      <w:marTop w:val="0"/>
      <w:marBottom w:val="0"/>
      <w:divBdr>
        <w:top w:val="none" w:sz="0" w:space="0" w:color="auto"/>
        <w:left w:val="none" w:sz="0" w:space="0" w:color="auto"/>
        <w:bottom w:val="none" w:sz="0" w:space="0" w:color="auto"/>
        <w:right w:val="none" w:sz="0" w:space="0" w:color="auto"/>
      </w:divBdr>
      <w:divsChild>
        <w:div w:id="365562722">
          <w:marLeft w:val="0"/>
          <w:marRight w:val="0"/>
          <w:marTop w:val="0"/>
          <w:marBottom w:val="0"/>
          <w:divBdr>
            <w:top w:val="none" w:sz="0" w:space="0" w:color="auto"/>
            <w:left w:val="none" w:sz="0" w:space="0" w:color="auto"/>
            <w:bottom w:val="none" w:sz="0" w:space="0" w:color="auto"/>
            <w:right w:val="none" w:sz="0" w:space="0" w:color="auto"/>
          </w:divBdr>
        </w:div>
      </w:divsChild>
    </w:div>
    <w:div w:id="1040208927">
      <w:bodyDiv w:val="1"/>
      <w:marLeft w:val="0"/>
      <w:marRight w:val="0"/>
      <w:marTop w:val="0"/>
      <w:marBottom w:val="0"/>
      <w:divBdr>
        <w:top w:val="none" w:sz="0" w:space="0" w:color="auto"/>
        <w:left w:val="none" w:sz="0" w:space="0" w:color="auto"/>
        <w:bottom w:val="none" w:sz="0" w:space="0" w:color="auto"/>
        <w:right w:val="none" w:sz="0" w:space="0" w:color="auto"/>
      </w:divBdr>
    </w:div>
    <w:div w:id="1052584930">
      <w:bodyDiv w:val="1"/>
      <w:marLeft w:val="0"/>
      <w:marRight w:val="0"/>
      <w:marTop w:val="0"/>
      <w:marBottom w:val="0"/>
      <w:divBdr>
        <w:top w:val="none" w:sz="0" w:space="0" w:color="auto"/>
        <w:left w:val="none" w:sz="0" w:space="0" w:color="auto"/>
        <w:bottom w:val="none" w:sz="0" w:space="0" w:color="auto"/>
        <w:right w:val="none" w:sz="0" w:space="0" w:color="auto"/>
      </w:divBdr>
    </w:div>
    <w:div w:id="1086344258">
      <w:bodyDiv w:val="1"/>
      <w:marLeft w:val="0"/>
      <w:marRight w:val="0"/>
      <w:marTop w:val="0"/>
      <w:marBottom w:val="0"/>
      <w:divBdr>
        <w:top w:val="none" w:sz="0" w:space="0" w:color="auto"/>
        <w:left w:val="none" w:sz="0" w:space="0" w:color="auto"/>
        <w:bottom w:val="none" w:sz="0" w:space="0" w:color="auto"/>
        <w:right w:val="none" w:sz="0" w:space="0" w:color="auto"/>
      </w:divBdr>
    </w:div>
    <w:div w:id="1134105418">
      <w:bodyDiv w:val="1"/>
      <w:marLeft w:val="0"/>
      <w:marRight w:val="0"/>
      <w:marTop w:val="0"/>
      <w:marBottom w:val="0"/>
      <w:divBdr>
        <w:top w:val="none" w:sz="0" w:space="0" w:color="auto"/>
        <w:left w:val="none" w:sz="0" w:space="0" w:color="auto"/>
        <w:bottom w:val="none" w:sz="0" w:space="0" w:color="auto"/>
        <w:right w:val="none" w:sz="0" w:space="0" w:color="auto"/>
      </w:divBdr>
      <w:divsChild>
        <w:div w:id="120609233">
          <w:marLeft w:val="0"/>
          <w:marRight w:val="0"/>
          <w:marTop w:val="0"/>
          <w:marBottom w:val="0"/>
          <w:divBdr>
            <w:top w:val="none" w:sz="0" w:space="0" w:color="auto"/>
            <w:left w:val="none" w:sz="0" w:space="0" w:color="auto"/>
            <w:bottom w:val="none" w:sz="0" w:space="0" w:color="auto"/>
            <w:right w:val="none" w:sz="0" w:space="0" w:color="auto"/>
          </w:divBdr>
          <w:divsChild>
            <w:div w:id="1642688420">
              <w:marLeft w:val="0"/>
              <w:marRight w:val="0"/>
              <w:marTop w:val="0"/>
              <w:marBottom w:val="0"/>
              <w:divBdr>
                <w:top w:val="none" w:sz="0" w:space="0" w:color="auto"/>
                <w:left w:val="none" w:sz="0" w:space="0" w:color="auto"/>
                <w:bottom w:val="none" w:sz="0" w:space="0" w:color="auto"/>
                <w:right w:val="none" w:sz="0" w:space="0" w:color="auto"/>
              </w:divBdr>
              <w:divsChild>
                <w:div w:id="10045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6970">
      <w:bodyDiv w:val="1"/>
      <w:marLeft w:val="0"/>
      <w:marRight w:val="0"/>
      <w:marTop w:val="0"/>
      <w:marBottom w:val="0"/>
      <w:divBdr>
        <w:top w:val="none" w:sz="0" w:space="0" w:color="auto"/>
        <w:left w:val="none" w:sz="0" w:space="0" w:color="auto"/>
        <w:bottom w:val="none" w:sz="0" w:space="0" w:color="auto"/>
        <w:right w:val="none" w:sz="0" w:space="0" w:color="auto"/>
      </w:divBdr>
    </w:div>
    <w:div w:id="1147817459">
      <w:bodyDiv w:val="1"/>
      <w:marLeft w:val="0"/>
      <w:marRight w:val="0"/>
      <w:marTop w:val="0"/>
      <w:marBottom w:val="0"/>
      <w:divBdr>
        <w:top w:val="none" w:sz="0" w:space="0" w:color="auto"/>
        <w:left w:val="none" w:sz="0" w:space="0" w:color="auto"/>
        <w:bottom w:val="none" w:sz="0" w:space="0" w:color="auto"/>
        <w:right w:val="none" w:sz="0" w:space="0" w:color="auto"/>
      </w:divBdr>
    </w:div>
    <w:div w:id="1148134697">
      <w:bodyDiv w:val="1"/>
      <w:marLeft w:val="0"/>
      <w:marRight w:val="0"/>
      <w:marTop w:val="0"/>
      <w:marBottom w:val="0"/>
      <w:divBdr>
        <w:top w:val="none" w:sz="0" w:space="0" w:color="auto"/>
        <w:left w:val="none" w:sz="0" w:space="0" w:color="auto"/>
        <w:bottom w:val="none" w:sz="0" w:space="0" w:color="auto"/>
        <w:right w:val="none" w:sz="0" w:space="0" w:color="auto"/>
      </w:divBdr>
    </w:div>
    <w:div w:id="1151603850">
      <w:bodyDiv w:val="1"/>
      <w:marLeft w:val="0"/>
      <w:marRight w:val="0"/>
      <w:marTop w:val="0"/>
      <w:marBottom w:val="0"/>
      <w:divBdr>
        <w:top w:val="none" w:sz="0" w:space="0" w:color="auto"/>
        <w:left w:val="none" w:sz="0" w:space="0" w:color="auto"/>
        <w:bottom w:val="none" w:sz="0" w:space="0" w:color="auto"/>
        <w:right w:val="none" w:sz="0" w:space="0" w:color="auto"/>
      </w:divBdr>
    </w:div>
    <w:div w:id="1166476320">
      <w:bodyDiv w:val="1"/>
      <w:marLeft w:val="0"/>
      <w:marRight w:val="0"/>
      <w:marTop w:val="0"/>
      <w:marBottom w:val="0"/>
      <w:divBdr>
        <w:top w:val="none" w:sz="0" w:space="0" w:color="auto"/>
        <w:left w:val="none" w:sz="0" w:space="0" w:color="auto"/>
        <w:bottom w:val="none" w:sz="0" w:space="0" w:color="auto"/>
        <w:right w:val="none" w:sz="0" w:space="0" w:color="auto"/>
      </w:divBdr>
    </w:div>
    <w:div w:id="1171675321">
      <w:bodyDiv w:val="1"/>
      <w:marLeft w:val="0"/>
      <w:marRight w:val="0"/>
      <w:marTop w:val="0"/>
      <w:marBottom w:val="0"/>
      <w:divBdr>
        <w:top w:val="none" w:sz="0" w:space="0" w:color="auto"/>
        <w:left w:val="none" w:sz="0" w:space="0" w:color="auto"/>
        <w:bottom w:val="none" w:sz="0" w:space="0" w:color="auto"/>
        <w:right w:val="none" w:sz="0" w:space="0" w:color="auto"/>
      </w:divBdr>
    </w:div>
    <w:div w:id="1179275524">
      <w:bodyDiv w:val="1"/>
      <w:marLeft w:val="0"/>
      <w:marRight w:val="0"/>
      <w:marTop w:val="0"/>
      <w:marBottom w:val="0"/>
      <w:divBdr>
        <w:top w:val="none" w:sz="0" w:space="0" w:color="auto"/>
        <w:left w:val="none" w:sz="0" w:space="0" w:color="auto"/>
        <w:bottom w:val="none" w:sz="0" w:space="0" w:color="auto"/>
        <w:right w:val="none" w:sz="0" w:space="0" w:color="auto"/>
      </w:divBdr>
    </w:div>
    <w:div w:id="1183201236">
      <w:bodyDiv w:val="1"/>
      <w:marLeft w:val="0"/>
      <w:marRight w:val="0"/>
      <w:marTop w:val="0"/>
      <w:marBottom w:val="0"/>
      <w:divBdr>
        <w:top w:val="none" w:sz="0" w:space="0" w:color="auto"/>
        <w:left w:val="none" w:sz="0" w:space="0" w:color="auto"/>
        <w:bottom w:val="none" w:sz="0" w:space="0" w:color="auto"/>
        <w:right w:val="none" w:sz="0" w:space="0" w:color="auto"/>
      </w:divBdr>
    </w:div>
    <w:div w:id="1190870746">
      <w:bodyDiv w:val="1"/>
      <w:marLeft w:val="0"/>
      <w:marRight w:val="0"/>
      <w:marTop w:val="0"/>
      <w:marBottom w:val="0"/>
      <w:divBdr>
        <w:top w:val="none" w:sz="0" w:space="0" w:color="auto"/>
        <w:left w:val="none" w:sz="0" w:space="0" w:color="auto"/>
        <w:bottom w:val="none" w:sz="0" w:space="0" w:color="auto"/>
        <w:right w:val="none" w:sz="0" w:space="0" w:color="auto"/>
      </w:divBdr>
      <w:divsChild>
        <w:div w:id="1177158621">
          <w:marLeft w:val="0"/>
          <w:marRight w:val="0"/>
          <w:marTop w:val="0"/>
          <w:marBottom w:val="0"/>
          <w:divBdr>
            <w:top w:val="none" w:sz="0" w:space="0" w:color="auto"/>
            <w:left w:val="none" w:sz="0" w:space="0" w:color="auto"/>
            <w:bottom w:val="none" w:sz="0" w:space="0" w:color="auto"/>
            <w:right w:val="none" w:sz="0" w:space="0" w:color="auto"/>
          </w:divBdr>
        </w:div>
      </w:divsChild>
    </w:div>
    <w:div w:id="1196623955">
      <w:bodyDiv w:val="1"/>
      <w:marLeft w:val="0"/>
      <w:marRight w:val="0"/>
      <w:marTop w:val="0"/>
      <w:marBottom w:val="0"/>
      <w:divBdr>
        <w:top w:val="none" w:sz="0" w:space="0" w:color="auto"/>
        <w:left w:val="none" w:sz="0" w:space="0" w:color="auto"/>
        <w:bottom w:val="none" w:sz="0" w:space="0" w:color="auto"/>
        <w:right w:val="none" w:sz="0" w:space="0" w:color="auto"/>
      </w:divBdr>
    </w:div>
    <w:div w:id="1210188222">
      <w:bodyDiv w:val="1"/>
      <w:marLeft w:val="0"/>
      <w:marRight w:val="0"/>
      <w:marTop w:val="0"/>
      <w:marBottom w:val="0"/>
      <w:divBdr>
        <w:top w:val="none" w:sz="0" w:space="0" w:color="auto"/>
        <w:left w:val="none" w:sz="0" w:space="0" w:color="auto"/>
        <w:bottom w:val="none" w:sz="0" w:space="0" w:color="auto"/>
        <w:right w:val="none" w:sz="0" w:space="0" w:color="auto"/>
      </w:divBdr>
    </w:div>
    <w:div w:id="1215121230">
      <w:bodyDiv w:val="1"/>
      <w:marLeft w:val="0"/>
      <w:marRight w:val="0"/>
      <w:marTop w:val="0"/>
      <w:marBottom w:val="0"/>
      <w:divBdr>
        <w:top w:val="none" w:sz="0" w:space="0" w:color="auto"/>
        <w:left w:val="none" w:sz="0" w:space="0" w:color="auto"/>
        <w:bottom w:val="none" w:sz="0" w:space="0" w:color="auto"/>
        <w:right w:val="none" w:sz="0" w:space="0" w:color="auto"/>
      </w:divBdr>
    </w:div>
    <w:div w:id="1221402433">
      <w:bodyDiv w:val="1"/>
      <w:marLeft w:val="0"/>
      <w:marRight w:val="0"/>
      <w:marTop w:val="0"/>
      <w:marBottom w:val="0"/>
      <w:divBdr>
        <w:top w:val="none" w:sz="0" w:space="0" w:color="auto"/>
        <w:left w:val="none" w:sz="0" w:space="0" w:color="auto"/>
        <w:bottom w:val="none" w:sz="0" w:space="0" w:color="auto"/>
        <w:right w:val="none" w:sz="0" w:space="0" w:color="auto"/>
      </w:divBdr>
      <w:divsChild>
        <w:div w:id="2044861524">
          <w:marLeft w:val="0"/>
          <w:marRight w:val="0"/>
          <w:marTop w:val="0"/>
          <w:marBottom w:val="0"/>
          <w:divBdr>
            <w:top w:val="none" w:sz="0" w:space="0" w:color="auto"/>
            <w:left w:val="none" w:sz="0" w:space="0" w:color="auto"/>
            <w:bottom w:val="none" w:sz="0" w:space="0" w:color="auto"/>
            <w:right w:val="none" w:sz="0" w:space="0" w:color="auto"/>
          </w:divBdr>
        </w:div>
      </w:divsChild>
    </w:div>
    <w:div w:id="1226407149">
      <w:bodyDiv w:val="1"/>
      <w:marLeft w:val="0"/>
      <w:marRight w:val="0"/>
      <w:marTop w:val="0"/>
      <w:marBottom w:val="0"/>
      <w:divBdr>
        <w:top w:val="none" w:sz="0" w:space="0" w:color="auto"/>
        <w:left w:val="none" w:sz="0" w:space="0" w:color="auto"/>
        <w:bottom w:val="none" w:sz="0" w:space="0" w:color="auto"/>
        <w:right w:val="none" w:sz="0" w:space="0" w:color="auto"/>
      </w:divBdr>
    </w:div>
    <w:div w:id="1246183852">
      <w:bodyDiv w:val="1"/>
      <w:marLeft w:val="0"/>
      <w:marRight w:val="0"/>
      <w:marTop w:val="0"/>
      <w:marBottom w:val="0"/>
      <w:divBdr>
        <w:top w:val="none" w:sz="0" w:space="0" w:color="auto"/>
        <w:left w:val="none" w:sz="0" w:space="0" w:color="auto"/>
        <w:bottom w:val="none" w:sz="0" w:space="0" w:color="auto"/>
        <w:right w:val="none" w:sz="0" w:space="0" w:color="auto"/>
      </w:divBdr>
    </w:div>
    <w:div w:id="1249072611">
      <w:bodyDiv w:val="1"/>
      <w:marLeft w:val="0"/>
      <w:marRight w:val="0"/>
      <w:marTop w:val="0"/>
      <w:marBottom w:val="0"/>
      <w:divBdr>
        <w:top w:val="none" w:sz="0" w:space="0" w:color="auto"/>
        <w:left w:val="none" w:sz="0" w:space="0" w:color="auto"/>
        <w:bottom w:val="none" w:sz="0" w:space="0" w:color="auto"/>
        <w:right w:val="none" w:sz="0" w:space="0" w:color="auto"/>
      </w:divBdr>
    </w:div>
    <w:div w:id="1265773542">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68469424">
      <w:bodyDiv w:val="1"/>
      <w:marLeft w:val="0"/>
      <w:marRight w:val="0"/>
      <w:marTop w:val="0"/>
      <w:marBottom w:val="0"/>
      <w:divBdr>
        <w:top w:val="none" w:sz="0" w:space="0" w:color="auto"/>
        <w:left w:val="none" w:sz="0" w:space="0" w:color="auto"/>
        <w:bottom w:val="none" w:sz="0" w:space="0" w:color="auto"/>
        <w:right w:val="none" w:sz="0" w:space="0" w:color="auto"/>
      </w:divBdr>
    </w:div>
    <w:div w:id="1279680046">
      <w:bodyDiv w:val="1"/>
      <w:marLeft w:val="0"/>
      <w:marRight w:val="0"/>
      <w:marTop w:val="0"/>
      <w:marBottom w:val="0"/>
      <w:divBdr>
        <w:top w:val="none" w:sz="0" w:space="0" w:color="auto"/>
        <w:left w:val="none" w:sz="0" w:space="0" w:color="auto"/>
        <w:bottom w:val="none" w:sz="0" w:space="0" w:color="auto"/>
        <w:right w:val="none" w:sz="0" w:space="0" w:color="auto"/>
      </w:divBdr>
    </w:div>
    <w:div w:id="1301888496">
      <w:bodyDiv w:val="1"/>
      <w:marLeft w:val="0"/>
      <w:marRight w:val="0"/>
      <w:marTop w:val="0"/>
      <w:marBottom w:val="0"/>
      <w:divBdr>
        <w:top w:val="none" w:sz="0" w:space="0" w:color="auto"/>
        <w:left w:val="none" w:sz="0" w:space="0" w:color="auto"/>
        <w:bottom w:val="none" w:sz="0" w:space="0" w:color="auto"/>
        <w:right w:val="none" w:sz="0" w:space="0" w:color="auto"/>
      </w:divBdr>
    </w:div>
    <w:div w:id="1309823480">
      <w:bodyDiv w:val="1"/>
      <w:marLeft w:val="0"/>
      <w:marRight w:val="0"/>
      <w:marTop w:val="0"/>
      <w:marBottom w:val="0"/>
      <w:divBdr>
        <w:top w:val="none" w:sz="0" w:space="0" w:color="auto"/>
        <w:left w:val="none" w:sz="0" w:space="0" w:color="auto"/>
        <w:bottom w:val="none" w:sz="0" w:space="0" w:color="auto"/>
        <w:right w:val="none" w:sz="0" w:space="0" w:color="auto"/>
      </w:divBdr>
    </w:div>
    <w:div w:id="1326006484">
      <w:bodyDiv w:val="1"/>
      <w:marLeft w:val="0"/>
      <w:marRight w:val="0"/>
      <w:marTop w:val="0"/>
      <w:marBottom w:val="0"/>
      <w:divBdr>
        <w:top w:val="none" w:sz="0" w:space="0" w:color="auto"/>
        <w:left w:val="none" w:sz="0" w:space="0" w:color="auto"/>
        <w:bottom w:val="none" w:sz="0" w:space="0" w:color="auto"/>
        <w:right w:val="none" w:sz="0" w:space="0" w:color="auto"/>
      </w:divBdr>
    </w:div>
    <w:div w:id="1328099585">
      <w:bodyDiv w:val="1"/>
      <w:marLeft w:val="0"/>
      <w:marRight w:val="0"/>
      <w:marTop w:val="0"/>
      <w:marBottom w:val="0"/>
      <w:divBdr>
        <w:top w:val="none" w:sz="0" w:space="0" w:color="auto"/>
        <w:left w:val="none" w:sz="0" w:space="0" w:color="auto"/>
        <w:bottom w:val="none" w:sz="0" w:space="0" w:color="auto"/>
        <w:right w:val="none" w:sz="0" w:space="0" w:color="auto"/>
      </w:divBdr>
    </w:div>
    <w:div w:id="1344013808">
      <w:bodyDiv w:val="1"/>
      <w:marLeft w:val="0"/>
      <w:marRight w:val="0"/>
      <w:marTop w:val="0"/>
      <w:marBottom w:val="0"/>
      <w:divBdr>
        <w:top w:val="none" w:sz="0" w:space="0" w:color="auto"/>
        <w:left w:val="none" w:sz="0" w:space="0" w:color="auto"/>
        <w:bottom w:val="none" w:sz="0" w:space="0" w:color="auto"/>
        <w:right w:val="none" w:sz="0" w:space="0" w:color="auto"/>
      </w:divBdr>
    </w:div>
    <w:div w:id="1349942298">
      <w:bodyDiv w:val="1"/>
      <w:marLeft w:val="0"/>
      <w:marRight w:val="0"/>
      <w:marTop w:val="0"/>
      <w:marBottom w:val="0"/>
      <w:divBdr>
        <w:top w:val="none" w:sz="0" w:space="0" w:color="auto"/>
        <w:left w:val="none" w:sz="0" w:space="0" w:color="auto"/>
        <w:bottom w:val="none" w:sz="0" w:space="0" w:color="auto"/>
        <w:right w:val="none" w:sz="0" w:space="0" w:color="auto"/>
      </w:divBdr>
    </w:div>
    <w:div w:id="1364751146">
      <w:bodyDiv w:val="1"/>
      <w:marLeft w:val="0"/>
      <w:marRight w:val="0"/>
      <w:marTop w:val="0"/>
      <w:marBottom w:val="0"/>
      <w:divBdr>
        <w:top w:val="none" w:sz="0" w:space="0" w:color="auto"/>
        <w:left w:val="none" w:sz="0" w:space="0" w:color="auto"/>
        <w:bottom w:val="none" w:sz="0" w:space="0" w:color="auto"/>
        <w:right w:val="none" w:sz="0" w:space="0" w:color="auto"/>
      </w:divBdr>
      <w:divsChild>
        <w:div w:id="263461184">
          <w:marLeft w:val="0"/>
          <w:marRight w:val="0"/>
          <w:marTop w:val="0"/>
          <w:marBottom w:val="0"/>
          <w:divBdr>
            <w:top w:val="none" w:sz="0" w:space="0" w:color="auto"/>
            <w:left w:val="none" w:sz="0" w:space="0" w:color="auto"/>
            <w:bottom w:val="none" w:sz="0" w:space="0" w:color="auto"/>
            <w:right w:val="none" w:sz="0" w:space="0" w:color="auto"/>
          </w:divBdr>
        </w:div>
        <w:div w:id="1125466739">
          <w:marLeft w:val="0"/>
          <w:marRight w:val="0"/>
          <w:marTop w:val="0"/>
          <w:marBottom w:val="0"/>
          <w:divBdr>
            <w:top w:val="none" w:sz="0" w:space="0" w:color="auto"/>
            <w:left w:val="none" w:sz="0" w:space="0" w:color="auto"/>
            <w:bottom w:val="none" w:sz="0" w:space="0" w:color="auto"/>
            <w:right w:val="none" w:sz="0" w:space="0" w:color="auto"/>
          </w:divBdr>
        </w:div>
      </w:divsChild>
    </w:div>
    <w:div w:id="1378050608">
      <w:bodyDiv w:val="1"/>
      <w:marLeft w:val="0"/>
      <w:marRight w:val="0"/>
      <w:marTop w:val="0"/>
      <w:marBottom w:val="0"/>
      <w:divBdr>
        <w:top w:val="none" w:sz="0" w:space="0" w:color="auto"/>
        <w:left w:val="none" w:sz="0" w:space="0" w:color="auto"/>
        <w:bottom w:val="none" w:sz="0" w:space="0" w:color="auto"/>
        <w:right w:val="none" w:sz="0" w:space="0" w:color="auto"/>
      </w:divBdr>
    </w:div>
    <w:div w:id="1416170108">
      <w:bodyDiv w:val="1"/>
      <w:marLeft w:val="0"/>
      <w:marRight w:val="0"/>
      <w:marTop w:val="0"/>
      <w:marBottom w:val="0"/>
      <w:divBdr>
        <w:top w:val="none" w:sz="0" w:space="0" w:color="auto"/>
        <w:left w:val="none" w:sz="0" w:space="0" w:color="auto"/>
        <w:bottom w:val="none" w:sz="0" w:space="0" w:color="auto"/>
        <w:right w:val="none" w:sz="0" w:space="0" w:color="auto"/>
      </w:divBdr>
      <w:divsChild>
        <w:div w:id="1488280598">
          <w:marLeft w:val="0"/>
          <w:marRight w:val="0"/>
          <w:marTop w:val="288"/>
          <w:marBottom w:val="100"/>
          <w:divBdr>
            <w:top w:val="none" w:sz="0" w:space="0" w:color="auto"/>
            <w:left w:val="none" w:sz="0" w:space="0" w:color="auto"/>
            <w:bottom w:val="none" w:sz="0" w:space="0" w:color="auto"/>
            <w:right w:val="none" w:sz="0" w:space="0" w:color="auto"/>
          </w:divBdr>
          <w:divsChild>
            <w:div w:id="1788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3229">
      <w:bodyDiv w:val="1"/>
      <w:marLeft w:val="0"/>
      <w:marRight w:val="0"/>
      <w:marTop w:val="0"/>
      <w:marBottom w:val="0"/>
      <w:divBdr>
        <w:top w:val="none" w:sz="0" w:space="0" w:color="auto"/>
        <w:left w:val="none" w:sz="0" w:space="0" w:color="auto"/>
        <w:bottom w:val="none" w:sz="0" w:space="0" w:color="auto"/>
        <w:right w:val="none" w:sz="0" w:space="0" w:color="auto"/>
      </w:divBdr>
      <w:divsChild>
        <w:div w:id="681974955">
          <w:marLeft w:val="0"/>
          <w:marRight w:val="0"/>
          <w:marTop w:val="0"/>
          <w:marBottom w:val="0"/>
          <w:divBdr>
            <w:top w:val="none" w:sz="0" w:space="0" w:color="auto"/>
            <w:left w:val="none" w:sz="0" w:space="0" w:color="auto"/>
            <w:bottom w:val="none" w:sz="0" w:space="0" w:color="auto"/>
            <w:right w:val="none" w:sz="0" w:space="0" w:color="auto"/>
          </w:divBdr>
          <w:divsChild>
            <w:div w:id="271592679">
              <w:marLeft w:val="0"/>
              <w:marRight w:val="0"/>
              <w:marTop w:val="0"/>
              <w:marBottom w:val="0"/>
              <w:divBdr>
                <w:top w:val="none" w:sz="0" w:space="0" w:color="auto"/>
                <w:left w:val="none" w:sz="0" w:space="0" w:color="auto"/>
                <w:bottom w:val="none" w:sz="0" w:space="0" w:color="auto"/>
                <w:right w:val="none" w:sz="0" w:space="0" w:color="auto"/>
              </w:divBdr>
              <w:divsChild>
                <w:div w:id="3753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7775">
      <w:bodyDiv w:val="1"/>
      <w:marLeft w:val="0"/>
      <w:marRight w:val="0"/>
      <w:marTop w:val="0"/>
      <w:marBottom w:val="0"/>
      <w:divBdr>
        <w:top w:val="none" w:sz="0" w:space="0" w:color="auto"/>
        <w:left w:val="none" w:sz="0" w:space="0" w:color="auto"/>
        <w:bottom w:val="none" w:sz="0" w:space="0" w:color="auto"/>
        <w:right w:val="none" w:sz="0" w:space="0" w:color="auto"/>
      </w:divBdr>
    </w:div>
    <w:div w:id="1426340166">
      <w:bodyDiv w:val="1"/>
      <w:marLeft w:val="0"/>
      <w:marRight w:val="0"/>
      <w:marTop w:val="0"/>
      <w:marBottom w:val="0"/>
      <w:divBdr>
        <w:top w:val="none" w:sz="0" w:space="0" w:color="auto"/>
        <w:left w:val="none" w:sz="0" w:space="0" w:color="auto"/>
        <w:bottom w:val="none" w:sz="0" w:space="0" w:color="auto"/>
        <w:right w:val="none" w:sz="0" w:space="0" w:color="auto"/>
      </w:divBdr>
    </w:div>
    <w:div w:id="1465074669">
      <w:bodyDiv w:val="1"/>
      <w:marLeft w:val="0"/>
      <w:marRight w:val="0"/>
      <w:marTop w:val="0"/>
      <w:marBottom w:val="0"/>
      <w:divBdr>
        <w:top w:val="none" w:sz="0" w:space="0" w:color="auto"/>
        <w:left w:val="none" w:sz="0" w:space="0" w:color="auto"/>
        <w:bottom w:val="none" w:sz="0" w:space="0" w:color="auto"/>
        <w:right w:val="none" w:sz="0" w:space="0" w:color="auto"/>
      </w:divBdr>
    </w:div>
    <w:div w:id="1510562795">
      <w:bodyDiv w:val="1"/>
      <w:marLeft w:val="0"/>
      <w:marRight w:val="0"/>
      <w:marTop w:val="0"/>
      <w:marBottom w:val="0"/>
      <w:divBdr>
        <w:top w:val="none" w:sz="0" w:space="0" w:color="auto"/>
        <w:left w:val="none" w:sz="0" w:space="0" w:color="auto"/>
        <w:bottom w:val="none" w:sz="0" w:space="0" w:color="auto"/>
        <w:right w:val="none" w:sz="0" w:space="0" w:color="auto"/>
      </w:divBdr>
      <w:divsChild>
        <w:div w:id="413163662">
          <w:marLeft w:val="0"/>
          <w:marRight w:val="0"/>
          <w:marTop w:val="0"/>
          <w:marBottom w:val="0"/>
          <w:divBdr>
            <w:top w:val="none" w:sz="0" w:space="0" w:color="auto"/>
            <w:left w:val="none" w:sz="0" w:space="0" w:color="auto"/>
            <w:bottom w:val="none" w:sz="0" w:space="0" w:color="auto"/>
            <w:right w:val="none" w:sz="0" w:space="0" w:color="auto"/>
          </w:divBdr>
          <w:divsChild>
            <w:div w:id="23680744">
              <w:marLeft w:val="0"/>
              <w:marRight w:val="0"/>
              <w:marTop w:val="0"/>
              <w:marBottom w:val="0"/>
              <w:divBdr>
                <w:top w:val="none" w:sz="0" w:space="0" w:color="auto"/>
                <w:left w:val="none" w:sz="0" w:space="0" w:color="auto"/>
                <w:bottom w:val="none" w:sz="0" w:space="0" w:color="auto"/>
                <w:right w:val="none" w:sz="0" w:space="0" w:color="auto"/>
              </w:divBdr>
              <w:divsChild>
                <w:div w:id="12689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2208">
      <w:bodyDiv w:val="1"/>
      <w:marLeft w:val="0"/>
      <w:marRight w:val="0"/>
      <w:marTop w:val="0"/>
      <w:marBottom w:val="0"/>
      <w:divBdr>
        <w:top w:val="none" w:sz="0" w:space="0" w:color="auto"/>
        <w:left w:val="none" w:sz="0" w:space="0" w:color="auto"/>
        <w:bottom w:val="none" w:sz="0" w:space="0" w:color="auto"/>
        <w:right w:val="none" w:sz="0" w:space="0" w:color="auto"/>
      </w:divBdr>
    </w:div>
    <w:div w:id="1530953681">
      <w:bodyDiv w:val="1"/>
      <w:marLeft w:val="0"/>
      <w:marRight w:val="0"/>
      <w:marTop w:val="0"/>
      <w:marBottom w:val="0"/>
      <w:divBdr>
        <w:top w:val="none" w:sz="0" w:space="0" w:color="auto"/>
        <w:left w:val="none" w:sz="0" w:space="0" w:color="auto"/>
        <w:bottom w:val="none" w:sz="0" w:space="0" w:color="auto"/>
        <w:right w:val="none" w:sz="0" w:space="0" w:color="auto"/>
      </w:divBdr>
    </w:div>
    <w:div w:id="1539005114">
      <w:bodyDiv w:val="1"/>
      <w:marLeft w:val="0"/>
      <w:marRight w:val="0"/>
      <w:marTop w:val="0"/>
      <w:marBottom w:val="0"/>
      <w:divBdr>
        <w:top w:val="none" w:sz="0" w:space="0" w:color="auto"/>
        <w:left w:val="none" w:sz="0" w:space="0" w:color="auto"/>
        <w:bottom w:val="none" w:sz="0" w:space="0" w:color="auto"/>
        <w:right w:val="none" w:sz="0" w:space="0" w:color="auto"/>
      </w:divBdr>
      <w:divsChild>
        <w:div w:id="1720855662">
          <w:marLeft w:val="0"/>
          <w:marRight w:val="0"/>
          <w:marTop w:val="0"/>
          <w:marBottom w:val="0"/>
          <w:divBdr>
            <w:top w:val="none" w:sz="0" w:space="0" w:color="auto"/>
            <w:left w:val="none" w:sz="0" w:space="0" w:color="auto"/>
            <w:bottom w:val="none" w:sz="0" w:space="0" w:color="auto"/>
            <w:right w:val="none" w:sz="0" w:space="0" w:color="auto"/>
          </w:divBdr>
          <w:divsChild>
            <w:div w:id="1787649677">
              <w:marLeft w:val="0"/>
              <w:marRight w:val="0"/>
              <w:marTop w:val="0"/>
              <w:marBottom w:val="0"/>
              <w:divBdr>
                <w:top w:val="none" w:sz="0" w:space="0" w:color="auto"/>
                <w:left w:val="none" w:sz="0" w:space="0" w:color="auto"/>
                <w:bottom w:val="none" w:sz="0" w:space="0" w:color="auto"/>
                <w:right w:val="none" w:sz="0" w:space="0" w:color="auto"/>
              </w:divBdr>
              <w:divsChild>
                <w:div w:id="1742948430">
                  <w:marLeft w:val="0"/>
                  <w:marRight w:val="0"/>
                  <w:marTop w:val="0"/>
                  <w:marBottom w:val="0"/>
                  <w:divBdr>
                    <w:top w:val="none" w:sz="0" w:space="0" w:color="auto"/>
                    <w:left w:val="none" w:sz="0" w:space="0" w:color="auto"/>
                    <w:bottom w:val="none" w:sz="0" w:space="0" w:color="auto"/>
                    <w:right w:val="none" w:sz="0" w:space="0" w:color="auto"/>
                  </w:divBdr>
                  <w:divsChild>
                    <w:div w:id="1557739326">
                      <w:marLeft w:val="0"/>
                      <w:marRight w:val="0"/>
                      <w:marTop w:val="0"/>
                      <w:marBottom w:val="0"/>
                      <w:divBdr>
                        <w:top w:val="none" w:sz="0" w:space="0" w:color="auto"/>
                        <w:left w:val="none" w:sz="0" w:space="0" w:color="auto"/>
                        <w:bottom w:val="none" w:sz="0" w:space="0" w:color="auto"/>
                        <w:right w:val="none" w:sz="0" w:space="0" w:color="auto"/>
                      </w:divBdr>
                      <w:divsChild>
                        <w:div w:id="153183061">
                          <w:marLeft w:val="0"/>
                          <w:marRight w:val="0"/>
                          <w:marTop w:val="0"/>
                          <w:marBottom w:val="0"/>
                          <w:divBdr>
                            <w:top w:val="none" w:sz="0" w:space="0" w:color="auto"/>
                            <w:left w:val="none" w:sz="0" w:space="0" w:color="auto"/>
                            <w:bottom w:val="none" w:sz="0" w:space="0" w:color="auto"/>
                            <w:right w:val="none" w:sz="0" w:space="0" w:color="auto"/>
                          </w:divBdr>
                          <w:divsChild>
                            <w:div w:id="1918322510">
                              <w:marLeft w:val="0"/>
                              <w:marRight w:val="0"/>
                              <w:marTop w:val="0"/>
                              <w:marBottom w:val="0"/>
                              <w:divBdr>
                                <w:top w:val="none" w:sz="0" w:space="0" w:color="auto"/>
                                <w:left w:val="none" w:sz="0" w:space="0" w:color="auto"/>
                                <w:bottom w:val="none" w:sz="0" w:space="0" w:color="auto"/>
                                <w:right w:val="none" w:sz="0" w:space="0" w:color="auto"/>
                              </w:divBdr>
                              <w:divsChild>
                                <w:div w:id="2035885061">
                                  <w:marLeft w:val="0"/>
                                  <w:marRight w:val="0"/>
                                  <w:marTop w:val="0"/>
                                  <w:marBottom w:val="0"/>
                                  <w:divBdr>
                                    <w:top w:val="none" w:sz="0" w:space="0" w:color="auto"/>
                                    <w:left w:val="none" w:sz="0" w:space="0" w:color="auto"/>
                                    <w:bottom w:val="none" w:sz="0" w:space="0" w:color="auto"/>
                                    <w:right w:val="none" w:sz="0" w:space="0" w:color="auto"/>
                                  </w:divBdr>
                                  <w:divsChild>
                                    <w:div w:id="1314024756">
                                      <w:marLeft w:val="0"/>
                                      <w:marRight w:val="0"/>
                                      <w:marTop w:val="0"/>
                                      <w:marBottom w:val="0"/>
                                      <w:divBdr>
                                        <w:top w:val="none" w:sz="0" w:space="0" w:color="auto"/>
                                        <w:left w:val="none" w:sz="0" w:space="0" w:color="auto"/>
                                        <w:bottom w:val="none" w:sz="0" w:space="0" w:color="auto"/>
                                        <w:right w:val="none" w:sz="0" w:space="0" w:color="auto"/>
                                      </w:divBdr>
                                      <w:divsChild>
                                        <w:div w:id="1476029489">
                                          <w:marLeft w:val="105"/>
                                          <w:marRight w:val="105"/>
                                          <w:marTop w:val="150"/>
                                          <w:marBottom w:val="150"/>
                                          <w:divBdr>
                                            <w:top w:val="none" w:sz="0" w:space="0" w:color="auto"/>
                                            <w:left w:val="none" w:sz="0" w:space="0" w:color="auto"/>
                                            <w:bottom w:val="none" w:sz="0" w:space="0" w:color="auto"/>
                                            <w:right w:val="none" w:sz="0" w:space="0" w:color="auto"/>
                                          </w:divBdr>
                                          <w:divsChild>
                                            <w:div w:id="299726225">
                                              <w:marLeft w:val="0"/>
                                              <w:marRight w:val="0"/>
                                              <w:marTop w:val="0"/>
                                              <w:marBottom w:val="0"/>
                                              <w:divBdr>
                                                <w:top w:val="none" w:sz="0" w:space="0" w:color="auto"/>
                                                <w:left w:val="none" w:sz="0" w:space="0" w:color="auto"/>
                                                <w:bottom w:val="none" w:sz="0" w:space="0" w:color="auto"/>
                                                <w:right w:val="none" w:sz="0" w:space="0" w:color="auto"/>
                                              </w:divBdr>
                                              <w:divsChild>
                                                <w:div w:id="513494066">
                                                  <w:marLeft w:val="0"/>
                                                  <w:marRight w:val="0"/>
                                                  <w:marTop w:val="0"/>
                                                  <w:marBottom w:val="0"/>
                                                  <w:divBdr>
                                                    <w:top w:val="none" w:sz="0" w:space="0" w:color="auto"/>
                                                    <w:left w:val="none" w:sz="0" w:space="0" w:color="auto"/>
                                                    <w:bottom w:val="none" w:sz="0" w:space="0" w:color="auto"/>
                                                    <w:right w:val="none" w:sz="0" w:space="0" w:color="auto"/>
                                                  </w:divBdr>
                                                </w:div>
                                                <w:div w:id="7023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660556">
          <w:marLeft w:val="0"/>
          <w:marRight w:val="0"/>
          <w:marTop w:val="0"/>
          <w:marBottom w:val="0"/>
          <w:divBdr>
            <w:top w:val="none" w:sz="0" w:space="0" w:color="auto"/>
            <w:left w:val="none" w:sz="0" w:space="0" w:color="auto"/>
            <w:bottom w:val="none" w:sz="0" w:space="0" w:color="auto"/>
            <w:right w:val="none" w:sz="0" w:space="0" w:color="auto"/>
          </w:divBdr>
          <w:divsChild>
            <w:div w:id="974213999">
              <w:marLeft w:val="0"/>
              <w:marRight w:val="0"/>
              <w:marTop w:val="0"/>
              <w:marBottom w:val="0"/>
              <w:divBdr>
                <w:top w:val="none" w:sz="0" w:space="0" w:color="auto"/>
                <w:left w:val="none" w:sz="0" w:space="0" w:color="auto"/>
                <w:bottom w:val="none" w:sz="0" w:space="0" w:color="auto"/>
                <w:right w:val="none" w:sz="0" w:space="0" w:color="auto"/>
              </w:divBdr>
              <w:divsChild>
                <w:div w:id="1828595699">
                  <w:marLeft w:val="0"/>
                  <w:marRight w:val="0"/>
                  <w:marTop w:val="0"/>
                  <w:marBottom w:val="0"/>
                  <w:divBdr>
                    <w:top w:val="none" w:sz="0" w:space="0" w:color="auto"/>
                    <w:left w:val="none" w:sz="0" w:space="0" w:color="auto"/>
                    <w:bottom w:val="none" w:sz="0" w:space="0" w:color="auto"/>
                    <w:right w:val="none" w:sz="0" w:space="0" w:color="auto"/>
                  </w:divBdr>
                  <w:divsChild>
                    <w:div w:id="222449912">
                      <w:marLeft w:val="0"/>
                      <w:marRight w:val="0"/>
                      <w:marTop w:val="0"/>
                      <w:marBottom w:val="0"/>
                      <w:divBdr>
                        <w:top w:val="none" w:sz="0" w:space="0" w:color="auto"/>
                        <w:left w:val="none" w:sz="0" w:space="0" w:color="auto"/>
                        <w:bottom w:val="none" w:sz="0" w:space="0" w:color="auto"/>
                        <w:right w:val="none" w:sz="0" w:space="0" w:color="auto"/>
                      </w:divBdr>
                      <w:divsChild>
                        <w:div w:id="3016182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995">
      <w:bodyDiv w:val="1"/>
      <w:marLeft w:val="0"/>
      <w:marRight w:val="0"/>
      <w:marTop w:val="0"/>
      <w:marBottom w:val="0"/>
      <w:divBdr>
        <w:top w:val="none" w:sz="0" w:space="0" w:color="auto"/>
        <w:left w:val="none" w:sz="0" w:space="0" w:color="auto"/>
        <w:bottom w:val="none" w:sz="0" w:space="0" w:color="auto"/>
        <w:right w:val="none" w:sz="0" w:space="0" w:color="auto"/>
      </w:divBdr>
    </w:div>
    <w:div w:id="1563448051">
      <w:bodyDiv w:val="1"/>
      <w:marLeft w:val="0"/>
      <w:marRight w:val="0"/>
      <w:marTop w:val="0"/>
      <w:marBottom w:val="0"/>
      <w:divBdr>
        <w:top w:val="none" w:sz="0" w:space="0" w:color="auto"/>
        <w:left w:val="none" w:sz="0" w:space="0" w:color="auto"/>
        <w:bottom w:val="none" w:sz="0" w:space="0" w:color="auto"/>
        <w:right w:val="none" w:sz="0" w:space="0" w:color="auto"/>
      </w:divBdr>
    </w:div>
    <w:div w:id="1588734371">
      <w:bodyDiv w:val="1"/>
      <w:marLeft w:val="0"/>
      <w:marRight w:val="0"/>
      <w:marTop w:val="0"/>
      <w:marBottom w:val="0"/>
      <w:divBdr>
        <w:top w:val="none" w:sz="0" w:space="0" w:color="auto"/>
        <w:left w:val="none" w:sz="0" w:space="0" w:color="auto"/>
        <w:bottom w:val="none" w:sz="0" w:space="0" w:color="auto"/>
        <w:right w:val="none" w:sz="0" w:space="0" w:color="auto"/>
      </w:divBdr>
      <w:divsChild>
        <w:div w:id="1606232529">
          <w:marLeft w:val="0"/>
          <w:marRight w:val="0"/>
          <w:marTop w:val="0"/>
          <w:marBottom w:val="0"/>
          <w:divBdr>
            <w:top w:val="none" w:sz="0" w:space="0" w:color="auto"/>
            <w:left w:val="none" w:sz="0" w:space="0" w:color="auto"/>
            <w:bottom w:val="none" w:sz="0" w:space="0" w:color="auto"/>
            <w:right w:val="none" w:sz="0" w:space="0" w:color="auto"/>
          </w:divBdr>
          <w:divsChild>
            <w:div w:id="1400447571">
              <w:marLeft w:val="0"/>
              <w:marRight w:val="0"/>
              <w:marTop w:val="0"/>
              <w:marBottom w:val="0"/>
              <w:divBdr>
                <w:top w:val="none" w:sz="0" w:space="0" w:color="auto"/>
                <w:left w:val="none" w:sz="0" w:space="0" w:color="auto"/>
                <w:bottom w:val="none" w:sz="0" w:space="0" w:color="auto"/>
                <w:right w:val="none" w:sz="0" w:space="0" w:color="auto"/>
              </w:divBdr>
              <w:divsChild>
                <w:div w:id="1801725784">
                  <w:marLeft w:val="0"/>
                  <w:marRight w:val="0"/>
                  <w:marTop w:val="0"/>
                  <w:marBottom w:val="0"/>
                  <w:divBdr>
                    <w:top w:val="none" w:sz="0" w:space="0" w:color="auto"/>
                    <w:left w:val="none" w:sz="0" w:space="0" w:color="auto"/>
                    <w:bottom w:val="none" w:sz="0" w:space="0" w:color="auto"/>
                    <w:right w:val="none" w:sz="0" w:space="0" w:color="auto"/>
                  </w:divBdr>
                </w:div>
                <w:div w:id="1572351919">
                  <w:marLeft w:val="0"/>
                  <w:marRight w:val="0"/>
                  <w:marTop w:val="0"/>
                  <w:marBottom w:val="0"/>
                  <w:divBdr>
                    <w:top w:val="none" w:sz="0" w:space="0" w:color="auto"/>
                    <w:left w:val="none" w:sz="0" w:space="0" w:color="auto"/>
                    <w:bottom w:val="none" w:sz="0" w:space="0" w:color="auto"/>
                    <w:right w:val="none" w:sz="0" w:space="0" w:color="auto"/>
                  </w:divBdr>
                </w:div>
              </w:divsChild>
            </w:div>
            <w:div w:id="1245727148">
              <w:marLeft w:val="0"/>
              <w:marRight w:val="0"/>
              <w:marTop w:val="0"/>
              <w:marBottom w:val="0"/>
              <w:divBdr>
                <w:top w:val="none" w:sz="0" w:space="0" w:color="auto"/>
                <w:left w:val="none" w:sz="0" w:space="0" w:color="auto"/>
                <w:bottom w:val="none" w:sz="0" w:space="0" w:color="auto"/>
                <w:right w:val="none" w:sz="0" w:space="0" w:color="auto"/>
              </w:divBdr>
              <w:divsChild>
                <w:div w:id="1677922723">
                  <w:marLeft w:val="0"/>
                  <w:marRight w:val="0"/>
                  <w:marTop w:val="0"/>
                  <w:marBottom w:val="0"/>
                  <w:divBdr>
                    <w:top w:val="none" w:sz="0" w:space="0" w:color="auto"/>
                    <w:left w:val="none" w:sz="0" w:space="0" w:color="auto"/>
                    <w:bottom w:val="none" w:sz="0" w:space="0" w:color="auto"/>
                    <w:right w:val="none" w:sz="0" w:space="0" w:color="auto"/>
                  </w:divBdr>
                </w:div>
                <w:div w:id="510485900">
                  <w:marLeft w:val="0"/>
                  <w:marRight w:val="0"/>
                  <w:marTop w:val="0"/>
                  <w:marBottom w:val="0"/>
                  <w:divBdr>
                    <w:top w:val="none" w:sz="0" w:space="0" w:color="auto"/>
                    <w:left w:val="none" w:sz="0" w:space="0" w:color="auto"/>
                    <w:bottom w:val="none" w:sz="0" w:space="0" w:color="auto"/>
                    <w:right w:val="none" w:sz="0" w:space="0" w:color="auto"/>
                  </w:divBdr>
                </w:div>
              </w:divsChild>
            </w:div>
            <w:div w:id="203489929">
              <w:marLeft w:val="0"/>
              <w:marRight w:val="0"/>
              <w:marTop w:val="0"/>
              <w:marBottom w:val="0"/>
              <w:divBdr>
                <w:top w:val="none" w:sz="0" w:space="0" w:color="auto"/>
                <w:left w:val="none" w:sz="0" w:space="0" w:color="auto"/>
                <w:bottom w:val="none" w:sz="0" w:space="0" w:color="auto"/>
                <w:right w:val="none" w:sz="0" w:space="0" w:color="auto"/>
              </w:divBdr>
              <w:divsChild>
                <w:div w:id="2032754722">
                  <w:marLeft w:val="0"/>
                  <w:marRight w:val="0"/>
                  <w:marTop w:val="0"/>
                  <w:marBottom w:val="0"/>
                  <w:divBdr>
                    <w:top w:val="none" w:sz="0" w:space="0" w:color="auto"/>
                    <w:left w:val="none" w:sz="0" w:space="0" w:color="auto"/>
                    <w:bottom w:val="none" w:sz="0" w:space="0" w:color="auto"/>
                    <w:right w:val="none" w:sz="0" w:space="0" w:color="auto"/>
                  </w:divBdr>
                </w:div>
                <w:div w:id="244535168">
                  <w:marLeft w:val="0"/>
                  <w:marRight w:val="0"/>
                  <w:marTop w:val="0"/>
                  <w:marBottom w:val="0"/>
                  <w:divBdr>
                    <w:top w:val="none" w:sz="0" w:space="0" w:color="auto"/>
                    <w:left w:val="none" w:sz="0" w:space="0" w:color="auto"/>
                    <w:bottom w:val="none" w:sz="0" w:space="0" w:color="auto"/>
                    <w:right w:val="none" w:sz="0" w:space="0" w:color="auto"/>
                  </w:divBdr>
                </w:div>
              </w:divsChild>
            </w:div>
            <w:div w:id="735904449">
              <w:marLeft w:val="0"/>
              <w:marRight w:val="0"/>
              <w:marTop w:val="0"/>
              <w:marBottom w:val="0"/>
              <w:divBdr>
                <w:top w:val="none" w:sz="0" w:space="0" w:color="auto"/>
                <w:left w:val="none" w:sz="0" w:space="0" w:color="auto"/>
                <w:bottom w:val="none" w:sz="0" w:space="0" w:color="auto"/>
                <w:right w:val="none" w:sz="0" w:space="0" w:color="auto"/>
              </w:divBdr>
              <w:divsChild>
                <w:div w:id="1201013244">
                  <w:marLeft w:val="0"/>
                  <w:marRight w:val="0"/>
                  <w:marTop w:val="0"/>
                  <w:marBottom w:val="0"/>
                  <w:divBdr>
                    <w:top w:val="none" w:sz="0" w:space="0" w:color="auto"/>
                    <w:left w:val="none" w:sz="0" w:space="0" w:color="auto"/>
                    <w:bottom w:val="none" w:sz="0" w:space="0" w:color="auto"/>
                    <w:right w:val="none" w:sz="0" w:space="0" w:color="auto"/>
                  </w:divBdr>
                </w:div>
                <w:div w:id="754592318">
                  <w:marLeft w:val="0"/>
                  <w:marRight w:val="0"/>
                  <w:marTop w:val="0"/>
                  <w:marBottom w:val="0"/>
                  <w:divBdr>
                    <w:top w:val="none" w:sz="0" w:space="0" w:color="auto"/>
                    <w:left w:val="none" w:sz="0" w:space="0" w:color="auto"/>
                    <w:bottom w:val="none" w:sz="0" w:space="0" w:color="auto"/>
                    <w:right w:val="none" w:sz="0" w:space="0" w:color="auto"/>
                  </w:divBdr>
                </w:div>
              </w:divsChild>
            </w:div>
            <w:div w:id="2053071464">
              <w:marLeft w:val="0"/>
              <w:marRight w:val="0"/>
              <w:marTop w:val="0"/>
              <w:marBottom w:val="0"/>
              <w:divBdr>
                <w:top w:val="none" w:sz="0" w:space="0" w:color="auto"/>
                <w:left w:val="none" w:sz="0" w:space="0" w:color="auto"/>
                <w:bottom w:val="none" w:sz="0" w:space="0" w:color="auto"/>
                <w:right w:val="none" w:sz="0" w:space="0" w:color="auto"/>
              </w:divBdr>
              <w:divsChild>
                <w:div w:id="650252868">
                  <w:marLeft w:val="0"/>
                  <w:marRight w:val="0"/>
                  <w:marTop w:val="0"/>
                  <w:marBottom w:val="0"/>
                  <w:divBdr>
                    <w:top w:val="none" w:sz="0" w:space="0" w:color="auto"/>
                    <w:left w:val="none" w:sz="0" w:space="0" w:color="auto"/>
                    <w:bottom w:val="none" w:sz="0" w:space="0" w:color="auto"/>
                    <w:right w:val="none" w:sz="0" w:space="0" w:color="auto"/>
                  </w:divBdr>
                </w:div>
                <w:div w:id="1321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0078">
          <w:marLeft w:val="0"/>
          <w:marRight w:val="0"/>
          <w:marTop w:val="0"/>
          <w:marBottom w:val="0"/>
          <w:divBdr>
            <w:top w:val="none" w:sz="0" w:space="0" w:color="auto"/>
            <w:left w:val="none" w:sz="0" w:space="0" w:color="auto"/>
            <w:bottom w:val="none" w:sz="0" w:space="0" w:color="auto"/>
            <w:right w:val="none" w:sz="0" w:space="0" w:color="auto"/>
          </w:divBdr>
        </w:div>
        <w:div w:id="1091778865">
          <w:marLeft w:val="0"/>
          <w:marRight w:val="0"/>
          <w:marTop w:val="0"/>
          <w:marBottom w:val="0"/>
          <w:divBdr>
            <w:top w:val="none" w:sz="0" w:space="0" w:color="auto"/>
            <w:left w:val="none" w:sz="0" w:space="0" w:color="auto"/>
            <w:bottom w:val="none" w:sz="0" w:space="0" w:color="auto"/>
            <w:right w:val="none" w:sz="0" w:space="0" w:color="auto"/>
          </w:divBdr>
        </w:div>
        <w:div w:id="774327982">
          <w:marLeft w:val="0"/>
          <w:marRight w:val="0"/>
          <w:marTop w:val="0"/>
          <w:marBottom w:val="0"/>
          <w:divBdr>
            <w:top w:val="none" w:sz="0" w:space="0" w:color="auto"/>
            <w:left w:val="none" w:sz="0" w:space="0" w:color="auto"/>
            <w:bottom w:val="none" w:sz="0" w:space="0" w:color="auto"/>
            <w:right w:val="none" w:sz="0" w:space="0" w:color="auto"/>
          </w:divBdr>
        </w:div>
        <w:div w:id="166099873">
          <w:marLeft w:val="0"/>
          <w:marRight w:val="0"/>
          <w:marTop w:val="0"/>
          <w:marBottom w:val="0"/>
          <w:divBdr>
            <w:top w:val="none" w:sz="0" w:space="0" w:color="auto"/>
            <w:left w:val="none" w:sz="0" w:space="0" w:color="auto"/>
            <w:bottom w:val="none" w:sz="0" w:space="0" w:color="auto"/>
            <w:right w:val="none" w:sz="0" w:space="0" w:color="auto"/>
          </w:divBdr>
        </w:div>
        <w:div w:id="2032489263">
          <w:marLeft w:val="0"/>
          <w:marRight w:val="0"/>
          <w:marTop w:val="0"/>
          <w:marBottom w:val="0"/>
          <w:divBdr>
            <w:top w:val="none" w:sz="0" w:space="0" w:color="auto"/>
            <w:left w:val="none" w:sz="0" w:space="0" w:color="auto"/>
            <w:bottom w:val="none" w:sz="0" w:space="0" w:color="auto"/>
            <w:right w:val="none" w:sz="0" w:space="0" w:color="auto"/>
          </w:divBdr>
        </w:div>
        <w:div w:id="1526282577">
          <w:marLeft w:val="0"/>
          <w:marRight w:val="0"/>
          <w:marTop w:val="0"/>
          <w:marBottom w:val="0"/>
          <w:divBdr>
            <w:top w:val="none" w:sz="0" w:space="0" w:color="auto"/>
            <w:left w:val="none" w:sz="0" w:space="0" w:color="auto"/>
            <w:bottom w:val="none" w:sz="0" w:space="0" w:color="auto"/>
            <w:right w:val="none" w:sz="0" w:space="0" w:color="auto"/>
          </w:divBdr>
        </w:div>
      </w:divsChild>
    </w:div>
    <w:div w:id="1609121722">
      <w:bodyDiv w:val="1"/>
      <w:marLeft w:val="0"/>
      <w:marRight w:val="0"/>
      <w:marTop w:val="0"/>
      <w:marBottom w:val="0"/>
      <w:divBdr>
        <w:top w:val="none" w:sz="0" w:space="0" w:color="auto"/>
        <w:left w:val="none" w:sz="0" w:space="0" w:color="auto"/>
        <w:bottom w:val="none" w:sz="0" w:space="0" w:color="auto"/>
        <w:right w:val="none" w:sz="0" w:space="0" w:color="auto"/>
      </w:divBdr>
    </w:div>
    <w:div w:id="1610309929">
      <w:bodyDiv w:val="1"/>
      <w:marLeft w:val="0"/>
      <w:marRight w:val="0"/>
      <w:marTop w:val="0"/>
      <w:marBottom w:val="0"/>
      <w:divBdr>
        <w:top w:val="none" w:sz="0" w:space="0" w:color="auto"/>
        <w:left w:val="none" w:sz="0" w:space="0" w:color="auto"/>
        <w:bottom w:val="none" w:sz="0" w:space="0" w:color="auto"/>
        <w:right w:val="none" w:sz="0" w:space="0" w:color="auto"/>
      </w:divBdr>
    </w:div>
    <w:div w:id="1611860144">
      <w:bodyDiv w:val="1"/>
      <w:marLeft w:val="0"/>
      <w:marRight w:val="0"/>
      <w:marTop w:val="0"/>
      <w:marBottom w:val="0"/>
      <w:divBdr>
        <w:top w:val="none" w:sz="0" w:space="0" w:color="auto"/>
        <w:left w:val="none" w:sz="0" w:space="0" w:color="auto"/>
        <w:bottom w:val="none" w:sz="0" w:space="0" w:color="auto"/>
        <w:right w:val="none" w:sz="0" w:space="0" w:color="auto"/>
      </w:divBdr>
    </w:div>
    <w:div w:id="1631938357">
      <w:bodyDiv w:val="1"/>
      <w:marLeft w:val="0"/>
      <w:marRight w:val="0"/>
      <w:marTop w:val="0"/>
      <w:marBottom w:val="0"/>
      <w:divBdr>
        <w:top w:val="none" w:sz="0" w:space="0" w:color="auto"/>
        <w:left w:val="none" w:sz="0" w:space="0" w:color="auto"/>
        <w:bottom w:val="none" w:sz="0" w:space="0" w:color="auto"/>
        <w:right w:val="none" w:sz="0" w:space="0" w:color="auto"/>
      </w:divBdr>
    </w:div>
    <w:div w:id="1640840682">
      <w:bodyDiv w:val="1"/>
      <w:marLeft w:val="0"/>
      <w:marRight w:val="0"/>
      <w:marTop w:val="0"/>
      <w:marBottom w:val="0"/>
      <w:divBdr>
        <w:top w:val="none" w:sz="0" w:space="0" w:color="auto"/>
        <w:left w:val="none" w:sz="0" w:space="0" w:color="auto"/>
        <w:bottom w:val="none" w:sz="0" w:space="0" w:color="auto"/>
        <w:right w:val="none" w:sz="0" w:space="0" w:color="auto"/>
      </w:divBdr>
    </w:div>
    <w:div w:id="1643003300">
      <w:bodyDiv w:val="1"/>
      <w:marLeft w:val="0"/>
      <w:marRight w:val="0"/>
      <w:marTop w:val="0"/>
      <w:marBottom w:val="0"/>
      <w:divBdr>
        <w:top w:val="none" w:sz="0" w:space="0" w:color="auto"/>
        <w:left w:val="none" w:sz="0" w:space="0" w:color="auto"/>
        <w:bottom w:val="none" w:sz="0" w:space="0" w:color="auto"/>
        <w:right w:val="none" w:sz="0" w:space="0" w:color="auto"/>
      </w:divBdr>
    </w:div>
    <w:div w:id="1651901551">
      <w:bodyDiv w:val="1"/>
      <w:marLeft w:val="0"/>
      <w:marRight w:val="0"/>
      <w:marTop w:val="0"/>
      <w:marBottom w:val="0"/>
      <w:divBdr>
        <w:top w:val="none" w:sz="0" w:space="0" w:color="auto"/>
        <w:left w:val="none" w:sz="0" w:space="0" w:color="auto"/>
        <w:bottom w:val="none" w:sz="0" w:space="0" w:color="auto"/>
        <w:right w:val="none" w:sz="0" w:space="0" w:color="auto"/>
      </w:divBdr>
    </w:div>
    <w:div w:id="1655840836">
      <w:bodyDiv w:val="1"/>
      <w:marLeft w:val="0"/>
      <w:marRight w:val="0"/>
      <w:marTop w:val="0"/>
      <w:marBottom w:val="0"/>
      <w:divBdr>
        <w:top w:val="none" w:sz="0" w:space="0" w:color="auto"/>
        <w:left w:val="none" w:sz="0" w:space="0" w:color="auto"/>
        <w:bottom w:val="none" w:sz="0" w:space="0" w:color="auto"/>
        <w:right w:val="none" w:sz="0" w:space="0" w:color="auto"/>
      </w:divBdr>
    </w:div>
    <w:div w:id="1691178999">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78914640">
      <w:bodyDiv w:val="1"/>
      <w:marLeft w:val="0"/>
      <w:marRight w:val="0"/>
      <w:marTop w:val="0"/>
      <w:marBottom w:val="0"/>
      <w:divBdr>
        <w:top w:val="none" w:sz="0" w:space="0" w:color="auto"/>
        <w:left w:val="none" w:sz="0" w:space="0" w:color="auto"/>
        <w:bottom w:val="none" w:sz="0" w:space="0" w:color="auto"/>
        <w:right w:val="none" w:sz="0" w:space="0" w:color="auto"/>
      </w:divBdr>
    </w:div>
    <w:div w:id="1785466978">
      <w:bodyDiv w:val="1"/>
      <w:marLeft w:val="0"/>
      <w:marRight w:val="0"/>
      <w:marTop w:val="0"/>
      <w:marBottom w:val="0"/>
      <w:divBdr>
        <w:top w:val="none" w:sz="0" w:space="0" w:color="auto"/>
        <w:left w:val="none" w:sz="0" w:space="0" w:color="auto"/>
        <w:bottom w:val="none" w:sz="0" w:space="0" w:color="auto"/>
        <w:right w:val="none" w:sz="0" w:space="0" w:color="auto"/>
      </w:divBdr>
    </w:div>
    <w:div w:id="1803696810">
      <w:bodyDiv w:val="1"/>
      <w:marLeft w:val="0"/>
      <w:marRight w:val="0"/>
      <w:marTop w:val="0"/>
      <w:marBottom w:val="0"/>
      <w:divBdr>
        <w:top w:val="none" w:sz="0" w:space="0" w:color="auto"/>
        <w:left w:val="none" w:sz="0" w:space="0" w:color="auto"/>
        <w:bottom w:val="none" w:sz="0" w:space="0" w:color="auto"/>
        <w:right w:val="none" w:sz="0" w:space="0" w:color="auto"/>
      </w:divBdr>
    </w:div>
    <w:div w:id="1812020546">
      <w:bodyDiv w:val="1"/>
      <w:marLeft w:val="0"/>
      <w:marRight w:val="0"/>
      <w:marTop w:val="0"/>
      <w:marBottom w:val="0"/>
      <w:divBdr>
        <w:top w:val="none" w:sz="0" w:space="0" w:color="auto"/>
        <w:left w:val="none" w:sz="0" w:space="0" w:color="auto"/>
        <w:bottom w:val="none" w:sz="0" w:space="0" w:color="auto"/>
        <w:right w:val="none" w:sz="0" w:space="0" w:color="auto"/>
      </w:divBdr>
    </w:div>
    <w:div w:id="1813908047">
      <w:bodyDiv w:val="1"/>
      <w:marLeft w:val="0"/>
      <w:marRight w:val="0"/>
      <w:marTop w:val="0"/>
      <w:marBottom w:val="0"/>
      <w:divBdr>
        <w:top w:val="none" w:sz="0" w:space="0" w:color="auto"/>
        <w:left w:val="none" w:sz="0" w:space="0" w:color="auto"/>
        <w:bottom w:val="none" w:sz="0" w:space="0" w:color="auto"/>
        <w:right w:val="none" w:sz="0" w:space="0" w:color="auto"/>
      </w:divBdr>
      <w:divsChild>
        <w:div w:id="125978288">
          <w:marLeft w:val="0"/>
          <w:marRight w:val="0"/>
          <w:marTop w:val="0"/>
          <w:marBottom w:val="0"/>
          <w:divBdr>
            <w:top w:val="none" w:sz="0" w:space="0" w:color="auto"/>
            <w:left w:val="none" w:sz="0" w:space="0" w:color="auto"/>
            <w:bottom w:val="none" w:sz="0" w:space="0" w:color="auto"/>
            <w:right w:val="none" w:sz="0" w:space="0" w:color="auto"/>
          </w:divBdr>
          <w:divsChild>
            <w:div w:id="704527861">
              <w:marLeft w:val="0"/>
              <w:marRight w:val="0"/>
              <w:marTop w:val="0"/>
              <w:marBottom w:val="0"/>
              <w:divBdr>
                <w:top w:val="none" w:sz="0" w:space="0" w:color="auto"/>
                <w:left w:val="none" w:sz="0" w:space="0" w:color="auto"/>
                <w:bottom w:val="none" w:sz="0" w:space="0" w:color="auto"/>
                <w:right w:val="none" w:sz="0" w:space="0" w:color="auto"/>
              </w:divBdr>
              <w:divsChild>
                <w:div w:id="151652230">
                  <w:marLeft w:val="0"/>
                  <w:marRight w:val="0"/>
                  <w:marTop w:val="0"/>
                  <w:marBottom w:val="0"/>
                  <w:divBdr>
                    <w:top w:val="none" w:sz="0" w:space="0" w:color="auto"/>
                    <w:left w:val="none" w:sz="0" w:space="0" w:color="auto"/>
                    <w:bottom w:val="none" w:sz="0" w:space="0" w:color="auto"/>
                    <w:right w:val="none" w:sz="0" w:space="0" w:color="auto"/>
                  </w:divBdr>
                  <w:divsChild>
                    <w:div w:id="16138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3374">
      <w:bodyDiv w:val="1"/>
      <w:marLeft w:val="0"/>
      <w:marRight w:val="0"/>
      <w:marTop w:val="0"/>
      <w:marBottom w:val="0"/>
      <w:divBdr>
        <w:top w:val="none" w:sz="0" w:space="0" w:color="auto"/>
        <w:left w:val="none" w:sz="0" w:space="0" w:color="auto"/>
        <w:bottom w:val="none" w:sz="0" w:space="0" w:color="auto"/>
        <w:right w:val="none" w:sz="0" w:space="0" w:color="auto"/>
      </w:divBdr>
    </w:div>
    <w:div w:id="1889301324">
      <w:bodyDiv w:val="1"/>
      <w:marLeft w:val="0"/>
      <w:marRight w:val="0"/>
      <w:marTop w:val="0"/>
      <w:marBottom w:val="0"/>
      <w:divBdr>
        <w:top w:val="none" w:sz="0" w:space="0" w:color="auto"/>
        <w:left w:val="none" w:sz="0" w:space="0" w:color="auto"/>
        <w:bottom w:val="none" w:sz="0" w:space="0" w:color="auto"/>
        <w:right w:val="none" w:sz="0" w:space="0" w:color="auto"/>
      </w:divBdr>
    </w:div>
    <w:div w:id="1898011200">
      <w:bodyDiv w:val="1"/>
      <w:marLeft w:val="0"/>
      <w:marRight w:val="0"/>
      <w:marTop w:val="0"/>
      <w:marBottom w:val="0"/>
      <w:divBdr>
        <w:top w:val="none" w:sz="0" w:space="0" w:color="auto"/>
        <w:left w:val="none" w:sz="0" w:space="0" w:color="auto"/>
        <w:bottom w:val="none" w:sz="0" w:space="0" w:color="auto"/>
        <w:right w:val="none" w:sz="0" w:space="0" w:color="auto"/>
      </w:divBdr>
    </w:div>
    <w:div w:id="1903641255">
      <w:bodyDiv w:val="1"/>
      <w:marLeft w:val="0"/>
      <w:marRight w:val="0"/>
      <w:marTop w:val="0"/>
      <w:marBottom w:val="0"/>
      <w:divBdr>
        <w:top w:val="none" w:sz="0" w:space="0" w:color="auto"/>
        <w:left w:val="none" w:sz="0" w:space="0" w:color="auto"/>
        <w:bottom w:val="none" w:sz="0" w:space="0" w:color="auto"/>
        <w:right w:val="none" w:sz="0" w:space="0" w:color="auto"/>
      </w:divBdr>
    </w:div>
    <w:div w:id="1913586159">
      <w:bodyDiv w:val="1"/>
      <w:marLeft w:val="0"/>
      <w:marRight w:val="0"/>
      <w:marTop w:val="0"/>
      <w:marBottom w:val="0"/>
      <w:divBdr>
        <w:top w:val="none" w:sz="0" w:space="0" w:color="auto"/>
        <w:left w:val="none" w:sz="0" w:space="0" w:color="auto"/>
        <w:bottom w:val="none" w:sz="0" w:space="0" w:color="auto"/>
        <w:right w:val="none" w:sz="0" w:space="0" w:color="auto"/>
      </w:divBdr>
    </w:div>
    <w:div w:id="1926912649">
      <w:bodyDiv w:val="1"/>
      <w:marLeft w:val="0"/>
      <w:marRight w:val="0"/>
      <w:marTop w:val="0"/>
      <w:marBottom w:val="0"/>
      <w:divBdr>
        <w:top w:val="none" w:sz="0" w:space="0" w:color="auto"/>
        <w:left w:val="none" w:sz="0" w:space="0" w:color="auto"/>
        <w:bottom w:val="none" w:sz="0" w:space="0" w:color="auto"/>
        <w:right w:val="none" w:sz="0" w:space="0" w:color="auto"/>
      </w:divBdr>
    </w:div>
    <w:div w:id="1930656702">
      <w:bodyDiv w:val="1"/>
      <w:marLeft w:val="0"/>
      <w:marRight w:val="0"/>
      <w:marTop w:val="0"/>
      <w:marBottom w:val="0"/>
      <w:divBdr>
        <w:top w:val="none" w:sz="0" w:space="0" w:color="auto"/>
        <w:left w:val="none" w:sz="0" w:space="0" w:color="auto"/>
        <w:bottom w:val="none" w:sz="0" w:space="0" w:color="auto"/>
        <w:right w:val="none" w:sz="0" w:space="0" w:color="auto"/>
      </w:divBdr>
    </w:div>
    <w:div w:id="1931814053">
      <w:bodyDiv w:val="1"/>
      <w:marLeft w:val="0"/>
      <w:marRight w:val="0"/>
      <w:marTop w:val="0"/>
      <w:marBottom w:val="0"/>
      <w:divBdr>
        <w:top w:val="none" w:sz="0" w:space="0" w:color="auto"/>
        <w:left w:val="none" w:sz="0" w:space="0" w:color="auto"/>
        <w:bottom w:val="none" w:sz="0" w:space="0" w:color="auto"/>
        <w:right w:val="none" w:sz="0" w:space="0" w:color="auto"/>
      </w:divBdr>
    </w:div>
    <w:div w:id="1932085763">
      <w:bodyDiv w:val="1"/>
      <w:marLeft w:val="0"/>
      <w:marRight w:val="0"/>
      <w:marTop w:val="0"/>
      <w:marBottom w:val="0"/>
      <w:divBdr>
        <w:top w:val="none" w:sz="0" w:space="0" w:color="auto"/>
        <w:left w:val="none" w:sz="0" w:space="0" w:color="auto"/>
        <w:bottom w:val="none" w:sz="0" w:space="0" w:color="auto"/>
        <w:right w:val="none" w:sz="0" w:space="0" w:color="auto"/>
      </w:divBdr>
    </w:div>
    <w:div w:id="1958677936">
      <w:bodyDiv w:val="1"/>
      <w:marLeft w:val="0"/>
      <w:marRight w:val="0"/>
      <w:marTop w:val="0"/>
      <w:marBottom w:val="0"/>
      <w:divBdr>
        <w:top w:val="none" w:sz="0" w:space="0" w:color="auto"/>
        <w:left w:val="none" w:sz="0" w:space="0" w:color="auto"/>
        <w:bottom w:val="none" w:sz="0" w:space="0" w:color="auto"/>
        <w:right w:val="none" w:sz="0" w:space="0" w:color="auto"/>
      </w:divBdr>
    </w:div>
    <w:div w:id="1968731914">
      <w:bodyDiv w:val="1"/>
      <w:marLeft w:val="0"/>
      <w:marRight w:val="0"/>
      <w:marTop w:val="0"/>
      <w:marBottom w:val="0"/>
      <w:divBdr>
        <w:top w:val="none" w:sz="0" w:space="0" w:color="auto"/>
        <w:left w:val="none" w:sz="0" w:space="0" w:color="auto"/>
        <w:bottom w:val="none" w:sz="0" w:space="0" w:color="auto"/>
        <w:right w:val="none" w:sz="0" w:space="0" w:color="auto"/>
      </w:divBdr>
    </w:div>
    <w:div w:id="1971396202">
      <w:bodyDiv w:val="1"/>
      <w:marLeft w:val="0"/>
      <w:marRight w:val="0"/>
      <w:marTop w:val="0"/>
      <w:marBottom w:val="0"/>
      <w:divBdr>
        <w:top w:val="none" w:sz="0" w:space="0" w:color="auto"/>
        <w:left w:val="none" w:sz="0" w:space="0" w:color="auto"/>
        <w:bottom w:val="none" w:sz="0" w:space="0" w:color="auto"/>
        <w:right w:val="none" w:sz="0" w:space="0" w:color="auto"/>
      </w:divBdr>
    </w:div>
    <w:div w:id="1989556117">
      <w:bodyDiv w:val="1"/>
      <w:marLeft w:val="0"/>
      <w:marRight w:val="0"/>
      <w:marTop w:val="0"/>
      <w:marBottom w:val="0"/>
      <w:divBdr>
        <w:top w:val="none" w:sz="0" w:space="0" w:color="auto"/>
        <w:left w:val="none" w:sz="0" w:space="0" w:color="auto"/>
        <w:bottom w:val="none" w:sz="0" w:space="0" w:color="auto"/>
        <w:right w:val="none" w:sz="0" w:space="0" w:color="auto"/>
      </w:divBdr>
    </w:div>
    <w:div w:id="2008241192">
      <w:bodyDiv w:val="1"/>
      <w:marLeft w:val="0"/>
      <w:marRight w:val="0"/>
      <w:marTop w:val="0"/>
      <w:marBottom w:val="0"/>
      <w:divBdr>
        <w:top w:val="none" w:sz="0" w:space="0" w:color="auto"/>
        <w:left w:val="none" w:sz="0" w:space="0" w:color="auto"/>
        <w:bottom w:val="none" w:sz="0" w:space="0" w:color="auto"/>
        <w:right w:val="none" w:sz="0" w:space="0" w:color="auto"/>
      </w:divBdr>
    </w:div>
    <w:div w:id="2026208112">
      <w:bodyDiv w:val="1"/>
      <w:marLeft w:val="0"/>
      <w:marRight w:val="0"/>
      <w:marTop w:val="0"/>
      <w:marBottom w:val="0"/>
      <w:divBdr>
        <w:top w:val="none" w:sz="0" w:space="0" w:color="auto"/>
        <w:left w:val="none" w:sz="0" w:space="0" w:color="auto"/>
        <w:bottom w:val="none" w:sz="0" w:space="0" w:color="auto"/>
        <w:right w:val="none" w:sz="0" w:space="0" w:color="auto"/>
      </w:divBdr>
      <w:divsChild>
        <w:div w:id="1803883512">
          <w:marLeft w:val="0"/>
          <w:marRight w:val="0"/>
          <w:marTop w:val="0"/>
          <w:marBottom w:val="0"/>
          <w:divBdr>
            <w:top w:val="none" w:sz="0" w:space="0" w:color="auto"/>
            <w:left w:val="none" w:sz="0" w:space="0" w:color="auto"/>
            <w:bottom w:val="none" w:sz="0" w:space="0" w:color="auto"/>
            <w:right w:val="none" w:sz="0" w:space="0" w:color="auto"/>
          </w:divBdr>
        </w:div>
        <w:div w:id="511068565">
          <w:marLeft w:val="0"/>
          <w:marRight w:val="0"/>
          <w:marTop w:val="0"/>
          <w:marBottom w:val="0"/>
          <w:divBdr>
            <w:top w:val="none" w:sz="0" w:space="0" w:color="auto"/>
            <w:left w:val="none" w:sz="0" w:space="0" w:color="auto"/>
            <w:bottom w:val="none" w:sz="0" w:space="0" w:color="auto"/>
            <w:right w:val="none" w:sz="0" w:space="0" w:color="auto"/>
          </w:divBdr>
        </w:div>
      </w:divsChild>
    </w:div>
    <w:div w:id="2054572690">
      <w:bodyDiv w:val="1"/>
      <w:marLeft w:val="0"/>
      <w:marRight w:val="0"/>
      <w:marTop w:val="0"/>
      <w:marBottom w:val="0"/>
      <w:divBdr>
        <w:top w:val="none" w:sz="0" w:space="0" w:color="auto"/>
        <w:left w:val="none" w:sz="0" w:space="0" w:color="auto"/>
        <w:bottom w:val="none" w:sz="0" w:space="0" w:color="auto"/>
        <w:right w:val="none" w:sz="0" w:space="0" w:color="auto"/>
      </w:divBdr>
    </w:div>
    <w:div w:id="2056462688">
      <w:bodyDiv w:val="1"/>
      <w:marLeft w:val="0"/>
      <w:marRight w:val="0"/>
      <w:marTop w:val="0"/>
      <w:marBottom w:val="0"/>
      <w:divBdr>
        <w:top w:val="none" w:sz="0" w:space="0" w:color="auto"/>
        <w:left w:val="none" w:sz="0" w:space="0" w:color="auto"/>
        <w:bottom w:val="none" w:sz="0" w:space="0" w:color="auto"/>
        <w:right w:val="none" w:sz="0" w:space="0" w:color="auto"/>
      </w:divBdr>
    </w:div>
    <w:div w:id="2064870423">
      <w:bodyDiv w:val="1"/>
      <w:marLeft w:val="0"/>
      <w:marRight w:val="0"/>
      <w:marTop w:val="0"/>
      <w:marBottom w:val="0"/>
      <w:divBdr>
        <w:top w:val="none" w:sz="0" w:space="0" w:color="auto"/>
        <w:left w:val="none" w:sz="0" w:space="0" w:color="auto"/>
        <w:bottom w:val="none" w:sz="0" w:space="0" w:color="auto"/>
        <w:right w:val="none" w:sz="0" w:space="0" w:color="auto"/>
      </w:divBdr>
    </w:div>
    <w:div w:id="2067072153">
      <w:bodyDiv w:val="1"/>
      <w:marLeft w:val="0"/>
      <w:marRight w:val="0"/>
      <w:marTop w:val="0"/>
      <w:marBottom w:val="0"/>
      <w:divBdr>
        <w:top w:val="none" w:sz="0" w:space="0" w:color="auto"/>
        <w:left w:val="none" w:sz="0" w:space="0" w:color="auto"/>
        <w:bottom w:val="none" w:sz="0" w:space="0" w:color="auto"/>
        <w:right w:val="none" w:sz="0" w:space="0" w:color="auto"/>
      </w:divBdr>
    </w:div>
    <w:div w:id="2067561138">
      <w:bodyDiv w:val="1"/>
      <w:marLeft w:val="0"/>
      <w:marRight w:val="0"/>
      <w:marTop w:val="0"/>
      <w:marBottom w:val="0"/>
      <w:divBdr>
        <w:top w:val="none" w:sz="0" w:space="0" w:color="auto"/>
        <w:left w:val="none" w:sz="0" w:space="0" w:color="auto"/>
        <w:bottom w:val="none" w:sz="0" w:space="0" w:color="auto"/>
        <w:right w:val="none" w:sz="0" w:space="0" w:color="auto"/>
      </w:divBdr>
    </w:div>
    <w:div w:id="2080977419">
      <w:bodyDiv w:val="1"/>
      <w:marLeft w:val="0"/>
      <w:marRight w:val="0"/>
      <w:marTop w:val="0"/>
      <w:marBottom w:val="0"/>
      <w:divBdr>
        <w:top w:val="none" w:sz="0" w:space="0" w:color="auto"/>
        <w:left w:val="none" w:sz="0" w:space="0" w:color="auto"/>
        <w:bottom w:val="none" w:sz="0" w:space="0" w:color="auto"/>
        <w:right w:val="none" w:sz="0" w:space="0" w:color="auto"/>
      </w:divBdr>
    </w:div>
    <w:div w:id="2087803459">
      <w:bodyDiv w:val="1"/>
      <w:marLeft w:val="0"/>
      <w:marRight w:val="0"/>
      <w:marTop w:val="0"/>
      <w:marBottom w:val="0"/>
      <w:divBdr>
        <w:top w:val="none" w:sz="0" w:space="0" w:color="auto"/>
        <w:left w:val="none" w:sz="0" w:space="0" w:color="auto"/>
        <w:bottom w:val="none" w:sz="0" w:space="0" w:color="auto"/>
        <w:right w:val="none" w:sz="0" w:space="0" w:color="auto"/>
      </w:divBdr>
    </w:div>
    <w:div w:id="2087994880">
      <w:bodyDiv w:val="1"/>
      <w:marLeft w:val="0"/>
      <w:marRight w:val="0"/>
      <w:marTop w:val="0"/>
      <w:marBottom w:val="0"/>
      <w:divBdr>
        <w:top w:val="none" w:sz="0" w:space="0" w:color="auto"/>
        <w:left w:val="none" w:sz="0" w:space="0" w:color="auto"/>
        <w:bottom w:val="none" w:sz="0" w:space="0" w:color="auto"/>
        <w:right w:val="none" w:sz="0" w:space="0" w:color="auto"/>
      </w:divBdr>
    </w:div>
    <w:div w:id="2092583307">
      <w:bodyDiv w:val="1"/>
      <w:marLeft w:val="0"/>
      <w:marRight w:val="0"/>
      <w:marTop w:val="0"/>
      <w:marBottom w:val="0"/>
      <w:divBdr>
        <w:top w:val="none" w:sz="0" w:space="0" w:color="auto"/>
        <w:left w:val="none" w:sz="0" w:space="0" w:color="auto"/>
        <w:bottom w:val="none" w:sz="0" w:space="0" w:color="auto"/>
        <w:right w:val="none" w:sz="0" w:space="0" w:color="auto"/>
      </w:divBdr>
    </w:div>
    <w:div w:id="2102070326">
      <w:bodyDiv w:val="1"/>
      <w:marLeft w:val="0"/>
      <w:marRight w:val="0"/>
      <w:marTop w:val="0"/>
      <w:marBottom w:val="0"/>
      <w:divBdr>
        <w:top w:val="none" w:sz="0" w:space="0" w:color="auto"/>
        <w:left w:val="none" w:sz="0" w:space="0" w:color="auto"/>
        <w:bottom w:val="none" w:sz="0" w:space="0" w:color="auto"/>
        <w:right w:val="none" w:sz="0" w:space="0" w:color="auto"/>
      </w:divBdr>
    </w:div>
    <w:div w:id="212607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lakpet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1B7A7F-651A-4093-A7DE-3B2C14B9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77456</Words>
  <Characters>441504</Characters>
  <Application>Microsoft Office Word</Application>
  <DocSecurity>0</DocSecurity>
  <Lines>3679</Lines>
  <Paragraphs>1035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Reinglas</dc:creator>
  <cp:keywords/>
  <dc:description/>
  <cp:lastModifiedBy>Na Ma</cp:lastModifiedBy>
  <cp:revision>3</cp:revision>
  <dcterms:created xsi:type="dcterms:W3CDTF">2018-06-25T16:53:00Z</dcterms:created>
  <dcterms:modified xsi:type="dcterms:W3CDTF">2018-06-25T16:53:00Z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id="THQfjSqm"/&gt;&lt;style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