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F483F" w14:textId="77777777" w:rsidR="00DD58B0" w:rsidRPr="000B5B76" w:rsidRDefault="00DD58B0" w:rsidP="00943737">
      <w:pPr>
        <w:pStyle w:val="1"/>
        <w:adjustRightInd w:val="0"/>
        <w:snapToGrid w:val="0"/>
        <w:spacing w:line="360" w:lineRule="auto"/>
        <w:jc w:val="both"/>
        <w:outlineLvl w:val="0"/>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r w:rsidRPr="000B5B76">
        <w:rPr>
          <w:rFonts w:ascii="Book Antiqua" w:hAnsi="Book Antiqua" w:cs="Times New Roman"/>
          <w:b/>
          <w:color w:val="000000" w:themeColor="text1"/>
          <w:sz w:val="24"/>
          <w:szCs w:val="24"/>
          <w:highlight w:val="white"/>
          <w:lang w:val="en-US" w:eastAsia="zh-CN"/>
        </w:rPr>
        <w:t xml:space="preserve">Name of </w:t>
      </w:r>
      <w:r w:rsidRPr="000B5B76">
        <w:rPr>
          <w:rFonts w:ascii="Book Antiqua" w:hAnsi="Book Antiqua" w:cs="Times New Roman"/>
          <w:b/>
          <w:caps/>
          <w:color w:val="000000" w:themeColor="text1"/>
          <w:sz w:val="24"/>
          <w:szCs w:val="24"/>
          <w:highlight w:val="white"/>
          <w:lang w:val="en-US" w:eastAsia="zh-CN"/>
        </w:rPr>
        <w:t>j</w:t>
      </w:r>
      <w:r w:rsidRPr="000B5B76">
        <w:rPr>
          <w:rFonts w:ascii="Book Antiqua" w:hAnsi="Book Antiqua" w:cs="Times New Roman"/>
          <w:b/>
          <w:color w:val="000000" w:themeColor="text1"/>
          <w:sz w:val="24"/>
          <w:szCs w:val="24"/>
          <w:highlight w:val="white"/>
          <w:lang w:val="en-US" w:eastAsia="zh-CN"/>
        </w:rPr>
        <w:t xml:space="preserve">ournal: </w:t>
      </w:r>
      <w:bookmarkStart w:id="21" w:name="OLE_LINK718"/>
      <w:bookmarkStart w:id="22" w:name="OLE_LINK719"/>
      <w:r w:rsidRPr="000B5B76">
        <w:rPr>
          <w:rFonts w:ascii="Book Antiqua" w:hAnsi="Book Antiqua" w:cs="Times New Roman"/>
          <w:b/>
          <w:i/>
          <w:color w:val="000000" w:themeColor="text1"/>
          <w:sz w:val="24"/>
          <w:szCs w:val="24"/>
          <w:highlight w:val="white"/>
          <w:lang w:val="en-US" w:eastAsia="zh-CN"/>
        </w:rPr>
        <w:t>World Journal of Gastroenterology</w:t>
      </w:r>
      <w:bookmarkEnd w:id="21"/>
      <w:bookmarkEnd w:id="22"/>
    </w:p>
    <w:p w14:paraId="5E536E4E" w14:textId="3254CE1F" w:rsidR="00DD58B0" w:rsidRPr="000B5B76" w:rsidRDefault="00DD58B0" w:rsidP="00943737">
      <w:pPr>
        <w:pStyle w:val="1"/>
        <w:adjustRightInd w:val="0"/>
        <w:snapToGrid w:val="0"/>
        <w:spacing w:line="360" w:lineRule="auto"/>
        <w:jc w:val="both"/>
        <w:outlineLvl w:val="0"/>
        <w:rPr>
          <w:rFonts w:ascii="Book Antiqua" w:hAnsi="Book Antiqua" w:cs="Times New Roman"/>
          <w:b/>
          <w:i/>
          <w:color w:val="000000" w:themeColor="text1"/>
          <w:sz w:val="24"/>
          <w:szCs w:val="24"/>
          <w:highlight w:val="white"/>
          <w:lang w:val="en-US" w:eastAsia="zh-CN"/>
        </w:rPr>
      </w:pPr>
      <w:bookmarkStart w:id="23" w:name="OLE_LINK485"/>
      <w:bookmarkStart w:id="24" w:name="OLE_LINK486"/>
      <w:bookmarkStart w:id="25" w:name="OLE_LINK661"/>
      <w:bookmarkStart w:id="26" w:name="OLE_LINK768"/>
      <w:bookmarkStart w:id="27" w:name="OLE_LINK514"/>
      <w:bookmarkStart w:id="28" w:name="OLE_LINK515"/>
      <w:r w:rsidRPr="000B5B76">
        <w:rPr>
          <w:rFonts w:ascii="Book Antiqua" w:hAnsi="Book Antiqua" w:cs="Times New Roman"/>
          <w:b/>
          <w:color w:val="000000" w:themeColor="text1"/>
          <w:sz w:val="24"/>
          <w:szCs w:val="24"/>
          <w:highlight w:val="white"/>
          <w:lang w:eastAsia="zh-CN"/>
        </w:rPr>
        <w:t>Manuscript NO:</w:t>
      </w:r>
      <w:bookmarkEnd w:id="23"/>
      <w:bookmarkEnd w:id="24"/>
      <w:bookmarkEnd w:id="25"/>
      <w:bookmarkEnd w:id="26"/>
      <w:r w:rsidRPr="000B5B76">
        <w:rPr>
          <w:rFonts w:ascii="Book Antiqua" w:hAnsi="Book Antiqua" w:cs="Times New Roman"/>
          <w:b/>
          <w:color w:val="000000" w:themeColor="text1"/>
          <w:sz w:val="24"/>
          <w:szCs w:val="24"/>
          <w:highlight w:val="white"/>
          <w:lang w:eastAsia="zh-CN"/>
        </w:rPr>
        <w:t xml:space="preserve"> </w:t>
      </w:r>
      <w:r w:rsidR="00923D9B" w:rsidRPr="000B5B76">
        <w:rPr>
          <w:rFonts w:ascii="Book Antiqua" w:hAnsi="Book Antiqua" w:cs="Times New Roman"/>
          <w:b/>
          <w:color w:val="000000" w:themeColor="text1"/>
          <w:sz w:val="24"/>
          <w:szCs w:val="24"/>
          <w:highlight w:val="white"/>
          <w:lang w:eastAsia="zh-CN"/>
        </w:rPr>
        <w:t>41221</w:t>
      </w:r>
    </w:p>
    <w:p w14:paraId="41BB82DF" w14:textId="301B4E1D" w:rsidR="00DD58B0" w:rsidRPr="000B5B76" w:rsidRDefault="00DD58B0" w:rsidP="00943737">
      <w:pPr>
        <w:adjustRightInd w:val="0"/>
        <w:snapToGrid w:val="0"/>
        <w:spacing w:line="360" w:lineRule="auto"/>
        <w:outlineLvl w:val="0"/>
        <w:rPr>
          <w:rFonts w:ascii="Book Antiqua" w:hAnsi="Book Antiqua"/>
          <w:b/>
          <w:color w:val="000000" w:themeColor="text1"/>
          <w:lang w:val="it-IT"/>
        </w:rPr>
      </w:pPr>
      <w:bookmarkStart w:id="29" w:name="OLE_LINK511"/>
      <w:bookmarkStart w:id="30" w:name="OLE_LINK512"/>
      <w:bookmarkEnd w:id="27"/>
      <w:bookmarkEnd w:id="28"/>
      <w:r w:rsidRPr="000B5B76">
        <w:rPr>
          <w:rFonts w:ascii="Book Antiqua" w:hAnsi="Book Antiqua"/>
          <w:b/>
          <w:color w:val="000000" w:themeColor="text1"/>
          <w:highlight w:val="white"/>
          <w:lang w:val="it-IT"/>
        </w:rPr>
        <w:t xml:space="preserve">Manuscript </w:t>
      </w:r>
      <w:r w:rsidRPr="000B5B76">
        <w:rPr>
          <w:rFonts w:ascii="Book Antiqua" w:hAnsi="Book Antiqua"/>
          <w:b/>
          <w:caps/>
          <w:color w:val="000000" w:themeColor="text1"/>
          <w:highlight w:val="white"/>
        </w:rPr>
        <w:t>t</w:t>
      </w:r>
      <w:r w:rsidRPr="000B5B76">
        <w:rPr>
          <w:rFonts w:ascii="Book Antiqua" w:hAnsi="Book Antiqua"/>
          <w:b/>
          <w:color w:val="000000" w:themeColor="text1"/>
          <w:highlight w:val="white"/>
          <w:lang w:val="it-IT"/>
        </w:rPr>
        <w:t>ype</w:t>
      </w:r>
      <w:r w:rsidRPr="000B5B76">
        <w:rPr>
          <w:rFonts w:ascii="Book Antiqua" w:hAnsi="Book Antiqua"/>
          <w:b/>
          <w:color w:val="000000" w:themeColor="text1"/>
          <w:lang w:val="it-IT"/>
        </w:rPr>
        <w:t>:</w:t>
      </w:r>
      <w:bookmarkEnd w:id="0"/>
      <w:bookmarkEnd w:id="1"/>
      <w:bookmarkEnd w:id="2"/>
      <w:bookmarkEnd w:id="3"/>
      <w:bookmarkEnd w:id="4"/>
      <w:bookmarkEnd w:id="5"/>
      <w:bookmarkEnd w:id="6"/>
      <w:bookmarkEnd w:id="7"/>
      <w:bookmarkEnd w:id="8"/>
      <w:bookmarkEnd w:id="9"/>
      <w:bookmarkEnd w:id="10"/>
      <w:bookmarkEnd w:id="11"/>
      <w:r w:rsidRPr="000B5B76">
        <w:rPr>
          <w:rFonts w:ascii="Book Antiqua" w:hAnsi="Book Antiqua"/>
          <w:b/>
          <w:color w:val="000000" w:themeColor="text1"/>
          <w:lang w:val="it-IT"/>
        </w:rPr>
        <w:t xml:space="preserve"> </w:t>
      </w:r>
      <w:r w:rsidR="000B5B76" w:rsidRPr="00747870">
        <w:rPr>
          <w:rFonts w:ascii="Book Antiqua" w:hAnsi="Book Antiqua"/>
          <w:b/>
          <w:color w:val="000000"/>
          <w:lang w:val="it-IT"/>
        </w:rPr>
        <w:t>ORIGINAL ARTICLE</w:t>
      </w:r>
    </w:p>
    <w:bookmarkEnd w:id="12"/>
    <w:bookmarkEnd w:id="13"/>
    <w:bookmarkEnd w:id="14"/>
    <w:bookmarkEnd w:id="15"/>
    <w:bookmarkEnd w:id="16"/>
    <w:bookmarkEnd w:id="17"/>
    <w:bookmarkEnd w:id="18"/>
    <w:bookmarkEnd w:id="19"/>
    <w:bookmarkEnd w:id="20"/>
    <w:bookmarkEnd w:id="29"/>
    <w:bookmarkEnd w:id="30"/>
    <w:p w14:paraId="51988B5D" w14:textId="77777777" w:rsidR="00DD58B0" w:rsidRPr="00EE30DE" w:rsidRDefault="00DD58B0" w:rsidP="000B5B76">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02017AF6" w14:textId="6802B9C1" w:rsidR="00DD58B0" w:rsidRPr="000B5B76" w:rsidRDefault="000B5B76" w:rsidP="00943737">
      <w:pPr>
        <w:adjustRightInd w:val="0"/>
        <w:snapToGrid w:val="0"/>
        <w:spacing w:line="360" w:lineRule="auto"/>
        <w:outlineLvl w:val="0"/>
        <w:rPr>
          <w:rFonts w:ascii="Book Antiqua" w:hAnsi="Book Antiqua" w:cs="Book Antiqua"/>
          <w:b/>
          <w:bCs/>
          <w:i/>
          <w:color w:val="000000" w:themeColor="text1"/>
          <w:kern w:val="0"/>
        </w:rPr>
      </w:pPr>
      <w:r w:rsidRPr="000B5B76">
        <w:rPr>
          <w:rFonts w:ascii="Book Antiqua" w:hAnsi="Book Antiqua"/>
          <w:b/>
          <w:i/>
          <w:color w:val="000000" w:themeColor="text1"/>
          <w:lang w:val="it-IT"/>
        </w:rPr>
        <w:t>Basic Study</w:t>
      </w:r>
    </w:p>
    <w:p w14:paraId="5FAA2AF1" w14:textId="0117B956" w:rsidR="00792100" w:rsidRPr="00EE30DE" w:rsidRDefault="002037ED" w:rsidP="000B5B76">
      <w:pPr>
        <w:adjustRightInd w:val="0"/>
        <w:snapToGrid w:val="0"/>
        <w:spacing w:line="360" w:lineRule="auto"/>
        <w:rPr>
          <w:rFonts w:ascii="Book Antiqua" w:hAnsi="Book Antiqua" w:cs="Book Antiqua"/>
          <w:b/>
          <w:bCs/>
          <w:color w:val="000000" w:themeColor="text1"/>
          <w:kern w:val="0"/>
        </w:rPr>
      </w:pPr>
      <w:proofErr w:type="spellStart"/>
      <w:r w:rsidRPr="00EE30DE">
        <w:rPr>
          <w:rFonts w:ascii="Book Antiqua" w:hAnsi="Book Antiqua" w:cs="Book Antiqua"/>
          <w:b/>
          <w:bCs/>
          <w:color w:val="000000" w:themeColor="text1"/>
          <w:kern w:val="0"/>
        </w:rPr>
        <w:t>Yiguanjian</w:t>
      </w:r>
      <w:proofErr w:type="spellEnd"/>
      <w:r w:rsidRPr="00EE30DE">
        <w:rPr>
          <w:rFonts w:ascii="Book Antiqua" w:hAnsi="Book Antiqua" w:cs="Book Antiqua"/>
          <w:b/>
          <w:bCs/>
          <w:color w:val="000000" w:themeColor="text1"/>
          <w:kern w:val="0"/>
        </w:rPr>
        <w:t xml:space="preserve"> decoction enhances fetal liver stem/progenitor cell-mediated repair of liver cirrhosis through regulation of macrophage activation state</w:t>
      </w:r>
    </w:p>
    <w:p w14:paraId="41B7B484" w14:textId="77777777" w:rsidR="003221B1" w:rsidRPr="00EE30DE" w:rsidRDefault="003221B1" w:rsidP="000B5B76">
      <w:pPr>
        <w:pStyle w:val="Default"/>
        <w:snapToGrid w:val="0"/>
        <w:spacing w:line="360" w:lineRule="auto"/>
        <w:jc w:val="both"/>
        <w:rPr>
          <w:color w:val="000000" w:themeColor="text1"/>
        </w:rPr>
      </w:pPr>
    </w:p>
    <w:p w14:paraId="7DB857B7" w14:textId="69CBA0F7" w:rsidR="00DD58B0" w:rsidRPr="000B5B76" w:rsidRDefault="000B5B76" w:rsidP="00943737">
      <w:pPr>
        <w:pStyle w:val="1"/>
        <w:adjustRightInd w:val="0"/>
        <w:snapToGrid w:val="0"/>
        <w:spacing w:line="360" w:lineRule="auto"/>
        <w:jc w:val="both"/>
        <w:outlineLvl w:val="0"/>
        <w:rPr>
          <w:rFonts w:ascii="Book Antiqua" w:hAnsi="Book Antiqua" w:cs="Times New Roman"/>
          <w:color w:val="000000" w:themeColor="text1"/>
          <w:sz w:val="24"/>
          <w:szCs w:val="24"/>
          <w:highlight w:val="white"/>
          <w:lang w:val="en-US" w:eastAsia="zh-CN"/>
        </w:rPr>
      </w:pPr>
      <w:bookmarkStart w:id="31" w:name="OLE_LINK217"/>
      <w:r w:rsidRPr="000B5B76">
        <w:rPr>
          <w:rFonts w:ascii="Book Antiqua" w:hAnsi="Book Antiqua" w:cs="Book Antiqua"/>
          <w:bCs/>
          <w:color w:val="000000" w:themeColor="text1"/>
          <w:sz w:val="24"/>
          <w:szCs w:val="24"/>
        </w:rPr>
        <w:t xml:space="preserve">Xu Y </w:t>
      </w:r>
      <w:r w:rsidRPr="000B5B76">
        <w:rPr>
          <w:rFonts w:ascii="Book Antiqua" w:hAnsi="Book Antiqua" w:cs="Book Antiqua"/>
          <w:bCs/>
          <w:i/>
          <w:color w:val="000000" w:themeColor="text1"/>
          <w:sz w:val="24"/>
          <w:szCs w:val="24"/>
        </w:rPr>
        <w:t>et al</w:t>
      </w:r>
      <w:r w:rsidRPr="000B5B76">
        <w:rPr>
          <w:rFonts w:ascii="Book Antiqua" w:hAnsi="Book Antiqua" w:cs="Book Antiqua"/>
          <w:bCs/>
          <w:color w:val="000000" w:themeColor="text1"/>
          <w:sz w:val="24"/>
          <w:szCs w:val="24"/>
        </w:rPr>
        <w:t>. YGJ</w:t>
      </w:r>
      <w:r w:rsidR="00923D9B" w:rsidRPr="000B5B76">
        <w:rPr>
          <w:rFonts w:ascii="Book Antiqua" w:hAnsi="Book Antiqua" w:cs="Book Antiqua"/>
          <w:bCs/>
          <w:color w:val="000000" w:themeColor="text1"/>
          <w:sz w:val="24"/>
          <w:szCs w:val="24"/>
        </w:rPr>
        <w:t xml:space="preserve"> regulates macrophage activation state</w:t>
      </w:r>
    </w:p>
    <w:bookmarkEnd w:id="31"/>
    <w:p w14:paraId="64274D45" w14:textId="77777777" w:rsidR="00DD58B0" w:rsidRPr="00EE30DE" w:rsidRDefault="00DD58B0" w:rsidP="000B5B76">
      <w:pPr>
        <w:pStyle w:val="p2"/>
        <w:adjustRightInd w:val="0"/>
        <w:snapToGrid w:val="0"/>
        <w:spacing w:line="360" w:lineRule="auto"/>
        <w:jc w:val="both"/>
        <w:rPr>
          <w:rFonts w:cs="Book Antiqua"/>
          <w:bCs/>
          <w:color w:val="000000" w:themeColor="text1"/>
          <w:sz w:val="24"/>
          <w:szCs w:val="24"/>
        </w:rPr>
      </w:pPr>
    </w:p>
    <w:p w14:paraId="3F950724" w14:textId="2CDACD82" w:rsidR="002037ED" w:rsidRPr="00EE30DE" w:rsidRDefault="002037ED" w:rsidP="000B5B76">
      <w:pPr>
        <w:adjustRightInd w:val="0"/>
        <w:snapToGrid w:val="0"/>
        <w:spacing w:line="360" w:lineRule="auto"/>
        <w:rPr>
          <w:rFonts w:ascii="Book Antiqua" w:hAnsi="Book Antiqua"/>
          <w:color w:val="000000" w:themeColor="text1"/>
          <w:lang w:val="pl-PL"/>
        </w:rPr>
      </w:pPr>
      <w:r w:rsidRPr="00EE30DE">
        <w:rPr>
          <w:rFonts w:ascii="Book Antiqua" w:hAnsi="Book Antiqua"/>
          <w:color w:val="000000" w:themeColor="text1"/>
          <w:lang w:val="pl-PL"/>
        </w:rPr>
        <w:t>Ying Xu, Wei</w:t>
      </w:r>
      <w:r w:rsidR="00DD58B0" w:rsidRPr="00EE30DE">
        <w:rPr>
          <w:rFonts w:ascii="Book Antiqua" w:hAnsi="Book Antiqua"/>
          <w:color w:val="000000" w:themeColor="text1"/>
          <w:lang w:val="pl-PL"/>
        </w:rPr>
        <w:t>-W</w:t>
      </w:r>
      <w:r w:rsidRPr="00EE30DE">
        <w:rPr>
          <w:rFonts w:ascii="Book Antiqua" w:hAnsi="Book Antiqua"/>
          <w:color w:val="000000" w:themeColor="text1"/>
          <w:lang w:val="pl-PL"/>
        </w:rPr>
        <w:t>ei Fan, Wen Xu, Shi</w:t>
      </w:r>
      <w:r w:rsidR="00923D9B" w:rsidRPr="00EE30DE">
        <w:rPr>
          <w:rFonts w:ascii="Book Antiqua" w:hAnsi="Book Antiqua"/>
          <w:color w:val="000000" w:themeColor="text1"/>
          <w:lang w:val="pl-PL"/>
        </w:rPr>
        <w:t>-L</w:t>
      </w:r>
      <w:r w:rsidRPr="00EE30DE">
        <w:rPr>
          <w:rFonts w:ascii="Book Antiqua" w:hAnsi="Book Antiqua"/>
          <w:color w:val="000000" w:themeColor="text1"/>
          <w:lang w:val="pl-PL"/>
        </w:rPr>
        <w:t>i Jiang, Gao</w:t>
      </w:r>
      <w:r w:rsidR="00923D9B" w:rsidRPr="00EE30DE">
        <w:rPr>
          <w:rFonts w:ascii="Book Antiqua" w:hAnsi="Book Antiqua"/>
          <w:color w:val="000000" w:themeColor="text1"/>
          <w:lang w:val="pl-PL"/>
        </w:rPr>
        <w:t>-F</w:t>
      </w:r>
      <w:r w:rsidRPr="00EE30DE">
        <w:rPr>
          <w:rFonts w:ascii="Book Antiqua" w:hAnsi="Book Antiqua"/>
          <w:color w:val="000000" w:themeColor="text1"/>
          <w:lang w:val="pl-PL"/>
        </w:rPr>
        <w:t>eng Chen, Cheng Liu, Jia</w:t>
      </w:r>
      <w:r w:rsidR="00923D9B" w:rsidRPr="00EE30DE">
        <w:rPr>
          <w:rFonts w:ascii="Book Antiqua" w:hAnsi="Book Antiqua"/>
          <w:color w:val="000000" w:themeColor="text1"/>
          <w:lang w:val="pl-PL"/>
        </w:rPr>
        <w:t>-M</w:t>
      </w:r>
      <w:r w:rsidRPr="00EE30DE">
        <w:rPr>
          <w:rFonts w:ascii="Book Antiqua" w:hAnsi="Book Antiqua"/>
          <w:color w:val="000000" w:themeColor="text1"/>
          <w:lang w:val="pl-PL"/>
        </w:rPr>
        <w:t>ei Chen, Hua Zhang, Ping Liu, Yong</w:t>
      </w:r>
      <w:r w:rsidR="00923D9B" w:rsidRPr="00EE30DE">
        <w:rPr>
          <w:rFonts w:ascii="Book Antiqua" w:hAnsi="Book Antiqua"/>
          <w:color w:val="000000" w:themeColor="text1"/>
          <w:lang w:val="pl-PL"/>
        </w:rPr>
        <w:t>-P</w:t>
      </w:r>
      <w:r w:rsidRPr="00EE30DE">
        <w:rPr>
          <w:rFonts w:ascii="Book Antiqua" w:hAnsi="Book Antiqua"/>
          <w:color w:val="000000" w:themeColor="text1"/>
          <w:lang w:val="pl-PL"/>
        </w:rPr>
        <w:t>ing Mu</w:t>
      </w:r>
    </w:p>
    <w:p w14:paraId="533FCC17" w14:textId="77777777" w:rsidR="002037ED" w:rsidRPr="00EE30DE" w:rsidRDefault="002037ED" w:rsidP="000B5B76">
      <w:pPr>
        <w:adjustRightInd w:val="0"/>
        <w:snapToGrid w:val="0"/>
        <w:spacing w:line="360" w:lineRule="auto"/>
        <w:rPr>
          <w:rFonts w:ascii="Book Antiqua" w:hAnsi="Book Antiqua"/>
          <w:color w:val="000000" w:themeColor="text1"/>
          <w:lang w:val="pl-PL"/>
        </w:rPr>
      </w:pPr>
    </w:p>
    <w:p w14:paraId="3CBE1A41" w14:textId="5D65F1B6" w:rsidR="002037ED" w:rsidRDefault="00923D9B" w:rsidP="000B5B76">
      <w:pPr>
        <w:adjustRightInd w:val="0"/>
        <w:snapToGrid w:val="0"/>
        <w:spacing w:line="360" w:lineRule="auto"/>
        <w:rPr>
          <w:rFonts w:ascii="Book Antiqua" w:hAnsi="Book Antiqua"/>
          <w:color w:val="000000" w:themeColor="text1"/>
          <w:lang w:val="pl-PL"/>
        </w:rPr>
      </w:pPr>
      <w:r w:rsidRPr="003C53A6">
        <w:rPr>
          <w:rFonts w:ascii="Book Antiqua" w:hAnsi="Book Antiqua"/>
          <w:b/>
          <w:color w:val="000000" w:themeColor="text1"/>
          <w:lang w:val="pl-PL"/>
        </w:rPr>
        <w:t>Y</w:t>
      </w:r>
      <w:proofErr w:type="spellStart"/>
      <w:r w:rsidRPr="003C53A6">
        <w:rPr>
          <w:rFonts w:ascii="Book Antiqua" w:hAnsi="Book Antiqua" w:cs="Book Antiqua"/>
          <w:b/>
          <w:bCs/>
          <w:color w:val="000000" w:themeColor="text1"/>
          <w:kern w:val="0"/>
        </w:rPr>
        <w:t>ing</w:t>
      </w:r>
      <w:proofErr w:type="spellEnd"/>
      <w:r w:rsidRPr="003C53A6">
        <w:rPr>
          <w:rFonts w:ascii="Book Antiqua" w:hAnsi="Book Antiqua" w:cs="Book Antiqua"/>
          <w:b/>
          <w:bCs/>
          <w:color w:val="000000" w:themeColor="text1"/>
          <w:kern w:val="0"/>
        </w:rPr>
        <w:t xml:space="preserve"> Xu, Wei-Wei Fan, Wen Xu, Shi-Li Jiang, Gao-Feng Chen, Cheng Liu, Jia-Mei Chen, Hua Zhang, Ping Liu, Yong-Ping Mu</w:t>
      </w:r>
      <w:r w:rsidR="003221B1" w:rsidRPr="003C53A6">
        <w:rPr>
          <w:rFonts w:ascii="Book Antiqua" w:hAnsi="Book Antiqua" w:cs="Book Antiqua"/>
          <w:b/>
          <w:bCs/>
          <w:color w:val="000000" w:themeColor="text1"/>
          <w:kern w:val="0"/>
        </w:rPr>
        <w:t>,</w:t>
      </w:r>
      <w:r w:rsidR="003221B1" w:rsidRPr="00EE30DE">
        <w:rPr>
          <w:rFonts w:ascii="Book Antiqua" w:hAnsi="Book Antiqua" w:cs="Book Antiqua"/>
          <w:bCs/>
          <w:color w:val="000000" w:themeColor="text1"/>
          <w:kern w:val="0"/>
        </w:rPr>
        <w:t xml:space="preserve"> </w:t>
      </w:r>
      <w:r w:rsidR="00B97450">
        <w:rPr>
          <w:rFonts w:ascii="Book Antiqua" w:hAnsi="Book Antiqua" w:cs="Book Antiqua"/>
          <w:bCs/>
          <w:color w:val="000000" w:themeColor="text1"/>
          <w:kern w:val="0"/>
        </w:rPr>
        <w:t>Department of G</w:t>
      </w:r>
      <w:r w:rsidR="00B97450" w:rsidRPr="00B97450">
        <w:rPr>
          <w:rFonts w:ascii="Book Antiqua" w:hAnsi="Book Antiqua" w:cs="Book Antiqua"/>
          <w:bCs/>
          <w:color w:val="000000" w:themeColor="text1"/>
          <w:kern w:val="0"/>
        </w:rPr>
        <w:t xml:space="preserve">astroenterology and Hepatology, </w:t>
      </w:r>
      <w:proofErr w:type="spellStart"/>
      <w:r w:rsidR="002037ED" w:rsidRPr="00B97450">
        <w:rPr>
          <w:rFonts w:ascii="Book Antiqua" w:hAnsi="Book Antiqua" w:cs="Book Antiqua"/>
          <w:bCs/>
          <w:color w:val="000000" w:themeColor="text1"/>
          <w:kern w:val="0"/>
        </w:rPr>
        <w:t>Shuguang</w:t>
      </w:r>
      <w:proofErr w:type="spellEnd"/>
      <w:r w:rsidR="002037ED" w:rsidRPr="00B97450">
        <w:rPr>
          <w:rFonts w:ascii="Book Antiqua" w:hAnsi="Book Antiqua" w:cs="Book Antiqua"/>
          <w:bCs/>
          <w:color w:val="000000" w:themeColor="text1"/>
          <w:kern w:val="0"/>
        </w:rPr>
        <w:t xml:space="preserve"> Hospital affiliated to Shanghai</w:t>
      </w:r>
      <w:r w:rsidR="002037ED" w:rsidRPr="00B97450">
        <w:rPr>
          <w:rFonts w:ascii="Book Antiqua" w:hAnsi="Book Antiqua"/>
          <w:color w:val="000000" w:themeColor="text1"/>
          <w:lang w:val="pl-PL"/>
        </w:rPr>
        <w:t xml:space="preserve"> University of Traditional Chinese Medicine</w:t>
      </w:r>
      <w:r w:rsidR="003221B1" w:rsidRPr="00B97450">
        <w:rPr>
          <w:rFonts w:ascii="Book Antiqua" w:hAnsi="Book Antiqua"/>
          <w:color w:val="000000" w:themeColor="text1"/>
          <w:lang w:val="pl-PL"/>
        </w:rPr>
        <w:t xml:space="preserve">, </w:t>
      </w:r>
      <w:r w:rsidRPr="00B97450">
        <w:rPr>
          <w:rFonts w:ascii="Book Antiqua" w:hAnsi="Book Antiqua"/>
          <w:color w:val="000000" w:themeColor="text1"/>
          <w:lang w:val="pl-PL"/>
        </w:rPr>
        <w:t>Shanghai 201203, China</w:t>
      </w:r>
    </w:p>
    <w:p w14:paraId="2F592B15" w14:textId="77777777" w:rsidR="00B97450" w:rsidRDefault="00B97450" w:rsidP="000B5B76">
      <w:pPr>
        <w:adjustRightInd w:val="0"/>
        <w:snapToGrid w:val="0"/>
        <w:spacing w:line="360" w:lineRule="auto"/>
        <w:rPr>
          <w:rFonts w:ascii="Book Antiqua" w:hAnsi="Book Antiqua"/>
          <w:color w:val="000000" w:themeColor="text1"/>
          <w:lang w:val="pl-PL"/>
        </w:rPr>
      </w:pPr>
    </w:p>
    <w:p w14:paraId="0AD6982D" w14:textId="1A07CF0A" w:rsidR="00B97450" w:rsidRDefault="00B97450" w:rsidP="000B5B76">
      <w:pPr>
        <w:adjustRightInd w:val="0"/>
        <w:snapToGrid w:val="0"/>
        <w:spacing w:line="360" w:lineRule="auto"/>
        <w:rPr>
          <w:rFonts w:ascii="Book Antiqua" w:hAnsi="Book Antiqua"/>
          <w:color w:val="000000" w:themeColor="text1"/>
          <w:lang w:val="pl-PL"/>
        </w:rPr>
      </w:pPr>
      <w:r w:rsidRPr="003C53A6">
        <w:rPr>
          <w:rFonts w:ascii="Book Antiqua" w:hAnsi="Book Antiqua"/>
          <w:b/>
          <w:color w:val="000000" w:themeColor="text1"/>
          <w:lang w:val="pl-PL"/>
        </w:rPr>
        <w:t>Y</w:t>
      </w:r>
      <w:proofErr w:type="spellStart"/>
      <w:r w:rsidRPr="003C53A6">
        <w:rPr>
          <w:rFonts w:ascii="Book Antiqua" w:hAnsi="Book Antiqua" w:cs="Book Antiqua"/>
          <w:b/>
          <w:bCs/>
          <w:color w:val="000000" w:themeColor="text1"/>
          <w:kern w:val="0"/>
        </w:rPr>
        <w:t>ing</w:t>
      </w:r>
      <w:proofErr w:type="spellEnd"/>
      <w:r w:rsidRPr="003C53A6">
        <w:rPr>
          <w:rFonts w:ascii="Book Antiqua" w:hAnsi="Book Antiqua" w:cs="Book Antiqua"/>
          <w:b/>
          <w:bCs/>
          <w:color w:val="000000" w:themeColor="text1"/>
          <w:kern w:val="0"/>
        </w:rPr>
        <w:t xml:space="preserve"> Xu, Wei-Wei Fan, Wen Xu, Shi-Li Jiang, Gao-Feng Chen, Cheng Liu, Jia-Mei Chen, Hua Zhang, Ping Liu, Yong-Ping Mu,</w:t>
      </w:r>
      <w:r>
        <w:rPr>
          <w:rFonts w:ascii="Book Antiqua" w:hAnsi="Book Antiqua" w:cs="Book Antiqua"/>
          <w:b/>
          <w:bCs/>
          <w:color w:val="000000" w:themeColor="text1"/>
          <w:kern w:val="0"/>
        </w:rPr>
        <w:t xml:space="preserve"> </w:t>
      </w:r>
      <w:r w:rsidRPr="00B97450">
        <w:rPr>
          <w:rFonts w:ascii="Book Antiqua" w:hAnsi="Book Antiqua"/>
          <w:color w:val="000000" w:themeColor="text1"/>
          <w:lang w:val="pl-PL"/>
        </w:rPr>
        <w:t>Institute of Liver Diseases, Shanghai University of Traditional Chinese Medicine,</w:t>
      </w:r>
      <w:r>
        <w:rPr>
          <w:rFonts w:ascii="Book Antiqua" w:hAnsi="Book Antiqua"/>
          <w:color w:val="000000" w:themeColor="text1"/>
          <w:lang w:val="pl-PL"/>
        </w:rPr>
        <w:t xml:space="preserve"> </w:t>
      </w:r>
      <w:r w:rsidRPr="00B97450">
        <w:rPr>
          <w:rFonts w:ascii="Book Antiqua" w:hAnsi="Book Antiqua"/>
          <w:color w:val="000000" w:themeColor="text1"/>
          <w:lang w:val="pl-PL"/>
        </w:rPr>
        <w:t>Shanghai 201203, China</w:t>
      </w:r>
    </w:p>
    <w:p w14:paraId="3284D13A" w14:textId="77777777" w:rsidR="00B97450" w:rsidRDefault="00B97450" w:rsidP="000B5B76">
      <w:pPr>
        <w:adjustRightInd w:val="0"/>
        <w:snapToGrid w:val="0"/>
        <w:spacing w:line="360" w:lineRule="auto"/>
        <w:rPr>
          <w:rFonts w:ascii="Book Antiqua" w:hAnsi="Book Antiqua"/>
          <w:color w:val="000000" w:themeColor="text1"/>
          <w:lang w:val="pl-PL"/>
        </w:rPr>
      </w:pPr>
    </w:p>
    <w:p w14:paraId="2C5B700B" w14:textId="0AA8188B" w:rsidR="00B97450" w:rsidRDefault="00B97450" w:rsidP="000B5B76">
      <w:pPr>
        <w:adjustRightInd w:val="0"/>
        <w:snapToGrid w:val="0"/>
        <w:spacing w:line="360" w:lineRule="auto"/>
        <w:rPr>
          <w:rFonts w:ascii="Book Antiqua" w:hAnsi="Book Antiqua"/>
          <w:color w:val="000000" w:themeColor="text1"/>
          <w:lang w:val="pl-PL"/>
        </w:rPr>
      </w:pPr>
      <w:r w:rsidRPr="003C53A6">
        <w:rPr>
          <w:rFonts w:ascii="Book Antiqua" w:hAnsi="Book Antiqua"/>
          <w:b/>
          <w:color w:val="000000" w:themeColor="text1"/>
          <w:lang w:val="pl-PL"/>
        </w:rPr>
        <w:t>Y</w:t>
      </w:r>
      <w:proofErr w:type="spellStart"/>
      <w:r w:rsidRPr="003C53A6">
        <w:rPr>
          <w:rFonts w:ascii="Book Antiqua" w:hAnsi="Book Antiqua" w:cs="Book Antiqua"/>
          <w:b/>
          <w:bCs/>
          <w:color w:val="000000" w:themeColor="text1"/>
          <w:kern w:val="0"/>
        </w:rPr>
        <w:t>ing</w:t>
      </w:r>
      <w:proofErr w:type="spellEnd"/>
      <w:r w:rsidRPr="003C53A6">
        <w:rPr>
          <w:rFonts w:ascii="Book Antiqua" w:hAnsi="Book Antiqua" w:cs="Book Antiqua"/>
          <w:b/>
          <w:bCs/>
          <w:color w:val="000000" w:themeColor="text1"/>
          <w:kern w:val="0"/>
        </w:rPr>
        <w:t xml:space="preserve"> Xu, Wei-Wei Fan, Wen Xu, Shi-Li Jiang, Gao-Feng Chen, Cheng Liu, Jia-Mei Chen, Hua Zhang, Ping Liu, Yong-Ping Mu,</w:t>
      </w:r>
      <w:r>
        <w:rPr>
          <w:rFonts w:ascii="Book Antiqua" w:hAnsi="Book Antiqua" w:cs="Book Antiqua"/>
          <w:b/>
          <w:bCs/>
          <w:color w:val="000000" w:themeColor="text1"/>
          <w:kern w:val="0"/>
        </w:rPr>
        <w:t xml:space="preserve"> </w:t>
      </w:r>
      <w:r w:rsidRPr="00B97450">
        <w:rPr>
          <w:rFonts w:ascii="Book Antiqua" w:hAnsi="Book Antiqua"/>
          <w:color w:val="000000" w:themeColor="text1"/>
          <w:lang w:val="pl-PL"/>
        </w:rPr>
        <w:t>Key Laboratory of Liver and Kidney Disease of the Ministry of Education,</w:t>
      </w:r>
      <w:r>
        <w:rPr>
          <w:rFonts w:ascii="Book Antiqua" w:hAnsi="Book Antiqua"/>
          <w:color w:val="000000" w:themeColor="text1"/>
          <w:lang w:val="pl-PL"/>
        </w:rPr>
        <w:t xml:space="preserve"> </w:t>
      </w:r>
      <w:r w:rsidRPr="00B97450">
        <w:rPr>
          <w:rFonts w:ascii="Book Antiqua" w:hAnsi="Book Antiqua"/>
          <w:color w:val="000000" w:themeColor="text1"/>
          <w:lang w:val="pl-PL"/>
        </w:rPr>
        <w:t>Shanghai 201203, China</w:t>
      </w:r>
    </w:p>
    <w:p w14:paraId="6DC238DA" w14:textId="77777777" w:rsidR="00B97450" w:rsidRDefault="00B97450" w:rsidP="000B5B76">
      <w:pPr>
        <w:adjustRightInd w:val="0"/>
        <w:snapToGrid w:val="0"/>
        <w:spacing w:line="360" w:lineRule="auto"/>
        <w:rPr>
          <w:rFonts w:ascii="Book Antiqua" w:hAnsi="Book Antiqua"/>
          <w:color w:val="000000" w:themeColor="text1"/>
          <w:lang w:val="pl-PL"/>
        </w:rPr>
      </w:pPr>
    </w:p>
    <w:p w14:paraId="4F0BF16A" w14:textId="305E7141" w:rsidR="00B97450" w:rsidRPr="00EE30DE" w:rsidRDefault="00B97450" w:rsidP="000B5B76">
      <w:pPr>
        <w:adjustRightInd w:val="0"/>
        <w:snapToGrid w:val="0"/>
        <w:spacing w:line="360" w:lineRule="auto"/>
        <w:rPr>
          <w:rFonts w:ascii="Book Antiqua" w:hAnsi="Book Antiqua"/>
          <w:color w:val="000000" w:themeColor="text1"/>
          <w:lang w:val="pl-PL"/>
        </w:rPr>
      </w:pPr>
      <w:r w:rsidRPr="003C53A6">
        <w:rPr>
          <w:rFonts w:ascii="Book Antiqua" w:hAnsi="Book Antiqua"/>
          <w:b/>
          <w:color w:val="000000" w:themeColor="text1"/>
          <w:lang w:val="pl-PL"/>
        </w:rPr>
        <w:t>Y</w:t>
      </w:r>
      <w:proofErr w:type="spellStart"/>
      <w:r w:rsidRPr="003C53A6">
        <w:rPr>
          <w:rFonts w:ascii="Book Antiqua" w:hAnsi="Book Antiqua" w:cs="Book Antiqua"/>
          <w:b/>
          <w:bCs/>
          <w:color w:val="000000" w:themeColor="text1"/>
          <w:kern w:val="0"/>
        </w:rPr>
        <w:t>ing</w:t>
      </w:r>
      <w:proofErr w:type="spellEnd"/>
      <w:r w:rsidRPr="003C53A6">
        <w:rPr>
          <w:rFonts w:ascii="Book Antiqua" w:hAnsi="Book Antiqua" w:cs="Book Antiqua"/>
          <w:b/>
          <w:bCs/>
          <w:color w:val="000000" w:themeColor="text1"/>
          <w:kern w:val="0"/>
        </w:rPr>
        <w:t xml:space="preserve"> Xu, Wei-Wei Fan, Wen Xu, Shi-Li Jiang, Gao-Feng Chen, Cheng Liu, Jia-Mei Chen, Hua Zhang, Ping Liu, Yong-Ping Mu,</w:t>
      </w:r>
      <w:r>
        <w:rPr>
          <w:rFonts w:ascii="Book Antiqua" w:hAnsi="Book Antiqua" w:cs="Book Antiqua"/>
          <w:b/>
          <w:bCs/>
          <w:color w:val="000000" w:themeColor="text1"/>
          <w:kern w:val="0"/>
        </w:rPr>
        <w:t xml:space="preserve"> </w:t>
      </w:r>
      <w:r w:rsidRPr="00B97450">
        <w:rPr>
          <w:rFonts w:ascii="Book Antiqua" w:hAnsi="Book Antiqua"/>
          <w:color w:val="000000" w:themeColor="text1"/>
          <w:lang w:val="pl-PL"/>
        </w:rPr>
        <w:t>Clinical key laboratory of TCM of Shanghai, Shanghai 201203, China</w:t>
      </w:r>
    </w:p>
    <w:p w14:paraId="2A285AD2" w14:textId="77777777" w:rsidR="00792100" w:rsidRPr="00EE30DE" w:rsidRDefault="00792100" w:rsidP="000B5B76">
      <w:pPr>
        <w:adjustRightInd w:val="0"/>
        <w:snapToGrid w:val="0"/>
        <w:spacing w:line="360" w:lineRule="auto"/>
        <w:rPr>
          <w:rFonts w:ascii="Book Antiqua" w:hAnsi="Book Antiqua" w:cs="Book Antiqua"/>
          <w:bCs/>
          <w:color w:val="000000" w:themeColor="text1"/>
          <w:kern w:val="0"/>
        </w:rPr>
      </w:pPr>
    </w:p>
    <w:p w14:paraId="2E6C6503" w14:textId="12ADDF36" w:rsidR="00C520CB" w:rsidRPr="00EE30DE" w:rsidRDefault="00DD58B0" w:rsidP="000B5B76">
      <w:pPr>
        <w:adjustRightInd w:val="0"/>
        <w:snapToGrid w:val="0"/>
        <w:spacing w:line="360" w:lineRule="auto"/>
        <w:rPr>
          <w:rFonts w:ascii="Book Antiqua" w:hAnsi="Book Antiqua"/>
          <w:b/>
          <w:color w:val="000000" w:themeColor="text1"/>
        </w:rPr>
      </w:pPr>
      <w:bookmarkStart w:id="32" w:name="OLE_LINK167"/>
      <w:bookmarkStart w:id="33" w:name="OLE_LINK170"/>
      <w:r w:rsidRPr="00EE30DE">
        <w:rPr>
          <w:rFonts w:ascii="Book Antiqua" w:hAnsi="Book Antiqua"/>
          <w:b/>
          <w:color w:val="000000" w:themeColor="text1"/>
        </w:rPr>
        <w:lastRenderedPageBreak/>
        <w:t xml:space="preserve">ORCID number: </w:t>
      </w:r>
      <w:bookmarkEnd w:id="32"/>
      <w:bookmarkEnd w:id="33"/>
      <w:r w:rsidR="00C520CB" w:rsidRPr="00EE30DE">
        <w:rPr>
          <w:rFonts w:ascii="Book Antiqua" w:hAnsi="Book Antiqua"/>
          <w:color w:val="000000" w:themeColor="text1"/>
          <w:lang w:val="pl-PL"/>
        </w:rPr>
        <w:t>Y</w:t>
      </w:r>
      <w:proofErr w:type="spellStart"/>
      <w:r w:rsidR="00C520CB" w:rsidRPr="00EE30DE">
        <w:rPr>
          <w:rFonts w:ascii="Book Antiqua" w:hAnsi="Book Antiqua" w:cs="Book Antiqua"/>
          <w:bCs/>
          <w:color w:val="000000" w:themeColor="text1"/>
          <w:kern w:val="0"/>
        </w:rPr>
        <w:t>ing</w:t>
      </w:r>
      <w:proofErr w:type="spellEnd"/>
      <w:r w:rsidR="00995135">
        <w:rPr>
          <w:rFonts w:ascii="Book Antiqua" w:hAnsi="Book Antiqua" w:cs="Book Antiqua"/>
          <w:bCs/>
          <w:color w:val="000000" w:themeColor="text1"/>
          <w:kern w:val="0"/>
        </w:rPr>
        <w:t xml:space="preserve"> </w:t>
      </w:r>
      <w:r w:rsidR="00995135" w:rsidRPr="00EE30DE">
        <w:rPr>
          <w:rFonts w:ascii="Book Antiqua" w:hAnsi="Book Antiqua" w:cs="Book Antiqua"/>
          <w:bCs/>
          <w:color w:val="000000" w:themeColor="text1"/>
          <w:kern w:val="0"/>
        </w:rPr>
        <w:t>Xu</w:t>
      </w:r>
      <w:r w:rsidR="00995135">
        <w:rPr>
          <w:rFonts w:ascii="Book Antiqua" w:hAnsi="Book Antiqua" w:cs="Book Antiqua"/>
          <w:bCs/>
          <w:color w:val="000000" w:themeColor="text1"/>
          <w:kern w:val="0"/>
        </w:rPr>
        <w:t xml:space="preserve"> (0000-0002-4645-3094);</w:t>
      </w:r>
      <w:r w:rsidR="00C520CB" w:rsidRPr="00EE30DE">
        <w:rPr>
          <w:rFonts w:ascii="Book Antiqua" w:hAnsi="Book Antiqua" w:cs="Book Antiqua"/>
          <w:bCs/>
          <w:color w:val="000000" w:themeColor="text1"/>
          <w:kern w:val="0"/>
        </w:rPr>
        <w:t xml:space="preserve"> Wei-Wei </w:t>
      </w:r>
      <w:r w:rsidR="00995135" w:rsidRPr="00EE30DE">
        <w:rPr>
          <w:rFonts w:ascii="Book Antiqua" w:hAnsi="Book Antiqua" w:cs="Book Antiqua"/>
          <w:bCs/>
          <w:color w:val="000000" w:themeColor="text1"/>
          <w:kern w:val="0"/>
        </w:rPr>
        <w:t xml:space="preserve">Fan </w:t>
      </w:r>
      <w:r w:rsidR="00995135">
        <w:rPr>
          <w:rFonts w:ascii="Book Antiqua" w:hAnsi="Book Antiqua" w:cs="Book Antiqua"/>
          <w:bCs/>
          <w:color w:val="000000" w:themeColor="text1"/>
          <w:kern w:val="0"/>
        </w:rPr>
        <w:t>(0000-0002-0016-0595);</w:t>
      </w:r>
      <w:r w:rsidR="00C520CB" w:rsidRPr="00EE30DE">
        <w:rPr>
          <w:rFonts w:ascii="Book Antiqua" w:hAnsi="Book Antiqua" w:cs="Book Antiqua"/>
          <w:bCs/>
          <w:color w:val="000000" w:themeColor="text1"/>
          <w:kern w:val="0"/>
        </w:rPr>
        <w:t xml:space="preserve"> Wen </w:t>
      </w:r>
      <w:r w:rsidR="00995135" w:rsidRPr="00EE30DE">
        <w:rPr>
          <w:rFonts w:ascii="Book Antiqua" w:hAnsi="Book Antiqua" w:cs="Book Antiqua"/>
          <w:bCs/>
          <w:color w:val="000000" w:themeColor="text1"/>
          <w:kern w:val="0"/>
        </w:rPr>
        <w:t xml:space="preserve">Xu </w:t>
      </w:r>
      <w:r w:rsidR="00995135">
        <w:rPr>
          <w:rFonts w:ascii="Book Antiqua" w:hAnsi="Book Antiqua" w:cs="Book Antiqua"/>
          <w:bCs/>
          <w:color w:val="000000" w:themeColor="text1"/>
          <w:kern w:val="0"/>
        </w:rPr>
        <w:t>(0000-0003-2132-9537);</w:t>
      </w:r>
      <w:r w:rsidR="00C520CB" w:rsidRPr="00EE30DE">
        <w:rPr>
          <w:rFonts w:ascii="Book Antiqua" w:hAnsi="Book Antiqua" w:cs="Book Antiqua"/>
          <w:bCs/>
          <w:color w:val="000000" w:themeColor="text1"/>
          <w:kern w:val="0"/>
        </w:rPr>
        <w:t xml:space="preserve"> Shi-Li </w:t>
      </w:r>
      <w:r w:rsidR="00995135" w:rsidRPr="00EE30DE">
        <w:rPr>
          <w:rFonts w:ascii="Book Antiqua" w:hAnsi="Book Antiqua" w:cs="Book Antiqua"/>
          <w:bCs/>
          <w:color w:val="000000" w:themeColor="text1"/>
          <w:kern w:val="0"/>
        </w:rPr>
        <w:t xml:space="preserve">Jiang </w:t>
      </w:r>
      <w:r w:rsidR="00995135">
        <w:rPr>
          <w:rFonts w:ascii="Book Antiqua" w:hAnsi="Book Antiqua" w:cs="Book Antiqua"/>
          <w:bCs/>
          <w:color w:val="000000" w:themeColor="text1"/>
          <w:kern w:val="0"/>
        </w:rPr>
        <w:t>(0000-0002-2171-0488);</w:t>
      </w:r>
      <w:r w:rsidR="00C520CB" w:rsidRPr="00EE30DE">
        <w:rPr>
          <w:rFonts w:ascii="Book Antiqua" w:hAnsi="Book Antiqua" w:cs="Book Antiqua"/>
          <w:bCs/>
          <w:color w:val="000000" w:themeColor="text1"/>
          <w:kern w:val="0"/>
        </w:rPr>
        <w:t xml:space="preserve"> Gao-Feng </w:t>
      </w:r>
      <w:r w:rsidR="00995135" w:rsidRPr="00EE30DE">
        <w:rPr>
          <w:rFonts w:ascii="Book Antiqua" w:hAnsi="Book Antiqua" w:cs="Book Antiqua"/>
          <w:bCs/>
          <w:color w:val="000000" w:themeColor="text1"/>
          <w:kern w:val="0"/>
        </w:rPr>
        <w:t xml:space="preserve">Chen </w:t>
      </w:r>
      <w:r w:rsidR="00995135">
        <w:rPr>
          <w:rFonts w:ascii="Book Antiqua" w:hAnsi="Book Antiqua" w:cs="Book Antiqua"/>
          <w:bCs/>
          <w:color w:val="000000" w:themeColor="text1"/>
          <w:kern w:val="0"/>
        </w:rPr>
        <w:t>(0000-0002-1266-7086);</w:t>
      </w:r>
      <w:r w:rsidR="00C520CB" w:rsidRPr="00EE30DE">
        <w:rPr>
          <w:rFonts w:ascii="Book Antiqua" w:hAnsi="Book Antiqua" w:cs="Book Antiqua"/>
          <w:bCs/>
          <w:color w:val="000000" w:themeColor="text1"/>
          <w:kern w:val="0"/>
        </w:rPr>
        <w:t xml:space="preserve"> Cheng </w:t>
      </w:r>
      <w:r w:rsidR="00995135" w:rsidRPr="00EE30DE">
        <w:rPr>
          <w:rFonts w:ascii="Book Antiqua" w:hAnsi="Book Antiqua" w:cs="Book Antiqua"/>
          <w:bCs/>
          <w:color w:val="000000" w:themeColor="text1"/>
          <w:kern w:val="0"/>
        </w:rPr>
        <w:t xml:space="preserve">Liu </w:t>
      </w:r>
      <w:r w:rsidR="00995135">
        <w:rPr>
          <w:rFonts w:ascii="Book Antiqua" w:hAnsi="Book Antiqua" w:cs="Book Antiqua"/>
          <w:bCs/>
          <w:color w:val="000000" w:themeColor="text1"/>
          <w:kern w:val="0"/>
        </w:rPr>
        <w:t>(0000-0002-8741-6169);</w:t>
      </w:r>
      <w:r w:rsidR="00C520CB" w:rsidRPr="00EE30DE">
        <w:rPr>
          <w:rFonts w:ascii="Book Antiqua" w:hAnsi="Book Antiqua" w:cs="Book Antiqua"/>
          <w:bCs/>
          <w:color w:val="000000" w:themeColor="text1"/>
          <w:kern w:val="0"/>
        </w:rPr>
        <w:t xml:space="preserve"> Jia-Mei </w:t>
      </w:r>
      <w:r w:rsidR="00995135" w:rsidRPr="00EE30DE">
        <w:rPr>
          <w:rFonts w:ascii="Book Antiqua" w:hAnsi="Book Antiqua" w:cs="Book Antiqua"/>
          <w:bCs/>
          <w:color w:val="000000" w:themeColor="text1"/>
          <w:kern w:val="0"/>
        </w:rPr>
        <w:t xml:space="preserve">Chen </w:t>
      </w:r>
      <w:r w:rsidR="00995135">
        <w:rPr>
          <w:rFonts w:ascii="Book Antiqua" w:hAnsi="Book Antiqua" w:cs="Book Antiqua"/>
          <w:bCs/>
          <w:color w:val="000000" w:themeColor="text1"/>
          <w:kern w:val="0"/>
        </w:rPr>
        <w:t>(0000-0001-9808-9610);</w:t>
      </w:r>
      <w:r w:rsidR="00C520CB" w:rsidRPr="00EE30DE">
        <w:rPr>
          <w:rFonts w:ascii="Book Antiqua" w:hAnsi="Book Antiqua" w:cs="Book Antiqua"/>
          <w:bCs/>
          <w:color w:val="000000" w:themeColor="text1"/>
          <w:kern w:val="0"/>
        </w:rPr>
        <w:t xml:space="preserve"> Hua </w:t>
      </w:r>
      <w:r w:rsidR="00995135" w:rsidRPr="00EE30DE">
        <w:rPr>
          <w:rFonts w:ascii="Book Antiqua" w:hAnsi="Book Antiqua" w:cs="Book Antiqua"/>
          <w:bCs/>
          <w:color w:val="000000" w:themeColor="text1"/>
          <w:kern w:val="0"/>
        </w:rPr>
        <w:t xml:space="preserve">Zhang </w:t>
      </w:r>
      <w:r w:rsidR="00C520CB" w:rsidRPr="00EE30DE">
        <w:rPr>
          <w:rFonts w:ascii="Book Antiqua" w:hAnsi="Book Antiqua" w:cs="Book Antiqua"/>
          <w:bCs/>
          <w:color w:val="000000" w:themeColor="text1"/>
          <w:kern w:val="0"/>
        </w:rPr>
        <w:t>(0000-0003-0680</w:t>
      </w:r>
      <w:r w:rsidR="00995135">
        <w:rPr>
          <w:rFonts w:ascii="Book Antiqua" w:hAnsi="Book Antiqua" w:cs="Book Antiqua"/>
          <w:bCs/>
          <w:color w:val="000000" w:themeColor="text1"/>
          <w:kern w:val="0"/>
        </w:rPr>
        <w:t>-2314);</w:t>
      </w:r>
      <w:r w:rsidR="00C520CB" w:rsidRPr="00EE30DE">
        <w:rPr>
          <w:rFonts w:ascii="Book Antiqua" w:hAnsi="Book Antiqua" w:cs="Book Antiqua"/>
          <w:bCs/>
          <w:color w:val="000000" w:themeColor="text1"/>
          <w:kern w:val="0"/>
        </w:rPr>
        <w:t xml:space="preserve"> Ping</w:t>
      </w:r>
      <w:r w:rsidR="00995135">
        <w:rPr>
          <w:rFonts w:ascii="Book Antiqua" w:hAnsi="Book Antiqua" w:cs="Book Antiqua"/>
          <w:bCs/>
          <w:color w:val="000000" w:themeColor="text1"/>
          <w:kern w:val="0"/>
        </w:rPr>
        <w:t xml:space="preserve"> </w:t>
      </w:r>
      <w:r w:rsidR="00995135" w:rsidRPr="00EE30DE">
        <w:rPr>
          <w:rFonts w:ascii="Book Antiqua" w:hAnsi="Book Antiqua" w:cs="Book Antiqua"/>
          <w:bCs/>
          <w:color w:val="000000" w:themeColor="text1"/>
          <w:kern w:val="0"/>
        </w:rPr>
        <w:t>Liu</w:t>
      </w:r>
      <w:r w:rsidR="00995135">
        <w:rPr>
          <w:rFonts w:ascii="Book Antiqua" w:hAnsi="Book Antiqua" w:cs="Book Antiqua"/>
          <w:bCs/>
          <w:color w:val="000000" w:themeColor="text1"/>
          <w:kern w:val="0"/>
        </w:rPr>
        <w:t xml:space="preserve"> (0000-0002-6152-4508);</w:t>
      </w:r>
      <w:r w:rsidR="00C520CB" w:rsidRPr="00EE30DE">
        <w:rPr>
          <w:rFonts w:ascii="Book Antiqua" w:hAnsi="Book Antiqua" w:cs="Book Antiqua"/>
          <w:bCs/>
          <w:color w:val="000000" w:themeColor="text1"/>
          <w:kern w:val="0"/>
        </w:rPr>
        <w:t xml:space="preserve"> Yong-Ping </w:t>
      </w:r>
      <w:r w:rsidR="00995135" w:rsidRPr="00EE30DE">
        <w:rPr>
          <w:rFonts w:ascii="Book Antiqua" w:hAnsi="Book Antiqua" w:cs="Book Antiqua"/>
          <w:bCs/>
          <w:color w:val="000000" w:themeColor="text1"/>
          <w:kern w:val="0"/>
        </w:rPr>
        <w:t xml:space="preserve">Mu </w:t>
      </w:r>
      <w:r w:rsidR="00C520CB" w:rsidRPr="00EE30DE">
        <w:rPr>
          <w:rFonts w:ascii="Book Antiqua" w:hAnsi="Book Antiqua" w:cs="Book Antiqua"/>
          <w:bCs/>
          <w:color w:val="000000" w:themeColor="text1"/>
          <w:kern w:val="0"/>
        </w:rPr>
        <w:t>(0000-0002-4533-5563).</w:t>
      </w:r>
      <w:r w:rsidR="00C520CB" w:rsidRPr="00EE30DE">
        <w:rPr>
          <w:rFonts w:ascii="Book Antiqua" w:hAnsi="Book Antiqua"/>
          <w:b/>
          <w:color w:val="000000" w:themeColor="text1"/>
        </w:rPr>
        <w:t xml:space="preserve"> </w:t>
      </w:r>
    </w:p>
    <w:p w14:paraId="6A1CF720" w14:textId="77777777" w:rsidR="00DD58B0" w:rsidRPr="00EE30DE" w:rsidRDefault="00DD58B0" w:rsidP="000B5B76">
      <w:pPr>
        <w:adjustRightInd w:val="0"/>
        <w:snapToGrid w:val="0"/>
        <w:spacing w:line="360" w:lineRule="auto"/>
        <w:rPr>
          <w:rFonts w:ascii="Book Antiqua" w:hAnsi="Book Antiqua" w:cs="Book Antiqua"/>
          <w:b/>
          <w:bCs/>
          <w:color w:val="000000" w:themeColor="text1"/>
          <w:kern w:val="0"/>
        </w:rPr>
      </w:pPr>
    </w:p>
    <w:p w14:paraId="66BB6C4E" w14:textId="3358CD58" w:rsidR="00C520CB" w:rsidRPr="00EE30DE" w:rsidRDefault="002037ED" w:rsidP="000B5B76">
      <w:pPr>
        <w:adjustRightInd w:val="0"/>
        <w:snapToGrid w:val="0"/>
        <w:spacing w:line="360" w:lineRule="auto"/>
        <w:rPr>
          <w:rFonts w:ascii="Book Antiqua" w:hAnsi="Book Antiqua" w:cs="Book Antiqua"/>
          <w:bCs/>
          <w:color w:val="000000" w:themeColor="text1"/>
          <w:kern w:val="0"/>
        </w:rPr>
      </w:pPr>
      <w:r w:rsidRPr="00EE30DE">
        <w:rPr>
          <w:rFonts w:ascii="Book Antiqua" w:hAnsi="Book Antiqua" w:cs="Book Antiqua"/>
          <w:b/>
          <w:bCs/>
          <w:color w:val="000000" w:themeColor="text1"/>
          <w:kern w:val="0"/>
        </w:rPr>
        <w:t>Author contributions:</w:t>
      </w:r>
      <w:r w:rsidR="00C520CB" w:rsidRPr="00EE30DE">
        <w:rPr>
          <w:rFonts w:ascii="Book Antiqua" w:hAnsi="Book Antiqua" w:cs="Book Antiqua"/>
          <w:b/>
          <w:bCs/>
          <w:color w:val="000000" w:themeColor="text1"/>
          <w:kern w:val="0"/>
        </w:rPr>
        <w:t xml:space="preserve"> </w:t>
      </w:r>
      <w:r w:rsidR="00C520CB" w:rsidRPr="00EE30DE">
        <w:rPr>
          <w:rFonts w:ascii="Book Antiqua" w:hAnsi="Book Antiqua" w:cs="Book Antiqua"/>
          <w:bCs/>
          <w:color w:val="000000" w:themeColor="text1"/>
          <w:kern w:val="0"/>
        </w:rPr>
        <w:t>Mu YP and Liu P designed research; Xu Y, Fan WW, Xu W,</w:t>
      </w:r>
      <w:r w:rsidR="00C520CB" w:rsidRPr="00EE30DE">
        <w:rPr>
          <w:rFonts w:ascii="Book Antiqua" w:hAnsi="Book Antiqua"/>
          <w:color w:val="000000" w:themeColor="text1"/>
          <w:kern w:val="0"/>
        </w:rPr>
        <w:t xml:space="preserve"> and </w:t>
      </w:r>
      <w:r w:rsidR="00C520CB" w:rsidRPr="00EE30DE">
        <w:rPr>
          <w:rFonts w:ascii="Book Antiqua" w:hAnsi="Book Antiqua" w:cs="Book Antiqua"/>
          <w:bCs/>
          <w:color w:val="000000" w:themeColor="text1"/>
          <w:kern w:val="0"/>
        </w:rPr>
        <w:t>Chen JM performed research; Zhang H contributed analytic tools; Chen GF contributed pathological analysis; Mu YP, Xu Y, Jiang SL, and Liu C analyzed data; Mu YP and Xu Y composed</w:t>
      </w:r>
      <w:r w:rsidR="00C520CB" w:rsidRPr="00EE30DE">
        <w:rPr>
          <w:rFonts w:ascii="Book Antiqua" w:hAnsi="Book Antiqua"/>
          <w:color w:val="000000" w:themeColor="text1"/>
          <w:kern w:val="0"/>
        </w:rPr>
        <w:t xml:space="preserve"> the </w:t>
      </w:r>
      <w:r w:rsidR="00C520CB" w:rsidRPr="00EE30DE">
        <w:rPr>
          <w:rFonts w:ascii="Book Antiqua" w:hAnsi="Book Antiqua" w:cs="Book Antiqua"/>
          <w:bCs/>
          <w:color w:val="000000" w:themeColor="text1"/>
          <w:kern w:val="0"/>
        </w:rPr>
        <w:t xml:space="preserve">paper. </w:t>
      </w:r>
    </w:p>
    <w:p w14:paraId="76C1D973" w14:textId="77777777" w:rsidR="0086207D" w:rsidRPr="00EE30DE" w:rsidRDefault="0086207D" w:rsidP="000B5B76">
      <w:pPr>
        <w:adjustRightInd w:val="0"/>
        <w:snapToGrid w:val="0"/>
        <w:spacing w:line="360" w:lineRule="auto"/>
        <w:rPr>
          <w:rFonts w:ascii="Book Antiqua" w:hAnsi="Book Antiqua"/>
          <w:color w:val="000000" w:themeColor="text1"/>
        </w:rPr>
      </w:pPr>
    </w:p>
    <w:p w14:paraId="4E4C322A" w14:textId="173094AE" w:rsidR="00C520CB" w:rsidRPr="00EE30DE" w:rsidRDefault="0086207D" w:rsidP="000B5B76">
      <w:pPr>
        <w:adjustRightInd w:val="0"/>
        <w:snapToGrid w:val="0"/>
        <w:spacing w:line="360" w:lineRule="auto"/>
        <w:rPr>
          <w:rFonts w:ascii="Book Antiqua" w:hAnsi="Book Antiqua"/>
          <w:color w:val="000000" w:themeColor="text1"/>
          <w:kern w:val="0"/>
        </w:rPr>
      </w:pPr>
      <w:r w:rsidRPr="00EE30DE">
        <w:rPr>
          <w:rFonts w:ascii="Book Antiqua" w:hAnsi="Book Antiqua" w:cs="Book Antiqua"/>
          <w:b/>
          <w:bCs/>
          <w:color w:val="000000" w:themeColor="text1"/>
          <w:kern w:val="0"/>
        </w:rPr>
        <w:t>Supported by </w:t>
      </w:r>
      <w:r w:rsidR="00C520CB" w:rsidRPr="00EE30DE">
        <w:rPr>
          <w:rFonts w:ascii="Book Antiqua" w:hAnsi="Book Antiqua" w:cs="Book Antiqua"/>
          <w:bCs/>
          <w:color w:val="000000" w:themeColor="text1"/>
          <w:kern w:val="0"/>
        </w:rPr>
        <w:t xml:space="preserve">the </w:t>
      </w:r>
      <w:r w:rsidR="00C520CB" w:rsidRPr="00EE30DE">
        <w:rPr>
          <w:rFonts w:ascii="Book Antiqua" w:hAnsi="Book Antiqua"/>
          <w:color w:val="000000" w:themeColor="text1"/>
          <w:kern w:val="0"/>
        </w:rPr>
        <w:t xml:space="preserve">National Natural Science </w:t>
      </w:r>
      <w:r w:rsidR="00C520CB" w:rsidRPr="00EE30DE">
        <w:rPr>
          <w:rFonts w:ascii="Book Antiqua" w:hAnsi="Book Antiqua" w:cs="Book Antiqua"/>
          <w:bCs/>
          <w:color w:val="000000" w:themeColor="text1"/>
          <w:kern w:val="0"/>
        </w:rPr>
        <w:t>Foundation</w:t>
      </w:r>
      <w:r w:rsidR="00C520CB" w:rsidRPr="00EE30DE">
        <w:rPr>
          <w:rFonts w:ascii="Book Antiqua" w:hAnsi="Book Antiqua"/>
          <w:color w:val="000000" w:themeColor="text1"/>
          <w:kern w:val="0"/>
        </w:rPr>
        <w:t xml:space="preserve"> of China, No. 81173223</w:t>
      </w:r>
      <w:r w:rsidR="00995135">
        <w:rPr>
          <w:rFonts w:ascii="Book Antiqua" w:hAnsi="Book Antiqua"/>
          <w:color w:val="000000" w:themeColor="text1"/>
          <w:kern w:val="0"/>
        </w:rPr>
        <w:t>,</w:t>
      </w:r>
      <w:r w:rsidR="00C520CB" w:rsidRPr="00EE30DE">
        <w:rPr>
          <w:rFonts w:ascii="Book Antiqua" w:hAnsi="Book Antiqua"/>
          <w:color w:val="000000" w:themeColor="text1"/>
          <w:kern w:val="0"/>
        </w:rPr>
        <w:t xml:space="preserve"> </w:t>
      </w:r>
      <w:r w:rsidR="00322F15" w:rsidRPr="00EE30DE">
        <w:rPr>
          <w:rFonts w:ascii="Book Antiqua" w:hAnsi="Book Antiqua"/>
          <w:color w:val="000000" w:themeColor="text1"/>
          <w:kern w:val="0"/>
        </w:rPr>
        <w:t>No.</w:t>
      </w:r>
      <w:r w:rsidR="00322F15">
        <w:rPr>
          <w:rFonts w:ascii="Book Antiqua" w:hAnsi="Book Antiqua" w:hint="eastAsia"/>
          <w:color w:val="000000" w:themeColor="text1"/>
          <w:kern w:val="0"/>
        </w:rPr>
        <w:t xml:space="preserve"> </w:t>
      </w:r>
      <w:r w:rsidR="00C520CB" w:rsidRPr="00EE30DE">
        <w:rPr>
          <w:rFonts w:ascii="Book Antiqua" w:hAnsi="Book Antiqua"/>
          <w:color w:val="000000" w:themeColor="text1"/>
          <w:kern w:val="0"/>
        </w:rPr>
        <w:t>81573948</w:t>
      </w:r>
      <w:r w:rsidR="00995135">
        <w:rPr>
          <w:rFonts w:ascii="Book Antiqua" w:hAnsi="Book Antiqua" w:cs="Book Antiqua"/>
          <w:bCs/>
          <w:color w:val="000000" w:themeColor="text1"/>
          <w:kern w:val="0"/>
        </w:rPr>
        <w:t>, and</w:t>
      </w:r>
      <w:r w:rsidR="00C520CB" w:rsidRPr="00EE30DE">
        <w:rPr>
          <w:rFonts w:ascii="Book Antiqua" w:hAnsi="Book Antiqua" w:cs="Book Antiqua"/>
          <w:bCs/>
          <w:color w:val="000000" w:themeColor="text1"/>
          <w:kern w:val="0"/>
        </w:rPr>
        <w:t xml:space="preserve"> </w:t>
      </w:r>
      <w:r w:rsidR="00322F15" w:rsidRPr="00EE30DE">
        <w:rPr>
          <w:rFonts w:ascii="Book Antiqua" w:hAnsi="Book Antiqua"/>
          <w:color w:val="000000" w:themeColor="text1"/>
          <w:kern w:val="0"/>
        </w:rPr>
        <w:t>No.</w:t>
      </w:r>
      <w:r w:rsidR="00322F15">
        <w:rPr>
          <w:rFonts w:ascii="Book Antiqua" w:hAnsi="Book Antiqua" w:hint="eastAsia"/>
          <w:color w:val="000000" w:themeColor="text1"/>
          <w:kern w:val="0"/>
        </w:rPr>
        <w:t xml:space="preserve"> </w:t>
      </w:r>
      <w:r w:rsidR="00C520CB" w:rsidRPr="00EE30DE">
        <w:rPr>
          <w:rFonts w:ascii="Book Antiqua" w:hAnsi="Book Antiqua" w:cs="Book Antiqua"/>
          <w:bCs/>
          <w:color w:val="000000" w:themeColor="text1"/>
          <w:kern w:val="0"/>
        </w:rPr>
        <w:t>81874390.</w:t>
      </w:r>
    </w:p>
    <w:p w14:paraId="10D9432F" w14:textId="77777777" w:rsidR="00DD58B0" w:rsidRPr="00EE30DE" w:rsidRDefault="00DD58B0" w:rsidP="000B5B76">
      <w:pPr>
        <w:pStyle w:val="Default"/>
        <w:snapToGrid w:val="0"/>
        <w:spacing w:line="360" w:lineRule="auto"/>
        <w:jc w:val="both"/>
        <w:rPr>
          <w:rFonts w:cs="Times New Roman"/>
          <w:b/>
          <w:bCs/>
          <w:iCs/>
          <w:color w:val="000000" w:themeColor="text1"/>
        </w:rPr>
      </w:pPr>
    </w:p>
    <w:p w14:paraId="6BF15B2A" w14:textId="02771D84" w:rsidR="00C520CB" w:rsidRPr="00EE30DE" w:rsidRDefault="00DD58B0" w:rsidP="000B5B76">
      <w:pPr>
        <w:pStyle w:val="1"/>
        <w:adjustRightInd w:val="0"/>
        <w:snapToGrid w:val="0"/>
        <w:spacing w:line="360" w:lineRule="auto"/>
        <w:jc w:val="both"/>
        <w:rPr>
          <w:rFonts w:ascii="Book Antiqua" w:hAnsi="Book Antiqua" w:cs="Times New Roman"/>
          <w:bCs/>
          <w:iCs/>
          <w:color w:val="000000" w:themeColor="text1"/>
          <w:sz w:val="24"/>
          <w:szCs w:val="24"/>
          <w:lang w:val="en-US" w:eastAsia="zh-CN"/>
        </w:rPr>
      </w:pPr>
      <w:r w:rsidRPr="00EE30DE">
        <w:rPr>
          <w:rFonts w:ascii="Book Antiqua" w:hAnsi="Book Antiqua" w:cs="Times New Roman"/>
          <w:b/>
          <w:bCs/>
          <w:iCs/>
          <w:color w:val="000000" w:themeColor="text1"/>
          <w:sz w:val="24"/>
          <w:szCs w:val="24"/>
          <w:lang w:val="en-US" w:eastAsia="zh-CN"/>
        </w:rPr>
        <w:t>Institutional animal care and use committee statement:</w:t>
      </w:r>
      <w:r w:rsidR="00C520CB" w:rsidRPr="00EE30DE">
        <w:rPr>
          <w:rFonts w:ascii="Book Antiqua" w:hAnsi="Book Antiqua" w:cs="Times New Roman"/>
          <w:b/>
          <w:bCs/>
          <w:iCs/>
          <w:color w:val="000000" w:themeColor="text1"/>
          <w:sz w:val="24"/>
          <w:szCs w:val="24"/>
          <w:lang w:val="en-US" w:eastAsia="zh-CN"/>
        </w:rPr>
        <w:t xml:space="preserve"> </w:t>
      </w:r>
      <w:r w:rsidR="00C520CB" w:rsidRPr="00EE30DE">
        <w:rPr>
          <w:rFonts w:ascii="Book Antiqua" w:hAnsi="Book Antiqua" w:cs="Times New Roman"/>
          <w:bCs/>
          <w:iCs/>
          <w:color w:val="000000" w:themeColor="text1"/>
          <w:sz w:val="24"/>
          <w:szCs w:val="24"/>
        </w:rPr>
        <w:t xml:space="preserve">The experimental protocol was approved by the Animal Research Committee of Shanghai University of </w:t>
      </w:r>
      <w:r w:rsidR="00B97450" w:rsidRPr="00B97450">
        <w:rPr>
          <w:rFonts w:ascii="Book Antiqua" w:hAnsi="Book Antiqua"/>
          <w:color w:val="000000" w:themeColor="text1"/>
        </w:rPr>
        <w:t>Traditional Chinese Medicine</w:t>
      </w:r>
      <w:r w:rsidR="00C520CB" w:rsidRPr="00EE30DE">
        <w:rPr>
          <w:rFonts w:ascii="Book Antiqua" w:hAnsi="Book Antiqua" w:cs="Times New Roman"/>
          <w:bCs/>
          <w:iCs/>
          <w:color w:val="000000" w:themeColor="text1"/>
          <w:sz w:val="24"/>
          <w:szCs w:val="24"/>
        </w:rPr>
        <w:t xml:space="preserve"> (N</w:t>
      </w:r>
      <w:r w:rsidR="00995135">
        <w:rPr>
          <w:rFonts w:ascii="Book Antiqua" w:hAnsi="Book Antiqua" w:cs="Times New Roman"/>
          <w:bCs/>
          <w:iCs/>
          <w:color w:val="000000" w:themeColor="text1"/>
          <w:sz w:val="24"/>
          <w:szCs w:val="24"/>
        </w:rPr>
        <w:t>o</w:t>
      </w:r>
      <w:r w:rsidR="00C520CB" w:rsidRPr="00EE30DE">
        <w:rPr>
          <w:rFonts w:ascii="Book Antiqua" w:hAnsi="Book Antiqua" w:cs="Times New Roman"/>
          <w:bCs/>
          <w:iCs/>
          <w:color w:val="000000" w:themeColor="text1"/>
          <w:sz w:val="24"/>
          <w:szCs w:val="24"/>
        </w:rPr>
        <w:t>. 20130132).</w:t>
      </w:r>
    </w:p>
    <w:p w14:paraId="6EB809D5" w14:textId="77777777" w:rsidR="00DD58B0" w:rsidRPr="00EE30DE" w:rsidRDefault="00DD58B0" w:rsidP="000B5B76">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34" w:name="OLE_LINK472"/>
      <w:bookmarkStart w:id="35" w:name="OLE_LINK474"/>
    </w:p>
    <w:p w14:paraId="247E36AF" w14:textId="77777777" w:rsidR="00C520CB" w:rsidRPr="00EE30DE" w:rsidRDefault="00DD58B0" w:rsidP="000B5B76">
      <w:pPr>
        <w:widowControl/>
        <w:adjustRightInd w:val="0"/>
        <w:snapToGrid w:val="0"/>
        <w:spacing w:line="360" w:lineRule="auto"/>
        <w:rPr>
          <w:rFonts w:ascii="Book Antiqua" w:hAnsi="Book Antiqua" w:cs="SimSun"/>
          <w:color w:val="000000" w:themeColor="text1"/>
        </w:rPr>
      </w:pPr>
      <w:bookmarkStart w:id="36" w:name="OLE_LINK235"/>
      <w:bookmarkStart w:id="37" w:name="OLE_LINK236"/>
      <w:bookmarkStart w:id="38" w:name="OLE_LINK684"/>
      <w:bookmarkStart w:id="39" w:name="OLE_LINK795"/>
      <w:bookmarkStart w:id="40" w:name="OLE_LINK796"/>
      <w:bookmarkStart w:id="41" w:name="OLE_LINK724"/>
      <w:bookmarkStart w:id="42" w:name="OLE_LINK725"/>
      <w:r w:rsidRPr="00EE30DE">
        <w:rPr>
          <w:rFonts w:ascii="Book Antiqua" w:hAnsi="Book Antiqua" w:cs="Times New Roman"/>
          <w:b/>
          <w:bCs/>
          <w:iCs/>
          <w:color w:val="000000" w:themeColor="text1"/>
          <w:highlight w:val="white"/>
        </w:rPr>
        <w:t>Conflict-of-interest statement:</w:t>
      </w:r>
      <w:r w:rsidR="0087005B" w:rsidRPr="00EE30DE">
        <w:rPr>
          <w:rFonts w:ascii="Book Antiqua" w:hAnsi="Book Antiqua"/>
          <w:color w:val="000000" w:themeColor="text1"/>
        </w:rPr>
        <w:t xml:space="preserve"> </w:t>
      </w:r>
      <w:r w:rsidR="00C520CB" w:rsidRPr="00EE30DE">
        <w:rPr>
          <w:rFonts w:ascii="Book Antiqua" w:eastAsia="SimSun" w:hAnsi="Book Antiqua" w:cs="SimSun"/>
          <w:color w:val="000000" w:themeColor="text1"/>
          <w:kern w:val="0"/>
          <w:shd w:val="clear" w:color="auto" w:fill="FFFFFF"/>
        </w:rPr>
        <w:t>The authors declare that they have no conflicts of interest</w:t>
      </w:r>
      <w:r w:rsidR="00C520CB" w:rsidRPr="00EE30DE">
        <w:rPr>
          <w:rFonts w:ascii="Book Antiqua" w:hAnsi="Book Antiqua"/>
          <w:bCs/>
          <w:iCs/>
          <w:color w:val="000000" w:themeColor="text1"/>
        </w:rPr>
        <w:t>.</w:t>
      </w:r>
    </w:p>
    <w:bookmarkEnd w:id="34"/>
    <w:bookmarkEnd w:id="35"/>
    <w:bookmarkEnd w:id="36"/>
    <w:bookmarkEnd w:id="37"/>
    <w:bookmarkEnd w:id="38"/>
    <w:bookmarkEnd w:id="39"/>
    <w:bookmarkEnd w:id="40"/>
    <w:bookmarkEnd w:id="41"/>
    <w:bookmarkEnd w:id="42"/>
    <w:p w14:paraId="79F3110D" w14:textId="77777777" w:rsidR="00DD58B0" w:rsidRDefault="00DD58B0" w:rsidP="000B5B76">
      <w:pPr>
        <w:pStyle w:val="Default"/>
        <w:snapToGrid w:val="0"/>
        <w:spacing w:line="360" w:lineRule="auto"/>
        <w:jc w:val="both"/>
        <w:rPr>
          <w:b/>
          <w:bCs/>
          <w:color w:val="000000" w:themeColor="text1"/>
        </w:rPr>
      </w:pPr>
    </w:p>
    <w:p w14:paraId="1EF32559" w14:textId="3E43C570" w:rsidR="00995135" w:rsidRDefault="00995135" w:rsidP="00943737">
      <w:pPr>
        <w:pStyle w:val="Default"/>
        <w:snapToGrid w:val="0"/>
        <w:spacing w:line="360" w:lineRule="auto"/>
        <w:jc w:val="both"/>
        <w:outlineLvl w:val="0"/>
        <w:rPr>
          <w:rFonts w:eastAsia="Times New Roman"/>
        </w:rPr>
      </w:pPr>
      <w:r>
        <w:rPr>
          <w:b/>
          <w:bCs/>
          <w:color w:val="000000" w:themeColor="text1"/>
        </w:rPr>
        <w:t xml:space="preserve">Data sharing statement: </w:t>
      </w:r>
      <w:r w:rsidRPr="00102534">
        <w:rPr>
          <w:rFonts w:eastAsia="Times New Roman"/>
        </w:rPr>
        <w:t>No additional data are available.</w:t>
      </w:r>
    </w:p>
    <w:p w14:paraId="48FA2271" w14:textId="77777777" w:rsidR="00995135" w:rsidRPr="00995135" w:rsidRDefault="00995135" w:rsidP="000B5B76">
      <w:pPr>
        <w:pStyle w:val="Default"/>
        <w:snapToGrid w:val="0"/>
        <w:spacing w:line="360" w:lineRule="auto"/>
        <w:jc w:val="both"/>
        <w:rPr>
          <w:bCs/>
          <w:color w:val="000000" w:themeColor="text1"/>
        </w:rPr>
      </w:pPr>
    </w:p>
    <w:p w14:paraId="3990F8EC" w14:textId="2875CDE7" w:rsidR="00DD58B0" w:rsidRDefault="00DD58B0" w:rsidP="000B5B76">
      <w:pPr>
        <w:pStyle w:val="Default"/>
        <w:snapToGrid w:val="0"/>
        <w:spacing w:line="360" w:lineRule="auto"/>
        <w:jc w:val="both"/>
        <w:rPr>
          <w:bCs/>
          <w:color w:val="000000" w:themeColor="text1"/>
        </w:rPr>
      </w:pPr>
      <w:r w:rsidRPr="00EE30DE">
        <w:rPr>
          <w:b/>
          <w:bCs/>
          <w:color w:val="000000" w:themeColor="text1"/>
        </w:rPr>
        <w:t>ARRIVE guidelines statement:</w:t>
      </w:r>
      <w:r w:rsidR="00995135">
        <w:rPr>
          <w:b/>
          <w:bCs/>
          <w:color w:val="000000" w:themeColor="text1"/>
        </w:rPr>
        <w:t xml:space="preserve"> </w:t>
      </w:r>
      <w:r w:rsidR="00995135" w:rsidRPr="00995135">
        <w:rPr>
          <w:bCs/>
          <w:color w:val="000000" w:themeColor="text1"/>
        </w:rPr>
        <w:t>The</w:t>
      </w:r>
      <w:r w:rsidR="00995135">
        <w:rPr>
          <w:bCs/>
          <w:color w:val="000000" w:themeColor="text1"/>
        </w:rPr>
        <w:t xml:space="preserve"> authors have read the </w:t>
      </w:r>
      <w:r w:rsidR="00995135" w:rsidRPr="00995135">
        <w:rPr>
          <w:bCs/>
          <w:color w:val="000000" w:themeColor="text1"/>
        </w:rPr>
        <w:t>ARRIVE guidelines</w:t>
      </w:r>
      <w:r w:rsidR="00995135">
        <w:rPr>
          <w:bCs/>
          <w:color w:val="000000" w:themeColor="text1"/>
        </w:rPr>
        <w:t xml:space="preserve"> and prepared the manuscript accordingly.</w:t>
      </w:r>
    </w:p>
    <w:p w14:paraId="0FF0EB0B" w14:textId="77777777" w:rsidR="00995135" w:rsidRDefault="00995135" w:rsidP="000B5B76">
      <w:pPr>
        <w:pStyle w:val="Default"/>
        <w:snapToGrid w:val="0"/>
        <w:spacing w:line="360" w:lineRule="auto"/>
        <w:jc w:val="both"/>
        <w:rPr>
          <w:bCs/>
          <w:color w:val="000000" w:themeColor="text1"/>
        </w:rPr>
      </w:pPr>
    </w:p>
    <w:p w14:paraId="0942E81C" w14:textId="77777777" w:rsidR="00995135" w:rsidRDefault="00995135" w:rsidP="00995135">
      <w:pPr>
        <w:snapToGrid w:val="0"/>
        <w:spacing w:line="360" w:lineRule="auto"/>
        <w:rPr>
          <w:rFonts w:ascii="Book Antiqua" w:hAnsi="Book Antiqua"/>
        </w:rPr>
      </w:pPr>
      <w:r w:rsidRPr="00A37D48">
        <w:rPr>
          <w:rFonts w:ascii="Book Antiqua" w:hAnsi="Book Antiqua"/>
          <w:b/>
          <w:color w:val="000000"/>
        </w:rPr>
        <w:t xml:space="preserve">Open-Access: </w:t>
      </w:r>
      <w:r w:rsidRPr="00A37D48">
        <w:rPr>
          <w:rFonts w:ascii="Book Antiqua" w:hAnsi="Book Antiqua"/>
          <w:color w:val="000000"/>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Non Commercial (CC BY-NC 4.0) license, which permits others to distribute, remix, adapt, build </w:t>
      </w:r>
      <w:r w:rsidRPr="00A37D48">
        <w:rPr>
          <w:rFonts w:ascii="Book Antiqua" w:hAnsi="Book Antiqua"/>
        </w:rPr>
        <w:lastRenderedPageBreak/>
        <w:t xml:space="preserve">upon this work non-commercially, and license their derivative works on different terms, provided the original work is properly cited and the use is non-commercial. See: </w:t>
      </w:r>
      <w:hyperlink r:id="rId6" w:history="1">
        <w:r w:rsidRPr="00AD7276">
          <w:rPr>
            <w:rStyle w:val="Hyperlink"/>
            <w:rFonts w:ascii="Book Antiqua" w:hAnsi="Book Antiqua"/>
          </w:rPr>
          <w:t>http://creativecommons.org/licenses/by-nc/4.0/</w:t>
        </w:r>
      </w:hyperlink>
    </w:p>
    <w:p w14:paraId="66CF403A" w14:textId="77777777" w:rsidR="00995135" w:rsidRDefault="00995135" w:rsidP="00995135">
      <w:pPr>
        <w:snapToGrid w:val="0"/>
        <w:spacing w:line="360" w:lineRule="auto"/>
        <w:rPr>
          <w:rFonts w:ascii="Book Antiqua" w:hAnsi="Book Antiqua"/>
        </w:rPr>
      </w:pPr>
    </w:p>
    <w:p w14:paraId="4A68E6A4" w14:textId="37DFEAE8" w:rsidR="00995135" w:rsidRPr="00995135" w:rsidRDefault="00995135" w:rsidP="00943737">
      <w:pPr>
        <w:pStyle w:val="Default"/>
        <w:snapToGrid w:val="0"/>
        <w:spacing w:line="360" w:lineRule="auto"/>
        <w:jc w:val="both"/>
        <w:outlineLvl w:val="0"/>
        <w:rPr>
          <w:bCs/>
          <w:color w:val="000000" w:themeColor="text1"/>
        </w:rPr>
      </w:pPr>
      <w:r w:rsidRPr="004F57C6">
        <w:rPr>
          <w:rFonts w:cs="Times New Roman"/>
          <w:b/>
          <w:bCs/>
          <w:color w:val="auto"/>
          <w:highlight w:val="white"/>
        </w:rPr>
        <w:t>Manuscript source:</w:t>
      </w:r>
      <w:r w:rsidRPr="004F57C6">
        <w:rPr>
          <w:rFonts w:cs="Times New Roman" w:hint="eastAsia"/>
          <w:b/>
          <w:bCs/>
          <w:color w:val="auto"/>
          <w:highlight w:val="white"/>
        </w:rPr>
        <w:t xml:space="preserve"> </w:t>
      </w:r>
      <w:r w:rsidRPr="004F57C6">
        <w:rPr>
          <w:rFonts w:cs="Times New Roman"/>
          <w:bCs/>
          <w:color w:val="auto"/>
          <w:highlight w:val="white"/>
        </w:rPr>
        <w:t>Unsolicited manuscript</w:t>
      </w:r>
    </w:p>
    <w:p w14:paraId="09AA3EDE" w14:textId="77777777" w:rsidR="00DD58B0" w:rsidRPr="00EE30DE" w:rsidRDefault="00DD58B0" w:rsidP="000B5B76">
      <w:pPr>
        <w:pStyle w:val="Default"/>
        <w:snapToGrid w:val="0"/>
        <w:spacing w:line="360" w:lineRule="auto"/>
        <w:jc w:val="both"/>
        <w:rPr>
          <w:b/>
          <w:bCs/>
          <w:color w:val="000000" w:themeColor="text1"/>
        </w:rPr>
      </w:pPr>
    </w:p>
    <w:p w14:paraId="3613DC9F" w14:textId="42307585" w:rsidR="00943737" w:rsidRDefault="003221B1" w:rsidP="000B5B76">
      <w:pPr>
        <w:adjustRightInd w:val="0"/>
        <w:snapToGrid w:val="0"/>
        <w:spacing w:line="360" w:lineRule="auto"/>
        <w:rPr>
          <w:rFonts w:ascii="Book Antiqua" w:hAnsi="Book Antiqua" w:cs="Book Antiqua"/>
          <w:bCs/>
          <w:color w:val="000000" w:themeColor="text1"/>
          <w:kern w:val="0"/>
        </w:rPr>
      </w:pPr>
      <w:r w:rsidRPr="00EE30DE">
        <w:rPr>
          <w:rFonts w:ascii="Book Antiqua" w:hAnsi="Book Antiqua" w:cs="Book Antiqua"/>
          <w:b/>
          <w:bCs/>
          <w:color w:val="000000" w:themeColor="text1"/>
          <w:kern w:val="0"/>
        </w:rPr>
        <w:t>Correspondence to:</w:t>
      </w:r>
      <w:r w:rsidRPr="00EE30DE">
        <w:rPr>
          <w:rFonts w:ascii="Book Antiqua" w:hAnsi="Book Antiqua" w:cs="Book Antiqua"/>
          <w:bCs/>
          <w:color w:val="000000" w:themeColor="text1"/>
          <w:kern w:val="0"/>
        </w:rPr>
        <w:t xml:space="preserve"> </w:t>
      </w:r>
      <w:r w:rsidR="00995135" w:rsidRPr="00995135">
        <w:rPr>
          <w:rFonts w:ascii="Book Antiqua" w:hAnsi="Book Antiqua" w:cs="Book Antiqua"/>
          <w:b/>
          <w:bCs/>
          <w:color w:val="000000" w:themeColor="text1"/>
          <w:kern w:val="0"/>
        </w:rPr>
        <w:t>Yong-Ping Mu</w:t>
      </w:r>
      <w:r w:rsidR="00C520CB" w:rsidRPr="00995135">
        <w:rPr>
          <w:rFonts w:ascii="Book Antiqua" w:hAnsi="Book Antiqua" w:cs="Book Antiqua"/>
          <w:b/>
          <w:bCs/>
          <w:color w:val="000000" w:themeColor="text1"/>
          <w:kern w:val="0"/>
        </w:rPr>
        <w:t xml:space="preserve">, </w:t>
      </w:r>
      <w:r w:rsidR="00C520CB" w:rsidRPr="00995135">
        <w:rPr>
          <w:rFonts w:ascii="Book Antiqua" w:hAnsi="Book Antiqua" w:cs="Tahoma"/>
          <w:b/>
          <w:color w:val="000000" w:themeColor="text1"/>
        </w:rPr>
        <w:t>PhD,</w:t>
      </w:r>
      <w:r w:rsidR="00C520CB" w:rsidRPr="00995135">
        <w:rPr>
          <w:rFonts w:ascii="Book Antiqua" w:hAnsi="Book Antiqua"/>
          <w:b/>
          <w:color w:val="000000" w:themeColor="text1"/>
        </w:rPr>
        <w:t xml:space="preserve"> </w:t>
      </w:r>
      <w:r w:rsidR="00C520CB" w:rsidRPr="00995135">
        <w:rPr>
          <w:rFonts w:ascii="Book Antiqua" w:hAnsi="Book Antiqua" w:cs="Tahoma"/>
          <w:b/>
          <w:color w:val="000000" w:themeColor="text1"/>
        </w:rPr>
        <w:t>A</w:t>
      </w:r>
      <w:r w:rsidR="00995135" w:rsidRPr="00995135">
        <w:rPr>
          <w:rFonts w:ascii="Book Antiqua" w:hAnsi="Book Antiqua" w:cs="Tahoma"/>
          <w:b/>
          <w:color w:val="000000" w:themeColor="text1"/>
        </w:rPr>
        <w:t>ttending Doctor</w:t>
      </w:r>
      <w:r w:rsidR="00C520CB" w:rsidRPr="00995135">
        <w:rPr>
          <w:rFonts w:ascii="Book Antiqua" w:hAnsi="Book Antiqua" w:cs="Tahoma"/>
          <w:b/>
          <w:color w:val="000000" w:themeColor="text1"/>
        </w:rPr>
        <w:t>,</w:t>
      </w:r>
      <w:r w:rsidR="00C520CB" w:rsidRPr="00EE30DE">
        <w:rPr>
          <w:rFonts w:ascii="Book Antiqua" w:hAnsi="Book Antiqua" w:cs="Tahoma"/>
          <w:color w:val="000000" w:themeColor="text1"/>
        </w:rPr>
        <w:t xml:space="preserve"> </w:t>
      </w:r>
      <w:r w:rsidR="00B97450">
        <w:rPr>
          <w:rFonts w:ascii="Book Antiqua" w:hAnsi="Book Antiqua" w:cs="Book Antiqua"/>
          <w:bCs/>
          <w:color w:val="000000" w:themeColor="text1"/>
          <w:kern w:val="0"/>
        </w:rPr>
        <w:t>Department of G</w:t>
      </w:r>
      <w:r w:rsidR="00B97450" w:rsidRPr="00B97450">
        <w:rPr>
          <w:rFonts w:ascii="Book Antiqua" w:hAnsi="Book Antiqua" w:cs="Book Antiqua"/>
          <w:bCs/>
          <w:color w:val="000000" w:themeColor="text1"/>
          <w:kern w:val="0"/>
        </w:rPr>
        <w:t xml:space="preserve">astroenterology and Hepatology, </w:t>
      </w:r>
      <w:proofErr w:type="spellStart"/>
      <w:r w:rsidR="00B97450" w:rsidRPr="00B97450">
        <w:rPr>
          <w:rFonts w:ascii="Book Antiqua" w:hAnsi="Book Antiqua" w:cs="Book Antiqua"/>
          <w:bCs/>
          <w:color w:val="000000" w:themeColor="text1"/>
          <w:kern w:val="0"/>
        </w:rPr>
        <w:t>Shuguang</w:t>
      </w:r>
      <w:proofErr w:type="spellEnd"/>
      <w:r w:rsidR="00B97450" w:rsidRPr="00B97450">
        <w:rPr>
          <w:rFonts w:ascii="Book Antiqua" w:hAnsi="Book Antiqua" w:cs="Book Antiqua"/>
          <w:bCs/>
          <w:color w:val="000000" w:themeColor="text1"/>
          <w:kern w:val="0"/>
        </w:rPr>
        <w:t xml:space="preserve"> Hospital affiliated to Shanghai</w:t>
      </w:r>
      <w:r w:rsidR="00B97450" w:rsidRPr="00B97450">
        <w:rPr>
          <w:rFonts w:ascii="Book Antiqua" w:hAnsi="Book Antiqua"/>
          <w:color w:val="000000" w:themeColor="text1"/>
          <w:lang w:val="pl-PL"/>
        </w:rPr>
        <w:t xml:space="preserve"> University of Traditional Chinese Medicine,</w:t>
      </w:r>
      <w:r w:rsidR="00943737" w:rsidRPr="00B97450">
        <w:rPr>
          <w:rFonts w:ascii="Book Antiqua" w:hAnsi="Book Antiqua" w:cs="Book Antiqua"/>
          <w:bCs/>
          <w:color w:val="000000" w:themeColor="text1"/>
          <w:kern w:val="0"/>
        </w:rPr>
        <w:t xml:space="preserve"> 528</w:t>
      </w:r>
      <w:r w:rsidR="00C520CB" w:rsidRPr="00B97450">
        <w:rPr>
          <w:rFonts w:ascii="Book Antiqua" w:hAnsi="Book Antiqua" w:cs="Book Antiqua"/>
          <w:bCs/>
          <w:color w:val="000000" w:themeColor="text1"/>
          <w:kern w:val="0"/>
        </w:rPr>
        <w:t xml:space="preserve"> </w:t>
      </w:r>
      <w:proofErr w:type="spellStart"/>
      <w:r w:rsidR="00C520CB" w:rsidRPr="00B97450">
        <w:rPr>
          <w:rFonts w:ascii="Book Antiqua" w:hAnsi="Book Antiqua" w:cs="Book Antiqua"/>
          <w:bCs/>
          <w:color w:val="000000" w:themeColor="text1"/>
          <w:kern w:val="0"/>
        </w:rPr>
        <w:t>Zhangheng</w:t>
      </w:r>
      <w:proofErr w:type="spellEnd"/>
      <w:r w:rsidR="00C520CB" w:rsidRPr="00B97450">
        <w:rPr>
          <w:rFonts w:ascii="Book Antiqua" w:hAnsi="Book Antiqua" w:cs="Book Antiqua"/>
          <w:bCs/>
          <w:color w:val="000000" w:themeColor="text1"/>
          <w:kern w:val="0"/>
        </w:rPr>
        <w:t xml:space="preserve"> Road, Pudong district, Shanghai 201203, </w:t>
      </w:r>
      <w:r w:rsidR="00943737" w:rsidRPr="00B97450">
        <w:rPr>
          <w:rFonts w:ascii="Book Antiqua" w:hAnsi="Book Antiqua" w:cs="Book Antiqua"/>
          <w:bCs/>
          <w:color w:val="000000" w:themeColor="text1"/>
          <w:kern w:val="0"/>
        </w:rPr>
        <w:t>China.</w:t>
      </w:r>
      <w:r w:rsidR="00943737">
        <w:rPr>
          <w:rFonts w:ascii="Book Antiqua" w:hAnsi="Book Antiqua" w:cs="Book Antiqua"/>
          <w:bCs/>
          <w:color w:val="000000" w:themeColor="text1"/>
          <w:kern w:val="0"/>
        </w:rPr>
        <w:t xml:space="preserve"> </w:t>
      </w:r>
      <w:hyperlink r:id="rId7" w:history="1">
        <w:r w:rsidR="00943737" w:rsidRPr="006406C5">
          <w:rPr>
            <w:rStyle w:val="Hyperlink"/>
            <w:rFonts w:ascii="Book Antiqua" w:hAnsi="Book Antiqua" w:cs="Book Antiqua"/>
            <w:bCs/>
            <w:kern w:val="0"/>
          </w:rPr>
          <w:t>ypmu8888@126.com</w:t>
        </w:r>
      </w:hyperlink>
    </w:p>
    <w:p w14:paraId="0E392EDD" w14:textId="77777777" w:rsidR="00943737" w:rsidRDefault="00C520CB" w:rsidP="000B5B76">
      <w:pPr>
        <w:adjustRightInd w:val="0"/>
        <w:snapToGrid w:val="0"/>
        <w:spacing w:line="360" w:lineRule="auto"/>
        <w:rPr>
          <w:rFonts w:ascii="Book Antiqua" w:hAnsi="Book Antiqua" w:cs="Book Antiqua"/>
          <w:bCs/>
          <w:color w:val="000000" w:themeColor="text1"/>
          <w:kern w:val="0"/>
        </w:rPr>
      </w:pPr>
      <w:r w:rsidRPr="00943737">
        <w:rPr>
          <w:rFonts w:ascii="Book Antiqua" w:hAnsi="Book Antiqua"/>
          <w:b/>
          <w:color w:val="000000" w:themeColor="text1"/>
          <w:lang w:val="pl-PL"/>
        </w:rPr>
        <w:t>Telephone:</w:t>
      </w:r>
      <w:r w:rsidRPr="00EE30DE">
        <w:rPr>
          <w:rFonts w:ascii="Book Antiqua" w:hAnsi="Book Antiqua"/>
          <w:color w:val="000000" w:themeColor="text1"/>
          <w:lang w:val="pl-PL"/>
        </w:rPr>
        <w:t xml:space="preserve"> +86-21-20256526</w:t>
      </w:r>
      <w:r w:rsidRPr="00EE30DE">
        <w:rPr>
          <w:rFonts w:ascii="Book Antiqua" w:hAnsi="Book Antiqua" w:cs="Book Antiqua"/>
          <w:bCs/>
          <w:color w:val="000000" w:themeColor="text1"/>
          <w:kern w:val="0"/>
        </w:rPr>
        <w:t xml:space="preserve"> </w:t>
      </w:r>
    </w:p>
    <w:p w14:paraId="3F55C7C5" w14:textId="1DD16227" w:rsidR="00C520CB" w:rsidRPr="00EE30DE" w:rsidRDefault="00C520CB" w:rsidP="000B5B76">
      <w:pPr>
        <w:adjustRightInd w:val="0"/>
        <w:snapToGrid w:val="0"/>
        <w:spacing w:line="360" w:lineRule="auto"/>
        <w:rPr>
          <w:rFonts w:ascii="Book Antiqua" w:hAnsi="Book Antiqua" w:cs="Book Antiqua"/>
          <w:bCs/>
          <w:color w:val="000000" w:themeColor="text1"/>
          <w:kern w:val="0"/>
        </w:rPr>
      </w:pPr>
      <w:r w:rsidRPr="00943737">
        <w:rPr>
          <w:rFonts w:ascii="Book Antiqua" w:hAnsi="Book Antiqua"/>
          <w:b/>
          <w:color w:val="000000" w:themeColor="text1"/>
          <w:lang w:val="pl-PL"/>
        </w:rPr>
        <w:t>Fax:</w:t>
      </w:r>
      <w:r w:rsidR="00E706FF">
        <w:rPr>
          <w:rFonts w:ascii="Book Antiqua" w:hAnsi="Book Antiqua" w:cs="Book Antiqua" w:hint="eastAsia"/>
          <w:b/>
          <w:bCs/>
          <w:color w:val="000000" w:themeColor="text1"/>
          <w:kern w:val="0"/>
        </w:rPr>
        <w:t xml:space="preserve"> </w:t>
      </w:r>
      <w:r w:rsidRPr="00EE30DE">
        <w:rPr>
          <w:rFonts w:ascii="Book Antiqua" w:hAnsi="Book Antiqua" w:cs="Book Antiqua"/>
          <w:bCs/>
          <w:color w:val="000000" w:themeColor="text1"/>
          <w:kern w:val="0"/>
        </w:rPr>
        <w:t>+86-21-20256521</w:t>
      </w:r>
    </w:p>
    <w:p w14:paraId="428BBDF4" w14:textId="5645E95D" w:rsidR="009C6917" w:rsidRPr="00EE30DE" w:rsidRDefault="009C6917" w:rsidP="000B5B76">
      <w:pPr>
        <w:adjustRightInd w:val="0"/>
        <w:snapToGrid w:val="0"/>
        <w:spacing w:line="360" w:lineRule="auto"/>
        <w:rPr>
          <w:rFonts w:ascii="Book Antiqua" w:hAnsi="Book Antiqua" w:cs="Book Antiqua"/>
          <w:bCs/>
          <w:color w:val="000000" w:themeColor="text1"/>
          <w:kern w:val="0"/>
        </w:rPr>
      </w:pPr>
    </w:p>
    <w:p w14:paraId="00045ACC" w14:textId="70CA81AE" w:rsidR="00943737" w:rsidRPr="00A37D48" w:rsidRDefault="00943737" w:rsidP="00943737">
      <w:pPr>
        <w:adjustRightInd w:val="0"/>
        <w:snapToGrid w:val="0"/>
        <w:spacing w:line="360" w:lineRule="auto"/>
        <w:outlineLvl w:val="0"/>
        <w:rPr>
          <w:rFonts w:ascii="Book Antiqua" w:hAnsi="Book Antiqua"/>
          <w:b/>
        </w:rPr>
      </w:pPr>
      <w:bookmarkStart w:id="43" w:name="OLE_LINK14"/>
      <w:bookmarkStart w:id="44" w:name="OLE_LINK51"/>
      <w:r w:rsidRPr="00A37D48">
        <w:rPr>
          <w:rFonts w:ascii="Book Antiqua" w:hAnsi="Book Antiqua"/>
          <w:b/>
        </w:rPr>
        <w:t xml:space="preserve">Received: </w:t>
      </w:r>
      <w:r>
        <w:rPr>
          <w:rFonts w:ascii="Book Antiqua" w:hAnsi="Book Antiqua"/>
        </w:rPr>
        <w:t>August</w:t>
      </w:r>
      <w:r>
        <w:rPr>
          <w:rFonts w:ascii="Book Antiqua" w:eastAsia="DengXian" w:hAnsi="Book Antiqua"/>
        </w:rPr>
        <w:t xml:space="preserve"> 8</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bookmarkStart w:id="45" w:name="_GoBack"/>
      <w:bookmarkEnd w:id="45"/>
    </w:p>
    <w:p w14:paraId="421BFCFB" w14:textId="6D6EEBE1" w:rsidR="00943737" w:rsidRPr="00697A7B" w:rsidRDefault="00943737" w:rsidP="00943737">
      <w:pPr>
        <w:adjustRightInd w:val="0"/>
        <w:snapToGrid w:val="0"/>
        <w:spacing w:line="360" w:lineRule="auto"/>
        <w:outlineLvl w:val="0"/>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8</w:t>
      </w:r>
      <w:r w:rsidRPr="00697A7B">
        <w:rPr>
          <w:rFonts w:ascii="Book Antiqua" w:eastAsia="DengXian" w:hAnsi="Book Antiqua"/>
        </w:rPr>
        <w:t>, 201</w:t>
      </w:r>
      <w:r>
        <w:rPr>
          <w:rFonts w:ascii="Book Antiqua" w:eastAsia="DengXian" w:hAnsi="Book Antiqua"/>
        </w:rPr>
        <w:t>8</w:t>
      </w:r>
    </w:p>
    <w:p w14:paraId="46C4FDDB" w14:textId="37AA86CA" w:rsidR="00943737" w:rsidRPr="00697A7B" w:rsidRDefault="00943737" w:rsidP="00943737">
      <w:pPr>
        <w:adjustRightInd w:val="0"/>
        <w:snapToGrid w:val="0"/>
        <w:spacing w:line="360" w:lineRule="auto"/>
        <w:outlineLvl w:val="0"/>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October</w:t>
      </w:r>
      <w:r>
        <w:rPr>
          <w:rFonts w:ascii="Book Antiqua" w:eastAsia="DengXian" w:hAnsi="Book Antiqua"/>
        </w:rPr>
        <w:t xml:space="preserve"> 5</w:t>
      </w:r>
      <w:r w:rsidRPr="00697A7B">
        <w:rPr>
          <w:rFonts w:ascii="Book Antiqua" w:eastAsia="DengXian" w:hAnsi="Book Antiqua"/>
        </w:rPr>
        <w:t>, 201</w:t>
      </w:r>
      <w:r>
        <w:rPr>
          <w:rFonts w:ascii="Book Antiqua" w:eastAsia="DengXian" w:hAnsi="Book Antiqua"/>
        </w:rPr>
        <w:t>8</w:t>
      </w:r>
    </w:p>
    <w:p w14:paraId="0E4B85A4" w14:textId="7375BD86" w:rsidR="00943737" w:rsidRPr="00A37D48" w:rsidRDefault="00943737" w:rsidP="00943737">
      <w:pPr>
        <w:adjustRightInd w:val="0"/>
        <w:snapToGrid w:val="0"/>
        <w:spacing w:line="360" w:lineRule="auto"/>
        <w:rPr>
          <w:rFonts w:ascii="Book Antiqua" w:hAnsi="Book Antiqua"/>
          <w:b/>
        </w:rPr>
      </w:pPr>
      <w:r w:rsidRPr="00A37D48">
        <w:rPr>
          <w:rFonts w:ascii="Book Antiqua" w:hAnsi="Book Antiqua"/>
          <w:b/>
        </w:rPr>
        <w:t xml:space="preserve">Revised: </w:t>
      </w:r>
      <w:r>
        <w:rPr>
          <w:rFonts w:ascii="Book Antiqua" w:hAnsi="Book Antiqua"/>
        </w:rPr>
        <w:t>October 19, 2018</w:t>
      </w:r>
      <w:r w:rsidRPr="009C1EE2">
        <w:rPr>
          <w:rFonts w:ascii="Book Antiqua" w:hAnsi="Book Antiqua"/>
        </w:rPr>
        <w:t xml:space="preserve"> </w:t>
      </w:r>
    </w:p>
    <w:p w14:paraId="02529835" w14:textId="030D1628" w:rsidR="00943737" w:rsidRPr="00A37D48" w:rsidRDefault="00943737" w:rsidP="00943737">
      <w:pPr>
        <w:adjustRightInd w:val="0"/>
        <w:snapToGrid w:val="0"/>
        <w:spacing w:line="360" w:lineRule="auto"/>
        <w:outlineLvl w:val="0"/>
        <w:rPr>
          <w:rFonts w:ascii="Book Antiqua" w:hAnsi="Book Antiqua"/>
          <w:b/>
        </w:rPr>
      </w:pPr>
      <w:r w:rsidRPr="00A37D48">
        <w:rPr>
          <w:rFonts w:ascii="Book Antiqua" w:hAnsi="Book Antiqua"/>
          <w:b/>
        </w:rPr>
        <w:t>Accepted:</w:t>
      </w:r>
      <w:r w:rsidR="005A417E">
        <w:rPr>
          <w:rFonts w:ascii="Book Antiqua" w:hAnsi="Book Antiqua"/>
          <w:b/>
        </w:rPr>
        <w:t xml:space="preserve"> </w:t>
      </w:r>
      <w:r w:rsidR="005A417E" w:rsidRPr="005A417E">
        <w:rPr>
          <w:rFonts w:ascii="Book Antiqua" w:hAnsi="Book Antiqua"/>
        </w:rPr>
        <w:t>October 26, 2018</w:t>
      </w:r>
    </w:p>
    <w:p w14:paraId="35A5E280" w14:textId="77777777" w:rsidR="00943737" w:rsidRPr="00A37D48" w:rsidRDefault="00943737" w:rsidP="00943737">
      <w:pPr>
        <w:adjustRightInd w:val="0"/>
        <w:snapToGrid w:val="0"/>
        <w:spacing w:line="360" w:lineRule="auto"/>
        <w:outlineLvl w:val="0"/>
        <w:rPr>
          <w:rFonts w:ascii="Book Antiqua" w:hAnsi="Book Antiqua"/>
          <w:b/>
        </w:rPr>
      </w:pPr>
      <w:r w:rsidRPr="00A37D48">
        <w:rPr>
          <w:rFonts w:ascii="Book Antiqua" w:hAnsi="Book Antiqua"/>
          <w:b/>
        </w:rPr>
        <w:t>Article in press:</w:t>
      </w:r>
    </w:p>
    <w:p w14:paraId="37EF19A7" w14:textId="77777777" w:rsidR="00943737" w:rsidRPr="00831B2E" w:rsidRDefault="00943737" w:rsidP="00943737">
      <w:pPr>
        <w:snapToGrid w:val="0"/>
        <w:spacing w:line="360" w:lineRule="auto"/>
        <w:outlineLvl w:val="0"/>
        <w:rPr>
          <w:rFonts w:ascii="Book Antiqua" w:hAnsi="Book Antiqua"/>
          <w:color w:val="000000"/>
        </w:rPr>
      </w:pPr>
      <w:r w:rsidRPr="00A37D48">
        <w:rPr>
          <w:rFonts w:ascii="Book Antiqua" w:hAnsi="Book Antiqua"/>
          <w:b/>
        </w:rPr>
        <w:t>Published online:</w:t>
      </w:r>
      <w:bookmarkEnd w:id="43"/>
      <w:bookmarkEnd w:id="44"/>
    </w:p>
    <w:p w14:paraId="18371E1D" w14:textId="77777777" w:rsidR="00DD58B0" w:rsidRPr="00943737" w:rsidRDefault="00DD58B0" w:rsidP="000B5B76">
      <w:pPr>
        <w:adjustRightInd w:val="0"/>
        <w:snapToGrid w:val="0"/>
        <w:spacing w:line="360" w:lineRule="auto"/>
        <w:rPr>
          <w:rFonts w:ascii="Book Antiqua" w:hAnsi="Book Antiqua" w:cs="Book Antiqua"/>
          <w:bCs/>
          <w:color w:val="000000" w:themeColor="text1"/>
          <w:kern w:val="0"/>
        </w:rPr>
      </w:pPr>
    </w:p>
    <w:p w14:paraId="5C9B90D3" w14:textId="77777777" w:rsidR="00037FCA" w:rsidRPr="00EE30DE" w:rsidRDefault="00037FCA" w:rsidP="00943737">
      <w:pPr>
        <w:pStyle w:val="Default"/>
        <w:pageBreakBefore/>
        <w:snapToGrid w:val="0"/>
        <w:spacing w:line="360" w:lineRule="auto"/>
        <w:jc w:val="both"/>
        <w:outlineLvl w:val="0"/>
        <w:rPr>
          <w:color w:val="000000" w:themeColor="text1"/>
        </w:rPr>
      </w:pPr>
      <w:r w:rsidRPr="00EE30DE">
        <w:rPr>
          <w:b/>
          <w:bCs/>
          <w:color w:val="000000" w:themeColor="text1"/>
        </w:rPr>
        <w:lastRenderedPageBreak/>
        <w:t xml:space="preserve">Abstract </w:t>
      </w:r>
    </w:p>
    <w:p w14:paraId="570FD78D" w14:textId="77777777" w:rsidR="00037FCA" w:rsidRPr="00EE30DE" w:rsidRDefault="00037FCA" w:rsidP="00943737">
      <w:pPr>
        <w:pStyle w:val="Default"/>
        <w:snapToGrid w:val="0"/>
        <w:spacing w:line="360" w:lineRule="auto"/>
        <w:jc w:val="both"/>
        <w:outlineLvl w:val="0"/>
        <w:rPr>
          <w:color w:val="000000" w:themeColor="text1"/>
        </w:rPr>
      </w:pPr>
      <w:r w:rsidRPr="00EE30DE">
        <w:rPr>
          <w:b/>
          <w:bCs/>
          <w:i/>
          <w:iCs/>
          <w:color w:val="000000" w:themeColor="text1"/>
        </w:rPr>
        <w:t>AIM</w:t>
      </w:r>
      <w:r w:rsidRPr="00EE30DE">
        <w:rPr>
          <w:b/>
          <w:bCs/>
          <w:color w:val="000000" w:themeColor="text1"/>
        </w:rPr>
        <w:t xml:space="preserve"> </w:t>
      </w:r>
    </w:p>
    <w:p w14:paraId="3DECD46B" w14:textId="74BE0916" w:rsidR="002037ED" w:rsidRPr="00EE30DE" w:rsidRDefault="00C520CB" w:rsidP="000B5B76">
      <w:pPr>
        <w:pStyle w:val="Default"/>
        <w:snapToGrid w:val="0"/>
        <w:spacing w:line="360" w:lineRule="auto"/>
        <w:jc w:val="both"/>
        <w:rPr>
          <w:bCs/>
          <w:color w:val="000000" w:themeColor="text1"/>
        </w:rPr>
      </w:pPr>
      <w:r w:rsidRPr="00EE30DE">
        <w:rPr>
          <w:bCs/>
          <w:color w:val="000000" w:themeColor="text1"/>
        </w:rPr>
        <w:t>To prove</w:t>
      </w:r>
      <w:r w:rsidR="00943737">
        <w:rPr>
          <w:color w:val="000000" w:themeColor="text1"/>
        </w:rPr>
        <w:t xml:space="preserve"> that </w:t>
      </w:r>
      <w:proofErr w:type="spellStart"/>
      <w:r w:rsidR="00943737">
        <w:rPr>
          <w:color w:val="000000" w:themeColor="text1"/>
        </w:rPr>
        <w:t>Yiguanjian</w:t>
      </w:r>
      <w:proofErr w:type="spellEnd"/>
      <w:r w:rsidR="00943737">
        <w:rPr>
          <w:color w:val="000000" w:themeColor="text1"/>
        </w:rPr>
        <w:t xml:space="preserve"> d</w:t>
      </w:r>
      <w:r w:rsidRPr="00EE30DE">
        <w:rPr>
          <w:color w:val="000000" w:themeColor="text1"/>
        </w:rPr>
        <w:t>ecoction (YGJ) has an anti-</w:t>
      </w:r>
      <w:r w:rsidRPr="00EE30DE">
        <w:rPr>
          <w:bCs/>
          <w:color w:val="000000" w:themeColor="text1"/>
        </w:rPr>
        <w:t>liver cirrhotic</w:t>
      </w:r>
      <w:r w:rsidRPr="00EE30DE">
        <w:rPr>
          <w:color w:val="000000" w:themeColor="text1"/>
        </w:rPr>
        <w:t xml:space="preserve"> effect</w:t>
      </w:r>
      <w:r w:rsidRPr="00EE30DE">
        <w:rPr>
          <w:bCs/>
          <w:color w:val="000000" w:themeColor="text1"/>
        </w:rPr>
        <w:t xml:space="preserve"> and</w:t>
      </w:r>
      <w:r w:rsidRPr="00EE30DE">
        <w:rPr>
          <w:color w:val="000000" w:themeColor="text1"/>
        </w:rPr>
        <w:t xml:space="preserve"> that it regulates hepatic stem cell differentiation.</w:t>
      </w:r>
    </w:p>
    <w:p w14:paraId="3CB13E8B" w14:textId="77777777" w:rsidR="00DD58B0" w:rsidRPr="00EE30DE" w:rsidRDefault="00DD58B0" w:rsidP="000B5B76">
      <w:pPr>
        <w:pStyle w:val="Default"/>
        <w:snapToGrid w:val="0"/>
        <w:spacing w:line="360" w:lineRule="auto"/>
        <w:jc w:val="both"/>
        <w:rPr>
          <w:b/>
          <w:bCs/>
          <w:color w:val="000000" w:themeColor="text1"/>
        </w:rPr>
      </w:pPr>
    </w:p>
    <w:p w14:paraId="3ED1104A" w14:textId="756AC477" w:rsidR="00FB18E8" w:rsidRPr="00943737" w:rsidRDefault="00FB18E8" w:rsidP="00943737">
      <w:pPr>
        <w:pStyle w:val="Default"/>
        <w:snapToGrid w:val="0"/>
        <w:spacing w:line="360" w:lineRule="auto"/>
        <w:jc w:val="both"/>
        <w:outlineLvl w:val="0"/>
        <w:rPr>
          <w:b/>
          <w:bCs/>
          <w:i/>
          <w:color w:val="000000" w:themeColor="text1"/>
        </w:rPr>
      </w:pPr>
      <w:r w:rsidRPr="00943737">
        <w:rPr>
          <w:b/>
          <w:bCs/>
          <w:i/>
          <w:color w:val="000000" w:themeColor="text1"/>
        </w:rPr>
        <w:t>METHODS</w:t>
      </w:r>
    </w:p>
    <w:p w14:paraId="3B83DC9A" w14:textId="04B292E5" w:rsidR="00FB18E8" w:rsidRPr="00EE30DE" w:rsidRDefault="00943737" w:rsidP="000B5B76">
      <w:pPr>
        <w:pStyle w:val="Default"/>
        <w:snapToGrid w:val="0"/>
        <w:spacing w:line="360" w:lineRule="auto"/>
        <w:jc w:val="both"/>
        <w:rPr>
          <w:bCs/>
          <w:color w:val="000000" w:themeColor="text1"/>
        </w:rPr>
      </w:pPr>
      <w:r>
        <w:rPr>
          <w:bCs/>
          <w:color w:val="000000" w:themeColor="text1"/>
        </w:rPr>
        <w:t>A</w:t>
      </w:r>
      <w:r w:rsidR="00FB18E8" w:rsidRPr="00EE30DE">
        <w:rPr>
          <w:bCs/>
          <w:color w:val="000000" w:themeColor="text1"/>
        </w:rPr>
        <w:t xml:space="preserve"> rat model of liver cirrhosis was established via subcutaneous injection of </w:t>
      </w:r>
      <w:r w:rsidR="00C13BD0" w:rsidRPr="00EE30DE">
        <w:rPr>
          <w:color w:val="000000" w:themeColor="text1"/>
        </w:rPr>
        <w:t>carbon tetrachloride (CCl</w:t>
      </w:r>
      <w:r w:rsidR="00C13BD0" w:rsidRPr="00C13BD0">
        <w:rPr>
          <w:color w:val="000000" w:themeColor="text1"/>
          <w:vertAlign w:val="subscript"/>
        </w:rPr>
        <w:t>4</w:t>
      </w:r>
      <w:r w:rsidR="00C13BD0" w:rsidRPr="00EE30DE">
        <w:rPr>
          <w:color w:val="000000" w:themeColor="text1"/>
        </w:rPr>
        <w:t>)</w:t>
      </w:r>
      <w:r w:rsidR="00FB18E8" w:rsidRPr="00EE30DE">
        <w:rPr>
          <w:bCs/>
          <w:color w:val="000000" w:themeColor="text1"/>
        </w:rPr>
        <w:t xml:space="preserve"> for 8 w</w:t>
      </w:r>
      <w:r>
        <w:rPr>
          <w:bCs/>
          <w:color w:val="000000" w:themeColor="text1"/>
        </w:rPr>
        <w:t>k</w:t>
      </w:r>
      <w:r w:rsidR="00FB18E8" w:rsidRPr="00EE30DE">
        <w:rPr>
          <w:bCs/>
          <w:color w:val="000000" w:themeColor="text1"/>
        </w:rPr>
        <w:t xml:space="preserve">. From the beginning of the ninth week, the rats received </w:t>
      </w:r>
      <w:bookmarkStart w:id="46" w:name="OLE_LINK22"/>
      <w:bookmarkStart w:id="47" w:name="OLE_LINK23"/>
      <w:r w:rsidR="00FB18E8" w:rsidRPr="00EE30DE">
        <w:rPr>
          <w:bCs/>
          <w:color w:val="000000" w:themeColor="text1"/>
        </w:rPr>
        <w:t>2-acetylaminofluorene</w:t>
      </w:r>
      <w:bookmarkEnd w:id="46"/>
      <w:bookmarkEnd w:id="47"/>
      <w:r w:rsidR="00FB18E8" w:rsidRPr="00EE30DE">
        <w:rPr>
          <w:bCs/>
          <w:color w:val="000000" w:themeColor="text1"/>
        </w:rPr>
        <w:t xml:space="preserve"> (2-AAF) by oral gavage and a DLK-1</w:t>
      </w:r>
      <w:r w:rsidR="00FB18E8" w:rsidRPr="00943737">
        <w:rPr>
          <w:bCs/>
          <w:color w:val="000000" w:themeColor="text1"/>
          <w:vertAlign w:val="superscript"/>
        </w:rPr>
        <w:t>+</w:t>
      </w:r>
      <w:r w:rsidR="00FB18E8" w:rsidRPr="00EE30DE">
        <w:rPr>
          <w:bCs/>
          <w:color w:val="000000" w:themeColor="text1"/>
        </w:rPr>
        <w:t xml:space="preserve"> fetal liver stem/progenitor cell (FLSPCs) transplant or an FLSPC transplant in combination with YGJ treatment for 4 w</w:t>
      </w:r>
      <w:r>
        <w:rPr>
          <w:bCs/>
          <w:color w:val="000000" w:themeColor="text1"/>
        </w:rPr>
        <w:t>k</w:t>
      </w:r>
      <w:r w:rsidR="00FB18E8" w:rsidRPr="00EE30DE">
        <w:rPr>
          <w:bCs/>
          <w:color w:val="000000" w:themeColor="text1"/>
        </w:rPr>
        <w:t xml:space="preserve">. </w:t>
      </w:r>
      <w:r w:rsidR="00FB18E8" w:rsidRPr="00943737">
        <w:rPr>
          <w:bCs/>
          <w:i/>
          <w:color w:val="000000" w:themeColor="text1"/>
        </w:rPr>
        <w:t>In vitro</w:t>
      </w:r>
      <w:r w:rsidR="00FB18E8" w:rsidRPr="00EE30DE">
        <w:rPr>
          <w:bCs/>
          <w:color w:val="000000" w:themeColor="text1"/>
        </w:rPr>
        <w:t>, lipopolysaccharide (LPS)-activated macrophages were co-cultured with WB-F344 cells, and the differentiation of WB-F344 cells was observed in the</w:t>
      </w:r>
      <w:r>
        <w:rPr>
          <w:bCs/>
          <w:color w:val="000000" w:themeColor="text1"/>
        </w:rPr>
        <w:t xml:space="preserve"> presence and absence of YGJ t</w:t>
      </w:r>
      <w:r w:rsidR="00FB18E8" w:rsidRPr="00EE30DE">
        <w:rPr>
          <w:bCs/>
          <w:color w:val="000000" w:themeColor="text1"/>
        </w:rPr>
        <w:t>reatment.</w:t>
      </w:r>
    </w:p>
    <w:p w14:paraId="76B9384E" w14:textId="77777777" w:rsidR="00DD58B0" w:rsidRPr="00EE30DE" w:rsidRDefault="00DD58B0" w:rsidP="000B5B76">
      <w:pPr>
        <w:pStyle w:val="Default"/>
        <w:snapToGrid w:val="0"/>
        <w:spacing w:line="360" w:lineRule="auto"/>
        <w:jc w:val="both"/>
        <w:rPr>
          <w:b/>
          <w:bCs/>
          <w:color w:val="000000" w:themeColor="text1"/>
        </w:rPr>
      </w:pPr>
    </w:p>
    <w:p w14:paraId="6ECCA286" w14:textId="4CB2C567" w:rsidR="00FB18E8" w:rsidRPr="00943737" w:rsidRDefault="00FB18E8" w:rsidP="00943737">
      <w:pPr>
        <w:pStyle w:val="Default"/>
        <w:snapToGrid w:val="0"/>
        <w:spacing w:line="360" w:lineRule="auto"/>
        <w:jc w:val="both"/>
        <w:outlineLvl w:val="0"/>
        <w:rPr>
          <w:b/>
          <w:bCs/>
          <w:i/>
          <w:color w:val="000000" w:themeColor="text1"/>
        </w:rPr>
      </w:pPr>
      <w:r w:rsidRPr="00943737">
        <w:rPr>
          <w:b/>
          <w:bCs/>
          <w:i/>
          <w:color w:val="000000" w:themeColor="text1"/>
        </w:rPr>
        <w:t>RESULTS</w:t>
      </w:r>
    </w:p>
    <w:p w14:paraId="7C870773" w14:textId="3A8CA9AA" w:rsidR="00FB18E8" w:rsidRPr="00EE30DE" w:rsidRDefault="00FB18E8" w:rsidP="000B5B76">
      <w:pPr>
        <w:adjustRightInd w:val="0"/>
        <w:snapToGrid w:val="0"/>
        <w:spacing w:line="360" w:lineRule="auto"/>
        <w:rPr>
          <w:rFonts w:ascii="Book Antiqua" w:hAnsi="Book Antiqua" w:cs="Book Antiqua"/>
          <w:bCs/>
          <w:color w:val="000000" w:themeColor="text1"/>
          <w:kern w:val="0"/>
        </w:rPr>
      </w:pPr>
      <w:r w:rsidRPr="00EE30DE">
        <w:rPr>
          <w:rFonts w:ascii="Book Antiqua" w:hAnsi="Book Antiqua" w:cs="Book Antiqua"/>
          <w:bCs/>
          <w:color w:val="000000" w:themeColor="text1"/>
          <w:kern w:val="0"/>
        </w:rPr>
        <w:t xml:space="preserve">The results showed that FLSPC transplantation improved liver function and histopathology, and inhibited the activation of the non-canonical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pathway, while activating the 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pathway. YGJ enhanced the therapeutic effects of FLSPCs and also promoted the liver regeneration differentiation of FLSPCs into hepatocytes. </w:t>
      </w:r>
      <w:r w:rsidRPr="00A22C34">
        <w:rPr>
          <w:rFonts w:ascii="Book Antiqua" w:hAnsi="Book Antiqua" w:cs="Book Antiqua"/>
          <w:bCs/>
          <w:i/>
          <w:color w:val="000000" w:themeColor="text1"/>
          <w:kern w:val="0"/>
        </w:rPr>
        <w:t>In vitro</w:t>
      </w:r>
      <w:r w:rsidRPr="00EE30DE">
        <w:rPr>
          <w:rFonts w:ascii="Book Antiqua" w:hAnsi="Book Antiqua" w:cs="Book Antiqua"/>
          <w:bCs/>
          <w:color w:val="000000" w:themeColor="text1"/>
          <w:kern w:val="0"/>
        </w:rPr>
        <w:t xml:space="preserve">, the LPS-activated macrophages promoted the differentiation of WB-F344 cells into myofibroblasts, and the 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was inhibited while the non-canonical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was activated in WB-F344 cells. YGJ inhibited the activation of macrophages and then inhibited non-canonical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and promoted canonical </w:t>
      </w:r>
      <w:proofErr w:type="spellStart"/>
      <w:r w:rsidRPr="00EE30DE">
        <w:rPr>
          <w:rFonts w:ascii="Book Antiqua" w:hAnsi="Book Antiqua" w:cs="Book Antiqua"/>
          <w:bCs/>
          <w:color w:val="000000" w:themeColor="text1"/>
          <w:kern w:val="0"/>
        </w:rPr>
        <w:t>Wnt</w:t>
      </w:r>
      <w:proofErr w:type="spellEnd"/>
      <w:r w:rsidRPr="00EE30DE">
        <w:rPr>
          <w:rFonts w:ascii="Book Antiqua" w:hAnsi="Book Antiqua" w:cs="Book Antiqua"/>
          <w:bCs/>
          <w:color w:val="000000" w:themeColor="text1"/>
          <w:kern w:val="0"/>
        </w:rPr>
        <w:t xml:space="preserve"> signaling. </w:t>
      </w:r>
    </w:p>
    <w:p w14:paraId="3AB1F20F" w14:textId="77777777" w:rsidR="00DD58B0" w:rsidRPr="00EE30DE" w:rsidRDefault="00DD58B0" w:rsidP="000B5B76">
      <w:pPr>
        <w:pStyle w:val="Default"/>
        <w:snapToGrid w:val="0"/>
        <w:spacing w:line="360" w:lineRule="auto"/>
        <w:jc w:val="both"/>
        <w:rPr>
          <w:b/>
          <w:bCs/>
          <w:color w:val="000000" w:themeColor="text1"/>
        </w:rPr>
      </w:pPr>
    </w:p>
    <w:p w14:paraId="7CD5A064" w14:textId="77777777" w:rsidR="00FB18E8" w:rsidRPr="00A22C34" w:rsidRDefault="00FB18E8" w:rsidP="00943737">
      <w:pPr>
        <w:pStyle w:val="Default"/>
        <w:snapToGrid w:val="0"/>
        <w:spacing w:line="360" w:lineRule="auto"/>
        <w:jc w:val="both"/>
        <w:outlineLvl w:val="0"/>
        <w:rPr>
          <w:b/>
          <w:bCs/>
          <w:i/>
          <w:color w:val="000000" w:themeColor="text1"/>
        </w:rPr>
      </w:pPr>
      <w:r w:rsidRPr="00A22C34">
        <w:rPr>
          <w:b/>
          <w:bCs/>
          <w:i/>
          <w:color w:val="000000" w:themeColor="text1"/>
        </w:rPr>
        <w:t xml:space="preserve">CONCLUSION </w:t>
      </w:r>
    </w:p>
    <w:p w14:paraId="348056BF" w14:textId="77777777" w:rsidR="00FB18E8" w:rsidRPr="00EE30DE" w:rsidRDefault="00FB18E8" w:rsidP="000B5B76">
      <w:pPr>
        <w:adjustRightInd w:val="0"/>
        <w:snapToGrid w:val="0"/>
        <w:spacing w:line="360" w:lineRule="auto"/>
        <w:rPr>
          <w:rFonts w:ascii="Book Antiqua" w:hAnsi="Book Antiqua" w:cs="Book Antiqua"/>
          <w:bCs/>
          <w:color w:val="000000" w:themeColor="text1"/>
          <w:kern w:val="0"/>
        </w:rPr>
      </w:pPr>
      <w:r w:rsidRPr="00EE30DE">
        <w:rPr>
          <w:rFonts w:ascii="Book Antiqua" w:hAnsi="Book Antiqua" w:cs="Book Antiqua"/>
          <w:bCs/>
          <w:color w:val="000000" w:themeColor="text1"/>
          <w:kern w:val="0"/>
        </w:rPr>
        <w:t>YGJ enhances FLSPC-mediated repair of cirrhosis through regulation of macrophage activation state, and YGJ combination with stem cell transplantation may be a suitable treatment for end-stage cirrhosis.</w:t>
      </w:r>
    </w:p>
    <w:p w14:paraId="57A00EAD" w14:textId="77777777" w:rsidR="00DD58B0" w:rsidRPr="00EE30DE" w:rsidRDefault="00DD58B0" w:rsidP="000B5B76">
      <w:pPr>
        <w:pStyle w:val="Default"/>
        <w:snapToGrid w:val="0"/>
        <w:spacing w:line="360" w:lineRule="auto"/>
        <w:jc w:val="both"/>
        <w:rPr>
          <w:b/>
          <w:bCs/>
          <w:color w:val="000000" w:themeColor="text1"/>
        </w:rPr>
      </w:pPr>
    </w:p>
    <w:p w14:paraId="1BE630F5" w14:textId="5DD031FD" w:rsidR="00FB18E8" w:rsidRPr="00A22C34" w:rsidRDefault="00FB18E8" w:rsidP="00A22C34">
      <w:pPr>
        <w:pStyle w:val="Default"/>
        <w:snapToGrid w:val="0"/>
        <w:spacing w:line="360" w:lineRule="auto"/>
        <w:jc w:val="both"/>
        <w:outlineLvl w:val="0"/>
        <w:rPr>
          <w:b/>
          <w:bCs/>
          <w:color w:val="000000" w:themeColor="text1"/>
        </w:rPr>
      </w:pPr>
      <w:r w:rsidRPr="00EE30DE">
        <w:rPr>
          <w:b/>
          <w:bCs/>
          <w:color w:val="000000" w:themeColor="text1"/>
        </w:rPr>
        <w:t>Key words:</w:t>
      </w:r>
      <w:r w:rsidR="00A22C34">
        <w:rPr>
          <w:b/>
          <w:bCs/>
          <w:color w:val="000000" w:themeColor="text1"/>
        </w:rPr>
        <w:t xml:space="preserve"> </w:t>
      </w:r>
      <w:r w:rsidRPr="00EE30DE">
        <w:rPr>
          <w:bCs/>
          <w:color w:val="000000" w:themeColor="text1"/>
        </w:rPr>
        <w:t>Cirrhosis; Hepatic progenitor</w:t>
      </w:r>
      <w:r w:rsidR="00A22C34">
        <w:rPr>
          <w:bCs/>
          <w:color w:val="000000" w:themeColor="text1"/>
        </w:rPr>
        <w:t xml:space="preserve"> cells; </w:t>
      </w:r>
      <w:proofErr w:type="spellStart"/>
      <w:r w:rsidR="00A22C34">
        <w:rPr>
          <w:bCs/>
          <w:color w:val="000000" w:themeColor="text1"/>
        </w:rPr>
        <w:t>Wnt</w:t>
      </w:r>
      <w:proofErr w:type="spellEnd"/>
      <w:r w:rsidR="00A22C34">
        <w:rPr>
          <w:bCs/>
          <w:color w:val="000000" w:themeColor="text1"/>
        </w:rPr>
        <w:t xml:space="preserve"> signaling pathway; M</w:t>
      </w:r>
      <w:r w:rsidRPr="00EE30DE">
        <w:rPr>
          <w:bCs/>
          <w:color w:val="000000" w:themeColor="text1"/>
        </w:rPr>
        <w:t xml:space="preserve">acrophage; </w:t>
      </w:r>
      <w:r w:rsidR="0087005B" w:rsidRPr="00EE30DE">
        <w:rPr>
          <w:bCs/>
          <w:color w:val="000000" w:themeColor="text1"/>
        </w:rPr>
        <w:t>2-acetylaminofluorene</w:t>
      </w:r>
      <w:r w:rsidRPr="00EE30DE">
        <w:rPr>
          <w:bCs/>
          <w:color w:val="000000" w:themeColor="text1"/>
        </w:rPr>
        <w:t xml:space="preserve">; </w:t>
      </w:r>
      <w:r w:rsidR="00A22C34">
        <w:rPr>
          <w:bCs/>
          <w:color w:val="000000" w:themeColor="text1"/>
        </w:rPr>
        <w:t>C</w:t>
      </w:r>
      <w:r w:rsidR="0087005B" w:rsidRPr="00EE30DE">
        <w:rPr>
          <w:bCs/>
          <w:color w:val="000000" w:themeColor="text1"/>
        </w:rPr>
        <w:t>arbon tetrachloride</w:t>
      </w:r>
      <w:r w:rsidRPr="00EE30DE">
        <w:rPr>
          <w:bCs/>
          <w:color w:val="000000" w:themeColor="text1"/>
        </w:rPr>
        <w:t xml:space="preserve">; </w:t>
      </w:r>
      <w:proofErr w:type="spellStart"/>
      <w:r w:rsidRPr="00EE30DE">
        <w:rPr>
          <w:bCs/>
          <w:color w:val="000000" w:themeColor="text1"/>
        </w:rPr>
        <w:t>Yiguanjian</w:t>
      </w:r>
      <w:proofErr w:type="spellEnd"/>
      <w:r w:rsidRPr="00EE30DE">
        <w:rPr>
          <w:bCs/>
          <w:color w:val="000000" w:themeColor="text1"/>
        </w:rPr>
        <w:t xml:space="preserve"> decoction</w:t>
      </w:r>
    </w:p>
    <w:p w14:paraId="637140B8" w14:textId="77777777" w:rsidR="00DD58B0" w:rsidRDefault="00DD58B0" w:rsidP="00A22C34">
      <w:pPr>
        <w:pStyle w:val="Default"/>
        <w:snapToGrid w:val="0"/>
        <w:spacing w:line="360" w:lineRule="auto"/>
        <w:jc w:val="both"/>
        <w:rPr>
          <w:b/>
          <w:bCs/>
          <w:color w:val="000000" w:themeColor="text1"/>
        </w:rPr>
      </w:pPr>
    </w:p>
    <w:p w14:paraId="74AB00DC" w14:textId="77777777" w:rsidR="00A22C34" w:rsidRDefault="00A22C34" w:rsidP="00A22C34">
      <w:pPr>
        <w:adjustRightInd w:val="0"/>
        <w:snapToGrid w:val="0"/>
        <w:spacing w:line="360" w:lineRule="auto"/>
        <w:rPr>
          <w:rFonts w:ascii="Book Antiqua" w:hAnsi="Book Antiqua"/>
        </w:rPr>
      </w:pPr>
      <w:bookmarkStart w:id="48" w:name="OLE_LINK59"/>
      <w:r>
        <w:rPr>
          <w:rFonts w:ascii="Book Antiqua" w:hAnsi="Book Antiqua"/>
          <w:b/>
        </w:rPr>
        <w:t>© The Author(s) 2018</w:t>
      </w:r>
      <w:r w:rsidRPr="00A37D48">
        <w:rPr>
          <w:rFonts w:ascii="Book Antiqua" w:hAnsi="Book Antiqua"/>
          <w:b/>
        </w:rPr>
        <w:t xml:space="preserve">. </w:t>
      </w:r>
      <w:r w:rsidRPr="00A37D48">
        <w:rPr>
          <w:rFonts w:ascii="Book Antiqua" w:hAnsi="Book Antiqua"/>
        </w:rPr>
        <w:t xml:space="preserve">Published by </w:t>
      </w:r>
      <w:proofErr w:type="spellStart"/>
      <w:r w:rsidRPr="00A37D48">
        <w:rPr>
          <w:rFonts w:ascii="Book Antiqua" w:hAnsi="Book Antiqua"/>
        </w:rPr>
        <w:t>Baishideng</w:t>
      </w:r>
      <w:proofErr w:type="spellEnd"/>
      <w:r w:rsidRPr="00A37D48">
        <w:rPr>
          <w:rFonts w:ascii="Book Antiqua" w:hAnsi="Book Antiqua"/>
        </w:rPr>
        <w:t xml:space="preserve"> Publishing Group Inc. All rights reserved.</w:t>
      </w:r>
      <w:r w:rsidRPr="00831B2E">
        <w:rPr>
          <w:rFonts w:ascii="Book Antiqua" w:hAnsi="Book Antiqua"/>
        </w:rPr>
        <w:t xml:space="preserve"> </w:t>
      </w:r>
    </w:p>
    <w:bookmarkEnd w:id="48"/>
    <w:p w14:paraId="171A9732" w14:textId="77777777" w:rsidR="00A22C34" w:rsidRPr="00A22C34" w:rsidRDefault="00A22C34" w:rsidP="00A22C34">
      <w:pPr>
        <w:pStyle w:val="Default"/>
        <w:snapToGrid w:val="0"/>
        <w:spacing w:line="360" w:lineRule="auto"/>
        <w:jc w:val="both"/>
        <w:rPr>
          <w:b/>
          <w:bCs/>
          <w:color w:val="000000" w:themeColor="text1"/>
        </w:rPr>
      </w:pPr>
    </w:p>
    <w:p w14:paraId="43779998" w14:textId="5681A47C" w:rsidR="00A500E0" w:rsidRPr="00A22C34" w:rsidRDefault="00FB18E8" w:rsidP="00A22C34">
      <w:pPr>
        <w:pStyle w:val="Default"/>
        <w:snapToGrid w:val="0"/>
        <w:spacing w:line="360" w:lineRule="auto"/>
        <w:jc w:val="both"/>
        <w:outlineLvl w:val="0"/>
        <w:rPr>
          <w:b/>
          <w:bCs/>
          <w:color w:val="000000" w:themeColor="text1"/>
        </w:rPr>
      </w:pPr>
      <w:r w:rsidRPr="00EE30DE">
        <w:rPr>
          <w:b/>
          <w:bCs/>
          <w:color w:val="000000" w:themeColor="text1"/>
        </w:rPr>
        <w:t>Core tip:</w:t>
      </w:r>
      <w:r w:rsidR="00A22C34">
        <w:rPr>
          <w:b/>
          <w:bCs/>
          <w:color w:val="000000" w:themeColor="text1"/>
        </w:rPr>
        <w:t xml:space="preserve"> </w:t>
      </w:r>
      <w:r w:rsidR="00792100" w:rsidRPr="00EE30DE">
        <w:rPr>
          <w:bCs/>
          <w:color w:val="000000" w:themeColor="text1"/>
        </w:rPr>
        <w:t xml:space="preserve">Stem cells play an important role in the treatment of end-stage cirrhosis, but details concerning their differentiation are still controversial. Our previous studies </w:t>
      </w:r>
      <w:r w:rsidR="00943737">
        <w:rPr>
          <w:bCs/>
          <w:color w:val="000000" w:themeColor="text1"/>
        </w:rPr>
        <w:t xml:space="preserve">have indicated that </w:t>
      </w:r>
      <w:proofErr w:type="spellStart"/>
      <w:r w:rsidR="00943737">
        <w:rPr>
          <w:bCs/>
          <w:color w:val="000000" w:themeColor="text1"/>
        </w:rPr>
        <w:t>Yiguanjian</w:t>
      </w:r>
      <w:proofErr w:type="spellEnd"/>
      <w:r w:rsidR="00943737">
        <w:rPr>
          <w:bCs/>
          <w:color w:val="000000" w:themeColor="text1"/>
        </w:rPr>
        <w:t xml:space="preserve"> d</w:t>
      </w:r>
      <w:r w:rsidR="00792100" w:rsidRPr="00EE30DE">
        <w:rPr>
          <w:bCs/>
          <w:color w:val="000000" w:themeColor="text1"/>
        </w:rPr>
        <w:t>ecoction (YGJ) has an anti-hepatic fibrosis effect. However, it remains unclear whether YGJ regulates stem cell differentiation. In this work</w:t>
      </w:r>
      <w:r w:rsidR="0023258C">
        <w:rPr>
          <w:bCs/>
          <w:color w:val="000000" w:themeColor="text1"/>
        </w:rPr>
        <w:t>, we found that YGJ may enhance</w:t>
      </w:r>
      <w:r w:rsidR="00792100" w:rsidRPr="00EE30DE">
        <w:rPr>
          <w:bCs/>
          <w:color w:val="000000" w:themeColor="text1"/>
        </w:rPr>
        <w:t xml:space="preserve"> fetal liver stem/progenitor cell</w:t>
      </w:r>
      <w:r w:rsidR="00E135BF">
        <w:rPr>
          <w:rFonts w:hint="eastAsia"/>
          <w:bCs/>
          <w:color w:val="000000" w:themeColor="text1"/>
        </w:rPr>
        <w:t xml:space="preserve"> </w:t>
      </w:r>
      <w:r w:rsidR="00792100" w:rsidRPr="00EE30DE">
        <w:rPr>
          <w:bCs/>
          <w:color w:val="000000" w:themeColor="text1"/>
        </w:rPr>
        <w:t>mediated repair of cirrhosis through regulation of macrophage activation state in cirrhosis, suggested that YGJ combination with stem cell transplantation may be a suitable treatment for end-stage cirrhosis.</w:t>
      </w:r>
    </w:p>
    <w:p w14:paraId="6B3804B5" w14:textId="77777777" w:rsidR="00A22C34" w:rsidRPr="005C4384" w:rsidRDefault="00A22C34" w:rsidP="000B5B76">
      <w:pPr>
        <w:pStyle w:val="Default"/>
        <w:snapToGrid w:val="0"/>
        <w:spacing w:line="360" w:lineRule="auto"/>
        <w:jc w:val="both"/>
        <w:rPr>
          <w:rFonts w:cs="Times New Roman"/>
          <w:color w:val="000000" w:themeColor="text1"/>
          <w:kern w:val="2"/>
        </w:rPr>
      </w:pPr>
    </w:p>
    <w:p w14:paraId="0ACCB022" w14:textId="1328FB2F" w:rsidR="00DD58B0" w:rsidRPr="00EE30DE" w:rsidRDefault="0087005B" w:rsidP="000B5B76">
      <w:pPr>
        <w:pStyle w:val="Default"/>
        <w:snapToGrid w:val="0"/>
        <w:spacing w:line="360" w:lineRule="auto"/>
        <w:jc w:val="both"/>
        <w:rPr>
          <w:bCs/>
          <w:color w:val="000000" w:themeColor="text1"/>
        </w:rPr>
      </w:pPr>
      <w:r w:rsidRPr="00EE30DE">
        <w:rPr>
          <w:bCs/>
          <w:color w:val="000000" w:themeColor="text1"/>
        </w:rPr>
        <w:t>Xu Y, Fan WW, Xu W, Jiang SL, Chen GF, Liu C, Chen JM, Zhang H, Liu P</w:t>
      </w:r>
      <w:r w:rsidR="00A22C34">
        <w:rPr>
          <w:bCs/>
          <w:color w:val="000000" w:themeColor="text1"/>
        </w:rPr>
        <w:t>,</w:t>
      </w:r>
      <w:r w:rsidRPr="00EE30DE">
        <w:rPr>
          <w:bCs/>
          <w:color w:val="000000" w:themeColor="text1"/>
        </w:rPr>
        <w:t xml:space="preserve"> Mu YP. </w:t>
      </w:r>
      <w:proofErr w:type="spellStart"/>
      <w:r w:rsidRPr="00EE30DE">
        <w:rPr>
          <w:bCs/>
          <w:color w:val="000000" w:themeColor="text1"/>
        </w:rPr>
        <w:t>Yiguanjian</w:t>
      </w:r>
      <w:proofErr w:type="spellEnd"/>
      <w:r w:rsidRPr="00EE30DE">
        <w:rPr>
          <w:bCs/>
          <w:color w:val="000000" w:themeColor="text1"/>
        </w:rPr>
        <w:t xml:space="preserve"> decoction enhances fetal liver stem/progenitor cell-mediated repair of liver cirrhosis through regulation of macrophage activation state.</w:t>
      </w:r>
      <w:r w:rsidR="00A22C34">
        <w:rPr>
          <w:i/>
          <w:color w:val="000000" w:themeColor="text1"/>
        </w:rPr>
        <w:t xml:space="preserve"> </w:t>
      </w:r>
      <w:r w:rsidRPr="00EE30DE">
        <w:rPr>
          <w:rFonts w:cs="Times New Roman"/>
          <w:i/>
          <w:color w:val="000000" w:themeColor="text1"/>
        </w:rPr>
        <w:t xml:space="preserve">World J Gastroenterol </w:t>
      </w:r>
      <w:r w:rsidRPr="00EE30DE">
        <w:rPr>
          <w:rFonts w:cs="Times New Roman"/>
          <w:color w:val="000000" w:themeColor="text1"/>
        </w:rPr>
        <w:t>2018;</w:t>
      </w:r>
      <w:r w:rsidR="00A22C34">
        <w:rPr>
          <w:rFonts w:cs="Times New Roman"/>
          <w:color w:val="000000" w:themeColor="text1"/>
        </w:rPr>
        <w:t xml:space="preserve"> In press</w:t>
      </w:r>
    </w:p>
    <w:p w14:paraId="1243DFCB" w14:textId="7058905F" w:rsidR="00DD58B0" w:rsidRPr="00EE30DE" w:rsidRDefault="00DD58B0" w:rsidP="000B5B76">
      <w:pPr>
        <w:widowControl/>
        <w:adjustRightInd w:val="0"/>
        <w:snapToGrid w:val="0"/>
        <w:spacing w:line="360" w:lineRule="auto"/>
        <w:rPr>
          <w:rFonts w:ascii="Book Antiqua" w:hAnsi="Book Antiqua" w:cs="Calibri"/>
          <w:b/>
          <w:noProof/>
          <w:color w:val="000000" w:themeColor="text1"/>
          <w:shd w:val="clear" w:color="auto" w:fill="FFFFFF"/>
        </w:rPr>
      </w:pPr>
      <w:r w:rsidRPr="00EE30DE">
        <w:rPr>
          <w:rFonts w:ascii="Book Antiqua" w:hAnsi="Book Antiqua"/>
          <w:b/>
          <w:color w:val="000000" w:themeColor="text1"/>
        </w:rPr>
        <w:br w:type="page"/>
      </w:r>
    </w:p>
    <w:p w14:paraId="30D23DC0" w14:textId="054FCB82" w:rsidR="00792100" w:rsidRPr="00EE30DE" w:rsidRDefault="00DD58B0" w:rsidP="00943737">
      <w:pPr>
        <w:pStyle w:val="EndNoteBibliography"/>
        <w:adjustRightInd w:val="0"/>
        <w:snapToGrid w:val="0"/>
        <w:spacing w:line="360" w:lineRule="auto"/>
        <w:outlineLvl w:val="0"/>
        <w:rPr>
          <w:rFonts w:ascii="Book Antiqua" w:hAnsi="Book Antiqua"/>
          <w:b/>
          <w:color w:val="000000" w:themeColor="text1"/>
          <w:sz w:val="24"/>
          <w:szCs w:val="24"/>
        </w:rPr>
      </w:pPr>
      <w:r w:rsidRPr="00EE30DE">
        <w:rPr>
          <w:rFonts w:ascii="Book Antiqua" w:hAnsi="Book Antiqua"/>
          <w:b/>
          <w:color w:val="000000" w:themeColor="text1"/>
          <w:sz w:val="24"/>
          <w:szCs w:val="24"/>
        </w:rPr>
        <w:lastRenderedPageBreak/>
        <w:t>INTRODUCTION</w:t>
      </w:r>
    </w:p>
    <w:p w14:paraId="0C97BA35" w14:textId="3557CE5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bookmarkStart w:id="49" w:name="OLE_LINK16"/>
      <w:bookmarkStart w:id="50" w:name="OLE_LINK21"/>
      <w:r w:rsidRPr="00EE30DE">
        <w:rPr>
          <w:rFonts w:ascii="Book Antiqua" w:hAnsi="Book Antiqua"/>
          <w:color w:val="000000" w:themeColor="text1"/>
          <w:sz w:val="24"/>
          <w:szCs w:val="24"/>
        </w:rPr>
        <w:t xml:space="preserve">Liver cirrhosis is the common endpoint of a wide variety of chronic liver disease processes. </w:t>
      </w:r>
      <w:bookmarkEnd w:id="49"/>
      <w:bookmarkEnd w:id="50"/>
      <w:r w:rsidRPr="00EE30DE">
        <w:rPr>
          <w:rFonts w:ascii="Book Antiqua" w:hAnsi="Book Antiqua"/>
          <w:color w:val="000000" w:themeColor="text1"/>
          <w:sz w:val="24"/>
          <w:szCs w:val="24"/>
        </w:rPr>
        <w:t>Liver transplantation is the most effective treatment for end-stage cirrhosis</w:t>
      </w:r>
      <w:r w:rsidR="003B4FE4" w:rsidRPr="00EE30DE">
        <w:rPr>
          <w:rFonts w:ascii="Book Antiqua" w:hAnsi="Book Antiqua"/>
          <w:color w:val="000000" w:themeColor="text1"/>
          <w:sz w:val="24"/>
          <w:szCs w:val="24"/>
          <w:vertAlign w:val="superscript"/>
        </w:rPr>
        <w:t>[1]</w:t>
      </w:r>
      <w:r w:rsidRPr="00EE30DE">
        <w:rPr>
          <w:rFonts w:ascii="Book Antiqua" w:hAnsi="Book Antiqua"/>
          <w:color w:val="000000" w:themeColor="text1"/>
          <w:sz w:val="24"/>
          <w:szCs w:val="24"/>
        </w:rPr>
        <w:t>. However, it is limited by the shortage of organs, transplant rejection, and high cost</w:t>
      </w:r>
      <w:r w:rsidR="003B4FE4" w:rsidRPr="00EE30DE">
        <w:rPr>
          <w:rFonts w:ascii="Book Antiqua" w:hAnsi="Book Antiqua"/>
          <w:color w:val="000000" w:themeColor="text1"/>
          <w:sz w:val="24"/>
          <w:szCs w:val="24"/>
          <w:vertAlign w:val="superscript"/>
        </w:rPr>
        <w:t>[2]</w:t>
      </w:r>
      <w:r w:rsidR="0043579C">
        <w:rPr>
          <w:rFonts w:ascii="Book Antiqua" w:hAnsi="Book Antiqua"/>
          <w:color w:val="000000" w:themeColor="text1"/>
          <w:sz w:val="24"/>
          <w:szCs w:val="24"/>
        </w:rPr>
        <w:t xml:space="preserve">. Thus, </w:t>
      </w:r>
      <w:bookmarkStart w:id="51" w:name="OLE_LINK25"/>
      <w:bookmarkStart w:id="52" w:name="OLE_LINK26"/>
      <w:r w:rsidR="0043579C">
        <w:rPr>
          <w:rFonts w:ascii="Book Antiqua" w:hAnsi="Book Antiqua"/>
          <w:color w:val="000000" w:themeColor="text1"/>
          <w:sz w:val="24"/>
          <w:szCs w:val="24"/>
        </w:rPr>
        <w:t>h</w:t>
      </w:r>
      <w:r w:rsidRPr="00EE30DE">
        <w:rPr>
          <w:rFonts w:ascii="Book Antiqua" w:hAnsi="Book Antiqua"/>
          <w:color w:val="000000" w:themeColor="text1"/>
          <w:sz w:val="24"/>
          <w:szCs w:val="24"/>
        </w:rPr>
        <w:t>epatic progenitor cells</w:t>
      </w:r>
      <w:bookmarkEnd w:id="51"/>
      <w:bookmarkEnd w:id="52"/>
      <w:r w:rsidRPr="00EE30DE">
        <w:rPr>
          <w:rFonts w:ascii="Book Antiqua" w:hAnsi="Book Antiqua"/>
          <w:color w:val="000000" w:themeColor="text1"/>
          <w:sz w:val="24"/>
          <w:szCs w:val="24"/>
        </w:rPr>
        <w:t xml:space="preserve"> (HPCs) has been recommended as a potential therapeutic approach to end-stage cirrhosis, which can be isolated from developing and mature livers</w:t>
      </w:r>
      <w:r w:rsidR="003B4FE4" w:rsidRPr="00EE30DE">
        <w:rPr>
          <w:rFonts w:ascii="Book Antiqua" w:hAnsi="Book Antiqua"/>
          <w:color w:val="000000" w:themeColor="text1"/>
          <w:sz w:val="24"/>
          <w:szCs w:val="24"/>
          <w:vertAlign w:val="superscript"/>
        </w:rPr>
        <w:t>[3-6]</w:t>
      </w:r>
      <w:r w:rsidRPr="00EE30DE">
        <w:rPr>
          <w:rFonts w:ascii="Book Antiqua" w:hAnsi="Book Antiqua"/>
          <w:color w:val="000000" w:themeColor="text1"/>
          <w:sz w:val="24"/>
          <w:szCs w:val="24"/>
        </w:rPr>
        <w:t>, and the Wnt signaling is a key regulator for HPCs differentiation</w:t>
      </w:r>
      <w:r w:rsidR="003B4FE4" w:rsidRPr="00EE30DE">
        <w:rPr>
          <w:rFonts w:ascii="Book Antiqua" w:hAnsi="Book Antiqua"/>
          <w:color w:val="000000" w:themeColor="text1"/>
          <w:sz w:val="24"/>
          <w:szCs w:val="24"/>
          <w:vertAlign w:val="superscript"/>
        </w:rPr>
        <w:t>[7,8]</w:t>
      </w:r>
      <w:r w:rsidRPr="00EE30DE">
        <w:rPr>
          <w:rFonts w:ascii="Book Antiqua" w:hAnsi="Book Antiqua"/>
          <w:color w:val="000000" w:themeColor="text1"/>
          <w:sz w:val="24"/>
          <w:szCs w:val="24"/>
        </w:rPr>
        <w:t>. Canonical Wnt signaling promotes HPCs to differentiate into hepatocytes, while Non-canonical Wnt signaling promotes HPCs to differentiate into</w:t>
      </w:r>
      <w:r w:rsidRPr="00EE30DE" w:rsidDel="00572A90">
        <w:rPr>
          <w:rFonts w:ascii="Book Antiqua" w:hAnsi="Book Antiqua"/>
          <w:color w:val="000000" w:themeColor="text1"/>
          <w:sz w:val="24"/>
          <w:szCs w:val="24"/>
        </w:rPr>
        <w:t xml:space="preserve"> </w:t>
      </w:r>
      <w:r w:rsidRPr="00EE30DE">
        <w:rPr>
          <w:rFonts w:ascii="Book Antiqua" w:hAnsi="Book Antiqua"/>
          <w:color w:val="000000" w:themeColor="text1"/>
          <w:sz w:val="24"/>
          <w:szCs w:val="24"/>
        </w:rPr>
        <w:t>myofibroblast and promotes the progress of liver fibrosis.</w:t>
      </w:r>
    </w:p>
    <w:p w14:paraId="33CF335C" w14:textId="34DA6325" w:rsidR="00792100" w:rsidRPr="00EE30DE" w:rsidRDefault="0043579C"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In addition, macrophages, also known as Kupffer cells (KCs) in the liver, regulate the development of fibrosis by modulating pro- and anti-inflammatory pathways</w:t>
      </w:r>
      <w:r w:rsidR="00DA414C" w:rsidRPr="00EE30DE">
        <w:rPr>
          <w:rFonts w:ascii="Book Antiqua" w:hAnsi="Book Antiqua"/>
          <w:color w:val="000000" w:themeColor="text1"/>
          <w:sz w:val="24"/>
          <w:szCs w:val="24"/>
          <w:vertAlign w:val="superscript"/>
        </w:rPr>
        <w:t>[9,10]</w:t>
      </w:r>
      <w:r w:rsidR="00792100" w:rsidRPr="00EE30DE">
        <w:rPr>
          <w:rFonts w:ascii="Book Antiqua" w:hAnsi="Book Antiqua"/>
          <w:color w:val="000000" w:themeColor="text1"/>
          <w:sz w:val="24"/>
          <w:szCs w:val="24"/>
        </w:rPr>
        <w:t>. Distinct macrophage subsets express different types of chemokines and surface markers and exhibit a diversity of functions</w:t>
      </w:r>
      <w:r w:rsidR="00DA414C" w:rsidRPr="00EE30DE">
        <w:rPr>
          <w:rFonts w:ascii="Book Antiqua" w:hAnsi="Book Antiqua"/>
          <w:color w:val="000000" w:themeColor="text1"/>
          <w:sz w:val="24"/>
          <w:szCs w:val="24"/>
          <w:vertAlign w:val="superscript"/>
        </w:rPr>
        <w:t>[11-13]</w:t>
      </w:r>
      <w:r w:rsidR="00792100" w:rsidRPr="00EE30DE">
        <w:rPr>
          <w:rFonts w:ascii="Book Antiqua" w:hAnsi="Book Antiqua"/>
          <w:color w:val="000000" w:themeColor="text1"/>
          <w:sz w:val="24"/>
          <w:szCs w:val="24"/>
        </w:rPr>
        <w:t>. M1 macrophages (classically activated) produce an abundance of pro-inflammatory cytokines after being induced by pro-inflammatory mediators, such as lipopolysaccharide (LPS). In contrast, M2 macrophages (alternatively activated) are believed to participate in the blockade of inflammatory responses and promotion of tissue repair</w:t>
      </w:r>
      <w:r w:rsidR="00DA414C" w:rsidRPr="00EE30DE">
        <w:rPr>
          <w:rFonts w:ascii="Book Antiqua" w:hAnsi="Book Antiqua"/>
          <w:color w:val="000000" w:themeColor="text1"/>
          <w:sz w:val="24"/>
          <w:szCs w:val="24"/>
          <w:vertAlign w:val="superscript"/>
        </w:rPr>
        <w:t>[14,15]</w:t>
      </w:r>
      <w:r w:rsidR="00792100" w:rsidRPr="00EE30DE">
        <w:rPr>
          <w:rFonts w:ascii="Book Antiqua" w:hAnsi="Book Antiqua"/>
          <w:color w:val="000000" w:themeColor="text1"/>
          <w:sz w:val="24"/>
          <w:szCs w:val="24"/>
        </w:rPr>
        <w:t xml:space="preserve">. A recent study demonstrated that scavenger receptor-AI positive M2 macrophages can protect against </w:t>
      </w:r>
      <w:r>
        <w:rPr>
          <w:rFonts w:ascii="Book Antiqua" w:hAnsi="Book Antiqua"/>
          <w:color w:val="000000" w:themeColor="text1"/>
          <w:sz w:val="24"/>
          <w:szCs w:val="24"/>
        </w:rPr>
        <w:t>hepatitis C virus (</w:t>
      </w:r>
      <w:r w:rsidR="00792100" w:rsidRPr="00EE30DE">
        <w:rPr>
          <w:rFonts w:ascii="Book Antiqua" w:hAnsi="Book Antiqua"/>
          <w:color w:val="000000" w:themeColor="text1"/>
          <w:sz w:val="24"/>
          <w:szCs w:val="24"/>
        </w:rPr>
        <w:t>HCV</w:t>
      </w:r>
      <w:r>
        <w:rPr>
          <w:rFonts w:ascii="Book Antiqua" w:hAnsi="Book Antiqua"/>
          <w:color w:val="000000" w:themeColor="text1"/>
          <w:sz w:val="24"/>
          <w:szCs w:val="24"/>
        </w:rPr>
        <w:t>)</w:t>
      </w:r>
      <w:r w:rsidR="00792100" w:rsidRPr="00EE30DE">
        <w:rPr>
          <w:rFonts w:ascii="Book Antiqua" w:hAnsi="Book Antiqua"/>
          <w:color w:val="000000" w:themeColor="text1"/>
          <w:sz w:val="24"/>
          <w:szCs w:val="24"/>
        </w:rPr>
        <w:t xml:space="preserve"> infection-induced liver injury and fibrosis</w:t>
      </w:r>
      <w:r w:rsidR="00F3165E" w:rsidRPr="00EE30DE">
        <w:rPr>
          <w:rFonts w:ascii="Book Antiqua" w:hAnsi="Book Antiqua"/>
          <w:color w:val="000000" w:themeColor="text1"/>
          <w:sz w:val="24"/>
          <w:szCs w:val="24"/>
          <w:vertAlign w:val="superscript"/>
        </w:rPr>
        <w:t>[16]</w:t>
      </w:r>
      <w:r w:rsidR="00792100" w:rsidRPr="00EE30DE">
        <w:rPr>
          <w:rFonts w:ascii="Book Antiqua" w:hAnsi="Book Antiqua"/>
          <w:color w:val="000000" w:themeColor="text1"/>
          <w:sz w:val="24"/>
          <w:szCs w:val="24"/>
        </w:rPr>
        <w:t>. It has been reported that stem cell differentiation is also regulated by macrophage polarization, particularly by the Wnt ligands expressed by the macrophages</w:t>
      </w:r>
      <w:r w:rsidR="00F3165E" w:rsidRPr="00EE30DE">
        <w:rPr>
          <w:rFonts w:ascii="Book Antiqua" w:hAnsi="Book Antiqua"/>
          <w:color w:val="000000" w:themeColor="text1"/>
          <w:sz w:val="24"/>
          <w:szCs w:val="24"/>
          <w:vertAlign w:val="superscript"/>
        </w:rPr>
        <w:t>[17]</w:t>
      </w:r>
      <w:r w:rsidR="00792100" w:rsidRPr="00EE30DE">
        <w:rPr>
          <w:rFonts w:ascii="Book Antiqua" w:hAnsi="Book Antiqua"/>
          <w:color w:val="000000" w:themeColor="text1"/>
          <w:sz w:val="24"/>
          <w:szCs w:val="24"/>
        </w:rPr>
        <w:t>. Therefore, it is important to elucidate the relationship between macrophage and Wnt signaling during HPC-mediated liver regeneration.</w:t>
      </w:r>
    </w:p>
    <w:p w14:paraId="2EF21B6D" w14:textId="69ACF17F" w:rsidR="00792100" w:rsidRPr="00EE30DE" w:rsidRDefault="0043579C"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Yiguanjian decoction (YGJ), a classical recipe for treating liver injury, that has a long history in </w:t>
      </w:r>
      <w:r>
        <w:rPr>
          <w:rFonts w:ascii="Book Antiqua" w:hAnsi="Book Antiqua"/>
          <w:color w:val="000000" w:themeColor="text1"/>
          <w:sz w:val="24"/>
          <w:szCs w:val="24"/>
        </w:rPr>
        <w:t>traditional C</w:t>
      </w:r>
      <w:r w:rsidRPr="00EE30DE">
        <w:rPr>
          <w:rFonts w:ascii="Book Antiqua" w:hAnsi="Book Antiqua"/>
          <w:color w:val="000000" w:themeColor="text1"/>
          <w:sz w:val="24"/>
          <w:szCs w:val="24"/>
        </w:rPr>
        <w:t>hinese medicine</w:t>
      </w:r>
      <w:r w:rsidR="00792100" w:rsidRPr="00EE30DE">
        <w:rPr>
          <w:rFonts w:ascii="Book Antiqua" w:hAnsi="Book Antiqua"/>
          <w:color w:val="000000" w:themeColor="text1"/>
          <w:sz w:val="24"/>
          <w:szCs w:val="24"/>
        </w:rPr>
        <w:t xml:space="preserve"> (TCM), consisting of six medicinal herbs; </w:t>
      </w:r>
      <w:r w:rsidR="00792100" w:rsidRPr="0043579C">
        <w:rPr>
          <w:rFonts w:ascii="Book Antiqua" w:hAnsi="Book Antiqua"/>
          <w:i/>
          <w:color w:val="000000" w:themeColor="text1"/>
          <w:sz w:val="24"/>
          <w:szCs w:val="24"/>
        </w:rPr>
        <w:t>i.e.</w:t>
      </w:r>
      <w:r w:rsidR="00792100" w:rsidRPr="00EE30DE">
        <w:rPr>
          <w:rFonts w:ascii="Book Antiqua" w:hAnsi="Book Antiqua"/>
          <w:color w:val="000000" w:themeColor="text1"/>
          <w:sz w:val="24"/>
          <w:szCs w:val="24"/>
        </w:rPr>
        <w:t xml:space="preserve">, </w:t>
      </w:r>
      <w:r w:rsidRPr="00C13BD0">
        <w:rPr>
          <w:rFonts w:ascii="Book Antiqua" w:hAnsi="Book Antiqua"/>
          <w:i/>
          <w:color w:val="000000" w:themeColor="text1"/>
          <w:sz w:val="24"/>
          <w:szCs w:val="24"/>
        </w:rPr>
        <w:t>Rehmanniae</w:t>
      </w:r>
      <w:r w:rsidR="00C13BD0" w:rsidRPr="00C13BD0">
        <w:rPr>
          <w:rFonts w:ascii="Book Antiqua" w:hAnsi="Book Antiqua"/>
          <w:i/>
          <w:color w:val="000000" w:themeColor="text1"/>
          <w:sz w:val="24"/>
          <w:szCs w:val="24"/>
        </w:rPr>
        <w:t xml:space="preserve"> R</w:t>
      </w:r>
      <w:r w:rsidR="00792100" w:rsidRPr="00C13BD0">
        <w:rPr>
          <w:rFonts w:ascii="Book Antiqua" w:hAnsi="Book Antiqua"/>
          <w:i/>
          <w:color w:val="000000" w:themeColor="text1"/>
          <w:sz w:val="24"/>
          <w:szCs w:val="24"/>
        </w:rPr>
        <w:t xml:space="preserve">adix </w:t>
      </w:r>
      <w:r w:rsidR="00792100" w:rsidRPr="00EE30DE">
        <w:rPr>
          <w:rFonts w:ascii="Book Antiqua" w:hAnsi="Book Antiqua"/>
          <w:color w:val="000000" w:themeColor="text1"/>
          <w:sz w:val="24"/>
          <w:szCs w:val="24"/>
        </w:rPr>
        <w:t>(</w:t>
      </w:r>
      <w:r w:rsidR="00792100" w:rsidRPr="00C13BD0">
        <w:rPr>
          <w:rFonts w:ascii="Book Antiqua" w:hAnsi="Book Antiqua"/>
          <w:i/>
          <w:color w:val="000000" w:themeColor="text1"/>
          <w:sz w:val="24"/>
          <w:szCs w:val="24"/>
        </w:rPr>
        <w:t>Rehmannia glutinosa Libosch</w:t>
      </w:r>
      <w:r w:rsidR="00792100" w:rsidRPr="00EE30DE">
        <w:rPr>
          <w:rFonts w:ascii="Book Antiqua" w:hAnsi="Book Antiqua"/>
          <w:color w:val="000000" w:themeColor="text1"/>
          <w:sz w:val="24"/>
          <w:szCs w:val="24"/>
        </w:rPr>
        <w:t xml:space="preserve">., root, Shengdi), </w:t>
      </w:r>
      <w:r w:rsidR="00792100" w:rsidRPr="00C13BD0">
        <w:rPr>
          <w:rFonts w:ascii="Book Antiqua" w:hAnsi="Book Antiqua"/>
          <w:i/>
          <w:color w:val="000000" w:themeColor="text1"/>
          <w:sz w:val="24"/>
          <w:szCs w:val="24"/>
        </w:rPr>
        <w:t xml:space="preserve">Glehniae </w:t>
      </w:r>
      <w:r w:rsidR="00C13BD0" w:rsidRPr="00C13BD0">
        <w:rPr>
          <w:rFonts w:ascii="Book Antiqua" w:hAnsi="Book Antiqua"/>
          <w:i/>
          <w:color w:val="000000" w:themeColor="text1"/>
          <w:sz w:val="24"/>
          <w:szCs w:val="24"/>
        </w:rPr>
        <w:t>Radix</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Glehnia littoralis Fr. Schmidtex Miq.</w:t>
      </w:r>
      <w:r w:rsidR="00792100" w:rsidRPr="00EE30DE">
        <w:rPr>
          <w:rFonts w:ascii="Book Antiqua" w:hAnsi="Book Antiqua"/>
          <w:color w:val="000000" w:themeColor="text1"/>
          <w:sz w:val="24"/>
          <w:szCs w:val="24"/>
        </w:rPr>
        <w:t xml:space="preserve">, root, Beishashen), </w:t>
      </w:r>
      <w:r w:rsidR="00792100" w:rsidRPr="00C13BD0">
        <w:rPr>
          <w:rFonts w:ascii="Book Antiqua" w:hAnsi="Book Antiqua"/>
          <w:i/>
          <w:color w:val="000000" w:themeColor="text1"/>
          <w:sz w:val="24"/>
          <w:szCs w:val="24"/>
        </w:rPr>
        <w:lastRenderedPageBreak/>
        <w:t xml:space="preserve">Ophiopogonis </w:t>
      </w:r>
      <w:r w:rsidR="00C13BD0" w:rsidRPr="00C13BD0">
        <w:rPr>
          <w:rFonts w:ascii="Book Antiqua" w:hAnsi="Book Antiqua"/>
          <w:i/>
          <w:color w:val="000000" w:themeColor="text1"/>
          <w:sz w:val="24"/>
          <w:szCs w:val="24"/>
        </w:rPr>
        <w:t>Radix</w:t>
      </w:r>
      <w:r w:rsidR="00792100" w:rsidRPr="00EE30DE">
        <w:rPr>
          <w:rFonts w:ascii="Book Antiqua" w:hAnsi="Book Antiqua"/>
          <w:color w:val="000000" w:themeColor="text1"/>
          <w:sz w:val="24"/>
          <w:szCs w:val="24"/>
        </w:rPr>
        <w:t xml:space="preserve"> </w:t>
      </w:r>
      <w:r w:rsidR="00C13BD0">
        <w:rPr>
          <w:rFonts w:ascii="Book Antiqua" w:hAnsi="Book Antiqua"/>
          <w:color w:val="000000" w:themeColor="text1"/>
          <w:sz w:val="24"/>
          <w:szCs w:val="24"/>
        </w:rPr>
        <w:t>[</w:t>
      </w:r>
      <w:r w:rsidR="00792100" w:rsidRPr="00C13BD0">
        <w:rPr>
          <w:rFonts w:ascii="Book Antiqua" w:hAnsi="Book Antiqua"/>
          <w:i/>
          <w:color w:val="000000" w:themeColor="text1"/>
          <w:sz w:val="24"/>
          <w:szCs w:val="24"/>
        </w:rPr>
        <w:t>Ophiopogon japonicus</w:t>
      </w:r>
      <w:r w:rsidR="00C13BD0">
        <w:rPr>
          <w:rFonts w:ascii="Book Antiqua" w:hAnsi="Book Antiqua"/>
          <w:color w:val="000000" w:themeColor="text1"/>
          <w:sz w:val="24"/>
          <w:szCs w:val="24"/>
        </w:rPr>
        <w:t xml:space="preserve"> (</w:t>
      </w:r>
      <w:r w:rsidR="00C13BD0" w:rsidRPr="00C13BD0">
        <w:rPr>
          <w:rFonts w:ascii="Book Antiqua" w:hAnsi="Book Antiqua"/>
          <w:i/>
          <w:color w:val="000000" w:themeColor="text1"/>
          <w:sz w:val="24"/>
          <w:szCs w:val="24"/>
        </w:rPr>
        <w:t xml:space="preserve">Linn. </w:t>
      </w:r>
      <w:r w:rsidR="00792100" w:rsidRPr="00C13BD0">
        <w:rPr>
          <w:rFonts w:ascii="Book Antiqua" w:hAnsi="Book Antiqua"/>
          <w:i/>
          <w:color w:val="000000" w:themeColor="text1"/>
          <w:sz w:val="24"/>
          <w:szCs w:val="24"/>
        </w:rPr>
        <w:t>f.</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Ker-Gawl.</w:t>
      </w:r>
      <w:r w:rsidR="00C13BD0">
        <w:rPr>
          <w:rFonts w:ascii="Book Antiqua" w:hAnsi="Book Antiqua"/>
          <w:color w:val="000000" w:themeColor="text1"/>
          <w:sz w:val="24"/>
          <w:szCs w:val="24"/>
        </w:rPr>
        <w:t>, root, Maidong]</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 xml:space="preserve">Lycii </w:t>
      </w:r>
      <w:r w:rsidR="00C13BD0" w:rsidRPr="00C13BD0">
        <w:rPr>
          <w:rFonts w:ascii="Book Antiqua" w:hAnsi="Book Antiqua"/>
          <w:i/>
          <w:color w:val="000000" w:themeColor="text1"/>
          <w:sz w:val="24"/>
          <w:szCs w:val="24"/>
        </w:rPr>
        <w:t>Fructus</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Lycium barbarum L.</w:t>
      </w:r>
      <w:r w:rsidR="00792100" w:rsidRPr="00EE30DE">
        <w:rPr>
          <w:rFonts w:ascii="Book Antiqua" w:hAnsi="Book Antiqua"/>
          <w:color w:val="000000" w:themeColor="text1"/>
          <w:sz w:val="24"/>
          <w:szCs w:val="24"/>
        </w:rPr>
        <w:t xml:space="preserve">, fruit, Gouqizi), </w:t>
      </w:r>
      <w:r w:rsidR="00792100" w:rsidRPr="00C13BD0">
        <w:rPr>
          <w:rFonts w:ascii="Book Antiqua" w:hAnsi="Book Antiqua"/>
          <w:i/>
          <w:color w:val="000000" w:themeColor="text1"/>
          <w:sz w:val="24"/>
          <w:szCs w:val="24"/>
        </w:rPr>
        <w:t>Radix Angelicae Sinensis</w:t>
      </w:r>
      <w:r w:rsidR="00792100" w:rsidRPr="00EE30DE">
        <w:rPr>
          <w:rFonts w:ascii="Book Antiqua" w:hAnsi="Book Antiqua"/>
          <w:color w:val="000000" w:themeColor="text1"/>
          <w:sz w:val="24"/>
          <w:szCs w:val="24"/>
        </w:rPr>
        <w:t xml:space="preserve"> </w:t>
      </w:r>
      <w:r w:rsidR="00C13BD0">
        <w:rPr>
          <w:rFonts w:ascii="Book Antiqua" w:hAnsi="Book Antiqua"/>
          <w:color w:val="000000" w:themeColor="text1"/>
          <w:sz w:val="24"/>
          <w:szCs w:val="24"/>
        </w:rPr>
        <w:t>[</w:t>
      </w:r>
      <w:r w:rsidR="00792100" w:rsidRPr="00C13BD0">
        <w:rPr>
          <w:rFonts w:ascii="Book Antiqua" w:hAnsi="Book Antiqua"/>
          <w:i/>
          <w:color w:val="000000" w:themeColor="text1"/>
          <w:sz w:val="24"/>
          <w:szCs w:val="24"/>
        </w:rPr>
        <w:t>Angelica sinensis</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Oliv.</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Diels.</w:t>
      </w:r>
      <w:r w:rsidR="00C13BD0">
        <w:rPr>
          <w:rFonts w:ascii="Book Antiqua" w:hAnsi="Book Antiqua"/>
          <w:color w:val="000000" w:themeColor="text1"/>
          <w:sz w:val="24"/>
          <w:szCs w:val="24"/>
        </w:rPr>
        <w:t>, root, Danggui]</w:t>
      </w:r>
      <w:r w:rsidR="00792100" w:rsidRPr="00EE30DE">
        <w:rPr>
          <w:rFonts w:ascii="Book Antiqua" w:hAnsi="Book Antiqua"/>
          <w:color w:val="000000" w:themeColor="text1"/>
          <w:sz w:val="24"/>
          <w:szCs w:val="24"/>
        </w:rPr>
        <w:t xml:space="preserve">, and </w:t>
      </w:r>
      <w:r w:rsidR="00792100" w:rsidRPr="00C13BD0">
        <w:rPr>
          <w:rFonts w:ascii="Book Antiqua" w:hAnsi="Book Antiqua"/>
          <w:i/>
          <w:color w:val="000000" w:themeColor="text1"/>
          <w:sz w:val="24"/>
          <w:szCs w:val="24"/>
        </w:rPr>
        <w:t xml:space="preserve">Toosendan </w:t>
      </w:r>
      <w:r w:rsidR="00C13BD0" w:rsidRPr="00C13BD0">
        <w:rPr>
          <w:rFonts w:ascii="Book Antiqua" w:hAnsi="Book Antiqua"/>
          <w:i/>
          <w:color w:val="000000" w:themeColor="text1"/>
          <w:sz w:val="24"/>
          <w:szCs w:val="24"/>
        </w:rPr>
        <w:t>Fructus</w:t>
      </w:r>
      <w:r w:rsidR="00792100" w:rsidRPr="00EE30DE">
        <w:rPr>
          <w:rFonts w:ascii="Book Antiqua" w:hAnsi="Book Antiqua"/>
          <w:color w:val="000000" w:themeColor="text1"/>
          <w:sz w:val="24"/>
          <w:szCs w:val="24"/>
        </w:rPr>
        <w:t xml:space="preserve"> (</w:t>
      </w:r>
      <w:r w:rsidR="00792100" w:rsidRPr="00C13BD0">
        <w:rPr>
          <w:rFonts w:ascii="Book Antiqua" w:hAnsi="Book Antiqua"/>
          <w:i/>
          <w:color w:val="000000" w:themeColor="text1"/>
          <w:sz w:val="24"/>
          <w:szCs w:val="24"/>
        </w:rPr>
        <w:t>Melia toosendan Sieb. et Zucc.</w:t>
      </w:r>
      <w:r w:rsidR="00792100" w:rsidRPr="00EE30DE">
        <w:rPr>
          <w:rFonts w:ascii="Book Antiqua" w:hAnsi="Book Antiqua"/>
          <w:color w:val="000000" w:themeColor="text1"/>
          <w:sz w:val="24"/>
          <w:szCs w:val="24"/>
        </w:rPr>
        <w:t>, fruit, Chuanlianzi). Our previous studies indicated that YGJ exerts anti-fibrogenic effects on carbon tetrachloride (CCl</w:t>
      </w:r>
      <w:r w:rsidR="00792100" w:rsidRPr="00C13BD0">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)-induced cirrhosis in rodent models by inhibiting hepatocyte apoptosis and </w:t>
      </w:r>
      <w:r w:rsidR="00C13BD0">
        <w:rPr>
          <w:rFonts w:ascii="Book Antiqua" w:hAnsi="Book Antiqua"/>
          <w:color w:val="000000" w:themeColor="text1"/>
          <w:sz w:val="24"/>
          <w:szCs w:val="24"/>
        </w:rPr>
        <w:t>h</w:t>
      </w:r>
      <w:r w:rsidR="00C13BD0" w:rsidRPr="00EE30DE">
        <w:rPr>
          <w:rFonts w:ascii="Book Antiqua" w:hAnsi="Book Antiqua"/>
          <w:color w:val="000000" w:themeColor="text1"/>
          <w:sz w:val="24"/>
          <w:szCs w:val="24"/>
        </w:rPr>
        <w:t xml:space="preserve">epatic </w:t>
      </w:r>
      <w:r w:rsidR="00C13BD0">
        <w:rPr>
          <w:rFonts w:ascii="Book Antiqua" w:hAnsi="Book Antiqua"/>
          <w:color w:val="000000" w:themeColor="text1"/>
          <w:sz w:val="24"/>
          <w:szCs w:val="24"/>
        </w:rPr>
        <w:t>stem</w:t>
      </w:r>
      <w:r w:rsidR="00C13BD0" w:rsidRPr="00EE30DE">
        <w:rPr>
          <w:rFonts w:ascii="Book Antiqua" w:hAnsi="Book Antiqua"/>
          <w:color w:val="000000" w:themeColor="text1"/>
          <w:sz w:val="24"/>
          <w:szCs w:val="24"/>
        </w:rPr>
        <w:t xml:space="preserve"> cell</w:t>
      </w:r>
      <w:r w:rsidR="00C13BD0">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HSC</w:t>
      </w:r>
      <w:r w:rsidR="00C13BD0">
        <w:rPr>
          <w:rFonts w:ascii="Book Antiqua" w:hAnsi="Book Antiqua"/>
          <w:color w:val="000000" w:themeColor="text1"/>
          <w:sz w:val="24"/>
          <w:szCs w:val="24"/>
        </w:rPr>
        <w:t>)</w:t>
      </w:r>
      <w:r w:rsidR="00792100" w:rsidRPr="00EE30DE">
        <w:rPr>
          <w:rFonts w:ascii="Book Antiqua" w:hAnsi="Book Antiqua"/>
          <w:color w:val="000000" w:themeColor="text1"/>
          <w:sz w:val="24"/>
          <w:szCs w:val="24"/>
        </w:rPr>
        <w:t xml:space="preserve"> activation, regulating the function of KCs, repressing angiogenesis, and inhibiting the migration of</w:t>
      </w:r>
      <w:r w:rsidR="005C4384">
        <w:rPr>
          <w:rFonts w:ascii="Book Antiqua" w:hAnsi="Book Antiqua"/>
          <w:color w:val="000000" w:themeColor="text1"/>
          <w:sz w:val="24"/>
          <w:szCs w:val="24"/>
        </w:rPr>
        <w:t xml:space="preserve"> bone marrow cells to the liver</w:t>
      </w:r>
      <w:r w:rsidR="00F3165E" w:rsidRPr="00EE30DE">
        <w:rPr>
          <w:rFonts w:ascii="Book Antiqua" w:hAnsi="Book Antiqua"/>
          <w:color w:val="000000" w:themeColor="text1"/>
          <w:sz w:val="24"/>
          <w:szCs w:val="24"/>
          <w:vertAlign w:val="superscript"/>
        </w:rPr>
        <w:t>[18-20]</w:t>
      </w:r>
      <w:r w:rsidR="00792100" w:rsidRPr="00EE30DE">
        <w:rPr>
          <w:rFonts w:ascii="Book Antiqua" w:hAnsi="Book Antiqua"/>
          <w:color w:val="000000" w:themeColor="text1"/>
          <w:sz w:val="24"/>
          <w:szCs w:val="24"/>
        </w:rPr>
        <w:t>. In the present study, we discovered that FLSPCs transplantation promotes the repair of cirrhosis, and that YGJ may enhance this effect, the mechanisms related to inhibition of pro-inflammatory macrophage activation and regulation of Wnt signaling.</w:t>
      </w:r>
    </w:p>
    <w:p w14:paraId="1912F79F"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07B24C22" w14:textId="489FA253" w:rsidR="00792100" w:rsidRPr="00EE30DE" w:rsidRDefault="009D510F" w:rsidP="00943737">
      <w:pPr>
        <w:pStyle w:val="EndNoteBibliography"/>
        <w:adjustRightInd w:val="0"/>
        <w:snapToGrid w:val="0"/>
        <w:spacing w:line="360" w:lineRule="auto"/>
        <w:outlineLvl w:val="0"/>
        <w:rPr>
          <w:rFonts w:ascii="Book Antiqua" w:hAnsi="Book Antiqua"/>
          <w:b/>
          <w:color w:val="000000" w:themeColor="text1"/>
          <w:sz w:val="24"/>
          <w:szCs w:val="24"/>
        </w:rPr>
      </w:pPr>
      <w:r w:rsidRPr="00EE30DE">
        <w:rPr>
          <w:rFonts w:ascii="Book Antiqua" w:hAnsi="Book Antiqua"/>
          <w:b/>
          <w:color w:val="000000" w:themeColor="text1"/>
          <w:sz w:val="24"/>
          <w:szCs w:val="24"/>
        </w:rPr>
        <w:t>MATERIALS AND METHODS</w:t>
      </w:r>
    </w:p>
    <w:p w14:paraId="5E1F5EC2" w14:textId="2F232245"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Materials</w:t>
      </w:r>
    </w:p>
    <w:p w14:paraId="74833155" w14:textId="1FF247A9"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 xml:space="preserve">YGJ consists of </w:t>
      </w:r>
      <w:r w:rsidRPr="00C13BD0">
        <w:rPr>
          <w:rFonts w:ascii="Book Antiqua" w:hAnsi="Book Antiqua"/>
          <w:i/>
          <w:color w:val="000000" w:themeColor="text1"/>
          <w:sz w:val="24"/>
          <w:szCs w:val="24"/>
        </w:rPr>
        <w:t xml:space="preserve">Rehmanniae </w:t>
      </w:r>
      <w:r w:rsidR="00C13BD0" w:rsidRPr="00C13BD0">
        <w:rPr>
          <w:rFonts w:ascii="Book Antiqua" w:hAnsi="Book Antiqua"/>
          <w:i/>
          <w:color w:val="000000" w:themeColor="text1"/>
          <w:sz w:val="24"/>
          <w:szCs w:val="24"/>
        </w:rPr>
        <w:t xml:space="preserve">Radix </w:t>
      </w:r>
      <w:r w:rsidRPr="00EE30DE">
        <w:rPr>
          <w:rFonts w:ascii="Book Antiqua" w:hAnsi="Book Antiqua"/>
          <w:color w:val="000000" w:themeColor="text1"/>
          <w:sz w:val="24"/>
          <w:szCs w:val="24"/>
        </w:rPr>
        <w:t>(</w:t>
      </w:r>
      <w:r w:rsidRPr="00C13BD0">
        <w:rPr>
          <w:rFonts w:ascii="Book Antiqua" w:hAnsi="Book Antiqua"/>
          <w:i/>
          <w:color w:val="000000" w:themeColor="text1"/>
          <w:sz w:val="24"/>
          <w:szCs w:val="24"/>
        </w:rPr>
        <w:t>Rehmannia glutinosa Libosch.</w:t>
      </w:r>
      <w:r w:rsidRPr="00EE30DE">
        <w:rPr>
          <w:rFonts w:ascii="Book Antiqua" w:hAnsi="Book Antiqua"/>
          <w:color w:val="000000" w:themeColor="text1"/>
          <w:sz w:val="24"/>
          <w:szCs w:val="24"/>
        </w:rPr>
        <w:t>, root, Shengdi) 18 g,</w:t>
      </w:r>
      <w:r w:rsidR="00C13BD0" w:rsidRPr="00C13BD0">
        <w:rPr>
          <w:rFonts w:ascii="Book Antiqua" w:hAnsi="Book Antiqua"/>
          <w:i/>
          <w:color w:val="000000" w:themeColor="text1"/>
          <w:sz w:val="24"/>
          <w:szCs w:val="24"/>
        </w:rPr>
        <w:t xml:space="preserve"> </w:t>
      </w:r>
      <w:r w:rsidRPr="00C13BD0">
        <w:rPr>
          <w:rFonts w:ascii="Book Antiqua" w:hAnsi="Book Antiqua"/>
          <w:i/>
          <w:color w:val="000000" w:themeColor="text1"/>
          <w:sz w:val="24"/>
          <w:szCs w:val="24"/>
        </w:rPr>
        <w:t xml:space="preserve">Glehniae </w:t>
      </w:r>
      <w:r w:rsidR="00C13BD0" w:rsidRPr="00C13BD0">
        <w:rPr>
          <w:rFonts w:ascii="Book Antiqua" w:hAnsi="Book Antiqua"/>
          <w:i/>
          <w:color w:val="000000" w:themeColor="text1"/>
          <w:sz w:val="24"/>
          <w:szCs w:val="24"/>
        </w:rPr>
        <w:t xml:space="preserve">Radix </w:t>
      </w:r>
      <w:r w:rsidRPr="00EE30DE">
        <w:rPr>
          <w:rFonts w:ascii="Book Antiqua" w:hAnsi="Book Antiqua"/>
          <w:color w:val="000000" w:themeColor="text1"/>
          <w:sz w:val="24"/>
          <w:szCs w:val="24"/>
        </w:rPr>
        <w:t>(</w:t>
      </w:r>
      <w:r w:rsidRPr="00C13BD0">
        <w:rPr>
          <w:rFonts w:ascii="Book Antiqua" w:hAnsi="Book Antiqua"/>
          <w:i/>
          <w:color w:val="000000" w:themeColor="text1"/>
          <w:sz w:val="24"/>
          <w:szCs w:val="24"/>
        </w:rPr>
        <w:t xml:space="preserve">Glehnia </w:t>
      </w:r>
      <w:r w:rsidR="00C13BD0" w:rsidRPr="00C13BD0">
        <w:rPr>
          <w:rFonts w:ascii="Book Antiqua" w:hAnsi="Book Antiqua"/>
          <w:i/>
          <w:color w:val="000000" w:themeColor="text1"/>
          <w:sz w:val="24"/>
          <w:szCs w:val="24"/>
        </w:rPr>
        <w:t xml:space="preserve">Littoralis </w:t>
      </w:r>
      <w:r w:rsidRPr="00C13BD0">
        <w:rPr>
          <w:rFonts w:ascii="Book Antiqua" w:hAnsi="Book Antiqua"/>
          <w:i/>
          <w:color w:val="000000" w:themeColor="text1"/>
          <w:sz w:val="24"/>
          <w:szCs w:val="24"/>
        </w:rPr>
        <w:t>Fr</w:t>
      </w:r>
      <w:r w:rsidR="00C13BD0" w:rsidRPr="00C13BD0">
        <w:rPr>
          <w:rFonts w:ascii="Book Antiqua" w:hAnsi="Book Antiqua"/>
          <w:i/>
          <w:color w:val="000000" w:themeColor="text1"/>
          <w:sz w:val="24"/>
          <w:szCs w:val="24"/>
        </w:rPr>
        <w:t xml:space="preserve">. </w:t>
      </w:r>
      <w:r w:rsidRPr="00C13BD0">
        <w:rPr>
          <w:rFonts w:ascii="Book Antiqua" w:hAnsi="Book Antiqua"/>
          <w:i/>
          <w:color w:val="000000" w:themeColor="text1"/>
          <w:sz w:val="24"/>
          <w:szCs w:val="24"/>
        </w:rPr>
        <w:t>Schmidtex Miq</w:t>
      </w:r>
      <w:r w:rsidR="00C13BD0" w:rsidRPr="00C13BD0">
        <w:rPr>
          <w:rFonts w:ascii="Book Antiqua" w:hAnsi="Book Antiqua"/>
          <w:i/>
          <w:color w:val="000000" w:themeColor="text1"/>
          <w:sz w:val="24"/>
          <w:szCs w:val="24"/>
        </w:rPr>
        <w:t>.</w:t>
      </w:r>
      <w:r w:rsidRPr="00EE30DE">
        <w:rPr>
          <w:rFonts w:ascii="Book Antiqua" w:hAnsi="Book Antiqua"/>
          <w:color w:val="000000" w:themeColor="text1"/>
          <w:sz w:val="24"/>
          <w:szCs w:val="24"/>
        </w:rPr>
        <w:t xml:space="preserve">, root, Beishashen) 10 g, </w:t>
      </w:r>
      <w:r w:rsidRPr="00C13BD0">
        <w:rPr>
          <w:rFonts w:ascii="Book Antiqua" w:hAnsi="Book Antiqua"/>
          <w:i/>
          <w:color w:val="000000" w:themeColor="text1"/>
          <w:sz w:val="24"/>
          <w:szCs w:val="24"/>
        </w:rPr>
        <w:t>Ophiopogonis</w:t>
      </w:r>
      <w:r w:rsidR="00C13BD0" w:rsidRPr="00C13BD0">
        <w:rPr>
          <w:rFonts w:ascii="Book Antiqua" w:hAnsi="Book Antiqua"/>
          <w:i/>
          <w:color w:val="000000" w:themeColor="text1"/>
          <w:sz w:val="24"/>
          <w:szCs w:val="24"/>
        </w:rPr>
        <w:t xml:space="preserve"> Radix</w:t>
      </w:r>
      <w:r w:rsidR="00C13BD0">
        <w:rPr>
          <w:rFonts w:ascii="Book Antiqua" w:hAnsi="Book Antiqua"/>
          <w:color w:val="000000" w:themeColor="text1"/>
          <w:sz w:val="24"/>
          <w:szCs w:val="24"/>
        </w:rPr>
        <w:t xml:space="preserve"> [</w:t>
      </w:r>
      <w:r w:rsidR="00C13BD0" w:rsidRPr="00C13BD0">
        <w:rPr>
          <w:rFonts w:ascii="Book Antiqua" w:hAnsi="Book Antiqua"/>
          <w:i/>
          <w:color w:val="000000" w:themeColor="text1"/>
          <w:sz w:val="24"/>
          <w:szCs w:val="24"/>
        </w:rPr>
        <w:t>Ophiopogon japonicus</w:t>
      </w:r>
      <w:r w:rsidR="00C13BD0">
        <w:rPr>
          <w:rFonts w:ascii="Book Antiqua" w:hAnsi="Book Antiqua"/>
          <w:color w:val="000000" w:themeColor="text1"/>
          <w:sz w:val="24"/>
          <w:szCs w:val="24"/>
        </w:rPr>
        <w:t xml:space="preserve"> (</w:t>
      </w:r>
      <w:r w:rsidR="00C13BD0" w:rsidRPr="00C13BD0">
        <w:rPr>
          <w:rFonts w:ascii="Book Antiqua" w:hAnsi="Book Antiqua"/>
          <w:i/>
          <w:color w:val="000000" w:themeColor="text1"/>
          <w:sz w:val="24"/>
          <w:szCs w:val="24"/>
        </w:rPr>
        <w:t>Linn. f.</w:t>
      </w:r>
      <w:r w:rsidR="00C13BD0">
        <w:rPr>
          <w:rFonts w:ascii="Book Antiqua" w:hAnsi="Book Antiqua"/>
          <w:color w:val="000000" w:themeColor="text1"/>
          <w:sz w:val="24"/>
          <w:szCs w:val="24"/>
        </w:rPr>
        <w:t>)</w:t>
      </w:r>
      <w:r w:rsidR="00C13BD0" w:rsidRPr="00C13BD0">
        <w:rPr>
          <w:rFonts w:ascii="Book Antiqua" w:hAnsi="Book Antiqua"/>
          <w:i/>
          <w:color w:val="000000" w:themeColor="text1"/>
          <w:sz w:val="24"/>
          <w:szCs w:val="24"/>
        </w:rPr>
        <w:t xml:space="preserve"> Ker-Gawl.</w:t>
      </w:r>
      <w:r w:rsidR="00C13BD0">
        <w:rPr>
          <w:rFonts w:ascii="Book Antiqua" w:hAnsi="Book Antiqua"/>
          <w:color w:val="000000" w:themeColor="text1"/>
          <w:sz w:val="24"/>
          <w:szCs w:val="24"/>
        </w:rPr>
        <w:t>, root, Maidong]</w:t>
      </w:r>
      <w:r w:rsidRPr="00EE30DE">
        <w:rPr>
          <w:rFonts w:ascii="Book Antiqua" w:hAnsi="Book Antiqua"/>
          <w:color w:val="000000" w:themeColor="text1"/>
          <w:sz w:val="24"/>
          <w:szCs w:val="24"/>
        </w:rPr>
        <w:t xml:space="preserve"> 10 g, </w:t>
      </w:r>
      <w:r w:rsidRPr="00C13BD0">
        <w:rPr>
          <w:rFonts w:ascii="Book Antiqua" w:hAnsi="Book Antiqua"/>
          <w:i/>
          <w:color w:val="000000" w:themeColor="text1"/>
          <w:sz w:val="24"/>
          <w:szCs w:val="24"/>
        </w:rPr>
        <w:t xml:space="preserve">Lycii </w:t>
      </w:r>
      <w:r w:rsidR="00C13BD0" w:rsidRPr="00C13BD0">
        <w:rPr>
          <w:rFonts w:ascii="Book Antiqua" w:hAnsi="Book Antiqua"/>
          <w:i/>
          <w:color w:val="000000" w:themeColor="text1"/>
          <w:sz w:val="24"/>
          <w:szCs w:val="24"/>
        </w:rPr>
        <w:t>Fructus</w:t>
      </w:r>
      <w:r w:rsidRPr="00EE30DE">
        <w:rPr>
          <w:rFonts w:ascii="Book Antiqua" w:hAnsi="Book Antiqua"/>
          <w:color w:val="000000" w:themeColor="text1"/>
          <w:sz w:val="24"/>
          <w:szCs w:val="24"/>
        </w:rPr>
        <w:t xml:space="preserve"> (</w:t>
      </w:r>
      <w:r w:rsidRPr="00C13BD0">
        <w:rPr>
          <w:rFonts w:ascii="Book Antiqua" w:hAnsi="Book Antiqua"/>
          <w:i/>
          <w:color w:val="000000" w:themeColor="text1"/>
          <w:sz w:val="24"/>
          <w:szCs w:val="24"/>
        </w:rPr>
        <w:t>Lycium barbarum L.</w:t>
      </w:r>
      <w:r w:rsidRPr="00EE30DE">
        <w:rPr>
          <w:rFonts w:ascii="Book Antiqua" w:hAnsi="Book Antiqua"/>
          <w:color w:val="000000" w:themeColor="text1"/>
          <w:sz w:val="24"/>
          <w:szCs w:val="24"/>
        </w:rPr>
        <w:t xml:space="preserve">, fruit, Gouqizi) 12 g, </w:t>
      </w:r>
      <w:r w:rsidRPr="00C13BD0">
        <w:rPr>
          <w:rFonts w:ascii="Book Antiqua" w:hAnsi="Book Antiqua"/>
          <w:i/>
          <w:color w:val="000000" w:themeColor="text1"/>
          <w:sz w:val="24"/>
          <w:szCs w:val="24"/>
        </w:rPr>
        <w:t>Radix Angelicae Sinensis</w:t>
      </w:r>
      <w:r w:rsidRPr="00EE30DE">
        <w:rPr>
          <w:rFonts w:ascii="Book Antiqua" w:hAnsi="Book Antiqua"/>
          <w:color w:val="000000" w:themeColor="text1"/>
          <w:sz w:val="24"/>
          <w:szCs w:val="24"/>
        </w:rPr>
        <w:t xml:space="preserve"> </w:t>
      </w:r>
      <w:r w:rsidR="00C13BD0">
        <w:rPr>
          <w:rFonts w:ascii="Book Antiqua" w:hAnsi="Book Antiqua"/>
          <w:color w:val="000000" w:themeColor="text1"/>
          <w:sz w:val="24"/>
          <w:szCs w:val="24"/>
        </w:rPr>
        <w:t>[</w:t>
      </w:r>
      <w:r w:rsidRPr="00C13BD0">
        <w:rPr>
          <w:rFonts w:ascii="Book Antiqua" w:hAnsi="Book Antiqua"/>
          <w:i/>
          <w:color w:val="000000" w:themeColor="text1"/>
          <w:sz w:val="24"/>
          <w:szCs w:val="24"/>
        </w:rPr>
        <w:t>Angelica sinensis</w:t>
      </w:r>
      <w:r w:rsidRPr="00EE30DE">
        <w:rPr>
          <w:rFonts w:ascii="Book Antiqua" w:hAnsi="Book Antiqua"/>
          <w:color w:val="000000" w:themeColor="text1"/>
          <w:sz w:val="24"/>
          <w:szCs w:val="24"/>
        </w:rPr>
        <w:t xml:space="preserve"> (</w:t>
      </w:r>
      <w:r w:rsidRPr="00C13BD0">
        <w:rPr>
          <w:rFonts w:ascii="Book Antiqua" w:hAnsi="Book Antiqua"/>
          <w:i/>
          <w:color w:val="000000" w:themeColor="text1"/>
          <w:sz w:val="24"/>
          <w:szCs w:val="24"/>
        </w:rPr>
        <w:t>Oliv.</w:t>
      </w:r>
      <w:r w:rsidRPr="00EE30DE">
        <w:rPr>
          <w:rFonts w:ascii="Book Antiqua" w:hAnsi="Book Antiqua"/>
          <w:color w:val="000000" w:themeColor="text1"/>
          <w:sz w:val="24"/>
          <w:szCs w:val="24"/>
        </w:rPr>
        <w:t xml:space="preserve">) </w:t>
      </w:r>
      <w:r w:rsidRPr="00C13BD0">
        <w:rPr>
          <w:rFonts w:ascii="Book Antiqua" w:hAnsi="Book Antiqua"/>
          <w:i/>
          <w:color w:val="000000" w:themeColor="text1"/>
          <w:sz w:val="24"/>
          <w:szCs w:val="24"/>
        </w:rPr>
        <w:t>Diels.</w:t>
      </w:r>
      <w:r w:rsidR="00C13BD0">
        <w:rPr>
          <w:rFonts w:ascii="Book Antiqua" w:hAnsi="Book Antiqua"/>
          <w:color w:val="000000" w:themeColor="text1"/>
          <w:sz w:val="24"/>
          <w:szCs w:val="24"/>
        </w:rPr>
        <w:t>, root, Danggui]</w:t>
      </w:r>
      <w:r w:rsidRPr="00EE30DE">
        <w:rPr>
          <w:rFonts w:ascii="Book Antiqua" w:hAnsi="Book Antiqua"/>
          <w:color w:val="000000" w:themeColor="text1"/>
          <w:sz w:val="24"/>
          <w:szCs w:val="24"/>
        </w:rPr>
        <w:t xml:space="preserve"> 10 g, and </w:t>
      </w:r>
      <w:r w:rsidRPr="00C13BD0">
        <w:rPr>
          <w:rFonts w:ascii="Book Antiqua" w:hAnsi="Book Antiqua"/>
          <w:i/>
          <w:color w:val="000000" w:themeColor="text1"/>
          <w:sz w:val="24"/>
          <w:szCs w:val="24"/>
        </w:rPr>
        <w:t xml:space="preserve">Toosendan </w:t>
      </w:r>
      <w:r w:rsidR="00C13BD0" w:rsidRPr="00C13BD0">
        <w:rPr>
          <w:rFonts w:ascii="Book Antiqua" w:hAnsi="Book Antiqua"/>
          <w:i/>
          <w:color w:val="000000" w:themeColor="text1"/>
          <w:sz w:val="24"/>
          <w:szCs w:val="24"/>
        </w:rPr>
        <w:t>Fructus</w:t>
      </w:r>
      <w:r w:rsidRPr="00EE30DE">
        <w:rPr>
          <w:rFonts w:ascii="Book Antiqua" w:hAnsi="Book Antiqua"/>
          <w:color w:val="000000" w:themeColor="text1"/>
          <w:sz w:val="24"/>
          <w:szCs w:val="24"/>
        </w:rPr>
        <w:t xml:space="preserve"> (</w:t>
      </w:r>
      <w:r w:rsidRPr="00C13BD0">
        <w:rPr>
          <w:rFonts w:ascii="Book Antiqua" w:hAnsi="Book Antiqua"/>
          <w:i/>
          <w:color w:val="000000" w:themeColor="text1"/>
          <w:sz w:val="24"/>
          <w:szCs w:val="24"/>
        </w:rPr>
        <w:t>Melia toosendan Sieb. et Zucc.</w:t>
      </w:r>
      <w:r w:rsidRPr="00EE30DE">
        <w:rPr>
          <w:rFonts w:ascii="Book Antiqua" w:hAnsi="Book Antiqua"/>
          <w:color w:val="000000" w:themeColor="text1"/>
          <w:sz w:val="24"/>
          <w:szCs w:val="24"/>
        </w:rPr>
        <w:t>, fruit, Chuanlianzi) 4.5 g, which were provided by the Shanghai Huayu Herbs Co. Ltd. and were prepared by Shuguang Hospital affiliated to Shanghai University of TCM, and was maintained at –20</w:t>
      </w:r>
      <w:r w:rsidR="00C13BD0">
        <w:rPr>
          <w:rFonts w:ascii="Book Antiqua" w:hAnsi="Book Antiqua"/>
          <w:color w:val="000000" w:themeColor="text1"/>
          <w:sz w:val="24"/>
          <w:szCs w:val="24"/>
        </w:rPr>
        <w:t xml:space="preserve"> </w:t>
      </w:r>
      <w:r w:rsidRPr="00EE30DE">
        <w:rPr>
          <w:rFonts w:ascii="Book Antiqua" w:hAnsi="Book Antiqua"/>
          <w:color w:val="000000" w:themeColor="text1"/>
          <w:sz w:val="24"/>
          <w:szCs w:val="24"/>
        </w:rPr>
        <w:t>°C.</w:t>
      </w:r>
    </w:p>
    <w:p w14:paraId="6808898E" w14:textId="23DDF2D0" w:rsidR="00792100" w:rsidRPr="00EE30DE" w:rsidRDefault="00C13BD0"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Sorafinib (SORA) was purchased from Bayer (Leverkusen, Germany) and was used as a positive control. </w:t>
      </w:r>
      <w:r w:rsidR="00E20626" w:rsidRPr="00EE30DE">
        <w:rPr>
          <w:rFonts w:ascii="Book Antiqua" w:hAnsi="Book Antiqua"/>
          <w:color w:val="000000" w:themeColor="text1"/>
          <w:sz w:val="24"/>
          <w:szCs w:val="24"/>
        </w:rPr>
        <w:t xml:space="preserve">Rabbit monoclonal antibody against hepatocyte nuclear factor 4 alpha (HNF4α, SC-8987) was purchased from Santa Cruz Biotechnology (Santa Cruz, CA, </w:t>
      </w:r>
      <w:r>
        <w:rPr>
          <w:rFonts w:ascii="Book Antiqua" w:hAnsi="Book Antiqua"/>
          <w:color w:val="000000" w:themeColor="text1"/>
          <w:sz w:val="24"/>
          <w:szCs w:val="24"/>
        </w:rPr>
        <w:t>United States</w:t>
      </w:r>
      <w:r w:rsidR="00E20626" w:rsidRPr="00EE30DE">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Mouse monoclonal antibody against α-smooth muscle actin (α-SMA, Clone 1A4) was obtained from Sigma-Aldrich (St Louis, MO, </w:t>
      </w:r>
      <w:r>
        <w:rPr>
          <w:rFonts w:ascii="Book Antiqua" w:hAnsi="Book Antiqua"/>
          <w:color w:val="000000" w:themeColor="text1"/>
          <w:sz w:val="24"/>
          <w:szCs w:val="24"/>
        </w:rPr>
        <w:t>United States</w:t>
      </w:r>
      <w:r w:rsidR="00792100" w:rsidRPr="00EE30DE">
        <w:rPr>
          <w:rFonts w:ascii="Book Antiqua" w:hAnsi="Book Antiqua"/>
          <w:color w:val="000000" w:themeColor="text1"/>
          <w:sz w:val="24"/>
          <w:szCs w:val="24"/>
        </w:rPr>
        <w:t xml:space="preserve">). </w:t>
      </w:r>
      <w:r w:rsidR="00E20626" w:rsidRPr="00EE30DE">
        <w:rPr>
          <w:rFonts w:ascii="Book Antiqua" w:hAnsi="Book Antiqua"/>
          <w:color w:val="000000" w:themeColor="text1"/>
          <w:sz w:val="24"/>
          <w:szCs w:val="24"/>
        </w:rPr>
        <w:t xml:space="preserve">Mouse monoclonal antibody against hepatocyte specific antigen (Hep, GTX73779) </w:t>
      </w:r>
      <w:r w:rsidR="00E20626" w:rsidRPr="00EE30DE">
        <w:rPr>
          <w:rFonts w:ascii="Book Antiqua" w:hAnsi="Book Antiqua"/>
          <w:color w:val="000000" w:themeColor="text1"/>
          <w:sz w:val="24"/>
          <w:szCs w:val="24"/>
        </w:rPr>
        <w:lastRenderedPageBreak/>
        <w:t xml:space="preserve">was purchased from GeneTex (Alton Parkway Irvine, CA, </w:t>
      </w:r>
      <w:r>
        <w:rPr>
          <w:rFonts w:ascii="Book Antiqua" w:hAnsi="Book Antiqua"/>
          <w:color w:val="000000" w:themeColor="text1"/>
          <w:sz w:val="24"/>
          <w:szCs w:val="24"/>
        </w:rPr>
        <w:t>United States</w:t>
      </w:r>
      <w:r w:rsidR="00E20626" w:rsidRPr="00EE30DE">
        <w:rPr>
          <w:rFonts w:ascii="Book Antiqua" w:hAnsi="Book Antiqua"/>
          <w:color w:val="000000" w:themeColor="text1"/>
          <w:sz w:val="24"/>
          <w:szCs w:val="24"/>
        </w:rPr>
        <w:t xml:space="preserve">). Horseradish peroxidase (HRP)-conjugated polyclonal rabbit anti-mouse and HRP-conjugated polyclonal swine anti-rabbit antibodies were obtained from Dako Denmark A/S (Glostrup, Denmark). Hybond-ECL nitrocellulose membranes and ECL detection reagent were obtained from Amersham Pharmacia Biotech (Buckinghamshire, </w:t>
      </w:r>
      <w:r>
        <w:rPr>
          <w:rFonts w:ascii="Book Antiqua" w:hAnsi="Book Antiqua"/>
          <w:color w:val="000000" w:themeColor="text1"/>
          <w:sz w:val="24"/>
          <w:szCs w:val="24"/>
        </w:rPr>
        <w:t>United Kingdom</w:t>
      </w:r>
      <w:r w:rsidR="00E20626" w:rsidRPr="00EE30DE">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Mouse monoclonal antibody against glyceraldehyde-3-phosphate dehydrogenase (GAPDH) was purchased from Chemicon International (Temecula, CA, </w:t>
      </w:r>
      <w:r>
        <w:rPr>
          <w:rFonts w:ascii="Book Antiqua" w:hAnsi="Book Antiqua"/>
          <w:color w:val="000000" w:themeColor="text1"/>
          <w:sz w:val="24"/>
          <w:szCs w:val="24"/>
        </w:rPr>
        <w:t>United States</w:t>
      </w:r>
      <w:r w:rsidR="00792100" w:rsidRPr="00EE30DE">
        <w:rPr>
          <w:rFonts w:ascii="Book Antiqua" w:hAnsi="Book Antiqua"/>
          <w:color w:val="000000" w:themeColor="text1"/>
          <w:sz w:val="24"/>
          <w:szCs w:val="24"/>
        </w:rPr>
        <w:t>). All other reagents were purchased from Sigma Chemical or Wako Pure Chemical Industries, Ltd. (Osaka, Japan).</w:t>
      </w:r>
    </w:p>
    <w:p w14:paraId="2A91FA35"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3D389321" w14:textId="711ECC29"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A</w:t>
      </w:r>
      <w:r w:rsidR="00C13BD0" w:rsidRPr="00EE30DE">
        <w:rPr>
          <w:rFonts w:ascii="Book Antiqua" w:hAnsi="Book Antiqua"/>
          <w:b/>
          <w:i/>
          <w:color w:val="000000" w:themeColor="text1"/>
          <w:sz w:val="24"/>
          <w:szCs w:val="24"/>
        </w:rPr>
        <w:t>nimals and experimental protocol</w:t>
      </w:r>
    </w:p>
    <w:p w14:paraId="3E712497" w14:textId="4BD1ECCA"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Male Wistar rats (aged 7</w:t>
      </w:r>
      <w:r w:rsidR="00B34CD4">
        <w:rPr>
          <w:rFonts w:ascii="Book Antiqua" w:hAnsi="Book Antiqua" w:hint="eastAsia"/>
          <w:color w:val="000000" w:themeColor="text1"/>
          <w:sz w:val="24"/>
          <w:szCs w:val="24"/>
        </w:rPr>
        <w:t>-</w:t>
      </w:r>
      <w:r w:rsidRPr="00EE30DE">
        <w:rPr>
          <w:rFonts w:ascii="Book Antiqua" w:hAnsi="Book Antiqua"/>
          <w:color w:val="000000" w:themeColor="text1"/>
          <w:sz w:val="24"/>
          <w:szCs w:val="24"/>
        </w:rPr>
        <w:t>8 w</w:t>
      </w:r>
      <w:r w:rsidR="00C13BD0">
        <w:rPr>
          <w:rFonts w:ascii="Book Antiqua" w:hAnsi="Book Antiqua"/>
          <w:color w:val="000000" w:themeColor="text1"/>
          <w:sz w:val="24"/>
          <w:szCs w:val="24"/>
        </w:rPr>
        <w:t>k</w:t>
      </w:r>
      <w:r w:rsidRPr="00EE30DE">
        <w:rPr>
          <w:rFonts w:ascii="Book Antiqua" w:hAnsi="Book Antiqua"/>
          <w:color w:val="000000" w:themeColor="text1"/>
          <w:sz w:val="24"/>
          <w:szCs w:val="24"/>
        </w:rPr>
        <w:t xml:space="preserve"> and weighing 160</w:t>
      </w:r>
      <w:r w:rsidR="00542197">
        <w:rPr>
          <w:rFonts w:ascii="Book Antiqua" w:hAnsi="Book Antiqua" w:hint="eastAsia"/>
          <w:color w:val="000000" w:themeColor="text1"/>
          <w:sz w:val="24"/>
          <w:szCs w:val="24"/>
        </w:rPr>
        <w:t>-</w:t>
      </w:r>
      <w:r w:rsidRPr="00EE30DE">
        <w:rPr>
          <w:rFonts w:ascii="Book Antiqua" w:hAnsi="Book Antiqua"/>
          <w:color w:val="000000" w:themeColor="text1"/>
          <w:sz w:val="24"/>
          <w:szCs w:val="24"/>
        </w:rPr>
        <w:t xml:space="preserve">180 g, </w:t>
      </w:r>
      <w:r w:rsidRPr="00C13BD0">
        <w:rPr>
          <w:rFonts w:ascii="Book Antiqua" w:hAnsi="Book Antiqua"/>
          <w:i/>
          <w:color w:val="000000" w:themeColor="text1"/>
          <w:sz w:val="24"/>
          <w:szCs w:val="24"/>
        </w:rPr>
        <w:t xml:space="preserve">n </w:t>
      </w:r>
      <w:r w:rsidRPr="00EE30DE">
        <w:rPr>
          <w:rFonts w:ascii="Book Antiqua" w:hAnsi="Book Antiqua"/>
          <w:color w:val="000000" w:themeColor="text1"/>
          <w:sz w:val="24"/>
          <w:szCs w:val="24"/>
        </w:rPr>
        <w:t>= 37) were obtained from the Shanghai Experimental Animal Center of the Chinese Academy of Sciences (Shanghai, China). Animals were kept in a constant temperature environment and supplied with laboratory chow and water ad libitum. The experimental protocol was approved by the Animal Research Committee of Shanghai University of TCM (N</w:t>
      </w:r>
      <w:r w:rsidR="00FE7389">
        <w:rPr>
          <w:rFonts w:ascii="Book Antiqua" w:hAnsi="Book Antiqua"/>
          <w:color w:val="000000" w:themeColor="text1"/>
          <w:sz w:val="24"/>
          <w:szCs w:val="24"/>
        </w:rPr>
        <w:t>o</w:t>
      </w:r>
      <w:r w:rsidRPr="00EE30DE">
        <w:rPr>
          <w:rFonts w:ascii="Book Antiqua" w:hAnsi="Book Antiqua"/>
          <w:color w:val="000000" w:themeColor="text1"/>
          <w:sz w:val="24"/>
          <w:szCs w:val="24"/>
        </w:rPr>
        <w:t>. 20130132).</w:t>
      </w:r>
    </w:p>
    <w:p w14:paraId="15959943" w14:textId="06FF8921" w:rsidR="00792100" w:rsidRPr="00EE30DE" w:rsidRDefault="00FE738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Cirrhosis was induced as previously described</w:t>
      </w:r>
      <w:r w:rsidR="00976C98">
        <w:rPr>
          <w:rFonts w:ascii="Book Antiqua" w:hAnsi="Book Antiqua"/>
          <w:color w:val="000000" w:themeColor="text1"/>
          <w:sz w:val="24"/>
          <w:szCs w:val="24"/>
          <w:vertAlign w:val="superscript"/>
        </w:rPr>
        <w:t>[19]</w:t>
      </w:r>
      <w:r w:rsidR="00792100" w:rsidRPr="00EE30DE">
        <w:rPr>
          <w:rFonts w:ascii="Book Antiqua" w:hAnsi="Book Antiqua"/>
          <w:color w:val="000000" w:themeColor="text1"/>
          <w:sz w:val="24"/>
          <w:szCs w:val="24"/>
        </w:rPr>
        <w:t>. Briefly, the rats received subcutaneous injections of 50% CCl</w:t>
      </w:r>
      <w:r w:rsidR="00792100" w:rsidRPr="00073A86">
        <w:rPr>
          <w:rFonts w:ascii="Book Antiqua" w:hAnsi="Book Antiqua"/>
          <w:color w:val="000000" w:themeColor="text1"/>
          <w:sz w:val="24"/>
          <w:szCs w:val="24"/>
          <w:vertAlign w:val="subscript"/>
        </w:rPr>
        <w:t>4</w:t>
      </w:r>
      <w:r w:rsidR="00073A86">
        <w:rPr>
          <w:rFonts w:ascii="Book Antiqua" w:hAnsi="Book Antiqua"/>
          <w:color w:val="000000" w:themeColor="text1"/>
          <w:sz w:val="24"/>
          <w:szCs w:val="24"/>
        </w:rPr>
        <w:t>-olive oil solution (2 mL</w:t>
      </w:r>
      <w:r w:rsidR="00792100" w:rsidRPr="00EE30DE">
        <w:rPr>
          <w:rFonts w:ascii="Book Antiqua" w:hAnsi="Book Antiqua"/>
          <w:color w:val="000000" w:themeColor="text1"/>
          <w:sz w:val="24"/>
          <w:szCs w:val="24"/>
        </w:rPr>
        <w:t>/kg) twice a week for 8 w</w:t>
      </w:r>
      <w:r w:rsidR="00073A86">
        <w:rPr>
          <w:rFonts w:ascii="Book Antiqua" w:hAnsi="Book Antiqua"/>
          <w:color w:val="000000" w:themeColor="text1"/>
          <w:sz w:val="24"/>
          <w:szCs w:val="24"/>
        </w:rPr>
        <w:t>k</w:t>
      </w:r>
      <w:r w:rsidR="00792100" w:rsidRPr="00EE30DE">
        <w:rPr>
          <w:rFonts w:ascii="Book Antiqua" w:hAnsi="Book Antiqua"/>
          <w:color w:val="000000" w:themeColor="text1"/>
          <w:sz w:val="24"/>
          <w:szCs w:val="24"/>
        </w:rPr>
        <w:t>. At the beginning of the 9</w:t>
      </w:r>
      <w:r w:rsidR="00792100" w:rsidRPr="00073A86">
        <w:rPr>
          <w:rFonts w:ascii="Book Antiqua" w:hAnsi="Book Antiqua"/>
          <w:color w:val="000000" w:themeColor="text1"/>
          <w:sz w:val="24"/>
          <w:szCs w:val="24"/>
          <w:vertAlign w:val="superscript"/>
        </w:rPr>
        <w:t>th</w:t>
      </w:r>
      <w:r w:rsidR="00792100" w:rsidRPr="00EE30DE">
        <w:rPr>
          <w:rFonts w:ascii="Book Antiqua" w:hAnsi="Book Antiqua"/>
          <w:color w:val="000000" w:themeColor="text1"/>
          <w:sz w:val="24"/>
          <w:szCs w:val="24"/>
        </w:rPr>
        <w:t xml:space="preserve"> wek, the dose CCl</w:t>
      </w:r>
      <w:r w:rsidR="00792100" w:rsidRPr="00073A86">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-olive oil solution was changed to a</w:t>
      </w:r>
      <w:r w:rsidR="00073A86">
        <w:rPr>
          <w:rFonts w:ascii="Book Antiqua" w:hAnsi="Book Antiqua"/>
          <w:color w:val="000000" w:themeColor="text1"/>
          <w:sz w:val="24"/>
          <w:szCs w:val="24"/>
        </w:rPr>
        <w:t xml:space="preserve"> 30% (2 mL</w:t>
      </w:r>
      <w:r w:rsidR="00792100" w:rsidRPr="00EE30DE">
        <w:rPr>
          <w:rFonts w:ascii="Book Antiqua" w:hAnsi="Book Antiqua"/>
          <w:color w:val="000000" w:themeColor="text1"/>
          <w:sz w:val="24"/>
          <w:szCs w:val="24"/>
        </w:rPr>
        <w:t>/kg) and was administered for another 4 w</w:t>
      </w:r>
      <w:r w:rsidR="00073A86">
        <w:rPr>
          <w:rFonts w:ascii="Book Antiqua" w:hAnsi="Book Antiqua"/>
          <w:color w:val="000000" w:themeColor="text1"/>
          <w:sz w:val="24"/>
          <w:szCs w:val="24"/>
        </w:rPr>
        <w:t>k</w:t>
      </w:r>
      <w:r w:rsidR="00792100" w:rsidRPr="00EE30DE">
        <w:rPr>
          <w:rFonts w:ascii="Book Antiqua" w:hAnsi="Book Antiqua"/>
          <w:color w:val="000000" w:themeColor="text1"/>
          <w:sz w:val="24"/>
          <w:szCs w:val="24"/>
        </w:rPr>
        <w:t xml:space="preserve"> in order to maintain cirrhosis progression and reduce mortality, and all rats we</w:t>
      </w:r>
      <w:r w:rsidR="00073A86">
        <w:rPr>
          <w:rFonts w:ascii="Book Antiqua" w:hAnsi="Book Antiqua"/>
          <w:color w:val="000000" w:themeColor="text1"/>
          <w:sz w:val="24"/>
          <w:szCs w:val="24"/>
        </w:rPr>
        <w:t>re treated with 2-AAF [10 mg/(kg∙</w:t>
      </w:r>
      <w:r w:rsidR="00792100" w:rsidRPr="00EE30DE">
        <w:rPr>
          <w:rFonts w:ascii="Book Antiqua" w:hAnsi="Book Antiqua"/>
          <w:color w:val="000000" w:themeColor="text1"/>
          <w:sz w:val="24"/>
          <w:szCs w:val="24"/>
        </w:rPr>
        <w:t>d</w:t>
      </w:r>
      <w:r w:rsidR="00073A86">
        <w:rPr>
          <w:rFonts w:ascii="Book Antiqua" w:hAnsi="Book Antiqua"/>
          <w:color w:val="000000" w:themeColor="text1"/>
          <w:sz w:val="24"/>
          <w:szCs w:val="24"/>
        </w:rPr>
        <w:t>)]</w:t>
      </w:r>
      <w:r w:rsidR="00792100" w:rsidRPr="00EE30DE">
        <w:rPr>
          <w:rFonts w:ascii="Book Antiqua" w:hAnsi="Book Antiqua"/>
          <w:color w:val="000000" w:themeColor="text1"/>
          <w:sz w:val="24"/>
          <w:szCs w:val="24"/>
        </w:rPr>
        <w:t xml:space="preserve"> </w:t>
      </w:r>
      <w:r w:rsidR="00792100" w:rsidRPr="00073A86">
        <w:rPr>
          <w:rFonts w:ascii="Book Antiqua" w:hAnsi="Book Antiqua"/>
          <w:i/>
          <w:color w:val="000000" w:themeColor="text1"/>
          <w:sz w:val="24"/>
          <w:szCs w:val="24"/>
        </w:rPr>
        <w:t>via</w:t>
      </w:r>
      <w:r w:rsidR="00792100" w:rsidRPr="00EE30DE">
        <w:rPr>
          <w:rFonts w:ascii="Book Antiqua" w:hAnsi="Book Antiqua"/>
          <w:color w:val="000000" w:themeColor="text1"/>
          <w:sz w:val="24"/>
          <w:szCs w:val="24"/>
        </w:rPr>
        <w:t xml:space="preserve"> intragastric administration once a day. The rats were randomly divided into a 2-</w:t>
      </w:r>
      <w:r w:rsidR="00073A86">
        <w:rPr>
          <w:rFonts w:ascii="Book Antiqua" w:hAnsi="Book Antiqua"/>
          <w:color w:val="000000" w:themeColor="text1"/>
          <w:sz w:val="24"/>
          <w:szCs w:val="24"/>
        </w:rPr>
        <w:t>AAF</w:t>
      </w:r>
      <w:r w:rsidR="00792100" w:rsidRPr="00EE30DE">
        <w:rPr>
          <w:rFonts w:ascii="Book Antiqua" w:hAnsi="Book Antiqua"/>
          <w:color w:val="000000" w:themeColor="text1"/>
          <w:sz w:val="24"/>
          <w:szCs w:val="24"/>
        </w:rPr>
        <w:t>/CCl</w:t>
      </w:r>
      <w:r w:rsidR="00792100" w:rsidRPr="00073A86">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w:t>
      </w:r>
      <w:r w:rsidR="00792100" w:rsidRPr="00073A86">
        <w:rPr>
          <w:rFonts w:ascii="Book Antiqua" w:hAnsi="Book Antiqua"/>
          <w:i/>
          <w:color w:val="000000" w:themeColor="text1"/>
          <w:sz w:val="24"/>
          <w:szCs w:val="24"/>
        </w:rPr>
        <w:t>n</w:t>
      </w:r>
      <w:r w:rsidR="00792100" w:rsidRPr="00EE30DE">
        <w:rPr>
          <w:rFonts w:ascii="Book Antiqua" w:hAnsi="Book Antiqua"/>
          <w:color w:val="000000" w:themeColor="text1"/>
          <w:sz w:val="24"/>
          <w:szCs w:val="24"/>
        </w:rPr>
        <w:t xml:space="preserve"> = 8), a FLSPC group (</w:t>
      </w:r>
      <w:r w:rsidR="00792100" w:rsidRPr="00073A86">
        <w:rPr>
          <w:rFonts w:ascii="Book Antiqua" w:hAnsi="Book Antiqua"/>
          <w:i/>
          <w:color w:val="000000" w:themeColor="text1"/>
          <w:sz w:val="24"/>
          <w:szCs w:val="24"/>
        </w:rPr>
        <w:t>n</w:t>
      </w:r>
      <w:r w:rsidR="00792100" w:rsidRPr="00EE30DE">
        <w:rPr>
          <w:rFonts w:ascii="Book Antiqua" w:hAnsi="Book Antiqua"/>
          <w:color w:val="000000" w:themeColor="text1"/>
          <w:sz w:val="24"/>
          <w:szCs w:val="24"/>
        </w:rPr>
        <w:t xml:space="preserve"> = 8), a FLSPC + YGJ group (</w:t>
      </w:r>
      <w:r w:rsidR="00792100" w:rsidRPr="00073A86">
        <w:rPr>
          <w:rFonts w:ascii="Book Antiqua" w:hAnsi="Book Antiqua"/>
          <w:i/>
          <w:color w:val="000000" w:themeColor="text1"/>
          <w:sz w:val="24"/>
          <w:szCs w:val="24"/>
        </w:rPr>
        <w:t>n</w:t>
      </w:r>
      <w:r w:rsidR="00792100" w:rsidRPr="00EE30DE">
        <w:rPr>
          <w:rFonts w:ascii="Book Antiqua" w:hAnsi="Book Antiqua"/>
          <w:color w:val="000000" w:themeColor="text1"/>
          <w:sz w:val="24"/>
          <w:szCs w:val="24"/>
        </w:rPr>
        <w:t xml:space="preserve"> = 8), and a FLSPC + SORA group (</w:t>
      </w:r>
      <w:r w:rsidR="00792100" w:rsidRPr="00073A86">
        <w:rPr>
          <w:rFonts w:ascii="Book Antiqua" w:hAnsi="Book Antiqua"/>
          <w:i/>
          <w:color w:val="000000" w:themeColor="text1"/>
          <w:sz w:val="24"/>
          <w:szCs w:val="24"/>
        </w:rPr>
        <w:t>n</w:t>
      </w:r>
      <w:r w:rsidR="00792100" w:rsidRPr="00EE30DE">
        <w:rPr>
          <w:rFonts w:ascii="Book Antiqua" w:hAnsi="Book Antiqua"/>
          <w:color w:val="000000" w:themeColor="text1"/>
          <w:sz w:val="24"/>
          <w:szCs w:val="24"/>
        </w:rPr>
        <w:t xml:space="preserve"> = 8). The FLSPC, FLSPC + YGJ, and FLSPC + SORA groups were treated with FLSCs </w:t>
      </w:r>
      <w:r w:rsidR="00792100" w:rsidRPr="00073A86">
        <w:rPr>
          <w:rFonts w:ascii="Book Antiqua" w:hAnsi="Book Antiqua"/>
          <w:i/>
          <w:color w:val="000000" w:themeColor="text1"/>
          <w:sz w:val="24"/>
          <w:szCs w:val="24"/>
        </w:rPr>
        <w:t>via</w:t>
      </w:r>
      <w:r w:rsidR="00792100" w:rsidRPr="00EE30DE">
        <w:rPr>
          <w:rFonts w:ascii="Book Antiqua" w:hAnsi="Book Antiqua"/>
          <w:color w:val="000000" w:themeColor="text1"/>
          <w:sz w:val="24"/>
          <w:szCs w:val="24"/>
        </w:rPr>
        <w:t xml:space="preserve"> a single intra-splenic injection at the 9</w:t>
      </w:r>
      <w:r w:rsidR="00792100" w:rsidRPr="00073A86">
        <w:rPr>
          <w:rFonts w:ascii="Book Antiqua" w:hAnsi="Book Antiqua"/>
          <w:color w:val="000000" w:themeColor="text1"/>
          <w:sz w:val="24"/>
          <w:szCs w:val="24"/>
          <w:vertAlign w:val="superscript"/>
        </w:rPr>
        <w:t>th</w:t>
      </w:r>
      <w:r w:rsidR="00792100" w:rsidRPr="00EE30DE">
        <w:rPr>
          <w:rFonts w:ascii="Book Antiqua" w:hAnsi="Book Antiqua"/>
          <w:color w:val="000000" w:themeColor="text1"/>
          <w:sz w:val="24"/>
          <w:szCs w:val="24"/>
        </w:rPr>
        <w:t xml:space="preserve"> w</w:t>
      </w:r>
      <w:r w:rsidR="00073A86">
        <w:rPr>
          <w:rFonts w:ascii="Book Antiqua" w:hAnsi="Book Antiqua"/>
          <w:color w:val="000000" w:themeColor="text1"/>
          <w:sz w:val="24"/>
          <w:szCs w:val="24"/>
        </w:rPr>
        <w:t>k</w:t>
      </w:r>
      <w:r w:rsidR="00792100" w:rsidRPr="00EE30DE">
        <w:rPr>
          <w:rFonts w:ascii="Book Antiqua" w:hAnsi="Book Antiqua"/>
          <w:color w:val="000000" w:themeColor="text1"/>
          <w:sz w:val="24"/>
          <w:szCs w:val="24"/>
        </w:rPr>
        <w:t>. The FLSPC + YGJ and FLSPC + SORA groups were orally administrated at dosages of 3.56 g/kg and 1.0 mg/kg, respectively, once per day for 4 w</w:t>
      </w:r>
      <w:r w:rsidR="00073A86">
        <w:rPr>
          <w:rFonts w:ascii="Book Antiqua" w:hAnsi="Book Antiqua"/>
          <w:color w:val="000000" w:themeColor="text1"/>
          <w:sz w:val="24"/>
          <w:szCs w:val="24"/>
        </w:rPr>
        <w:t>k</w:t>
      </w:r>
      <w:r w:rsidR="00792100" w:rsidRPr="00EE30DE">
        <w:rPr>
          <w:rFonts w:ascii="Book Antiqua" w:hAnsi="Book Antiqua"/>
          <w:color w:val="000000" w:themeColor="text1"/>
          <w:sz w:val="24"/>
          <w:szCs w:val="24"/>
        </w:rPr>
        <w:t xml:space="preserve">. Normal rats (N, </w:t>
      </w:r>
      <w:r w:rsidR="00792100" w:rsidRPr="00073A86">
        <w:rPr>
          <w:rFonts w:ascii="Book Antiqua" w:hAnsi="Book Antiqua"/>
          <w:i/>
          <w:color w:val="000000" w:themeColor="text1"/>
          <w:sz w:val="24"/>
          <w:szCs w:val="24"/>
        </w:rPr>
        <w:t>n</w:t>
      </w:r>
      <w:r w:rsidR="00792100" w:rsidRPr="00EE30DE">
        <w:rPr>
          <w:rFonts w:ascii="Book Antiqua" w:hAnsi="Book Antiqua"/>
          <w:color w:val="000000" w:themeColor="text1"/>
          <w:sz w:val="24"/>
          <w:szCs w:val="24"/>
        </w:rPr>
        <w:t xml:space="preserve"> = 5) received an equal amount of subcutaneous olive oil and orally with the </w:t>
      </w:r>
      <w:r w:rsidR="00792100" w:rsidRPr="00EE30DE">
        <w:rPr>
          <w:rFonts w:ascii="Book Antiqua" w:hAnsi="Book Antiqua"/>
          <w:color w:val="000000" w:themeColor="text1"/>
          <w:sz w:val="24"/>
          <w:szCs w:val="24"/>
        </w:rPr>
        <w:lastRenderedPageBreak/>
        <w:t>same volume of physiological saline.</w:t>
      </w:r>
    </w:p>
    <w:p w14:paraId="2725621A"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60315337" w14:textId="6A51E57B"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Isolation, </w:t>
      </w:r>
      <w:r w:rsidR="00073A86" w:rsidRPr="00EE30DE">
        <w:rPr>
          <w:rFonts w:ascii="Book Antiqua" w:hAnsi="Book Antiqua"/>
          <w:b/>
          <w:i/>
          <w:color w:val="000000" w:themeColor="text1"/>
          <w:sz w:val="24"/>
          <w:szCs w:val="24"/>
        </w:rPr>
        <w:t xml:space="preserve">characterization and transplantation </w:t>
      </w:r>
      <w:r w:rsidRPr="00EE30DE">
        <w:rPr>
          <w:rFonts w:ascii="Book Antiqua" w:hAnsi="Book Antiqua"/>
          <w:b/>
          <w:i/>
          <w:color w:val="000000" w:themeColor="text1"/>
          <w:sz w:val="24"/>
          <w:szCs w:val="24"/>
        </w:rPr>
        <w:t>of Dlk-1</w:t>
      </w:r>
      <w:r w:rsidRPr="00073A86">
        <w:rPr>
          <w:rFonts w:ascii="Book Antiqua" w:hAnsi="Book Antiqua"/>
          <w:b/>
          <w:i/>
          <w:color w:val="000000" w:themeColor="text1"/>
          <w:sz w:val="24"/>
          <w:szCs w:val="24"/>
          <w:vertAlign w:val="superscript"/>
        </w:rPr>
        <w:t>+</w:t>
      </w:r>
      <w:r w:rsidRPr="00EE30DE">
        <w:rPr>
          <w:rFonts w:ascii="Book Antiqua" w:hAnsi="Book Antiqua"/>
          <w:b/>
          <w:i/>
          <w:color w:val="000000" w:themeColor="text1"/>
          <w:sz w:val="24"/>
          <w:szCs w:val="24"/>
        </w:rPr>
        <w:t xml:space="preserve"> </w:t>
      </w:r>
      <w:bookmarkStart w:id="53" w:name="OLE_LINK17"/>
      <w:bookmarkStart w:id="54" w:name="OLE_LINK18"/>
      <w:r w:rsidRPr="00EE30DE">
        <w:rPr>
          <w:rFonts w:ascii="Book Antiqua" w:hAnsi="Book Antiqua"/>
          <w:b/>
          <w:i/>
          <w:color w:val="000000" w:themeColor="text1"/>
          <w:sz w:val="24"/>
          <w:szCs w:val="24"/>
        </w:rPr>
        <w:t>FLSPCs</w:t>
      </w:r>
      <w:bookmarkEnd w:id="53"/>
      <w:bookmarkEnd w:id="54"/>
    </w:p>
    <w:p w14:paraId="5F5241AA" w14:textId="6E032E4D"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bookmarkStart w:id="55" w:name="OLE_LINK42"/>
      <w:bookmarkStart w:id="56" w:name="OLE_LINK43"/>
      <w:r w:rsidRPr="00EE30DE">
        <w:rPr>
          <w:rFonts w:ascii="Book Antiqua" w:hAnsi="Book Antiqua"/>
          <w:color w:val="000000" w:themeColor="text1"/>
          <w:sz w:val="24"/>
          <w:szCs w:val="24"/>
        </w:rPr>
        <w:t>FLSPCs</w:t>
      </w:r>
      <w:bookmarkEnd w:id="55"/>
      <w:bookmarkEnd w:id="56"/>
      <w:r w:rsidRPr="00EE30DE">
        <w:rPr>
          <w:rFonts w:ascii="Book Antiqua" w:hAnsi="Book Antiqua"/>
          <w:color w:val="000000" w:themeColor="text1"/>
          <w:sz w:val="24"/>
          <w:szCs w:val="24"/>
        </w:rPr>
        <w:t xml:space="preserve"> were isolated from ED14/15 fetal livers of pregnant Wistar rats as previously described</w:t>
      </w:r>
      <w:r w:rsidR="00F3165E" w:rsidRPr="00EE30DE">
        <w:rPr>
          <w:rFonts w:ascii="Book Antiqua" w:hAnsi="Book Antiqua"/>
          <w:color w:val="000000" w:themeColor="text1"/>
          <w:sz w:val="24"/>
          <w:szCs w:val="24"/>
          <w:vertAlign w:val="superscript"/>
        </w:rPr>
        <w:t>[21]</w:t>
      </w:r>
      <w:r w:rsidRPr="00EE30DE">
        <w:rPr>
          <w:rFonts w:ascii="Book Antiqua" w:hAnsi="Book Antiqua"/>
          <w:color w:val="000000" w:themeColor="text1"/>
          <w:sz w:val="24"/>
          <w:szCs w:val="24"/>
        </w:rPr>
        <w:t xml:space="preserve">. The livers were cut into pieces and digested with 0.05% trypsin and 0.05% </w:t>
      </w:r>
      <w:bookmarkStart w:id="57" w:name="OLE_LINK19"/>
      <w:bookmarkStart w:id="58" w:name="OLE_LINK20"/>
      <w:r w:rsidRPr="00EE30DE">
        <w:rPr>
          <w:rFonts w:ascii="Book Antiqua" w:hAnsi="Book Antiqua"/>
          <w:color w:val="000000" w:themeColor="text1"/>
          <w:sz w:val="24"/>
          <w:szCs w:val="24"/>
        </w:rPr>
        <w:t>NB4</w:t>
      </w:r>
      <w:bookmarkEnd w:id="57"/>
      <w:bookmarkEnd w:id="58"/>
      <w:r w:rsidRPr="00EE30DE">
        <w:rPr>
          <w:rFonts w:ascii="Book Antiqua" w:hAnsi="Book Antiqua"/>
          <w:color w:val="000000" w:themeColor="text1"/>
          <w:sz w:val="24"/>
          <w:szCs w:val="24"/>
        </w:rPr>
        <w:t xml:space="preserve"> for 15 min. Next, a single-cell suspension was collected and stained with an anti-Dlk-1 antibody.</w:t>
      </w:r>
      <w:bookmarkStart w:id="59" w:name="OLE_LINK3"/>
      <w:bookmarkStart w:id="60" w:name="OLE_LINK4"/>
      <w:r w:rsidRPr="00EE30DE">
        <w:rPr>
          <w:rFonts w:ascii="Book Antiqua" w:hAnsi="Book Antiqua"/>
          <w:color w:val="000000" w:themeColor="text1"/>
          <w:sz w:val="24"/>
          <w:szCs w:val="24"/>
        </w:rPr>
        <w:t xml:space="preserve"> Dlk-1</w:t>
      </w:r>
      <w:bookmarkEnd w:id="59"/>
      <w:bookmarkEnd w:id="60"/>
      <w:r w:rsidRPr="00EE30DE">
        <w:rPr>
          <w:rFonts w:ascii="Book Antiqua" w:hAnsi="Book Antiqua"/>
          <w:color w:val="000000" w:themeColor="text1"/>
          <w:sz w:val="24"/>
          <w:szCs w:val="24"/>
        </w:rPr>
        <w:t xml:space="preserve"> posi</w:t>
      </w:r>
      <w:r w:rsidR="00073A86">
        <w:rPr>
          <w:rFonts w:ascii="Book Antiqua" w:hAnsi="Book Antiqua"/>
          <w:color w:val="000000" w:themeColor="text1"/>
          <w:sz w:val="24"/>
          <w:szCs w:val="24"/>
        </w:rPr>
        <w:t>tive cells were sorted using a m</w:t>
      </w:r>
      <w:r w:rsidRPr="00EE30DE">
        <w:rPr>
          <w:rFonts w:ascii="Book Antiqua" w:hAnsi="Book Antiqua"/>
          <w:color w:val="000000" w:themeColor="text1"/>
          <w:sz w:val="24"/>
          <w:szCs w:val="24"/>
        </w:rPr>
        <w:t>agnetic bead sorter instrument (Miltenyi Biotec). The purity of the Dlk-1</w:t>
      </w:r>
      <w:bookmarkStart w:id="61" w:name="OLE_LINK36"/>
      <w:bookmarkStart w:id="62" w:name="OLE_LINK37"/>
      <w:r w:rsidRPr="00EE30DE">
        <w:rPr>
          <w:rFonts w:ascii="Book Antiqua" w:hAnsi="Book Antiqua"/>
          <w:color w:val="000000" w:themeColor="text1"/>
          <w:sz w:val="24"/>
          <w:szCs w:val="24"/>
        </w:rPr>
        <w:t xml:space="preserve"> positiv</w:t>
      </w:r>
      <w:bookmarkEnd w:id="61"/>
      <w:bookmarkEnd w:id="62"/>
      <w:r w:rsidRPr="00EE30DE">
        <w:rPr>
          <w:rFonts w:ascii="Book Antiqua" w:hAnsi="Book Antiqua"/>
          <w:color w:val="000000" w:themeColor="text1"/>
          <w:sz w:val="24"/>
          <w:szCs w:val="24"/>
        </w:rPr>
        <w:t xml:space="preserve">e cells was analyzed by flow cytometry (BD Accuri C6, BD Biosciences) and was determined to be 60.58%. </w:t>
      </w:r>
      <w:bookmarkStart w:id="63" w:name="OLE_LINK44"/>
      <w:bookmarkStart w:id="64" w:name="OLE_LINK45"/>
      <w:r w:rsidRPr="00EE30DE">
        <w:rPr>
          <w:rFonts w:ascii="Book Antiqua" w:hAnsi="Book Antiqua"/>
          <w:color w:val="000000" w:themeColor="text1"/>
          <w:sz w:val="24"/>
          <w:szCs w:val="24"/>
        </w:rPr>
        <w:t>At the beginning of 9</w:t>
      </w:r>
      <w:r w:rsidRPr="00073A86">
        <w:rPr>
          <w:rFonts w:ascii="Book Antiqua" w:hAnsi="Book Antiqua"/>
          <w:color w:val="000000" w:themeColor="text1"/>
          <w:sz w:val="24"/>
          <w:szCs w:val="24"/>
          <w:vertAlign w:val="superscript"/>
        </w:rPr>
        <w:t>th</w:t>
      </w:r>
      <w:r w:rsidRPr="00EE30DE">
        <w:rPr>
          <w:rFonts w:ascii="Book Antiqua" w:hAnsi="Book Antiqua"/>
          <w:color w:val="000000" w:themeColor="text1"/>
          <w:sz w:val="24"/>
          <w:szCs w:val="24"/>
        </w:rPr>
        <w:t xml:space="preserve"> wk,</w:t>
      </w:r>
      <w:bookmarkEnd w:id="63"/>
      <w:bookmarkEnd w:id="64"/>
      <w:r w:rsidRPr="00EE30DE">
        <w:rPr>
          <w:rFonts w:ascii="Book Antiqua" w:hAnsi="Book Antiqua"/>
          <w:color w:val="000000" w:themeColor="text1"/>
          <w:sz w:val="24"/>
          <w:szCs w:val="24"/>
        </w:rPr>
        <w:t xml:space="preserve"> the rats given FLSPC therapy were transplanted with Dio-stained Dlk-1</w:t>
      </w:r>
      <w:r w:rsidRPr="005F6C3E">
        <w:rPr>
          <w:rFonts w:ascii="Book Antiqua" w:hAnsi="Book Antiqua"/>
          <w:color w:val="000000" w:themeColor="text1"/>
          <w:sz w:val="24"/>
          <w:szCs w:val="24"/>
          <w:vertAlign w:val="superscript"/>
        </w:rPr>
        <w:t>+</w:t>
      </w:r>
      <w:r w:rsidRPr="00EE30DE">
        <w:rPr>
          <w:rFonts w:ascii="Book Antiqua" w:hAnsi="Book Antiqua"/>
          <w:color w:val="000000" w:themeColor="text1"/>
          <w:sz w:val="24"/>
          <w:szCs w:val="24"/>
        </w:rPr>
        <w:t xml:space="preserve"> FLSPCs (1 × 10</w:t>
      </w:r>
      <w:r w:rsidRPr="005F6C3E">
        <w:rPr>
          <w:rFonts w:ascii="Book Antiqua" w:hAnsi="Book Antiqua"/>
          <w:color w:val="000000" w:themeColor="text1"/>
          <w:sz w:val="24"/>
          <w:szCs w:val="24"/>
          <w:vertAlign w:val="superscript"/>
        </w:rPr>
        <w:t>6</w:t>
      </w:r>
      <w:r w:rsidRPr="00EE30DE">
        <w:rPr>
          <w:rFonts w:ascii="Book Antiqua" w:hAnsi="Book Antiqua"/>
          <w:color w:val="000000" w:themeColor="text1"/>
          <w:sz w:val="24"/>
          <w:szCs w:val="24"/>
        </w:rPr>
        <w:t xml:space="preserve"> cells per rat) </w:t>
      </w:r>
      <w:r w:rsidRPr="005F6C3E">
        <w:rPr>
          <w:rFonts w:ascii="Book Antiqua" w:hAnsi="Book Antiqua"/>
          <w:i/>
          <w:color w:val="000000" w:themeColor="text1"/>
          <w:sz w:val="24"/>
          <w:szCs w:val="24"/>
        </w:rPr>
        <w:t>via</w:t>
      </w:r>
      <w:r w:rsidRPr="00EE30DE">
        <w:rPr>
          <w:rFonts w:ascii="Book Antiqua" w:hAnsi="Book Antiqua"/>
          <w:color w:val="000000" w:themeColor="text1"/>
          <w:sz w:val="24"/>
          <w:szCs w:val="24"/>
        </w:rPr>
        <w:t xml:space="preserve"> intra-splenic injection.</w:t>
      </w:r>
    </w:p>
    <w:p w14:paraId="71AE0B0B"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3CEAA19A" w14:textId="0D5DE336"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Serum </w:t>
      </w:r>
      <w:r w:rsidR="005F6C3E" w:rsidRPr="00EE30DE">
        <w:rPr>
          <w:rFonts w:ascii="Book Antiqua" w:hAnsi="Book Antiqua"/>
          <w:b/>
          <w:i/>
          <w:color w:val="000000" w:themeColor="text1"/>
          <w:sz w:val="24"/>
          <w:szCs w:val="24"/>
        </w:rPr>
        <w:t>chemistry</w:t>
      </w:r>
    </w:p>
    <w:p w14:paraId="10466D7C"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Serum alanine aminotransferase (ALT), aspartate aminotransferase (AST), and total bilirubin (TBil) were measured using standard laboratory methods.</w:t>
      </w:r>
    </w:p>
    <w:p w14:paraId="78E2EE08"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34D2ADC1" w14:textId="4CA8C307"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Histochemical </w:t>
      </w:r>
      <w:r w:rsidR="005F6C3E" w:rsidRPr="00EE30DE">
        <w:rPr>
          <w:rFonts w:ascii="Book Antiqua" w:hAnsi="Book Antiqua"/>
          <w:b/>
          <w:i/>
          <w:color w:val="000000" w:themeColor="text1"/>
          <w:sz w:val="24"/>
          <w:szCs w:val="24"/>
        </w:rPr>
        <w:t>and immunohistochemical analyses of rat livers</w:t>
      </w:r>
    </w:p>
    <w:p w14:paraId="1160A0E7" w14:textId="430F3DEE"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 xml:space="preserve">Paraformaldehyde-fixed (4%) specimens were cut into 4 μm sections and stained with 0.1% (w/v) Sirius Red (Direct Red 80; Aldrich, Milwaukee, WI, </w:t>
      </w:r>
      <w:r w:rsidR="005F6C3E">
        <w:rPr>
          <w:rFonts w:ascii="Book Antiqua" w:hAnsi="Book Antiqua"/>
          <w:color w:val="000000" w:themeColor="text1"/>
          <w:sz w:val="24"/>
          <w:szCs w:val="24"/>
        </w:rPr>
        <w:t>United States</w:t>
      </w:r>
      <w:r w:rsidRPr="00EE30DE">
        <w:rPr>
          <w:rFonts w:ascii="Book Antiqua" w:hAnsi="Book Antiqua"/>
          <w:color w:val="000000" w:themeColor="text1"/>
          <w:sz w:val="24"/>
          <w:szCs w:val="24"/>
        </w:rPr>
        <w:t>), or hematoxylin and eosin (H&amp;E).</w:t>
      </w:r>
    </w:p>
    <w:p w14:paraId="430984F3" w14:textId="46BBE03B" w:rsidR="00792100" w:rsidRPr="00EE30DE" w:rsidRDefault="005F6C3E"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Immunostaining was performed according to previously published methods</w:t>
      </w:r>
      <w:r w:rsidR="00F3165E" w:rsidRPr="00EE30DE">
        <w:rPr>
          <w:rFonts w:ascii="Book Antiqua" w:hAnsi="Book Antiqua"/>
          <w:color w:val="000000" w:themeColor="text1"/>
          <w:sz w:val="24"/>
          <w:szCs w:val="24"/>
          <w:vertAlign w:val="superscript"/>
        </w:rPr>
        <w:t>[22]</w:t>
      </w:r>
      <w:r w:rsidR="00792100" w:rsidRPr="00EE30DE">
        <w:rPr>
          <w:rFonts w:ascii="Book Antiqua" w:hAnsi="Book Antiqua"/>
          <w:color w:val="000000" w:themeColor="text1"/>
          <w:sz w:val="24"/>
          <w:szCs w:val="24"/>
        </w:rPr>
        <w:t xml:space="preserve">. Briefly, sections were de-paraffinized, washed, and pre-incubated in blocking solution, followed by incubation with anti-α-SMA (1:200), anti-HNF4α (1:200), and anti-Hep (1:200) antibodies. Next, the sections were incubated with HRP-conjugated secondary antibodies (1:1000), washed, stained with </w:t>
      </w:r>
      <w:r w:rsidRPr="005F6C3E">
        <w:rPr>
          <w:rFonts w:ascii="Book Antiqua" w:hAnsi="Book Antiqua"/>
          <w:color w:val="000000" w:themeColor="text1"/>
          <w:sz w:val="24"/>
          <w:szCs w:val="24"/>
        </w:rPr>
        <w:t xml:space="preserve">diaminobenzidine </w:t>
      </w:r>
      <w:r>
        <w:rPr>
          <w:rFonts w:ascii="Book Antiqua" w:hAnsi="Book Antiqua"/>
          <w:color w:val="000000" w:themeColor="text1"/>
          <w:sz w:val="24"/>
          <w:szCs w:val="24"/>
        </w:rPr>
        <w:t>(</w:t>
      </w:r>
      <w:r w:rsidR="00792100" w:rsidRPr="00EE30DE">
        <w:rPr>
          <w:rFonts w:ascii="Book Antiqua" w:hAnsi="Book Antiqua"/>
          <w:color w:val="000000" w:themeColor="text1"/>
          <w:sz w:val="24"/>
          <w:szCs w:val="24"/>
        </w:rPr>
        <w:t>DAB</w:t>
      </w:r>
      <w:r>
        <w:rPr>
          <w:rFonts w:ascii="Book Antiqua" w:hAnsi="Book Antiqua"/>
          <w:color w:val="000000" w:themeColor="text1"/>
          <w:sz w:val="24"/>
          <w:szCs w:val="24"/>
        </w:rPr>
        <w:t>)</w:t>
      </w:r>
      <w:r w:rsidR="00792100" w:rsidRPr="00EE30DE">
        <w:rPr>
          <w:rFonts w:ascii="Book Antiqua" w:hAnsi="Book Antiqua"/>
          <w:color w:val="000000" w:themeColor="text1"/>
          <w:sz w:val="24"/>
          <w:szCs w:val="24"/>
        </w:rPr>
        <w:t xml:space="preserve">, and counterstained with hematoxylin. A Leica SCN 400 microscope was used to visualize the samples. For immunofluorescent staining, Alexa Fluor 488 and cyanine 3 secondary antibodies (Jackson ImmunoResearch, West Grove, PA, </w:t>
      </w:r>
      <w:r>
        <w:rPr>
          <w:rFonts w:ascii="Book Antiqua" w:hAnsi="Book Antiqua"/>
          <w:color w:val="000000" w:themeColor="text1"/>
          <w:sz w:val="24"/>
          <w:szCs w:val="24"/>
        </w:rPr>
        <w:t>United States</w:t>
      </w:r>
      <w:r w:rsidR="00792100" w:rsidRPr="00EE30DE">
        <w:rPr>
          <w:rFonts w:ascii="Book Antiqua" w:hAnsi="Book Antiqua"/>
          <w:color w:val="000000" w:themeColor="text1"/>
          <w:sz w:val="24"/>
          <w:szCs w:val="24"/>
        </w:rPr>
        <w:t xml:space="preserve">) were used with counterstaining. Images were obtained with a confocal laser </w:t>
      </w:r>
      <w:r w:rsidR="00792100" w:rsidRPr="00EE30DE">
        <w:rPr>
          <w:rFonts w:ascii="Book Antiqua" w:hAnsi="Book Antiqua"/>
          <w:color w:val="000000" w:themeColor="text1"/>
          <w:sz w:val="24"/>
          <w:szCs w:val="24"/>
        </w:rPr>
        <w:lastRenderedPageBreak/>
        <w:t>scanning microscope (FV10i, Olympus, Japan).</w:t>
      </w:r>
    </w:p>
    <w:p w14:paraId="5F3E3F9C"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721B1BA3" w14:textId="7576805C"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WB-F344 </w:t>
      </w:r>
      <w:r w:rsidR="005F6C3E" w:rsidRPr="00EE30DE">
        <w:rPr>
          <w:rFonts w:ascii="Book Antiqua" w:hAnsi="Book Antiqua"/>
          <w:b/>
          <w:i/>
          <w:color w:val="000000" w:themeColor="text1"/>
          <w:sz w:val="24"/>
          <w:szCs w:val="24"/>
        </w:rPr>
        <w:t>cell line</w:t>
      </w:r>
      <w:r w:rsidRPr="00EE30DE">
        <w:rPr>
          <w:rFonts w:ascii="Book Antiqua" w:hAnsi="Book Antiqua"/>
          <w:b/>
          <w:i/>
          <w:color w:val="000000" w:themeColor="text1"/>
          <w:sz w:val="24"/>
          <w:szCs w:val="24"/>
        </w:rPr>
        <w:t xml:space="preserve"> and RAW264.7 </w:t>
      </w:r>
      <w:r w:rsidR="005F6C3E" w:rsidRPr="00EE30DE">
        <w:rPr>
          <w:rFonts w:ascii="Book Antiqua" w:hAnsi="Book Antiqua"/>
          <w:b/>
          <w:i/>
          <w:color w:val="000000" w:themeColor="text1"/>
          <w:sz w:val="24"/>
          <w:szCs w:val="24"/>
        </w:rPr>
        <w:t>cell line culture and treatment</w:t>
      </w:r>
    </w:p>
    <w:p w14:paraId="15001F7F" w14:textId="1373C254"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WB-F344 cells (a rat oval cell line that is morphologically and functionally similar to freshly isolated HPCs</w:t>
      </w:r>
      <w:r w:rsidR="00F3165E" w:rsidRPr="00EE30DE">
        <w:rPr>
          <w:rFonts w:ascii="Book Antiqua" w:hAnsi="Book Antiqua"/>
          <w:color w:val="000000" w:themeColor="text1"/>
          <w:sz w:val="24"/>
          <w:szCs w:val="24"/>
          <w:vertAlign w:val="superscript"/>
        </w:rPr>
        <w:t>[23]</w:t>
      </w:r>
      <w:r w:rsidRPr="00EE30DE">
        <w:rPr>
          <w:rFonts w:ascii="Book Antiqua" w:hAnsi="Book Antiqua"/>
          <w:color w:val="000000" w:themeColor="text1"/>
          <w:sz w:val="24"/>
          <w:szCs w:val="24"/>
        </w:rPr>
        <w:t>) and RAW264.7 cells (a murine macrophage cell line) were purchased from the Shanghai Cell Bank (Chinese Academy of Sciences, Shanghai, China). WB-F344 cells were cultured at 37</w:t>
      </w:r>
      <w:r w:rsidR="005F6C3E">
        <w:rPr>
          <w:rFonts w:ascii="Book Antiqua" w:hAnsi="Book Antiqua"/>
          <w:color w:val="000000" w:themeColor="text1"/>
          <w:sz w:val="24"/>
          <w:szCs w:val="24"/>
        </w:rPr>
        <w:t xml:space="preserve"> </w:t>
      </w:r>
      <w:r w:rsidRPr="00EE30DE">
        <w:rPr>
          <w:rFonts w:ascii="Book Antiqua" w:hAnsi="Book Antiqua"/>
          <w:color w:val="000000" w:themeColor="text1"/>
          <w:sz w:val="24"/>
          <w:szCs w:val="24"/>
        </w:rPr>
        <w:t>°C in a 5% CO</w:t>
      </w:r>
      <w:r w:rsidRPr="005F6C3E">
        <w:rPr>
          <w:rFonts w:ascii="Book Antiqua" w:hAnsi="Book Antiqua"/>
          <w:color w:val="000000" w:themeColor="text1"/>
          <w:sz w:val="24"/>
          <w:szCs w:val="24"/>
          <w:vertAlign w:val="subscript"/>
        </w:rPr>
        <w:t>2</w:t>
      </w:r>
      <w:r w:rsidRPr="00EE30DE">
        <w:rPr>
          <w:rFonts w:ascii="Book Antiqua" w:hAnsi="Book Antiqua"/>
          <w:color w:val="000000" w:themeColor="text1"/>
          <w:sz w:val="24"/>
          <w:szCs w:val="24"/>
        </w:rPr>
        <w:t xml:space="preserve"> in air atmosphere in</w:t>
      </w:r>
      <w:r w:rsidR="005F6C3E">
        <w:rPr>
          <w:rFonts w:ascii="Book Antiqua" w:hAnsi="Book Antiqua"/>
          <w:color w:val="000000" w:themeColor="text1"/>
          <w:sz w:val="24"/>
          <w:szCs w:val="24"/>
        </w:rPr>
        <w:t xml:space="preserve"> D</w:t>
      </w:r>
      <w:r w:rsidR="005F6C3E" w:rsidRPr="005F6C3E">
        <w:rPr>
          <w:rFonts w:ascii="Book Antiqua" w:hAnsi="Book Antiqua"/>
          <w:color w:val="000000" w:themeColor="text1"/>
          <w:sz w:val="24"/>
          <w:szCs w:val="24"/>
        </w:rPr>
        <w:t>ulbecco's modified eagle medium</w:t>
      </w:r>
      <w:r w:rsidRPr="00EE30DE">
        <w:rPr>
          <w:rFonts w:ascii="Book Antiqua" w:hAnsi="Book Antiqua"/>
          <w:color w:val="000000" w:themeColor="text1"/>
          <w:sz w:val="24"/>
          <w:szCs w:val="24"/>
        </w:rPr>
        <w:t xml:space="preserve"> </w:t>
      </w:r>
      <w:r w:rsidR="005F6C3E">
        <w:rPr>
          <w:rFonts w:ascii="Book Antiqua" w:hAnsi="Book Antiqua"/>
          <w:color w:val="000000" w:themeColor="text1"/>
          <w:sz w:val="24"/>
          <w:szCs w:val="24"/>
        </w:rPr>
        <w:t>(</w:t>
      </w:r>
      <w:r w:rsidRPr="00EE30DE">
        <w:rPr>
          <w:rFonts w:ascii="Book Antiqua" w:hAnsi="Book Antiqua"/>
          <w:color w:val="000000" w:themeColor="text1"/>
          <w:sz w:val="24"/>
          <w:szCs w:val="24"/>
        </w:rPr>
        <w:t>DMEM</w:t>
      </w:r>
      <w:r w:rsidR="005F6C3E">
        <w:rPr>
          <w:rFonts w:ascii="Book Antiqua" w:hAnsi="Book Antiqua"/>
          <w:color w:val="000000" w:themeColor="text1"/>
          <w:sz w:val="24"/>
          <w:szCs w:val="24"/>
        </w:rPr>
        <w:t>)</w:t>
      </w:r>
      <w:r w:rsidRPr="00EE30DE">
        <w:rPr>
          <w:rFonts w:ascii="Book Antiqua" w:hAnsi="Book Antiqua"/>
          <w:color w:val="000000" w:themeColor="text1"/>
          <w:sz w:val="24"/>
          <w:szCs w:val="24"/>
        </w:rPr>
        <w:t xml:space="preserve"> supplemented with 10% fetal calf serum (FCS), 2 m</w:t>
      </w:r>
      <w:r w:rsidR="005F6C3E">
        <w:rPr>
          <w:rFonts w:ascii="Book Antiqua" w:hAnsi="Book Antiqua"/>
          <w:color w:val="000000" w:themeColor="text1"/>
          <w:sz w:val="24"/>
          <w:szCs w:val="24"/>
        </w:rPr>
        <w:t>mol/L glutamine, and penicillin/streptomycin (100 mg/mL</w:t>
      </w:r>
      <w:r w:rsidRPr="00EE30DE">
        <w:rPr>
          <w:rFonts w:ascii="Book Antiqua" w:hAnsi="Book Antiqua"/>
          <w:color w:val="000000" w:themeColor="text1"/>
          <w:sz w:val="24"/>
          <w:szCs w:val="24"/>
        </w:rPr>
        <w:t xml:space="preserve">). Activation of RAW264.7 cells were induced by </w:t>
      </w:r>
      <w:r w:rsidR="00943737">
        <w:rPr>
          <w:rFonts w:ascii="Book Antiqua" w:hAnsi="Book Antiqua"/>
          <w:color w:val="000000" w:themeColor="text1"/>
          <w:sz w:val="24"/>
          <w:szCs w:val="24"/>
        </w:rPr>
        <w:t>LPS</w:t>
      </w:r>
      <w:r w:rsidR="005F6C3E">
        <w:rPr>
          <w:rFonts w:ascii="Book Antiqua" w:hAnsi="Book Antiqua"/>
          <w:color w:val="000000" w:themeColor="text1"/>
          <w:sz w:val="24"/>
          <w:szCs w:val="24"/>
        </w:rPr>
        <w:t xml:space="preserve"> 100 ng/mL</w:t>
      </w:r>
      <w:r w:rsidRPr="00EE30DE">
        <w:rPr>
          <w:rFonts w:ascii="Book Antiqua" w:hAnsi="Book Antiqua"/>
          <w:color w:val="000000" w:themeColor="text1"/>
          <w:sz w:val="24"/>
          <w:szCs w:val="24"/>
        </w:rPr>
        <w:t xml:space="preserve"> for 8 h at 37</w:t>
      </w:r>
      <w:r w:rsidR="005F6C3E">
        <w:rPr>
          <w:rFonts w:ascii="Book Antiqua" w:hAnsi="Book Antiqua"/>
          <w:color w:val="000000" w:themeColor="text1"/>
          <w:sz w:val="24"/>
          <w:szCs w:val="24"/>
        </w:rPr>
        <w:t xml:space="preserve"> </w:t>
      </w:r>
      <w:r w:rsidRPr="00EE30DE">
        <w:rPr>
          <w:rFonts w:ascii="Book Antiqua" w:hAnsi="Book Antiqua"/>
          <w:color w:val="000000" w:themeColor="text1"/>
          <w:sz w:val="24"/>
          <w:szCs w:val="24"/>
        </w:rPr>
        <w:t>°C in a 5% CO</w:t>
      </w:r>
      <w:r w:rsidRPr="005F6C3E">
        <w:rPr>
          <w:rFonts w:ascii="Book Antiqua" w:hAnsi="Book Antiqua"/>
          <w:color w:val="000000" w:themeColor="text1"/>
          <w:sz w:val="24"/>
          <w:szCs w:val="24"/>
          <w:vertAlign w:val="subscript"/>
        </w:rPr>
        <w:t>2</w:t>
      </w:r>
      <w:r w:rsidRPr="00EE30DE">
        <w:rPr>
          <w:rFonts w:ascii="Book Antiqua" w:hAnsi="Book Antiqua"/>
          <w:color w:val="000000" w:themeColor="text1"/>
          <w:sz w:val="24"/>
          <w:szCs w:val="24"/>
        </w:rPr>
        <w:t xml:space="preserve"> in air atmosphere in DMEM supplemented with 10% FCS</w:t>
      </w:r>
      <w:r w:rsidR="00C336FC" w:rsidRPr="00EE30DE">
        <w:rPr>
          <w:rFonts w:ascii="Book Antiqua" w:hAnsi="Book Antiqua"/>
          <w:color w:val="000000" w:themeColor="text1"/>
          <w:sz w:val="24"/>
          <w:szCs w:val="24"/>
          <w:vertAlign w:val="superscript"/>
        </w:rPr>
        <w:t>[24]</w:t>
      </w:r>
      <w:r w:rsidRPr="00EE30DE">
        <w:rPr>
          <w:rFonts w:ascii="Book Antiqua" w:hAnsi="Book Antiqua"/>
          <w:color w:val="000000" w:themeColor="text1"/>
          <w:sz w:val="24"/>
          <w:szCs w:val="24"/>
        </w:rPr>
        <w:t>, and then co-cultured with WB-F344 cells in Transwell chambers. A total of 2 × 10</w:t>
      </w:r>
      <w:r w:rsidRPr="005F6C3E">
        <w:rPr>
          <w:rFonts w:ascii="Book Antiqua" w:hAnsi="Book Antiqua"/>
          <w:color w:val="000000" w:themeColor="text1"/>
          <w:sz w:val="24"/>
          <w:szCs w:val="24"/>
          <w:vertAlign w:val="superscript"/>
        </w:rPr>
        <w:t>4</w:t>
      </w:r>
      <w:r w:rsidRPr="00EE30DE">
        <w:rPr>
          <w:rFonts w:ascii="Book Antiqua" w:hAnsi="Book Antiqua"/>
          <w:color w:val="000000" w:themeColor="text1"/>
          <w:sz w:val="24"/>
          <w:szCs w:val="24"/>
        </w:rPr>
        <w:t xml:space="preserve"> WB-F344 cells were seeded into the upper compartment and 4 × 10</w:t>
      </w:r>
      <w:r w:rsidRPr="005F6C3E">
        <w:rPr>
          <w:rFonts w:ascii="Book Antiqua" w:hAnsi="Book Antiqua"/>
          <w:color w:val="000000" w:themeColor="text1"/>
          <w:sz w:val="24"/>
          <w:szCs w:val="24"/>
          <w:vertAlign w:val="superscript"/>
        </w:rPr>
        <w:t>4</w:t>
      </w:r>
      <w:r w:rsidRPr="00EE30DE">
        <w:rPr>
          <w:rFonts w:ascii="Book Antiqua" w:hAnsi="Book Antiqua"/>
          <w:color w:val="000000" w:themeColor="text1"/>
          <w:sz w:val="24"/>
          <w:szCs w:val="24"/>
        </w:rPr>
        <w:t xml:space="preserve"> RAW264.7 cells were seeded into the lower compartment of the Transwell chamber. LPS was added to the culture medium, and the medium was replaced every 48 h for a total culture time of 7 d.</w:t>
      </w:r>
    </w:p>
    <w:p w14:paraId="40C5188A"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644B31F5" w14:textId="2F8F0ADA"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RNA </w:t>
      </w:r>
      <w:r w:rsidR="005F6C3E" w:rsidRPr="00EE30DE">
        <w:rPr>
          <w:rFonts w:ascii="Book Antiqua" w:hAnsi="Book Antiqua"/>
          <w:b/>
          <w:i/>
          <w:color w:val="000000" w:themeColor="text1"/>
          <w:sz w:val="24"/>
          <w:szCs w:val="24"/>
        </w:rPr>
        <w:t xml:space="preserve">preparation and quantitative real-time reverse transcription </w:t>
      </w:r>
      <w:r w:rsidRPr="00EE30DE">
        <w:rPr>
          <w:rFonts w:ascii="Book Antiqua" w:hAnsi="Book Antiqua"/>
          <w:b/>
          <w:i/>
          <w:color w:val="000000" w:themeColor="text1"/>
          <w:sz w:val="24"/>
          <w:szCs w:val="24"/>
        </w:rPr>
        <w:t>PCR</w:t>
      </w:r>
    </w:p>
    <w:p w14:paraId="33C87D50" w14:textId="3C6F302A" w:rsidR="00792100" w:rsidRPr="005A42EC" w:rsidRDefault="00792100" w:rsidP="005A42EC">
      <w:pPr>
        <w:rPr>
          <w:rFonts w:ascii="Book Antiqua" w:hAnsi="Book Antiqua" w:cs="Calibri"/>
          <w:noProof/>
          <w:color w:val="000000" w:themeColor="text1"/>
          <w:shd w:val="clear" w:color="auto" w:fill="FFFFFF"/>
        </w:rPr>
      </w:pPr>
      <w:r w:rsidRPr="00EE30DE">
        <w:rPr>
          <w:rFonts w:ascii="Book Antiqua" w:hAnsi="Book Antiqua"/>
          <w:color w:val="000000" w:themeColor="text1"/>
        </w:rPr>
        <w:t>The mRNA expression of tumor necrosis factor-alpha (TNF-α), transforming growth factor beta 1 (T</w:t>
      </w:r>
      <w:r w:rsidR="005F6C3E">
        <w:rPr>
          <w:rFonts w:ascii="Book Antiqua" w:hAnsi="Book Antiqua"/>
          <w:color w:val="000000" w:themeColor="text1"/>
        </w:rPr>
        <w:t>GF-β1), α-SMA, collagen type I [</w:t>
      </w:r>
      <w:r w:rsidRPr="00EE30DE">
        <w:rPr>
          <w:rFonts w:ascii="Book Antiqua" w:hAnsi="Book Antiqua"/>
          <w:color w:val="000000" w:themeColor="text1"/>
        </w:rPr>
        <w:t>C</w:t>
      </w:r>
      <w:r w:rsidR="005F6C3E">
        <w:rPr>
          <w:rFonts w:ascii="Book Antiqua" w:hAnsi="Book Antiqua"/>
          <w:color w:val="000000" w:themeColor="text1"/>
        </w:rPr>
        <w:t>ol(1)]</w:t>
      </w:r>
      <w:r w:rsidRPr="00EE30DE">
        <w:rPr>
          <w:rFonts w:ascii="Book Antiqua" w:hAnsi="Book Antiqua"/>
          <w:color w:val="000000" w:themeColor="text1"/>
        </w:rPr>
        <w:t xml:space="preserve">, CD68, CD163, </w:t>
      </w:r>
      <w:r w:rsidR="00C13BD0">
        <w:rPr>
          <w:rFonts w:ascii="Book Antiqua" w:hAnsi="Book Antiqua"/>
          <w:color w:val="000000" w:themeColor="text1"/>
        </w:rPr>
        <w:t>HNF4α</w:t>
      </w:r>
      <w:r w:rsidRPr="00EE30DE">
        <w:rPr>
          <w:rFonts w:ascii="Book Antiqua" w:hAnsi="Book Antiqua"/>
          <w:color w:val="000000" w:themeColor="text1"/>
        </w:rPr>
        <w:t xml:space="preserve">, Hep, Wnt-1, -3A, -4, -5A, -5B, -8A, -8B, -10B, -11, β-Catenin, Frizzled (FZD)-1, -2, -3, -4, -5, -6, </w:t>
      </w:r>
      <w:r w:rsidR="005A42EC">
        <w:rPr>
          <w:rFonts w:ascii="Book Antiqua" w:hAnsi="Book Antiqua" w:cs="Calibri"/>
          <w:noProof/>
          <w:color w:val="000000" w:themeColor="text1"/>
          <w:shd w:val="clear" w:color="auto" w:fill="FFFFFF"/>
        </w:rPr>
        <w:t>l</w:t>
      </w:r>
      <w:r w:rsidR="005A42EC" w:rsidRPr="005A42EC">
        <w:rPr>
          <w:rFonts w:ascii="Book Antiqua" w:hAnsi="Book Antiqua" w:cs="Calibri"/>
          <w:noProof/>
          <w:color w:val="000000" w:themeColor="text1"/>
          <w:shd w:val="clear" w:color="auto" w:fill="FFFFFF"/>
        </w:rPr>
        <w:t>ow-density lipoprotein</w:t>
      </w:r>
      <w:r w:rsidRPr="00EE30DE">
        <w:rPr>
          <w:rFonts w:ascii="Book Antiqua" w:hAnsi="Book Antiqua"/>
          <w:color w:val="000000" w:themeColor="text1"/>
        </w:rPr>
        <w:t xml:space="preserve"> receptor-related protein (LRP)-5, -6, and GAPDH were quantified using quantitative </w:t>
      </w:r>
      <w:r w:rsidR="00A51C2B">
        <w:rPr>
          <w:rFonts w:ascii="Book Antiqua" w:hAnsi="Book Antiqua"/>
          <w:color w:val="000000" w:themeColor="text1"/>
        </w:rPr>
        <w:t>reverse transcription (</w:t>
      </w:r>
      <w:r w:rsidRPr="00EE30DE">
        <w:rPr>
          <w:rFonts w:ascii="Book Antiqua" w:hAnsi="Book Antiqua"/>
          <w:color w:val="000000" w:themeColor="text1"/>
        </w:rPr>
        <w:t>RT</w:t>
      </w:r>
      <w:r w:rsidR="00A51C2B">
        <w:rPr>
          <w:rFonts w:ascii="Book Antiqua" w:hAnsi="Book Antiqua"/>
          <w:color w:val="000000" w:themeColor="text1"/>
        </w:rPr>
        <w:t>)</w:t>
      </w:r>
      <w:r w:rsidRPr="00EE30DE">
        <w:rPr>
          <w:rFonts w:ascii="Book Antiqua" w:hAnsi="Book Antiqua"/>
          <w:color w:val="000000" w:themeColor="text1"/>
        </w:rPr>
        <w:t xml:space="preserve">-PCR. Total RNA was extracted from the liver tissue using a total RNA purification kit (Lot. 250800) (TOYOBO, Osaka, Japan). RNA was reverse-transcribed to cDNA and gene expression was measured using Real-time PCR Master Mix (TaqMan) (Lot. 056700) or SYBR Green Real-time PCR Master Mix (TaqMan) (Lot. 411900) (TOYOBO), and the ViiA 7 Real-Time PCR System (ABI, </w:t>
      </w:r>
      <w:r w:rsidR="00A51C2B">
        <w:rPr>
          <w:rFonts w:ascii="Book Antiqua" w:hAnsi="Book Antiqua"/>
          <w:color w:val="000000" w:themeColor="text1"/>
        </w:rPr>
        <w:t>United States</w:t>
      </w:r>
      <w:r w:rsidRPr="00EE30DE">
        <w:rPr>
          <w:rFonts w:ascii="Book Antiqua" w:hAnsi="Book Antiqua"/>
          <w:color w:val="000000" w:themeColor="text1"/>
        </w:rPr>
        <w:t xml:space="preserve">) was used. Primers and oligonucleotide probes were designed using Primer Express (Takara Chemical), and are listed presented in Table 1. Each PCR amplification was </w:t>
      </w:r>
      <w:r w:rsidRPr="00EE30DE">
        <w:rPr>
          <w:rFonts w:ascii="Book Antiqua" w:hAnsi="Book Antiqua"/>
          <w:color w:val="000000" w:themeColor="text1"/>
        </w:rPr>
        <w:lastRenderedPageBreak/>
        <w:t>performed all samples in both the experimental and control groups. Individual gene expression was normalized to GAPDH expression levels. The conditions for the TaqMan One-Step RT-PCR were as follows: 30 min at 48</w:t>
      </w:r>
      <w:r w:rsidR="00A51C2B">
        <w:rPr>
          <w:rFonts w:ascii="Book Antiqua" w:hAnsi="Book Antiqua"/>
          <w:color w:val="000000" w:themeColor="text1"/>
        </w:rPr>
        <w:t xml:space="preserve"> </w:t>
      </w:r>
      <w:r w:rsidRPr="00EE30DE">
        <w:rPr>
          <w:rFonts w:ascii="Book Antiqua" w:hAnsi="Book Antiqua"/>
          <w:color w:val="000000" w:themeColor="text1"/>
        </w:rPr>
        <w:t>°C (stage 1, RT), 10 min at 95</w:t>
      </w:r>
      <w:r w:rsidR="00A51C2B">
        <w:rPr>
          <w:rFonts w:ascii="Book Antiqua" w:hAnsi="Book Antiqua"/>
          <w:color w:val="000000" w:themeColor="text1"/>
        </w:rPr>
        <w:t xml:space="preserve"> </w:t>
      </w:r>
      <w:r w:rsidRPr="00EE30DE">
        <w:rPr>
          <w:rFonts w:ascii="Book Antiqua" w:hAnsi="Book Antiqua"/>
          <w:color w:val="000000" w:themeColor="text1"/>
        </w:rPr>
        <w:t>°C (stage 2, RT inactivation and Ampli Taq Gold activation), and then followed by 40 cycles of amplification at 95</w:t>
      </w:r>
      <w:r w:rsidR="00A51C2B">
        <w:rPr>
          <w:rFonts w:ascii="Book Antiqua" w:hAnsi="Book Antiqua"/>
          <w:color w:val="000000" w:themeColor="text1"/>
        </w:rPr>
        <w:t xml:space="preserve"> </w:t>
      </w:r>
      <w:r w:rsidRPr="00EE30DE">
        <w:rPr>
          <w:rFonts w:ascii="Book Antiqua" w:hAnsi="Book Antiqua"/>
          <w:color w:val="000000" w:themeColor="text1"/>
        </w:rPr>
        <w:t>°C for 15 s and at 60</w:t>
      </w:r>
      <w:r w:rsidR="00A51C2B">
        <w:rPr>
          <w:rFonts w:ascii="Book Antiqua" w:hAnsi="Book Antiqua"/>
          <w:color w:val="000000" w:themeColor="text1"/>
        </w:rPr>
        <w:t xml:space="preserve"> </w:t>
      </w:r>
      <w:r w:rsidRPr="00EE30DE">
        <w:rPr>
          <w:rFonts w:ascii="Book Antiqua" w:hAnsi="Book Antiqua"/>
          <w:color w:val="000000" w:themeColor="text1"/>
        </w:rPr>
        <w:t>°C for 1 min (stage 3, PCR). The conditions for the One-Step SYBR RT-PCR (Perfect Real Time) were as follows: an initial step at 42</w:t>
      </w:r>
      <w:r w:rsidR="00A51C2B">
        <w:rPr>
          <w:rFonts w:ascii="Book Antiqua" w:hAnsi="Book Antiqua"/>
          <w:color w:val="000000" w:themeColor="text1"/>
        </w:rPr>
        <w:t xml:space="preserve"> </w:t>
      </w:r>
      <w:r w:rsidRPr="00EE30DE">
        <w:rPr>
          <w:rFonts w:ascii="Book Antiqua" w:hAnsi="Book Antiqua"/>
          <w:color w:val="000000" w:themeColor="text1"/>
        </w:rPr>
        <w:t>°C for 15 min, 95</w:t>
      </w:r>
      <w:r w:rsidR="00A51C2B">
        <w:rPr>
          <w:rFonts w:ascii="Book Antiqua" w:hAnsi="Book Antiqua"/>
          <w:color w:val="000000" w:themeColor="text1"/>
        </w:rPr>
        <w:t xml:space="preserve"> </w:t>
      </w:r>
      <w:r w:rsidRPr="00EE30DE">
        <w:rPr>
          <w:rFonts w:ascii="Book Antiqua" w:hAnsi="Book Antiqua"/>
          <w:color w:val="000000" w:themeColor="text1"/>
        </w:rPr>
        <w:t>°C for 2 min, and then, followed by 40 amplification cycles of: denaturation at 95</w:t>
      </w:r>
      <w:r w:rsidR="00A51C2B">
        <w:rPr>
          <w:rFonts w:ascii="Book Antiqua" w:hAnsi="Book Antiqua"/>
          <w:color w:val="000000" w:themeColor="text1"/>
        </w:rPr>
        <w:t xml:space="preserve"> </w:t>
      </w:r>
      <w:r w:rsidRPr="00EE30DE">
        <w:rPr>
          <w:rFonts w:ascii="Book Antiqua" w:hAnsi="Book Antiqua"/>
          <w:color w:val="000000" w:themeColor="text1"/>
        </w:rPr>
        <w:t>°C for 15 s, and annealing and extension at 60</w:t>
      </w:r>
      <w:r w:rsidR="00A51C2B">
        <w:rPr>
          <w:rFonts w:ascii="Book Antiqua" w:hAnsi="Book Antiqua"/>
          <w:color w:val="000000" w:themeColor="text1"/>
        </w:rPr>
        <w:t xml:space="preserve"> </w:t>
      </w:r>
      <w:r w:rsidRPr="00EE30DE">
        <w:rPr>
          <w:rFonts w:ascii="Book Antiqua" w:hAnsi="Book Antiqua"/>
          <w:color w:val="000000" w:themeColor="text1"/>
        </w:rPr>
        <w:t>°C for 1 min.</w:t>
      </w:r>
    </w:p>
    <w:p w14:paraId="2D7C42D3"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131C6D8D" w14:textId="6B9826ED"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Immunoblot </w:t>
      </w:r>
      <w:r w:rsidR="00A51C2B" w:rsidRPr="00EE30DE">
        <w:rPr>
          <w:rFonts w:ascii="Book Antiqua" w:hAnsi="Book Antiqua"/>
          <w:b/>
          <w:i/>
          <w:color w:val="000000" w:themeColor="text1"/>
          <w:sz w:val="24"/>
          <w:szCs w:val="24"/>
        </w:rPr>
        <w:t>analysis</w:t>
      </w:r>
    </w:p>
    <w:p w14:paraId="44A365FB" w14:textId="3EAF220F"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Protein expression was assessed by immunoblot analysis as previously described</w:t>
      </w:r>
      <w:r w:rsidR="00C336FC" w:rsidRPr="00EE30DE">
        <w:rPr>
          <w:rFonts w:ascii="Book Antiqua" w:hAnsi="Book Antiqua"/>
          <w:color w:val="000000" w:themeColor="text1"/>
          <w:sz w:val="24"/>
          <w:szCs w:val="24"/>
          <w:vertAlign w:val="superscript"/>
        </w:rPr>
        <w:t>[22]</w:t>
      </w:r>
      <w:r w:rsidRPr="00EE30DE">
        <w:rPr>
          <w:rFonts w:ascii="Book Antiqua" w:hAnsi="Book Antiqua"/>
          <w:color w:val="000000" w:themeColor="text1"/>
          <w:sz w:val="24"/>
          <w:szCs w:val="24"/>
        </w:rPr>
        <w:t>. The liver tissue was lysed with RIPA buffer containing 50 m</w:t>
      </w:r>
      <w:r w:rsidR="00A51C2B">
        <w:rPr>
          <w:rFonts w:ascii="Book Antiqua" w:hAnsi="Book Antiqua"/>
          <w:color w:val="000000" w:themeColor="text1"/>
          <w:sz w:val="24"/>
          <w:szCs w:val="24"/>
        </w:rPr>
        <w:t>mol/L</w:t>
      </w:r>
      <w:r w:rsidRPr="00EE30DE">
        <w:rPr>
          <w:rFonts w:ascii="Book Antiqua" w:hAnsi="Book Antiqua"/>
          <w:color w:val="000000" w:themeColor="text1"/>
          <w:sz w:val="24"/>
          <w:szCs w:val="24"/>
        </w:rPr>
        <w:t xml:space="preserve"> Tris-HCl (pH 7.2), 150 m</w:t>
      </w:r>
      <w:r w:rsidR="00B06383">
        <w:rPr>
          <w:rFonts w:ascii="Book Antiqua" w:hAnsi="Book Antiqua"/>
          <w:color w:val="000000" w:themeColor="text1"/>
          <w:sz w:val="24"/>
          <w:szCs w:val="24"/>
        </w:rPr>
        <w:t>mol/L</w:t>
      </w:r>
      <w:r w:rsidRPr="00EE30DE">
        <w:rPr>
          <w:rFonts w:ascii="Book Antiqua" w:hAnsi="Book Antiqua"/>
          <w:color w:val="000000" w:themeColor="text1"/>
          <w:sz w:val="24"/>
          <w:szCs w:val="24"/>
        </w:rPr>
        <w:t xml:space="preserve"> NaCl, 1% NP-40, 0.1% SDS, 1 m</w:t>
      </w:r>
      <w:r w:rsidR="00B06383">
        <w:rPr>
          <w:rFonts w:ascii="Book Antiqua" w:hAnsi="Book Antiqua"/>
          <w:color w:val="000000" w:themeColor="text1"/>
          <w:sz w:val="24"/>
          <w:szCs w:val="24"/>
        </w:rPr>
        <w:t>mol/L</w:t>
      </w:r>
      <w:r w:rsidRPr="00EE30DE">
        <w:rPr>
          <w:rFonts w:ascii="Book Antiqua" w:hAnsi="Book Antiqua"/>
          <w:color w:val="000000" w:themeColor="text1"/>
          <w:sz w:val="24"/>
          <w:szCs w:val="24"/>
        </w:rPr>
        <w:t xml:space="preserve"> </w:t>
      </w:r>
      <w:r w:rsidR="00B06383">
        <w:rPr>
          <w:rFonts w:ascii="Book Antiqua" w:hAnsi="Book Antiqua"/>
          <w:color w:val="000000" w:themeColor="text1"/>
          <w:sz w:val="24"/>
          <w:szCs w:val="24"/>
        </w:rPr>
        <w:t>ethylene diamine tetraacetic a</w:t>
      </w:r>
      <w:r w:rsidR="00B06383" w:rsidRPr="00B06383">
        <w:rPr>
          <w:rFonts w:ascii="Book Antiqua" w:hAnsi="Book Antiqua"/>
          <w:color w:val="000000" w:themeColor="text1"/>
          <w:sz w:val="24"/>
          <w:szCs w:val="24"/>
        </w:rPr>
        <w:t>cid</w:t>
      </w:r>
      <w:r w:rsidR="00B06383">
        <w:rPr>
          <w:rFonts w:ascii="Book Antiqua" w:hAnsi="Book Antiqua"/>
          <w:color w:val="000000" w:themeColor="text1"/>
          <w:sz w:val="24"/>
          <w:szCs w:val="24"/>
        </w:rPr>
        <w:t xml:space="preserve"> (</w:t>
      </w:r>
      <w:r w:rsidRPr="00EE30DE">
        <w:rPr>
          <w:rFonts w:ascii="Book Antiqua" w:hAnsi="Book Antiqua"/>
          <w:color w:val="000000" w:themeColor="text1"/>
          <w:sz w:val="24"/>
          <w:szCs w:val="24"/>
        </w:rPr>
        <w:t>EDTA</w:t>
      </w:r>
      <w:r w:rsidR="00B06383">
        <w:rPr>
          <w:rFonts w:ascii="Book Antiqua" w:hAnsi="Book Antiqua"/>
          <w:color w:val="000000" w:themeColor="text1"/>
          <w:sz w:val="24"/>
          <w:szCs w:val="24"/>
        </w:rPr>
        <w:t>)</w:t>
      </w:r>
      <w:r w:rsidRPr="00EE30DE">
        <w:rPr>
          <w:rFonts w:ascii="Book Antiqua" w:hAnsi="Book Antiqua"/>
          <w:color w:val="000000" w:themeColor="text1"/>
          <w:sz w:val="24"/>
          <w:szCs w:val="24"/>
        </w:rPr>
        <w:t>, and 1 m</w:t>
      </w:r>
      <w:r w:rsidR="00B06383">
        <w:rPr>
          <w:rFonts w:ascii="Book Antiqua" w:hAnsi="Book Antiqua"/>
          <w:color w:val="000000" w:themeColor="text1"/>
          <w:sz w:val="24"/>
          <w:szCs w:val="24"/>
        </w:rPr>
        <w:t>mol/L</w:t>
      </w:r>
      <w:r w:rsidRPr="00EE30DE">
        <w:rPr>
          <w:rFonts w:ascii="Book Antiqua" w:hAnsi="Book Antiqua"/>
          <w:color w:val="000000" w:themeColor="text1"/>
          <w:sz w:val="24"/>
          <w:szCs w:val="24"/>
        </w:rPr>
        <w:t xml:space="preserve"> </w:t>
      </w:r>
      <w:r w:rsidR="00B06383">
        <w:rPr>
          <w:rFonts w:ascii="Book Antiqua" w:hAnsi="Book Antiqua"/>
          <w:color w:val="000000" w:themeColor="text1"/>
          <w:sz w:val="24"/>
          <w:szCs w:val="24"/>
        </w:rPr>
        <w:t>p</w:t>
      </w:r>
      <w:r w:rsidR="00B06383" w:rsidRPr="00B06383">
        <w:rPr>
          <w:rFonts w:ascii="Book Antiqua" w:hAnsi="Book Antiqua"/>
          <w:color w:val="000000" w:themeColor="text1"/>
          <w:sz w:val="24"/>
          <w:szCs w:val="24"/>
        </w:rPr>
        <w:t>henylmethanesulfonyl fluoride</w:t>
      </w:r>
      <w:r w:rsidR="00B06383">
        <w:rPr>
          <w:rFonts w:ascii="Book Antiqua" w:hAnsi="Book Antiqua"/>
          <w:color w:val="000000" w:themeColor="text1"/>
          <w:sz w:val="24"/>
          <w:szCs w:val="24"/>
        </w:rPr>
        <w:t xml:space="preserve"> (</w:t>
      </w:r>
      <w:r w:rsidRPr="00EE30DE">
        <w:rPr>
          <w:rFonts w:ascii="Book Antiqua" w:hAnsi="Book Antiqua"/>
          <w:color w:val="000000" w:themeColor="text1"/>
          <w:sz w:val="24"/>
          <w:szCs w:val="24"/>
        </w:rPr>
        <w:t>PMSF</w:t>
      </w:r>
      <w:r w:rsidR="00B06383">
        <w:rPr>
          <w:rFonts w:ascii="Book Antiqua" w:hAnsi="Book Antiqua"/>
          <w:color w:val="000000" w:themeColor="text1"/>
          <w:sz w:val="24"/>
          <w:szCs w:val="24"/>
        </w:rPr>
        <w:t>)</w:t>
      </w:r>
      <w:r w:rsidRPr="00EE30DE">
        <w:rPr>
          <w:rFonts w:ascii="Book Antiqua" w:hAnsi="Book Antiqua"/>
          <w:color w:val="000000" w:themeColor="text1"/>
          <w:sz w:val="24"/>
          <w:szCs w:val="24"/>
        </w:rPr>
        <w:t xml:space="preserve"> and then homogenized in ice-cold water. After centrifugation for 10 min at 4</w:t>
      </w:r>
      <w:r w:rsidR="00B06383">
        <w:rPr>
          <w:rFonts w:ascii="Book Antiqua" w:hAnsi="Book Antiqua"/>
          <w:color w:val="000000" w:themeColor="text1"/>
          <w:sz w:val="24"/>
          <w:szCs w:val="24"/>
        </w:rPr>
        <w:t xml:space="preserve"> °C at 12000 r/</w:t>
      </w:r>
      <w:r w:rsidRPr="00EE30DE">
        <w:rPr>
          <w:rFonts w:ascii="Book Antiqua" w:hAnsi="Book Antiqua"/>
          <w:color w:val="000000" w:themeColor="text1"/>
          <w:sz w:val="24"/>
          <w:szCs w:val="24"/>
        </w:rPr>
        <w:t>m</w:t>
      </w:r>
      <w:r w:rsidR="00B06383">
        <w:rPr>
          <w:rFonts w:ascii="Book Antiqua" w:hAnsi="Book Antiqua"/>
          <w:color w:val="000000" w:themeColor="text1"/>
          <w:sz w:val="24"/>
          <w:szCs w:val="24"/>
        </w:rPr>
        <w:t>in</w:t>
      </w:r>
      <w:r w:rsidRPr="00EE30DE">
        <w:rPr>
          <w:rFonts w:ascii="Book Antiqua" w:hAnsi="Book Antiqua"/>
          <w:color w:val="000000" w:themeColor="text1"/>
          <w:sz w:val="24"/>
          <w:szCs w:val="24"/>
        </w:rPr>
        <w:t xml:space="preserve">, the protein concentration of the supernatant was determined using the Bio-Rad Dc protein Assay Reagent (Bio-Rad, Hercules, CA, </w:t>
      </w:r>
      <w:r w:rsidR="00B06383">
        <w:rPr>
          <w:rFonts w:ascii="Book Antiqua" w:hAnsi="Book Antiqua"/>
          <w:color w:val="000000" w:themeColor="text1"/>
          <w:sz w:val="24"/>
          <w:szCs w:val="24"/>
        </w:rPr>
        <w:t>United States</w:t>
      </w:r>
      <w:r w:rsidRPr="00EE30DE">
        <w:rPr>
          <w:rFonts w:ascii="Book Antiqua" w:hAnsi="Book Antiqua"/>
          <w:color w:val="000000" w:themeColor="text1"/>
          <w:sz w:val="24"/>
          <w:szCs w:val="24"/>
        </w:rPr>
        <w:t xml:space="preserve">). Protein was electrophoretically resolved on a 10% or 12% </w:t>
      </w:r>
      <w:r w:rsidR="00B06383">
        <w:rPr>
          <w:rFonts w:ascii="Book Antiqua" w:hAnsi="Book Antiqua"/>
          <w:color w:val="000000" w:themeColor="text1"/>
          <w:sz w:val="24"/>
          <w:szCs w:val="24"/>
        </w:rPr>
        <w:t>s</w:t>
      </w:r>
      <w:r w:rsidR="00B06383" w:rsidRPr="00B06383">
        <w:rPr>
          <w:rFonts w:ascii="Book Antiqua" w:hAnsi="Book Antiqua"/>
          <w:color w:val="000000" w:themeColor="text1"/>
          <w:sz w:val="24"/>
          <w:szCs w:val="24"/>
        </w:rPr>
        <w:t>odium dodecyl sulfate</w:t>
      </w:r>
      <w:r w:rsidR="00B06383">
        <w:rPr>
          <w:rFonts w:ascii="Book Antiqua" w:hAnsi="Book Antiqua"/>
          <w:color w:val="000000" w:themeColor="text1"/>
          <w:sz w:val="24"/>
          <w:szCs w:val="24"/>
        </w:rPr>
        <w:t xml:space="preserve"> (</w:t>
      </w:r>
      <w:r w:rsidRPr="00EE30DE">
        <w:rPr>
          <w:rFonts w:ascii="Book Antiqua" w:hAnsi="Book Antiqua"/>
          <w:color w:val="000000" w:themeColor="text1"/>
          <w:sz w:val="24"/>
          <w:szCs w:val="24"/>
        </w:rPr>
        <w:t>SDS</w:t>
      </w:r>
      <w:r w:rsidR="00B06383">
        <w:rPr>
          <w:rFonts w:ascii="Book Antiqua" w:hAnsi="Book Antiqua"/>
          <w:color w:val="000000" w:themeColor="text1"/>
          <w:sz w:val="24"/>
          <w:szCs w:val="24"/>
        </w:rPr>
        <w:t>)</w:t>
      </w:r>
      <w:r w:rsidRPr="00EE30DE">
        <w:rPr>
          <w:rFonts w:ascii="Book Antiqua" w:hAnsi="Book Antiqua"/>
          <w:color w:val="000000" w:themeColor="text1"/>
          <w:sz w:val="24"/>
          <w:szCs w:val="24"/>
        </w:rPr>
        <w:t xml:space="preserve"> polyacrylamide gel and successively transferred to Hybond-ECL nitrocellulose membranes. The membranes were blocked with 5% non-fat dry milk solution in Tris-buffered saline (20 m</w:t>
      </w:r>
      <w:bookmarkStart w:id="65" w:name="OLE_LINK27"/>
      <w:bookmarkStart w:id="66" w:name="OLE_LINK32"/>
      <w:r w:rsidR="00B06383">
        <w:rPr>
          <w:rFonts w:ascii="Book Antiqua" w:hAnsi="Book Antiqua"/>
          <w:color w:val="000000" w:themeColor="text1"/>
          <w:sz w:val="24"/>
          <w:szCs w:val="24"/>
        </w:rPr>
        <w:t>mol/L</w:t>
      </w:r>
      <w:bookmarkEnd w:id="65"/>
      <w:bookmarkEnd w:id="66"/>
      <w:r w:rsidRPr="00EE30DE">
        <w:rPr>
          <w:rFonts w:ascii="Book Antiqua" w:hAnsi="Book Antiqua"/>
          <w:color w:val="000000" w:themeColor="text1"/>
          <w:sz w:val="24"/>
          <w:szCs w:val="24"/>
        </w:rPr>
        <w:t xml:space="preserve"> Tris and 150 m</w:t>
      </w:r>
      <w:r w:rsidR="00B06383">
        <w:rPr>
          <w:rFonts w:ascii="Book Antiqua" w:hAnsi="Book Antiqua"/>
          <w:color w:val="000000" w:themeColor="text1"/>
          <w:sz w:val="24"/>
          <w:szCs w:val="24"/>
        </w:rPr>
        <w:t>mol/L</w:t>
      </w:r>
      <w:r w:rsidRPr="00EE30DE">
        <w:rPr>
          <w:rFonts w:ascii="Book Antiqua" w:hAnsi="Book Antiqua"/>
          <w:color w:val="000000" w:themeColor="text1"/>
          <w:sz w:val="24"/>
          <w:szCs w:val="24"/>
        </w:rPr>
        <w:t xml:space="preserve"> NaCl, pH 7.4) with 0.1% Tween-20. Next, the membranes were incubated with the primary antibodies overnight at 4</w:t>
      </w:r>
      <w:r w:rsidR="00B06383">
        <w:rPr>
          <w:rFonts w:ascii="Book Antiqua" w:hAnsi="Book Antiqua"/>
          <w:color w:val="000000" w:themeColor="text1"/>
          <w:sz w:val="24"/>
          <w:szCs w:val="24"/>
        </w:rPr>
        <w:t xml:space="preserve"> </w:t>
      </w:r>
      <w:r w:rsidRPr="00EE30DE">
        <w:rPr>
          <w:rFonts w:ascii="Book Antiqua" w:hAnsi="Book Antiqua"/>
          <w:color w:val="000000" w:themeColor="text1"/>
          <w:sz w:val="24"/>
          <w:szCs w:val="24"/>
        </w:rPr>
        <w:t>°C and subsequently with secondary antibodies at room temperature for 1 h. The following dilutions of primary antibodies were used: α-SMA, 1:1000; HNF4α,</w:t>
      </w:r>
      <w:r w:rsidR="00B06383">
        <w:rPr>
          <w:rFonts w:ascii="Book Antiqua" w:hAnsi="Book Antiqua"/>
          <w:color w:val="000000" w:themeColor="text1"/>
          <w:sz w:val="24"/>
          <w:szCs w:val="24"/>
        </w:rPr>
        <w:t xml:space="preserve"> 1:500; Hep, 1:500; GAPDH, 1:30</w:t>
      </w:r>
      <w:r w:rsidRPr="00EE30DE">
        <w:rPr>
          <w:rFonts w:ascii="Book Antiqua" w:hAnsi="Book Antiqua"/>
          <w:color w:val="000000" w:themeColor="text1"/>
          <w:sz w:val="24"/>
          <w:szCs w:val="24"/>
        </w:rPr>
        <w:t xml:space="preserve">000. Immune complexes were visualized using SuperSignal West Pico Chemiluminescent Substrate (ECL, Pierce, Rockford, IL, </w:t>
      </w:r>
      <w:r w:rsidR="00B06383">
        <w:rPr>
          <w:rFonts w:ascii="Book Antiqua" w:hAnsi="Book Antiqua"/>
          <w:color w:val="000000" w:themeColor="text1"/>
          <w:sz w:val="24"/>
          <w:szCs w:val="24"/>
        </w:rPr>
        <w:t>United States</w:t>
      </w:r>
      <w:r w:rsidRPr="00EE30DE">
        <w:rPr>
          <w:rFonts w:ascii="Book Antiqua" w:hAnsi="Book Antiqua"/>
          <w:color w:val="000000" w:themeColor="text1"/>
          <w:sz w:val="24"/>
          <w:szCs w:val="24"/>
        </w:rPr>
        <w:t>). Finally, band intensity was determined by scanning video densitometry.</w:t>
      </w:r>
    </w:p>
    <w:p w14:paraId="1F5A2992" w14:textId="77777777"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p>
    <w:p w14:paraId="5B5B3AAD" w14:textId="0C9E29D0"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Statistical </w:t>
      </w:r>
      <w:r w:rsidR="00B06383" w:rsidRPr="00EE30DE">
        <w:rPr>
          <w:rFonts w:ascii="Book Antiqua" w:hAnsi="Book Antiqua"/>
          <w:b/>
          <w:i/>
          <w:color w:val="000000" w:themeColor="text1"/>
          <w:sz w:val="24"/>
          <w:szCs w:val="24"/>
        </w:rPr>
        <w:t>analysis</w:t>
      </w:r>
    </w:p>
    <w:p w14:paraId="55511A7B" w14:textId="77777777" w:rsidR="00575A88" w:rsidRPr="00EE30DE" w:rsidRDefault="00575A88"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lastRenderedPageBreak/>
        <w:t>All data are presented as the mean ± SD. Statistical analysis was performed using a one-way analysis of variance with SPSS 17.0 software.</w:t>
      </w:r>
      <w:r w:rsidRPr="00EE30DE">
        <w:rPr>
          <w:rFonts w:ascii="Book Antiqua" w:hAnsi="Book Antiqua"/>
          <w:i/>
          <w:color w:val="000000" w:themeColor="text1"/>
          <w:sz w:val="24"/>
          <w:szCs w:val="24"/>
        </w:rPr>
        <w:t xml:space="preserve"> P</w:t>
      </w:r>
      <w:r w:rsidRPr="00EE30DE">
        <w:rPr>
          <w:rFonts w:ascii="Book Antiqua" w:hAnsi="Book Antiqua"/>
          <w:color w:val="000000" w:themeColor="text1"/>
          <w:sz w:val="24"/>
          <w:szCs w:val="24"/>
        </w:rPr>
        <w:t xml:space="preserve"> &lt; 0.05 was considered statistically significant.</w:t>
      </w:r>
    </w:p>
    <w:p w14:paraId="180D3BD5"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4EBD0C5B" w14:textId="5E227FFE" w:rsidR="00792100" w:rsidRPr="00EE30DE" w:rsidRDefault="00673AAA" w:rsidP="00943737">
      <w:pPr>
        <w:pStyle w:val="EndNoteBibliography"/>
        <w:adjustRightInd w:val="0"/>
        <w:snapToGrid w:val="0"/>
        <w:spacing w:line="360" w:lineRule="auto"/>
        <w:outlineLvl w:val="0"/>
        <w:rPr>
          <w:rFonts w:ascii="Book Antiqua" w:hAnsi="Book Antiqua"/>
          <w:b/>
          <w:color w:val="000000" w:themeColor="text1"/>
          <w:sz w:val="24"/>
          <w:szCs w:val="24"/>
        </w:rPr>
      </w:pPr>
      <w:r w:rsidRPr="00EE30DE">
        <w:rPr>
          <w:rFonts w:ascii="Book Antiqua" w:hAnsi="Book Antiqua"/>
          <w:b/>
          <w:color w:val="000000" w:themeColor="text1"/>
          <w:sz w:val="24"/>
          <w:szCs w:val="24"/>
        </w:rPr>
        <w:t>RESULTS</w:t>
      </w:r>
    </w:p>
    <w:p w14:paraId="458FDED1" w14:textId="3F5DB2E2"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Enhances FLSPC-mediated </w:t>
      </w:r>
      <w:r w:rsidR="00B06383" w:rsidRPr="00EE30DE">
        <w:rPr>
          <w:rFonts w:ascii="Book Antiqua" w:hAnsi="Book Antiqua"/>
          <w:b/>
          <w:i/>
          <w:color w:val="000000" w:themeColor="text1"/>
          <w:sz w:val="24"/>
          <w:szCs w:val="24"/>
        </w:rPr>
        <w:t>repair of hepatic inflammation and fibrosis</w:t>
      </w:r>
    </w:p>
    <w:p w14:paraId="3B63D703" w14:textId="37615916"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H&amp;E staining showed an abnormal structure of the hepatic lobule, inflammatory infiltration in the portal area and fibrous septa, and more hepatic steatosis in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while hepatic steatosis and the inflammatory response were markedly attenuated in the </w:t>
      </w:r>
      <w:bookmarkStart w:id="67" w:name="OLE_LINK5"/>
      <w:bookmarkStart w:id="68" w:name="OLE_LINK6"/>
      <w:r w:rsidRPr="00EE30DE">
        <w:rPr>
          <w:rFonts w:ascii="Book Antiqua" w:hAnsi="Book Antiqua"/>
          <w:color w:val="000000" w:themeColor="text1"/>
          <w:sz w:val="24"/>
          <w:szCs w:val="24"/>
        </w:rPr>
        <w:t>FLSPC and FLSPC + YGJ group</w:t>
      </w:r>
      <w:bookmarkEnd w:id="67"/>
      <w:bookmarkEnd w:id="68"/>
      <w:r w:rsidRPr="00EE30DE">
        <w:rPr>
          <w:rFonts w:ascii="Book Antiqua" w:hAnsi="Book Antiqua"/>
          <w:color w:val="000000" w:themeColor="text1"/>
          <w:sz w:val="24"/>
          <w:szCs w:val="24"/>
        </w:rPr>
        <w:t xml:space="preserve"> compar</w:t>
      </w:r>
      <w:r w:rsidR="00B06383">
        <w:rPr>
          <w:rFonts w:ascii="Book Antiqua" w:hAnsi="Book Antiqua"/>
          <w:color w:val="000000" w:themeColor="text1"/>
          <w:sz w:val="24"/>
          <w:szCs w:val="24"/>
        </w:rPr>
        <w:t>ed to the 2-AAF/CCl4 group (Figure</w:t>
      </w:r>
      <w:r w:rsidRPr="00EE30DE">
        <w:rPr>
          <w:rFonts w:ascii="Book Antiqua" w:hAnsi="Book Antiqua"/>
          <w:color w:val="000000" w:themeColor="text1"/>
          <w:sz w:val="24"/>
          <w:szCs w:val="24"/>
        </w:rPr>
        <w:t xml:space="preserve"> 1</w:t>
      </w:r>
      <w:r w:rsidR="00B06383">
        <w:rPr>
          <w:rFonts w:ascii="Book Antiqua" w:hAnsi="Book Antiqua"/>
          <w:color w:val="000000" w:themeColor="text1"/>
          <w:sz w:val="24"/>
          <w:szCs w:val="24"/>
        </w:rPr>
        <w:t>A</w:t>
      </w:r>
      <w:r w:rsidRPr="00EE30DE">
        <w:rPr>
          <w:rFonts w:ascii="Book Antiqua" w:hAnsi="Book Antiqua"/>
          <w:color w:val="000000" w:themeColor="text1"/>
          <w:sz w:val="24"/>
          <w:szCs w:val="24"/>
        </w:rPr>
        <w:t>).</w:t>
      </w:r>
    </w:p>
    <w:p w14:paraId="003C54D4" w14:textId="28BF897D" w:rsidR="00792100" w:rsidRPr="00EE30DE" w:rsidRDefault="00B06383"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Sirius red staining showed a large amount of collagen deposited in the portal area, some collagen fibers extended into the liver parenchyma and forming a pseudo-lobular structure in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In contrast, collagen deposition was markedly attenuated in the FLSPC and FLSPC + YGJ group compared</w:t>
      </w:r>
      <w:r>
        <w:rPr>
          <w:rFonts w:ascii="Book Antiqua" w:hAnsi="Book Antiqua"/>
          <w:color w:val="000000" w:themeColor="text1"/>
          <w:sz w:val="24"/>
          <w:szCs w:val="24"/>
        </w:rPr>
        <w:t xml:space="preserve"> with the 2-AAF/CCl</w:t>
      </w:r>
      <w:r w:rsidRPr="00B06383">
        <w:rPr>
          <w:rFonts w:ascii="Book Antiqua" w:hAnsi="Book Antiqua"/>
          <w:color w:val="000000" w:themeColor="text1"/>
          <w:sz w:val="24"/>
          <w:szCs w:val="24"/>
          <w:vertAlign w:val="subscript"/>
        </w:rPr>
        <w:t>4</w:t>
      </w:r>
      <w:r>
        <w:rPr>
          <w:rFonts w:ascii="Book Antiqua" w:hAnsi="Book Antiqua"/>
          <w:color w:val="000000" w:themeColor="text1"/>
          <w:sz w:val="24"/>
          <w:szCs w:val="24"/>
        </w:rPr>
        <w:t xml:space="preserve"> group (Figure</w:t>
      </w:r>
      <w:r w:rsidR="00792100" w:rsidRPr="00EE30DE">
        <w:rPr>
          <w:rFonts w:ascii="Book Antiqua" w:hAnsi="Book Antiqua"/>
          <w:color w:val="000000" w:themeColor="text1"/>
          <w:sz w:val="24"/>
          <w:szCs w:val="24"/>
        </w:rPr>
        <w:t xml:space="preserve"> 1</w:t>
      </w:r>
      <w:r>
        <w:rPr>
          <w:rFonts w:ascii="Book Antiqua" w:hAnsi="Book Antiqua"/>
          <w:color w:val="000000" w:themeColor="text1"/>
          <w:sz w:val="24"/>
          <w:szCs w:val="24"/>
        </w:rPr>
        <w:t>B</w:t>
      </w:r>
      <w:r w:rsidR="00792100" w:rsidRPr="00EE30DE">
        <w:rPr>
          <w:rFonts w:ascii="Book Antiqua" w:hAnsi="Book Antiqua"/>
          <w:color w:val="000000" w:themeColor="text1"/>
          <w:sz w:val="24"/>
          <w:szCs w:val="24"/>
        </w:rPr>
        <w:t>). The sirius red staining positive area was increased significantly in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than in the N group </w:t>
      </w:r>
      <w:bookmarkStart w:id="69" w:name="OLE_LINK9"/>
      <w:bookmarkStart w:id="70" w:name="OLE_LINK10"/>
      <w:r w:rsidR="00792100" w:rsidRPr="00EE30DE">
        <w:rPr>
          <w:rFonts w:ascii="Book Antiqua" w:hAnsi="Book Antiqua"/>
          <w:color w:val="000000" w:themeColor="text1"/>
          <w:sz w:val="24"/>
          <w:szCs w:val="24"/>
        </w:rPr>
        <w:t>(</w:t>
      </w:r>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w:t>
      </w:r>
      <w:bookmarkEnd w:id="69"/>
      <w:bookmarkEnd w:id="70"/>
      <w:r w:rsidR="00792100" w:rsidRPr="00EE30DE">
        <w:rPr>
          <w:rFonts w:ascii="Book Antiqua" w:hAnsi="Book Antiqua"/>
          <w:color w:val="000000" w:themeColor="text1"/>
          <w:sz w:val="24"/>
          <w:szCs w:val="24"/>
        </w:rPr>
        <w:t xml:space="preserve">, while it was decreased significantly in </w:t>
      </w:r>
      <w:bookmarkStart w:id="71" w:name="OLE_LINK7"/>
      <w:bookmarkStart w:id="72" w:name="OLE_LINK8"/>
      <w:bookmarkStart w:id="73" w:name="OLE_LINK11"/>
      <w:r w:rsidR="00792100" w:rsidRPr="00EE30DE">
        <w:rPr>
          <w:rFonts w:ascii="Book Antiqua" w:hAnsi="Book Antiqua"/>
          <w:color w:val="000000" w:themeColor="text1"/>
          <w:sz w:val="24"/>
          <w:szCs w:val="24"/>
        </w:rPr>
        <w:t xml:space="preserve">the FLSPCs </w:t>
      </w:r>
      <w:bookmarkEnd w:id="71"/>
      <w:bookmarkEnd w:id="72"/>
      <w:bookmarkEnd w:id="73"/>
      <w:r w:rsidR="00792100" w:rsidRPr="00EE30DE">
        <w:rPr>
          <w:rFonts w:ascii="Book Antiqua" w:hAnsi="Book Antiqua"/>
          <w:color w:val="000000" w:themeColor="text1"/>
          <w:sz w:val="24"/>
          <w:szCs w:val="24"/>
        </w:rPr>
        <w:t>and FLSPC + YGJ groups than in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w:t>
      </w:r>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and </w:t>
      </w:r>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respectively), and it was decreased significantly in the FLSPC + YGJ group compared to </w:t>
      </w:r>
      <w:r>
        <w:rPr>
          <w:rFonts w:ascii="Book Antiqua" w:hAnsi="Book Antiqua"/>
          <w:color w:val="000000" w:themeColor="text1"/>
          <w:sz w:val="24"/>
          <w:szCs w:val="24"/>
        </w:rPr>
        <w:t>the FLSPC group (</w:t>
      </w:r>
      <w:r w:rsidRPr="00B06383">
        <w:rPr>
          <w:rFonts w:ascii="Book Antiqua" w:hAnsi="Book Antiqua"/>
          <w:i/>
          <w:color w:val="000000" w:themeColor="text1"/>
          <w:sz w:val="24"/>
          <w:szCs w:val="24"/>
        </w:rPr>
        <w:t xml:space="preserve">P </w:t>
      </w:r>
      <w:r>
        <w:rPr>
          <w:rFonts w:ascii="Book Antiqua" w:hAnsi="Book Antiqua"/>
          <w:color w:val="000000" w:themeColor="text1"/>
          <w:sz w:val="24"/>
          <w:szCs w:val="24"/>
        </w:rPr>
        <w:t>&lt; 0.01) (Figure 1C</w:t>
      </w:r>
      <w:r w:rsidR="00792100" w:rsidRPr="00EE30DE">
        <w:rPr>
          <w:rFonts w:ascii="Book Antiqua" w:hAnsi="Book Antiqua"/>
          <w:color w:val="000000" w:themeColor="text1"/>
          <w:sz w:val="24"/>
          <w:szCs w:val="24"/>
        </w:rPr>
        <w:t>).</w:t>
      </w:r>
    </w:p>
    <w:p w14:paraId="258EE81D" w14:textId="25D131DE" w:rsidR="00792100" w:rsidRPr="00EE30DE" w:rsidRDefault="00B06383"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Consistent with the pathological changes in the liver tissue, the serum levels of ALT, AST, and TBIL were increased significantly in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compared to the N group (</w:t>
      </w:r>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or </w:t>
      </w:r>
      <w:bookmarkStart w:id="74" w:name="OLE_LINK12"/>
      <w:bookmarkStart w:id="75" w:name="OLE_LINK13"/>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w:t>
      </w:r>
      <w:bookmarkEnd w:id="74"/>
      <w:bookmarkEnd w:id="75"/>
      <w:r w:rsidR="00792100" w:rsidRPr="00EE30DE">
        <w:rPr>
          <w:rFonts w:ascii="Book Antiqua" w:hAnsi="Book Antiqua"/>
          <w:color w:val="000000" w:themeColor="text1"/>
          <w:sz w:val="24"/>
          <w:szCs w:val="24"/>
        </w:rPr>
        <w:t>), while they were decreased significantly in the FLSPC and FLSPC + YGJ groups compared to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w:t>
      </w:r>
      <w:r w:rsidR="00792100" w:rsidRPr="00B06383">
        <w:rPr>
          <w:rFonts w:ascii="Book Antiqua" w:hAnsi="Book Antiqua"/>
          <w:i/>
          <w:color w:val="000000" w:themeColor="text1"/>
          <w:sz w:val="24"/>
          <w:szCs w:val="24"/>
        </w:rPr>
        <w:t xml:space="preserve">P </w:t>
      </w:r>
      <w:r w:rsidR="00792100" w:rsidRPr="00EE30DE">
        <w:rPr>
          <w:rFonts w:ascii="Book Antiqua" w:hAnsi="Book Antiqua"/>
          <w:color w:val="000000" w:themeColor="text1"/>
          <w:sz w:val="24"/>
          <w:szCs w:val="24"/>
        </w:rPr>
        <w:t xml:space="preserve">&lt; 0.05 or </w:t>
      </w:r>
      <w:r w:rsidR="00792100" w:rsidRPr="00B06383">
        <w:rPr>
          <w:rFonts w:ascii="Book Antiqua" w:hAnsi="Book Antiqua"/>
          <w:i/>
          <w:color w:val="000000" w:themeColor="text1"/>
          <w:sz w:val="24"/>
          <w:szCs w:val="24"/>
        </w:rPr>
        <w:t xml:space="preserve">P </w:t>
      </w:r>
      <w:r w:rsidR="00792100" w:rsidRPr="00EE30DE">
        <w:rPr>
          <w:rFonts w:ascii="Book Antiqua" w:hAnsi="Book Antiqua"/>
          <w:color w:val="000000" w:themeColor="text1"/>
          <w:sz w:val="24"/>
          <w:szCs w:val="24"/>
        </w:rPr>
        <w:t>&lt; 0.01), and AST level was decreased significantly in the FLSPC + YGJ group compared to the FLSPC group (</w:t>
      </w:r>
      <w:r w:rsidR="00792100" w:rsidRPr="00B06383">
        <w:rPr>
          <w:rFonts w:ascii="Book Antiqua" w:hAnsi="Book Antiqua"/>
          <w:i/>
          <w:color w:val="000000" w:themeColor="text1"/>
          <w:sz w:val="24"/>
          <w:szCs w:val="24"/>
        </w:rPr>
        <w:t>P</w:t>
      </w:r>
      <w:r>
        <w:rPr>
          <w:rFonts w:ascii="Book Antiqua" w:hAnsi="Book Antiqua"/>
          <w:color w:val="000000" w:themeColor="text1"/>
          <w:sz w:val="24"/>
          <w:szCs w:val="24"/>
        </w:rPr>
        <w:t xml:space="preserve"> &lt; 0.01) (Figure 1D</w:t>
      </w:r>
      <w:r w:rsidR="00792100" w:rsidRPr="00EE30DE">
        <w:rPr>
          <w:rFonts w:ascii="Book Antiqua" w:hAnsi="Book Antiqua"/>
          <w:color w:val="000000" w:themeColor="text1"/>
          <w:sz w:val="24"/>
          <w:szCs w:val="24"/>
        </w:rPr>
        <w:t>).</w:t>
      </w:r>
    </w:p>
    <w:p w14:paraId="766B629F"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10B35DEF" w14:textId="159BFE98"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w:t>
      </w:r>
      <w:r w:rsidR="00B06383" w:rsidRPr="00EE30DE">
        <w:rPr>
          <w:rFonts w:ascii="Book Antiqua" w:hAnsi="Book Antiqua"/>
          <w:b/>
          <w:i/>
          <w:color w:val="000000" w:themeColor="text1"/>
          <w:sz w:val="24"/>
          <w:szCs w:val="24"/>
        </w:rPr>
        <w:t>enhances the effect</w:t>
      </w:r>
      <w:r w:rsidRPr="00EE30DE">
        <w:rPr>
          <w:rFonts w:ascii="Book Antiqua" w:hAnsi="Book Antiqua"/>
          <w:b/>
          <w:i/>
          <w:color w:val="000000" w:themeColor="text1"/>
          <w:sz w:val="24"/>
          <w:szCs w:val="24"/>
        </w:rPr>
        <w:t xml:space="preserve"> of FLSPCs </w:t>
      </w:r>
      <w:r w:rsidR="00B06383" w:rsidRPr="00EE30DE">
        <w:rPr>
          <w:rFonts w:ascii="Book Antiqua" w:hAnsi="Book Antiqua"/>
          <w:b/>
          <w:i/>
          <w:color w:val="000000" w:themeColor="text1"/>
          <w:sz w:val="24"/>
          <w:szCs w:val="24"/>
        </w:rPr>
        <w:t xml:space="preserve">to repress activation of </w:t>
      </w:r>
      <w:r w:rsidRPr="00EE30DE">
        <w:rPr>
          <w:rFonts w:ascii="Book Antiqua" w:hAnsi="Book Antiqua"/>
          <w:b/>
          <w:i/>
          <w:color w:val="000000" w:themeColor="text1"/>
          <w:sz w:val="24"/>
          <w:szCs w:val="24"/>
        </w:rPr>
        <w:t>HSCs</w:t>
      </w:r>
    </w:p>
    <w:p w14:paraId="4C274A27" w14:textId="6D5769C8"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 xml:space="preserve">Immunoblotting analysis revealed that the expression of α-SMA was </w:t>
      </w:r>
      <w:r w:rsidRPr="00EE30DE">
        <w:rPr>
          <w:rFonts w:ascii="Book Antiqua" w:hAnsi="Book Antiqua"/>
          <w:color w:val="000000" w:themeColor="text1"/>
          <w:sz w:val="24"/>
          <w:szCs w:val="24"/>
        </w:rPr>
        <w:lastRenderedPageBreak/>
        <w:t>significantly higher in the 2-AAF/CCl4 group than in the N group (</w:t>
      </w:r>
      <w:r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 but it was significantly lower in the FLSPC and FLSPC + YGJ groups than in the 2-AAF/CCl</w:t>
      </w:r>
      <w:r w:rsidRPr="00B06383">
        <w:rPr>
          <w:rFonts w:ascii="Book Antiqua" w:hAnsi="Book Antiqua"/>
          <w:color w:val="000000" w:themeColor="text1"/>
          <w:sz w:val="24"/>
          <w:szCs w:val="24"/>
          <w:vertAlign w:val="subscript"/>
        </w:rPr>
        <w:t xml:space="preserve">4 </w:t>
      </w:r>
      <w:r w:rsidRPr="00EE30DE">
        <w:rPr>
          <w:rFonts w:ascii="Book Antiqua" w:hAnsi="Book Antiqua"/>
          <w:color w:val="000000" w:themeColor="text1"/>
          <w:sz w:val="24"/>
          <w:szCs w:val="24"/>
        </w:rPr>
        <w:t>group (</w:t>
      </w:r>
      <w:r w:rsidRPr="00B06383">
        <w:rPr>
          <w:rFonts w:ascii="Book Antiqua" w:hAnsi="Book Antiqua"/>
          <w:i/>
          <w:color w:val="000000" w:themeColor="text1"/>
          <w:sz w:val="24"/>
          <w:szCs w:val="24"/>
        </w:rPr>
        <w:t xml:space="preserve">P </w:t>
      </w:r>
      <w:r w:rsidRPr="00EE30DE">
        <w:rPr>
          <w:rFonts w:ascii="Book Antiqua" w:hAnsi="Book Antiqua"/>
          <w:color w:val="000000" w:themeColor="text1"/>
          <w:sz w:val="24"/>
          <w:szCs w:val="24"/>
        </w:rPr>
        <w:t>&lt; 0.01), and significantly lower in the FLSPC + YGJ group than the FLSPC group (</w:t>
      </w:r>
      <w:r w:rsidR="00B06383" w:rsidRPr="00B06383">
        <w:rPr>
          <w:rFonts w:ascii="Book Antiqua" w:hAnsi="Book Antiqua"/>
          <w:i/>
          <w:color w:val="000000" w:themeColor="text1"/>
          <w:sz w:val="24"/>
          <w:szCs w:val="24"/>
        </w:rPr>
        <w:t>P</w:t>
      </w:r>
      <w:r w:rsidR="00B06383">
        <w:rPr>
          <w:rFonts w:ascii="Book Antiqua" w:hAnsi="Book Antiqua"/>
          <w:color w:val="000000" w:themeColor="text1"/>
          <w:sz w:val="24"/>
          <w:szCs w:val="24"/>
        </w:rPr>
        <w:t xml:space="preserve"> &lt; 0.05) (Figure 2A and B</w:t>
      </w:r>
      <w:r w:rsidRPr="00EE30DE">
        <w:rPr>
          <w:rFonts w:ascii="Book Antiqua" w:hAnsi="Book Antiqua"/>
          <w:color w:val="000000" w:themeColor="text1"/>
          <w:sz w:val="24"/>
          <w:szCs w:val="24"/>
        </w:rPr>
        <w:t>). Furthermore, the mRNA levels of α-SMA, Col(1), TGF-β, TNF-α, and CD68 were significantly higher in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than in the normal N group (</w:t>
      </w:r>
      <w:r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 while they were significantly lower in the FLSPC and FLSPC + YGJ groups compared to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t>
      </w:r>
      <w:r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 Consistent with the protein expression, the mRNA level of α-SMA was significantly lower in the FLSPC + YGJ group than in the FLSPC group (</w:t>
      </w:r>
      <w:r w:rsidRPr="00B06383">
        <w:rPr>
          <w:rFonts w:ascii="Book Antiqua" w:hAnsi="Book Antiqua"/>
          <w:i/>
          <w:color w:val="000000" w:themeColor="text1"/>
          <w:sz w:val="24"/>
          <w:szCs w:val="24"/>
        </w:rPr>
        <w:t xml:space="preserve">P </w:t>
      </w:r>
      <w:r w:rsidRPr="00EE30DE">
        <w:rPr>
          <w:rFonts w:ascii="Book Antiqua" w:hAnsi="Book Antiqua"/>
          <w:color w:val="000000" w:themeColor="text1"/>
          <w:sz w:val="24"/>
          <w:szCs w:val="24"/>
        </w:rPr>
        <w:t>&lt; 0.05). In addition, the mRNA level of CD163 was significantly lower in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than in the N group (</w:t>
      </w:r>
      <w:r w:rsidRPr="00B06383">
        <w:rPr>
          <w:rFonts w:ascii="Book Antiqua" w:hAnsi="Book Antiqua"/>
          <w:i/>
          <w:color w:val="000000" w:themeColor="text1"/>
          <w:sz w:val="24"/>
          <w:szCs w:val="24"/>
        </w:rPr>
        <w:t xml:space="preserve">P </w:t>
      </w:r>
      <w:r w:rsidRPr="00EE30DE">
        <w:rPr>
          <w:rFonts w:ascii="Book Antiqua" w:hAnsi="Book Antiqua"/>
          <w:color w:val="000000" w:themeColor="text1"/>
          <w:sz w:val="24"/>
          <w:szCs w:val="24"/>
        </w:rPr>
        <w:t>&lt; 0.01), while it was significantly higher in the FLSPC and FLSPC + YGJ groups compared with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t>
      </w:r>
      <w:r w:rsidR="00B06383"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 and it was significantly higher in the FLSPC + YGJ group compared to the FLSPC group (</w:t>
      </w:r>
      <w:r w:rsidR="00B06383"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w:t>
      </w:r>
      <w:bookmarkStart w:id="76" w:name="OLE_LINK28"/>
      <w:bookmarkStart w:id="77" w:name="OLE_LINK29"/>
      <w:bookmarkStart w:id="78" w:name="OLE_LINK30"/>
      <w:r w:rsidR="00B06383">
        <w:rPr>
          <w:rFonts w:ascii="Book Antiqua" w:hAnsi="Book Antiqua"/>
          <w:color w:val="000000" w:themeColor="text1"/>
          <w:sz w:val="24"/>
          <w:szCs w:val="24"/>
        </w:rPr>
        <w:t xml:space="preserve"> (Figure 2C</w:t>
      </w:r>
      <w:r w:rsidRPr="00EE30DE">
        <w:rPr>
          <w:rFonts w:ascii="Book Antiqua" w:hAnsi="Book Antiqua"/>
          <w:color w:val="000000" w:themeColor="text1"/>
          <w:sz w:val="24"/>
          <w:szCs w:val="24"/>
        </w:rPr>
        <w:t>)</w:t>
      </w:r>
      <w:bookmarkEnd w:id="76"/>
      <w:bookmarkEnd w:id="77"/>
      <w:bookmarkEnd w:id="78"/>
      <w:r w:rsidRPr="00EE30DE">
        <w:rPr>
          <w:rFonts w:ascii="Book Antiqua" w:hAnsi="Book Antiqua"/>
          <w:color w:val="000000" w:themeColor="text1"/>
          <w:sz w:val="24"/>
          <w:szCs w:val="24"/>
        </w:rPr>
        <w:t>.</w:t>
      </w:r>
    </w:p>
    <w:p w14:paraId="1A549A14"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3AA7B7EC" w14:textId="0DEEA920"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w:t>
      </w:r>
      <w:r w:rsidR="00B06383" w:rsidRPr="00EE30DE">
        <w:rPr>
          <w:rFonts w:ascii="Book Antiqua" w:hAnsi="Book Antiqua"/>
          <w:b/>
          <w:i/>
          <w:color w:val="000000" w:themeColor="text1"/>
          <w:sz w:val="24"/>
          <w:szCs w:val="24"/>
        </w:rPr>
        <w:t xml:space="preserve">promotes the differentiation </w:t>
      </w:r>
      <w:r w:rsidRPr="00EE30DE">
        <w:rPr>
          <w:rFonts w:ascii="Book Antiqua" w:hAnsi="Book Antiqua"/>
          <w:b/>
          <w:i/>
          <w:color w:val="000000" w:themeColor="text1"/>
          <w:sz w:val="24"/>
          <w:szCs w:val="24"/>
        </w:rPr>
        <w:t xml:space="preserve">of FLSPCs </w:t>
      </w:r>
      <w:r w:rsidR="00B06383" w:rsidRPr="00EE30DE">
        <w:rPr>
          <w:rFonts w:ascii="Book Antiqua" w:hAnsi="Book Antiqua"/>
          <w:b/>
          <w:i/>
          <w:color w:val="000000" w:themeColor="text1"/>
          <w:sz w:val="24"/>
          <w:szCs w:val="24"/>
        </w:rPr>
        <w:t>into hepatocytes</w:t>
      </w:r>
    </w:p>
    <w:p w14:paraId="4F47BD96" w14:textId="404152FE"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Immunofluorescence staining</w:t>
      </w:r>
      <w:r w:rsidR="00824F0C">
        <w:rPr>
          <w:rFonts w:ascii="Book Antiqua" w:hAnsi="Book Antiqua"/>
          <w:color w:val="000000" w:themeColor="text1"/>
          <w:sz w:val="24"/>
          <w:szCs w:val="24"/>
        </w:rPr>
        <w:t xml:space="preserve"> demonstrated that FLSPCs (red)/HNF4α (green), and FLSPCs (red)/</w:t>
      </w:r>
      <w:r w:rsidRPr="00EE30DE">
        <w:rPr>
          <w:rFonts w:ascii="Book Antiqua" w:hAnsi="Book Antiqua"/>
          <w:color w:val="000000" w:themeColor="text1"/>
          <w:sz w:val="24"/>
          <w:szCs w:val="24"/>
        </w:rPr>
        <w:t xml:space="preserve">Hep (green) are co-expressed in liver parenchyma </w:t>
      </w:r>
      <w:bookmarkStart w:id="79" w:name="OLE_LINK52"/>
      <w:bookmarkStart w:id="80" w:name="OLE_LINK53"/>
      <w:bookmarkStart w:id="81" w:name="OLE_LINK54"/>
      <w:r w:rsidR="00B06383">
        <w:rPr>
          <w:rFonts w:ascii="Book Antiqua" w:hAnsi="Book Antiqua"/>
          <w:color w:val="000000" w:themeColor="text1"/>
          <w:sz w:val="24"/>
          <w:szCs w:val="24"/>
        </w:rPr>
        <w:t>(Figure</w:t>
      </w:r>
      <w:r w:rsidRPr="00EE30DE">
        <w:rPr>
          <w:rFonts w:ascii="Book Antiqua" w:hAnsi="Book Antiqua"/>
          <w:color w:val="000000" w:themeColor="text1"/>
          <w:sz w:val="24"/>
          <w:szCs w:val="24"/>
        </w:rPr>
        <w:t xml:space="preserve"> 3</w:t>
      </w:r>
      <w:r w:rsidR="00B06383">
        <w:rPr>
          <w:rFonts w:ascii="Book Antiqua" w:hAnsi="Book Antiqua"/>
          <w:color w:val="000000" w:themeColor="text1"/>
          <w:sz w:val="24"/>
          <w:szCs w:val="24"/>
        </w:rPr>
        <w:t>A and B</w:t>
      </w:r>
      <w:r w:rsidRPr="00EE30DE">
        <w:rPr>
          <w:rFonts w:ascii="Book Antiqua" w:hAnsi="Book Antiqua"/>
          <w:color w:val="000000" w:themeColor="text1"/>
          <w:sz w:val="24"/>
          <w:szCs w:val="24"/>
        </w:rPr>
        <w:t>)</w:t>
      </w:r>
      <w:bookmarkEnd w:id="79"/>
      <w:bookmarkEnd w:id="80"/>
      <w:bookmarkEnd w:id="81"/>
      <w:r w:rsidRPr="00EE30DE">
        <w:rPr>
          <w:rFonts w:ascii="Book Antiqua" w:hAnsi="Book Antiqua"/>
          <w:color w:val="000000" w:themeColor="text1"/>
          <w:sz w:val="24"/>
          <w:szCs w:val="24"/>
        </w:rPr>
        <w:t xml:space="preserve">. The mRNA levels of the hepatocyte markers </w:t>
      </w:r>
      <w:bookmarkStart w:id="82" w:name="OLE_LINK31"/>
      <w:bookmarkStart w:id="83" w:name="OLE_LINK34"/>
      <w:bookmarkStart w:id="84" w:name="OLE_LINK35"/>
      <w:bookmarkStart w:id="85" w:name="OLE_LINK46"/>
      <w:r w:rsidRPr="00EE30DE">
        <w:rPr>
          <w:rFonts w:ascii="Book Antiqua" w:hAnsi="Book Antiqua"/>
          <w:color w:val="000000" w:themeColor="text1"/>
          <w:sz w:val="24"/>
          <w:szCs w:val="24"/>
        </w:rPr>
        <w:t xml:space="preserve">HNF4α and Hep </w:t>
      </w:r>
      <w:bookmarkEnd w:id="82"/>
      <w:bookmarkEnd w:id="83"/>
      <w:bookmarkEnd w:id="84"/>
      <w:bookmarkEnd w:id="85"/>
      <w:r w:rsidRPr="00EE30DE">
        <w:rPr>
          <w:rFonts w:ascii="Book Antiqua" w:hAnsi="Book Antiqua"/>
          <w:color w:val="000000" w:themeColor="text1"/>
          <w:sz w:val="24"/>
          <w:szCs w:val="24"/>
        </w:rPr>
        <w:t xml:space="preserve">were </w:t>
      </w:r>
      <w:bookmarkStart w:id="86" w:name="OLE_LINK47"/>
      <w:bookmarkStart w:id="87" w:name="OLE_LINK48"/>
      <w:r w:rsidRPr="00EE30DE">
        <w:rPr>
          <w:rFonts w:ascii="Book Antiqua" w:hAnsi="Book Antiqua"/>
          <w:color w:val="000000" w:themeColor="text1"/>
          <w:sz w:val="24"/>
          <w:szCs w:val="24"/>
        </w:rPr>
        <w:t>significantly lower in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than in the N group (</w:t>
      </w:r>
      <w:r w:rsidRPr="00B06383">
        <w:rPr>
          <w:rFonts w:ascii="Book Antiqua" w:hAnsi="Book Antiqua"/>
          <w:i/>
          <w:color w:val="000000" w:themeColor="text1"/>
          <w:sz w:val="24"/>
          <w:szCs w:val="24"/>
        </w:rPr>
        <w:t xml:space="preserve">P </w:t>
      </w:r>
      <w:r w:rsidRPr="00EE30DE">
        <w:rPr>
          <w:rFonts w:ascii="Book Antiqua" w:hAnsi="Book Antiqua"/>
          <w:color w:val="000000" w:themeColor="text1"/>
          <w:sz w:val="24"/>
          <w:szCs w:val="24"/>
        </w:rPr>
        <w:t>&lt; 0.01), while the mRNA level of HNF4α was significantly higher in the FLSPC + YGJ group than in the 2-AAF/CCl</w:t>
      </w:r>
      <w:r w:rsidRPr="00B06383">
        <w:rPr>
          <w:rFonts w:ascii="Book Antiqua" w:hAnsi="Book Antiqua"/>
          <w:color w:val="000000" w:themeColor="text1"/>
          <w:sz w:val="24"/>
          <w:szCs w:val="24"/>
          <w:vertAlign w:val="subscript"/>
        </w:rPr>
        <w:t xml:space="preserve">4 </w:t>
      </w:r>
      <w:r w:rsidRPr="00EE30DE">
        <w:rPr>
          <w:rFonts w:ascii="Book Antiqua" w:hAnsi="Book Antiqua"/>
          <w:color w:val="000000" w:themeColor="text1"/>
          <w:sz w:val="24"/>
          <w:szCs w:val="24"/>
        </w:rPr>
        <w:t>and FLSPC groups (</w:t>
      </w:r>
      <w:r w:rsidRPr="00B06383">
        <w:rPr>
          <w:rFonts w:ascii="Book Antiqua" w:hAnsi="Book Antiqua"/>
          <w:i/>
          <w:color w:val="000000" w:themeColor="text1"/>
          <w:sz w:val="24"/>
          <w:szCs w:val="24"/>
        </w:rPr>
        <w:t xml:space="preserve">P </w:t>
      </w:r>
      <w:r w:rsidRPr="00EE30DE">
        <w:rPr>
          <w:rFonts w:ascii="Book Antiqua" w:hAnsi="Book Antiqua"/>
          <w:color w:val="000000" w:themeColor="text1"/>
          <w:sz w:val="24"/>
          <w:szCs w:val="24"/>
        </w:rPr>
        <w:t>&lt; 0.05), and the mRNA level of Hep was significantly higher in the FLSPC and FLSPC + YGJ groups compared to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t>
      </w:r>
      <w:r w:rsidRPr="00B06383">
        <w:rPr>
          <w:rFonts w:ascii="Book Antiqua" w:hAnsi="Book Antiqua"/>
          <w:i/>
          <w:color w:val="000000" w:themeColor="text1"/>
          <w:sz w:val="24"/>
          <w:szCs w:val="24"/>
        </w:rPr>
        <w:t>P</w:t>
      </w:r>
      <w:r w:rsidR="00B06383">
        <w:rPr>
          <w:rFonts w:ascii="Book Antiqua" w:hAnsi="Book Antiqua"/>
          <w:color w:val="000000" w:themeColor="text1"/>
          <w:sz w:val="24"/>
          <w:szCs w:val="24"/>
        </w:rPr>
        <w:t xml:space="preserve"> &lt; 0.01) (Figure 3C</w:t>
      </w:r>
      <w:r w:rsidRPr="00EE30DE">
        <w:rPr>
          <w:rFonts w:ascii="Book Antiqua" w:hAnsi="Book Antiqua"/>
          <w:color w:val="000000" w:themeColor="text1"/>
          <w:sz w:val="24"/>
          <w:szCs w:val="24"/>
        </w:rPr>
        <w:t>).</w:t>
      </w:r>
    </w:p>
    <w:bookmarkEnd w:id="86"/>
    <w:bookmarkEnd w:id="87"/>
    <w:p w14:paraId="0E411011" w14:textId="1186DB16" w:rsidR="00792100" w:rsidRPr="00EE30DE" w:rsidRDefault="00B06383"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Consistent with the mRNA expression patterns, the protein levels of HNF4α and Hep were also significantly lower in the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than in the N group (</w:t>
      </w:r>
      <w:r w:rsidR="00792100" w:rsidRPr="00B06383">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while they were significantly higher in the FLSPC + YGJ group than in the FLSPC and 2-AAF/CCl</w:t>
      </w:r>
      <w:r w:rsidR="00792100" w:rsidRPr="00B06383">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groups (</w:t>
      </w:r>
      <w:r w:rsidR="00792100" w:rsidRPr="00B06383">
        <w:rPr>
          <w:rFonts w:ascii="Book Antiqua" w:hAnsi="Book Antiqua"/>
          <w:i/>
          <w:color w:val="000000" w:themeColor="text1"/>
          <w:sz w:val="24"/>
          <w:szCs w:val="24"/>
        </w:rPr>
        <w:t>P</w:t>
      </w:r>
      <w:r>
        <w:rPr>
          <w:rFonts w:ascii="Book Antiqua" w:hAnsi="Book Antiqua"/>
          <w:color w:val="000000" w:themeColor="text1"/>
          <w:sz w:val="24"/>
          <w:szCs w:val="24"/>
        </w:rPr>
        <w:t xml:space="preserve"> &lt; 0.01) (Figure</w:t>
      </w:r>
      <w:r w:rsidR="00792100" w:rsidRPr="00EE30DE">
        <w:rPr>
          <w:rFonts w:ascii="Book Antiqua" w:hAnsi="Book Antiqua"/>
          <w:color w:val="000000" w:themeColor="text1"/>
          <w:sz w:val="24"/>
          <w:szCs w:val="24"/>
        </w:rPr>
        <w:t xml:space="preserve"> 3</w:t>
      </w:r>
      <w:r>
        <w:rPr>
          <w:rFonts w:ascii="Book Antiqua" w:hAnsi="Book Antiqua"/>
          <w:color w:val="000000" w:themeColor="text1"/>
          <w:sz w:val="24"/>
          <w:szCs w:val="24"/>
        </w:rPr>
        <w:t>D and E</w:t>
      </w:r>
      <w:r w:rsidR="00792100" w:rsidRPr="00EE30DE">
        <w:rPr>
          <w:rFonts w:ascii="Book Antiqua" w:hAnsi="Book Antiqua"/>
          <w:color w:val="000000" w:themeColor="text1"/>
          <w:sz w:val="24"/>
          <w:szCs w:val="24"/>
        </w:rPr>
        <w:t>).</w:t>
      </w:r>
    </w:p>
    <w:p w14:paraId="71121737"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5E119E47" w14:textId="45F717B4"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lastRenderedPageBreak/>
        <w:t xml:space="preserve">YGJ </w:t>
      </w:r>
      <w:r w:rsidR="00B06383" w:rsidRPr="00EE30DE">
        <w:rPr>
          <w:rFonts w:ascii="Book Antiqua" w:hAnsi="Book Antiqua"/>
          <w:b/>
          <w:i/>
          <w:color w:val="000000" w:themeColor="text1"/>
          <w:sz w:val="24"/>
          <w:szCs w:val="24"/>
        </w:rPr>
        <w:t xml:space="preserve">regulation of the </w:t>
      </w:r>
      <w:r w:rsidRPr="00EE30DE">
        <w:rPr>
          <w:rFonts w:ascii="Book Antiqua" w:hAnsi="Book Antiqua"/>
          <w:b/>
          <w:i/>
          <w:color w:val="000000" w:themeColor="text1"/>
          <w:sz w:val="24"/>
          <w:szCs w:val="24"/>
        </w:rPr>
        <w:t xml:space="preserve">Wnt </w:t>
      </w:r>
      <w:r w:rsidR="00B06383" w:rsidRPr="00EE30DE">
        <w:rPr>
          <w:rFonts w:ascii="Book Antiqua" w:hAnsi="Book Antiqua"/>
          <w:b/>
          <w:i/>
          <w:color w:val="000000" w:themeColor="text1"/>
          <w:sz w:val="24"/>
          <w:szCs w:val="24"/>
        </w:rPr>
        <w:t>signaling pathway</w:t>
      </w:r>
    </w:p>
    <w:p w14:paraId="64F1E906" w14:textId="026EB6D9"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The mRNA levels of canonical Wnt pathway components including Wnt-1, -3A, -8A, -8B, -10B, FZD-1, -4, -5, LRP-5, -6, and β-catenin were decreased significantly in the 2-AAF/CCl</w:t>
      </w:r>
      <w:r w:rsidRPr="00B06383">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compared to the N group (</w:t>
      </w:r>
      <w:r w:rsidRPr="00B06383">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 while the mRNA levels of Wnt 10B, FZD4, LRP5, and β-catenin were</w:t>
      </w:r>
      <w:bookmarkStart w:id="88" w:name="OLE_LINK57"/>
      <w:bookmarkStart w:id="89" w:name="OLE_LINK58"/>
      <w:r w:rsidRPr="00EE30DE">
        <w:rPr>
          <w:rFonts w:ascii="Book Antiqua" w:hAnsi="Book Antiqua"/>
          <w:color w:val="000000" w:themeColor="text1"/>
          <w:sz w:val="24"/>
          <w:szCs w:val="24"/>
        </w:rPr>
        <w:t xml:space="preserve"> significantly higher in </w:t>
      </w:r>
      <w:bookmarkStart w:id="90" w:name="OLE_LINK55"/>
      <w:bookmarkStart w:id="91" w:name="OLE_LINK56"/>
      <w:r w:rsidRPr="00EE30DE">
        <w:rPr>
          <w:rFonts w:ascii="Book Antiqua" w:hAnsi="Book Antiqua"/>
          <w:color w:val="000000" w:themeColor="text1"/>
          <w:sz w:val="24"/>
          <w:szCs w:val="24"/>
        </w:rPr>
        <w:t>the FLSPC</w:t>
      </w:r>
      <w:bookmarkEnd w:id="90"/>
      <w:bookmarkEnd w:id="91"/>
      <w:r w:rsidRPr="00EE30DE">
        <w:rPr>
          <w:rFonts w:ascii="Book Antiqua" w:hAnsi="Book Antiqua"/>
          <w:color w:val="000000" w:themeColor="text1"/>
          <w:sz w:val="24"/>
          <w:szCs w:val="24"/>
        </w:rPr>
        <w:t xml:space="preserve"> and the FLSPC + YGJ groups than in the 2-AAF/CCl</w:t>
      </w:r>
      <w:r w:rsidRPr="00FD48B9">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t>
      </w:r>
      <w:r w:rsidRPr="00FD48B9">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0.01).</w:t>
      </w:r>
      <w:bookmarkEnd w:id="88"/>
      <w:bookmarkEnd w:id="89"/>
      <w:r w:rsidRPr="00EE30DE">
        <w:rPr>
          <w:rFonts w:ascii="Book Antiqua" w:hAnsi="Book Antiqua"/>
          <w:color w:val="000000" w:themeColor="text1"/>
          <w:sz w:val="24"/>
          <w:szCs w:val="24"/>
        </w:rPr>
        <w:t xml:space="preserve"> In a</w:t>
      </w:r>
      <w:r w:rsidR="00B22829">
        <w:rPr>
          <w:rFonts w:ascii="Book Antiqua" w:hAnsi="Book Antiqua"/>
          <w:color w:val="000000" w:themeColor="text1"/>
          <w:sz w:val="24"/>
          <w:szCs w:val="24"/>
        </w:rPr>
        <w:t xml:space="preserve">ddition, the mRNA levels of </w:t>
      </w:r>
      <w:r w:rsidR="005A42EC">
        <w:rPr>
          <w:rFonts w:ascii="Book Antiqua" w:hAnsi="Book Antiqua"/>
          <w:color w:val="000000" w:themeColor="text1"/>
          <w:sz w:val="24"/>
          <w:szCs w:val="24"/>
        </w:rPr>
        <w:t>Wnt 3A</w:t>
      </w:r>
      <w:r w:rsidRPr="00EE30DE">
        <w:rPr>
          <w:rFonts w:ascii="Book Antiqua" w:hAnsi="Book Antiqua"/>
          <w:color w:val="000000" w:themeColor="text1"/>
          <w:sz w:val="24"/>
          <w:szCs w:val="24"/>
        </w:rPr>
        <w:t>, FZD-1, -5 and LRP6 were significantly higher in the FLSPC + YGJ group than in the 2-AAF/CCl</w:t>
      </w:r>
      <w:r w:rsidRPr="00FD48B9">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xml:space="preserve"> group (</w:t>
      </w:r>
      <w:r w:rsidRPr="00FD48B9">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 or </w:t>
      </w:r>
      <w:r w:rsidRPr="00FD48B9">
        <w:rPr>
          <w:rFonts w:ascii="Book Antiqua" w:hAnsi="Book Antiqua"/>
          <w:i/>
          <w:color w:val="000000" w:themeColor="text1"/>
          <w:sz w:val="24"/>
          <w:szCs w:val="24"/>
        </w:rPr>
        <w:t>P</w:t>
      </w:r>
      <w:r w:rsidR="00B22829">
        <w:rPr>
          <w:rFonts w:ascii="Book Antiqua" w:hAnsi="Book Antiqua"/>
          <w:color w:val="000000" w:themeColor="text1"/>
          <w:sz w:val="24"/>
          <w:szCs w:val="24"/>
        </w:rPr>
        <w:t xml:space="preserve"> &lt; 0.01), and the </w:t>
      </w:r>
      <w:r w:rsidR="005A42EC">
        <w:rPr>
          <w:rFonts w:ascii="Book Antiqua" w:hAnsi="Book Antiqua"/>
          <w:color w:val="000000" w:themeColor="text1"/>
          <w:sz w:val="24"/>
          <w:szCs w:val="24"/>
        </w:rPr>
        <w:t>Wnt 3A</w:t>
      </w:r>
      <w:r w:rsidRPr="00EE30DE">
        <w:rPr>
          <w:rFonts w:ascii="Book Antiqua" w:hAnsi="Book Antiqua"/>
          <w:color w:val="000000" w:themeColor="text1"/>
          <w:sz w:val="24"/>
          <w:szCs w:val="24"/>
        </w:rPr>
        <w:t>, FZD1 and LRP6 were significantly higher than FLSPC group (</w:t>
      </w:r>
      <w:r w:rsidRPr="00FD2ECD">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 or </w:t>
      </w:r>
      <w:r w:rsidRPr="00FD2ECD">
        <w:rPr>
          <w:rFonts w:ascii="Book Antiqua" w:hAnsi="Book Antiqua"/>
          <w:i/>
          <w:color w:val="000000" w:themeColor="text1"/>
          <w:sz w:val="24"/>
          <w:szCs w:val="24"/>
        </w:rPr>
        <w:t>P</w:t>
      </w:r>
      <w:r w:rsidR="00FD2ECD">
        <w:rPr>
          <w:rFonts w:ascii="Book Antiqua" w:hAnsi="Book Antiqua"/>
          <w:color w:val="000000" w:themeColor="text1"/>
          <w:sz w:val="24"/>
          <w:szCs w:val="24"/>
        </w:rPr>
        <w:t xml:space="preserve"> &lt; 0.01) (Figure 4A</w:t>
      </w:r>
      <w:r w:rsidRPr="00EE30DE">
        <w:rPr>
          <w:rFonts w:ascii="Book Antiqua" w:hAnsi="Book Antiqua"/>
          <w:color w:val="000000" w:themeColor="text1"/>
          <w:sz w:val="24"/>
          <w:szCs w:val="24"/>
        </w:rPr>
        <w:t>).</w:t>
      </w:r>
    </w:p>
    <w:p w14:paraId="2F858637" w14:textId="0CB68C62"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The mRNA levels of non-canonical Wnt pathway components including Wnt-4, -5A, -5B, and FZD-2, -3, -6 were increased significantly in the 2-AAF/CCl</w:t>
      </w:r>
      <w:r w:rsidR="00792100" w:rsidRPr="00B22829">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compared to the N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while the mRNA levels of Wnt-4, -5A, -5B, and FZD2 were significantly lower in FLSPC and FLSPC</w:t>
      </w: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w:t>
      </w: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YGJ groups than in </w:t>
      </w:r>
      <w:r w:rsidR="002069C7" w:rsidRPr="00EE30DE">
        <w:rPr>
          <w:rFonts w:ascii="Book Antiqua" w:hAnsi="Book Antiqua"/>
          <w:color w:val="000000" w:themeColor="text1"/>
          <w:sz w:val="24"/>
          <w:szCs w:val="24"/>
        </w:rPr>
        <w:t xml:space="preserve">the </w:t>
      </w:r>
      <w:r w:rsidR="00792100" w:rsidRPr="00EE30DE">
        <w:rPr>
          <w:rFonts w:ascii="Book Antiqua" w:hAnsi="Book Antiqua"/>
          <w:color w:val="000000" w:themeColor="text1"/>
          <w:sz w:val="24"/>
          <w:szCs w:val="24"/>
        </w:rPr>
        <w:t>2-AAF/CCl</w:t>
      </w:r>
      <w:r w:rsidR="00792100" w:rsidRPr="00B22829">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xml:space="preserve">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or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and FZD3 mRNA </w:t>
      </w:r>
      <w:r w:rsidR="002069C7" w:rsidRPr="00EE30DE">
        <w:rPr>
          <w:rFonts w:ascii="Book Antiqua" w:hAnsi="Book Antiqua"/>
          <w:color w:val="000000" w:themeColor="text1"/>
          <w:sz w:val="24"/>
          <w:szCs w:val="24"/>
        </w:rPr>
        <w:t>levels were</w:t>
      </w:r>
      <w:r w:rsidR="00792100" w:rsidRPr="00EE30DE">
        <w:rPr>
          <w:rFonts w:ascii="Book Antiqua" w:hAnsi="Book Antiqua"/>
          <w:color w:val="000000" w:themeColor="text1"/>
          <w:sz w:val="24"/>
          <w:szCs w:val="24"/>
        </w:rPr>
        <w:t xml:space="preserve"> </w:t>
      </w:r>
      <w:bookmarkStart w:id="92" w:name="OLE_LINK61"/>
      <w:bookmarkStart w:id="93" w:name="OLE_LINK62"/>
      <w:r w:rsidR="00792100" w:rsidRPr="00EE30DE">
        <w:rPr>
          <w:rFonts w:ascii="Book Antiqua" w:hAnsi="Book Antiqua"/>
          <w:color w:val="000000" w:themeColor="text1"/>
          <w:sz w:val="24"/>
          <w:szCs w:val="24"/>
        </w:rPr>
        <w:t>significantly lower only in the FLSPC + YGJ group</w:t>
      </w:r>
      <w:bookmarkEnd w:id="92"/>
      <w:bookmarkEnd w:id="93"/>
      <w:r w:rsidR="00792100" w:rsidRPr="00EE30DE">
        <w:rPr>
          <w:rFonts w:ascii="Book Antiqua" w:hAnsi="Book Antiqua"/>
          <w:color w:val="000000" w:themeColor="text1"/>
          <w:sz w:val="24"/>
          <w:szCs w:val="24"/>
        </w:rPr>
        <w:t xml:space="preserve">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In addition, the expression of Wnt 5A was significantly lower in the FLSPC + YGJ group than in the FLSPC group (</w:t>
      </w:r>
      <w:r w:rsidR="00792100" w:rsidRPr="00B22829">
        <w:rPr>
          <w:rFonts w:ascii="Book Antiqua" w:hAnsi="Book Antiqua"/>
          <w:i/>
          <w:color w:val="000000" w:themeColor="text1"/>
          <w:sz w:val="24"/>
          <w:szCs w:val="24"/>
        </w:rPr>
        <w:t>P</w:t>
      </w:r>
      <w:r>
        <w:rPr>
          <w:rFonts w:ascii="Book Antiqua" w:hAnsi="Book Antiqua"/>
          <w:color w:val="000000" w:themeColor="text1"/>
          <w:sz w:val="24"/>
          <w:szCs w:val="24"/>
        </w:rPr>
        <w:t xml:space="preserve"> &lt; 0.01) (Figure 4B</w:t>
      </w:r>
      <w:r w:rsidR="00792100" w:rsidRPr="00EE30DE">
        <w:rPr>
          <w:rFonts w:ascii="Book Antiqua" w:hAnsi="Book Antiqua"/>
          <w:color w:val="000000" w:themeColor="text1"/>
          <w:sz w:val="24"/>
          <w:szCs w:val="24"/>
        </w:rPr>
        <w:t>).</w:t>
      </w:r>
    </w:p>
    <w:p w14:paraId="307AA933" w14:textId="52344752"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These results suggest that the Wnt signaling pathway was unbalanced in the development of cirrhosis induced by 2-AAF/CCl</w:t>
      </w:r>
      <w:r w:rsidR="00792100" w:rsidRPr="00B22829">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FLPSC transplantation promotes the activation of canonical Wnt signaling and represses the non-canonical Wnt signaling. Furthermore, these effects were augmented when FLSPC transplantation was combined with YGJ treatment.</w:t>
      </w:r>
    </w:p>
    <w:p w14:paraId="6CB9CC5C"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2EE1E686" w14:textId="4999578D"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w:t>
      </w:r>
      <w:r w:rsidR="00B22829" w:rsidRPr="00EE30DE">
        <w:rPr>
          <w:rFonts w:ascii="Book Antiqua" w:hAnsi="Book Antiqua"/>
          <w:b/>
          <w:i/>
          <w:color w:val="000000" w:themeColor="text1"/>
          <w:sz w:val="24"/>
          <w:szCs w:val="24"/>
        </w:rPr>
        <w:t>regulates the activated state o</w:t>
      </w:r>
      <w:r w:rsidRPr="00EE30DE">
        <w:rPr>
          <w:rFonts w:ascii="Book Antiqua" w:hAnsi="Book Antiqua"/>
          <w:b/>
          <w:i/>
          <w:color w:val="000000" w:themeColor="text1"/>
          <w:sz w:val="24"/>
          <w:szCs w:val="24"/>
        </w:rPr>
        <w:t>f KCs</w:t>
      </w:r>
    </w:p>
    <w:p w14:paraId="0968CE10" w14:textId="050AC124"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As described above,</w:t>
      </w:r>
      <w:r w:rsidRPr="00B22829">
        <w:rPr>
          <w:rFonts w:ascii="Book Antiqua" w:hAnsi="Book Antiqua"/>
          <w:i/>
          <w:color w:val="000000" w:themeColor="text1"/>
          <w:sz w:val="24"/>
          <w:szCs w:val="24"/>
        </w:rPr>
        <w:t xml:space="preserve"> in vivo</w:t>
      </w:r>
      <w:r w:rsidRPr="00EE30DE">
        <w:rPr>
          <w:rFonts w:ascii="Book Antiqua" w:hAnsi="Book Antiqua"/>
          <w:color w:val="000000" w:themeColor="text1"/>
          <w:sz w:val="24"/>
          <w:szCs w:val="24"/>
        </w:rPr>
        <w:t xml:space="preserve">, we determined that the mRNA level of CD68 was lower and CD163 higher after FLSPC transplantation, and rendered these effects more pronounced in the FLSPC + YGJ group. These results suggest that YGJ may regulates the activated state of KCs and then improve the repair function of FLSPCs. To confirm this hypothesis, we performed </w:t>
      </w:r>
      <w:r w:rsidR="002069C7" w:rsidRPr="00EE30DE">
        <w:rPr>
          <w:rFonts w:ascii="Book Antiqua" w:hAnsi="Book Antiqua"/>
          <w:color w:val="000000" w:themeColor="text1"/>
          <w:sz w:val="24"/>
          <w:szCs w:val="24"/>
        </w:rPr>
        <w:t xml:space="preserve">experiments with </w:t>
      </w:r>
      <w:r w:rsidRPr="00EE30DE">
        <w:rPr>
          <w:rFonts w:ascii="Book Antiqua" w:hAnsi="Book Antiqua"/>
          <w:color w:val="000000" w:themeColor="text1"/>
          <w:sz w:val="24"/>
          <w:szCs w:val="24"/>
        </w:rPr>
        <w:t>different</w:t>
      </w:r>
      <w:r w:rsidR="00B22829">
        <w:rPr>
          <w:rFonts w:ascii="Book Antiqua" w:hAnsi="Book Antiqua"/>
          <w:color w:val="000000" w:themeColor="text1"/>
          <w:sz w:val="24"/>
          <w:szCs w:val="24"/>
        </w:rPr>
        <w:t xml:space="preserve"> concentrations of LPS (50 ng/mL, 100 ng/mL, and 200 ng/mL</w:t>
      </w:r>
      <w:r w:rsidRPr="00EE30DE">
        <w:rPr>
          <w:rFonts w:ascii="Book Antiqua" w:hAnsi="Book Antiqua"/>
          <w:color w:val="000000" w:themeColor="text1"/>
          <w:sz w:val="24"/>
          <w:szCs w:val="24"/>
        </w:rPr>
        <w:t xml:space="preserve">) </w:t>
      </w:r>
      <w:r w:rsidRPr="00EE30DE">
        <w:rPr>
          <w:rFonts w:ascii="Book Antiqua" w:hAnsi="Book Antiqua"/>
          <w:color w:val="000000" w:themeColor="text1"/>
          <w:sz w:val="24"/>
          <w:szCs w:val="24"/>
        </w:rPr>
        <w:lastRenderedPageBreak/>
        <w:t xml:space="preserve">for 48 h to induce RAW264.7 cells activation and assessed the mRNA levels of TGF-β, TNF-α, interleukin (IL)-1, and platelet-derived growth factor receptor (PDGF) as well as the protein level of TNF-α. These results indicate that the optimal LPS concentration to stimulate </w:t>
      </w:r>
      <w:r w:rsidR="00B22829">
        <w:rPr>
          <w:rFonts w:ascii="Book Antiqua" w:hAnsi="Book Antiqua"/>
          <w:color w:val="000000" w:themeColor="text1"/>
          <w:sz w:val="24"/>
          <w:szCs w:val="24"/>
        </w:rPr>
        <w:t>the RAW264.7 cells was 100 ng/mL (Supplementary Figure 1A and B</w:t>
      </w:r>
      <w:r w:rsidRPr="00EE30DE">
        <w:rPr>
          <w:rFonts w:ascii="Book Antiqua" w:hAnsi="Book Antiqua"/>
          <w:color w:val="000000" w:themeColor="text1"/>
          <w:sz w:val="24"/>
          <w:szCs w:val="24"/>
        </w:rPr>
        <w:t xml:space="preserve">). </w:t>
      </w:r>
      <w:r w:rsidR="00B22829">
        <w:rPr>
          <w:rFonts w:ascii="Book Antiqua" w:hAnsi="Book Antiqua"/>
          <w:color w:val="000000" w:themeColor="text1"/>
          <w:sz w:val="24"/>
          <w:szCs w:val="24"/>
        </w:rPr>
        <w:t>We also confirmed that 100 ng/mL</w:t>
      </w:r>
      <w:r w:rsidRPr="00EE30DE">
        <w:rPr>
          <w:rFonts w:ascii="Book Antiqua" w:hAnsi="Book Antiqua"/>
          <w:color w:val="000000" w:themeColor="text1"/>
          <w:sz w:val="24"/>
          <w:szCs w:val="24"/>
        </w:rPr>
        <w:t xml:space="preserve"> LPS treatment did not induces the differentiation of WB-F344 cells into myofibroblasts or macrophages by measuring the mRNA levels of α-SMA or CD68. In addition there was no apparent cytotoxicity to the WB-F344 cells in response to the LPS treatment, as determined by detecting the activation of LDH (Supplementary Fi</w:t>
      </w:r>
      <w:r w:rsidR="00B22829">
        <w:rPr>
          <w:rFonts w:ascii="Book Antiqua" w:hAnsi="Book Antiqua"/>
          <w:color w:val="000000" w:themeColor="text1"/>
          <w:sz w:val="24"/>
          <w:szCs w:val="24"/>
        </w:rPr>
        <w:t>gure 2A-C</w:t>
      </w:r>
      <w:r w:rsidRPr="00EE30DE">
        <w:rPr>
          <w:rFonts w:ascii="Book Antiqua" w:hAnsi="Book Antiqua"/>
          <w:color w:val="000000" w:themeColor="text1"/>
          <w:sz w:val="24"/>
          <w:szCs w:val="24"/>
        </w:rPr>
        <w:t>).</w:t>
      </w:r>
    </w:p>
    <w:p w14:paraId="6AE00187" w14:textId="6BAEA687" w:rsidR="00673AAA"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Thus, we co-cultured WB-F344 cells with RAW264.7 c</w:t>
      </w:r>
      <w:r>
        <w:rPr>
          <w:rFonts w:ascii="Book Antiqua" w:hAnsi="Book Antiqua"/>
          <w:color w:val="000000" w:themeColor="text1"/>
          <w:sz w:val="24"/>
          <w:szCs w:val="24"/>
        </w:rPr>
        <w:t>ells or LPS-activated (100 ng/mL</w:t>
      </w:r>
      <w:r w:rsidR="00792100" w:rsidRPr="00EE30DE">
        <w:rPr>
          <w:rFonts w:ascii="Book Antiqua" w:hAnsi="Book Antiqua"/>
          <w:color w:val="000000" w:themeColor="text1"/>
          <w:sz w:val="24"/>
          <w:szCs w:val="24"/>
        </w:rPr>
        <w:t>) RAW264.7 cells in Transwell chambers. Immunofluorescence staining showed that the expression of α-SMA in WB-F344 cells was markedly increased after co-culture with the LP</w:t>
      </w:r>
      <w:r>
        <w:rPr>
          <w:rFonts w:ascii="Book Antiqua" w:hAnsi="Book Antiqua"/>
          <w:color w:val="000000" w:themeColor="text1"/>
          <w:sz w:val="24"/>
          <w:szCs w:val="24"/>
        </w:rPr>
        <w:t>S-activated RAW264.7 cells (Figure 5A</w:t>
      </w:r>
      <w:r w:rsidR="00792100" w:rsidRPr="00EE30DE">
        <w:rPr>
          <w:rFonts w:ascii="Book Antiqua" w:hAnsi="Book Antiqua"/>
          <w:color w:val="000000" w:themeColor="text1"/>
          <w:sz w:val="24"/>
          <w:szCs w:val="24"/>
        </w:rPr>
        <w:t>), and the mRNA expression of α-SMA in WB-F344 cells was steadily increased compared to the N group after 3, 5, and 7 d in culture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or </w:t>
      </w:r>
      <w:r w:rsidR="00792100" w:rsidRPr="00B22829">
        <w:rPr>
          <w:rFonts w:ascii="Book Antiqua" w:hAnsi="Book Antiqua"/>
          <w:i/>
          <w:color w:val="000000" w:themeColor="text1"/>
          <w:sz w:val="24"/>
          <w:szCs w:val="24"/>
        </w:rPr>
        <w:t>P</w:t>
      </w:r>
      <w:r>
        <w:rPr>
          <w:rFonts w:ascii="Book Antiqua" w:hAnsi="Book Antiqua"/>
          <w:color w:val="000000" w:themeColor="text1"/>
          <w:sz w:val="24"/>
          <w:szCs w:val="24"/>
        </w:rPr>
        <w:t xml:space="preserve"> &lt; 0.01) (Figure 5B</w:t>
      </w:r>
      <w:r w:rsidR="00792100" w:rsidRPr="00EE30DE">
        <w:rPr>
          <w:rFonts w:ascii="Book Antiqua" w:hAnsi="Book Antiqua"/>
          <w:color w:val="000000" w:themeColor="text1"/>
          <w:sz w:val="24"/>
          <w:szCs w:val="24"/>
        </w:rPr>
        <w:t>). These results indicate that activated KCs promote the differentiation of WB-F344 cells into myofibroblasts.</w:t>
      </w:r>
    </w:p>
    <w:p w14:paraId="20FA8EF5" w14:textId="73AD77FB"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As shown in Figure 5C</w:t>
      </w:r>
      <w:r w:rsidR="00792100" w:rsidRPr="00EE30DE">
        <w:rPr>
          <w:rFonts w:ascii="Book Antiqua" w:hAnsi="Book Antiqua"/>
          <w:color w:val="000000" w:themeColor="text1"/>
          <w:sz w:val="24"/>
          <w:szCs w:val="24"/>
        </w:rPr>
        <w:t xml:space="preserve"> and </w:t>
      </w:r>
      <w:r>
        <w:rPr>
          <w:rFonts w:ascii="Book Antiqua" w:hAnsi="Book Antiqua"/>
          <w:color w:val="000000" w:themeColor="text1"/>
          <w:sz w:val="24"/>
          <w:szCs w:val="24"/>
        </w:rPr>
        <w:t>D</w:t>
      </w:r>
      <w:r w:rsidR="00792100" w:rsidRPr="00EE30DE">
        <w:rPr>
          <w:rFonts w:ascii="Book Antiqua" w:hAnsi="Book Antiqua"/>
          <w:color w:val="000000" w:themeColor="text1"/>
          <w:sz w:val="24"/>
          <w:szCs w:val="24"/>
        </w:rPr>
        <w:t>, when co-cultured WB-F344 cells with LPS-activated RAW264.7 cells and treated them with YGJ or Lenalidomide (LND, a TNF-alpha inhibitor, was used as a positive control drug) for 7 d, the mRNA levels of CD68 and α-SMA and the protein level of TNF-α were significantly higher (</w:t>
      </w:r>
      <w:r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and the mRNA level of CD163 was significantly lower (</w:t>
      </w:r>
      <w:r w:rsidR="00792100" w:rsidRPr="00B22829">
        <w:rPr>
          <w:rFonts w:ascii="Book Antiqua" w:hAnsi="Book Antiqua"/>
          <w:i/>
          <w:color w:val="000000" w:themeColor="text1"/>
          <w:sz w:val="24"/>
          <w:szCs w:val="24"/>
        </w:rPr>
        <w:t xml:space="preserve">P </w:t>
      </w:r>
      <w:r w:rsidR="00792100" w:rsidRPr="00EE30DE">
        <w:rPr>
          <w:rFonts w:ascii="Book Antiqua" w:hAnsi="Book Antiqua"/>
          <w:color w:val="000000" w:themeColor="text1"/>
          <w:sz w:val="24"/>
          <w:szCs w:val="24"/>
        </w:rPr>
        <w:t>&lt; 0.05) in activated RAW264.7 cells than in the N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The mRNA levels of CD68 and α-SMA and protein of TNF-α were significantly lower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and the mRNA level of CD163 was significantly higher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in the YGJ and LND groups than in the M group. These results suggested that YGJ regulates the activated state of macrophages (inhibition of pro-inflammatory macrophages and promotion of anti-inflammatory macrophages).</w:t>
      </w:r>
    </w:p>
    <w:p w14:paraId="474B0460" w14:textId="20D03E7D"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Furthermore, after the co-culture of WB-F344 cells with activated </w:t>
      </w:r>
      <w:r w:rsidR="00792100" w:rsidRPr="00EE30DE">
        <w:rPr>
          <w:rFonts w:ascii="Book Antiqua" w:hAnsi="Book Antiqua"/>
          <w:color w:val="000000" w:themeColor="text1"/>
          <w:sz w:val="24"/>
          <w:szCs w:val="24"/>
        </w:rPr>
        <w:lastRenderedPageBreak/>
        <w:t>RAW264.7 cells, the mRNA levels of canonical Wnt signaling pathway components (Wnt-1, -3A, -8A, -8B, FZD1, LRP-5, -6, and β-catenin) of the WB-F344 cells were significantly lower in the M group than in the N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0.01), and the mRNA levels of non-canonical Wnt signaling components (Wnt-4, -5A, -5B, and FZD-2, -3, -6) were significantly higher in the M group than in the N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w:t>
      </w:r>
      <w:r>
        <w:rPr>
          <w:rFonts w:ascii="Book Antiqua" w:hAnsi="Book Antiqua"/>
          <w:color w:val="000000" w:themeColor="text1"/>
          <w:sz w:val="24"/>
          <w:szCs w:val="24"/>
        </w:rPr>
        <w:t xml:space="preserve">&lt; 0.01). The mRNA levels of </w:t>
      </w:r>
      <w:r w:rsidR="005A42EC">
        <w:rPr>
          <w:rFonts w:ascii="Book Antiqua" w:hAnsi="Book Antiqua"/>
          <w:color w:val="000000" w:themeColor="text1"/>
          <w:sz w:val="24"/>
          <w:szCs w:val="24"/>
        </w:rPr>
        <w:t>Wnt 3A</w:t>
      </w:r>
      <w:r w:rsidR="00792100" w:rsidRPr="00EE30DE">
        <w:rPr>
          <w:rFonts w:ascii="Book Antiqua" w:hAnsi="Book Antiqua"/>
          <w:color w:val="000000" w:themeColor="text1"/>
          <w:sz w:val="24"/>
          <w:szCs w:val="24"/>
        </w:rPr>
        <w:t>, LRP-5, -6, and β-catenin were markedly higher and the mRNA levels of Wnt-4, -5A, -5B, and FZD-2, -3 were significantly lower in the YGJ group and LND group than in the M group (</w:t>
      </w:r>
      <w:r w:rsidR="00792100" w:rsidRPr="00B22829">
        <w:rPr>
          <w:rFonts w:ascii="Book Antiqua" w:hAnsi="Book Antiqua"/>
          <w:i/>
          <w:color w:val="000000" w:themeColor="text1"/>
          <w:sz w:val="24"/>
          <w:szCs w:val="24"/>
        </w:rPr>
        <w:t>P</w:t>
      </w:r>
      <w:r w:rsidR="00792100" w:rsidRPr="00EE30DE">
        <w:rPr>
          <w:rFonts w:ascii="Book Antiqua" w:hAnsi="Book Antiqua"/>
          <w:color w:val="000000" w:themeColor="text1"/>
          <w:sz w:val="24"/>
          <w:szCs w:val="24"/>
        </w:rPr>
        <w:t xml:space="preserve"> &lt; 0.05 or </w:t>
      </w:r>
      <w:r w:rsidR="00792100" w:rsidRPr="00B22829">
        <w:rPr>
          <w:rFonts w:ascii="Book Antiqua" w:hAnsi="Book Antiqua"/>
          <w:i/>
          <w:color w:val="000000" w:themeColor="text1"/>
          <w:sz w:val="24"/>
          <w:szCs w:val="24"/>
        </w:rPr>
        <w:t>P</w:t>
      </w:r>
      <w:r>
        <w:rPr>
          <w:rFonts w:ascii="Book Antiqua" w:hAnsi="Book Antiqua"/>
          <w:color w:val="000000" w:themeColor="text1"/>
          <w:sz w:val="24"/>
          <w:szCs w:val="24"/>
        </w:rPr>
        <w:t xml:space="preserve"> &lt; 0.01) (Figure</w:t>
      </w:r>
      <w:r w:rsidR="00792100" w:rsidRPr="00EE30DE">
        <w:rPr>
          <w:rFonts w:ascii="Book Antiqua" w:hAnsi="Book Antiqua"/>
          <w:color w:val="000000" w:themeColor="text1"/>
          <w:sz w:val="24"/>
          <w:szCs w:val="24"/>
        </w:rPr>
        <w:t xml:space="preserve"> 5</w:t>
      </w:r>
      <w:r>
        <w:rPr>
          <w:rFonts w:ascii="Book Antiqua" w:hAnsi="Book Antiqua"/>
          <w:color w:val="000000" w:themeColor="text1"/>
          <w:sz w:val="24"/>
          <w:szCs w:val="24"/>
        </w:rPr>
        <w:t>E and F</w:t>
      </w:r>
      <w:r w:rsidR="00792100" w:rsidRPr="00EE30DE">
        <w:rPr>
          <w:rFonts w:ascii="Book Antiqua" w:hAnsi="Book Antiqua"/>
          <w:color w:val="000000" w:themeColor="text1"/>
          <w:sz w:val="24"/>
          <w:szCs w:val="24"/>
        </w:rPr>
        <w:t xml:space="preserve">). These results suggest that YGJ regulates the Wnt signaling pathway in FLSPCs through regulation of the KCs activated state </w:t>
      </w:r>
      <w:r w:rsidR="00792100" w:rsidRPr="00B22829">
        <w:rPr>
          <w:rFonts w:ascii="Book Antiqua" w:hAnsi="Book Antiqua"/>
          <w:i/>
          <w:color w:val="000000" w:themeColor="text1"/>
          <w:sz w:val="24"/>
          <w:szCs w:val="24"/>
        </w:rPr>
        <w:t>in vitro</w:t>
      </w:r>
      <w:r w:rsidR="00792100" w:rsidRPr="00EE30DE">
        <w:rPr>
          <w:rFonts w:ascii="Book Antiqua" w:hAnsi="Book Antiqua"/>
          <w:color w:val="000000" w:themeColor="text1"/>
          <w:sz w:val="24"/>
          <w:szCs w:val="24"/>
        </w:rPr>
        <w:t>.</w:t>
      </w:r>
    </w:p>
    <w:p w14:paraId="23F3B9A2"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58253EC3" w14:textId="346A6F32" w:rsidR="00792100" w:rsidRPr="00EE30DE" w:rsidRDefault="00673AAA" w:rsidP="00943737">
      <w:pPr>
        <w:pStyle w:val="EndNoteBibliography"/>
        <w:adjustRightInd w:val="0"/>
        <w:snapToGrid w:val="0"/>
        <w:spacing w:line="360" w:lineRule="auto"/>
        <w:outlineLvl w:val="0"/>
        <w:rPr>
          <w:rFonts w:ascii="Book Antiqua" w:hAnsi="Book Antiqua"/>
          <w:b/>
          <w:color w:val="000000" w:themeColor="text1"/>
          <w:sz w:val="24"/>
          <w:szCs w:val="24"/>
        </w:rPr>
      </w:pPr>
      <w:r w:rsidRPr="00EE30DE">
        <w:rPr>
          <w:rFonts w:ascii="Book Antiqua" w:hAnsi="Book Antiqua"/>
          <w:b/>
          <w:color w:val="000000" w:themeColor="text1"/>
          <w:sz w:val="24"/>
          <w:szCs w:val="24"/>
        </w:rPr>
        <w:t>DISCUSSION</w:t>
      </w:r>
    </w:p>
    <w:p w14:paraId="27E5A08C" w14:textId="7840B26F" w:rsidR="00792100" w:rsidRPr="00EE30DE" w:rsidRDefault="00792100" w:rsidP="000B5B76">
      <w:pPr>
        <w:pStyle w:val="EndNoteBibliography"/>
        <w:adjustRightInd w:val="0"/>
        <w:snapToGrid w:val="0"/>
        <w:spacing w:line="360" w:lineRule="auto"/>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w:t>
      </w:r>
      <w:r w:rsidR="00B22829" w:rsidRPr="00EE30DE">
        <w:rPr>
          <w:rFonts w:ascii="Book Antiqua" w:hAnsi="Book Antiqua"/>
          <w:b/>
          <w:i/>
          <w:color w:val="000000" w:themeColor="text1"/>
          <w:sz w:val="24"/>
          <w:szCs w:val="24"/>
        </w:rPr>
        <w:t>enhances the reparative effect o</w:t>
      </w:r>
      <w:r w:rsidRPr="00EE30DE">
        <w:rPr>
          <w:rFonts w:ascii="Book Antiqua" w:hAnsi="Book Antiqua"/>
          <w:b/>
          <w:i/>
          <w:color w:val="000000" w:themeColor="text1"/>
          <w:sz w:val="24"/>
          <w:szCs w:val="24"/>
        </w:rPr>
        <w:t>f FLSPC in 2-AAF/CCl</w:t>
      </w:r>
      <w:r w:rsidRPr="00B22829">
        <w:rPr>
          <w:rFonts w:ascii="Book Antiqua" w:hAnsi="Book Antiqua"/>
          <w:b/>
          <w:i/>
          <w:color w:val="000000" w:themeColor="text1"/>
          <w:sz w:val="24"/>
          <w:szCs w:val="24"/>
          <w:vertAlign w:val="subscript"/>
        </w:rPr>
        <w:t>4</w:t>
      </w:r>
      <w:r w:rsidR="00B22829" w:rsidRPr="00EE30DE">
        <w:rPr>
          <w:rFonts w:ascii="Book Antiqua" w:hAnsi="Book Antiqua"/>
          <w:b/>
          <w:i/>
          <w:color w:val="000000" w:themeColor="text1"/>
          <w:sz w:val="24"/>
          <w:szCs w:val="24"/>
        </w:rPr>
        <w:t>-induced cirrhotic rat model</w:t>
      </w:r>
    </w:p>
    <w:p w14:paraId="2F4CEF4E" w14:textId="7F8B258A"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Liver transplantation is the best therapeutic option for patients with end-stage liver disease. However, donor organ scarcity is a major limitation and alternative strategies are urgently needed</w:t>
      </w:r>
      <w:r w:rsidR="00C336FC" w:rsidRPr="00EE30DE">
        <w:rPr>
          <w:rFonts w:ascii="Book Antiqua" w:hAnsi="Book Antiqua"/>
          <w:color w:val="000000" w:themeColor="text1"/>
          <w:sz w:val="24"/>
          <w:szCs w:val="24"/>
          <w:vertAlign w:val="superscript"/>
        </w:rPr>
        <w:t>[25]</w:t>
      </w:r>
      <w:r w:rsidRPr="00EE30DE">
        <w:rPr>
          <w:rFonts w:ascii="Book Antiqua" w:hAnsi="Book Antiqua"/>
          <w:color w:val="000000" w:themeColor="text1"/>
          <w:sz w:val="24"/>
          <w:szCs w:val="24"/>
        </w:rPr>
        <w:t>. In recent years, stem cell transplantation has become a popular topic in the treatment of end-stage liver disease. Some studies have shown that bone marrow mesenchymal stromal cell (BM-MSC) transplantation can significantly reduce collagen deposition, inhibit the expression of TGF-β1 and α-SMA, reduce the degree of liver fibrosis, improve liver function, and reduce the mortality rate in rodent models of liver injury</w:t>
      </w:r>
      <w:r w:rsidR="00C336FC" w:rsidRPr="00EE30DE">
        <w:rPr>
          <w:rFonts w:ascii="Book Antiqua" w:hAnsi="Book Antiqua"/>
          <w:color w:val="000000" w:themeColor="text1"/>
          <w:sz w:val="24"/>
          <w:szCs w:val="24"/>
          <w:vertAlign w:val="superscript"/>
        </w:rPr>
        <w:t>[26,27]</w:t>
      </w:r>
      <w:r w:rsidRPr="00EE30DE">
        <w:rPr>
          <w:rFonts w:ascii="Book Antiqua" w:hAnsi="Book Antiqua"/>
          <w:color w:val="000000" w:themeColor="text1"/>
          <w:sz w:val="24"/>
          <w:szCs w:val="24"/>
        </w:rPr>
        <w:t xml:space="preserve">. The latest report suggests that peripheral infusion of allogeneic BM-MSCs is safe and convenient for patients with </w:t>
      </w:r>
      <w:r w:rsidR="00B22829">
        <w:rPr>
          <w:rFonts w:ascii="Book Antiqua" w:hAnsi="Book Antiqua"/>
          <w:color w:val="000000" w:themeColor="text1"/>
          <w:sz w:val="24"/>
          <w:szCs w:val="24"/>
        </w:rPr>
        <w:t>hepatitis B virus (</w:t>
      </w:r>
      <w:r w:rsidRPr="00EE30DE">
        <w:rPr>
          <w:rFonts w:ascii="Book Antiqua" w:hAnsi="Book Antiqua"/>
          <w:color w:val="000000" w:themeColor="text1"/>
          <w:sz w:val="24"/>
          <w:szCs w:val="24"/>
        </w:rPr>
        <w:t>HBV</w:t>
      </w:r>
      <w:r w:rsidR="00B22829">
        <w:rPr>
          <w:rFonts w:ascii="Book Antiqua" w:hAnsi="Book Antiqua"/>
          <w:color w:val="000000" w:themeColor="text1"/>
          <w:sz w:val="24"/>
          <w:szCs w:val="24"/>
        </w:rPr>
        <w:t>)</w:t>
      </w:r>
      <w:r w:rsidRPr="00EE30DE">
        <w:rPr>
          <w:rFonts w:ascii="Book Antiqua" w:hAnsi="Book Antiqua"/>
          <w:color w:val="000000" w:themeColor="text1"/>
          <w:sz w:val="24"/>
          <w:szCs w:val="24"/>
        </w:rPr>
        <w:t>-related acute-on-chronic liver failure and significantly increases the 24-wk survival rate by improving liver function and decreasing the incidence of severe infections</w:t>
      </w:r>
      <w:r w:rsidR="00C336FC" w:rsidRPr="00EE30DE">
        <w:rPr>
          <w:rFonts w:ascii="Book Antiqua" w:hAnsi="Book Antiqua"/>
          <w:color w:val="000000" w:themeColor="text1"/>
          <w:sz w:val="24"/>
          <w:szCs w:val="24"/>
          <w:vertAlign w:val="superscript"/>
        </w:rPr>
        <w:t>[28]</w:t>
      </w:r>
      <w:r w:rsidRPr="00EE30DE">
        <w:rPr>
          <w:rFonts w:ascii="Book Antiqua" w:hAnsi="Book Antiqua"/>
          <w:color w:val="000000" w:themeColor="text1"/>
          <w:sz w:val="24"/>
          <w:szCs w:val="24"/>
        </w:rPr>
        <w:t>. However, there are also reports that BM-MSCs transplanted into patients or mice with liver fibrosis differentiate into HSCs and myofibroblasts, which may increase the progression of liver fibrosis</w:t>
      </w:r>
      <w:r w:rsidR="00C336FC" w:rsidRPr="00EE30DE">
        <w:rPr>
          <w:rFonts w:ascii="Book Antiqua" w:hAnsi="Book Antiqua"/>
          <w:color w:val="000000" w:themeColor="text1"/>
          <w:sz w:val="24"/>
          <w:szCs w:val="24"/>
          <w:vertAlign w:val="superscript"/>
        </w:rPr>
        <w:t>[29,30]</w:t>
      </w:r>
      <w:r w:rsidR="00C336FC" w:rsidRPr="00EE30DE">
        <w:rPr>
          <w:rFonts w:ascii="Book Antiqua" w:hAnsi="Book Antiqua"/>
          <w:color w:val="000000" w:themeColor="text1"/>
          <w:sz w:val="24"/>
          <w:szCs w:val="24"/>
        </w:rPr>
        <w:t>.</w:t>
      </w:r>
    </w:p>
    <w:p w14:paraId="35855203" w14:textId="3DBAE00C"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lastRenderedPageBreak/>
        <w:t xml:space="preserve">  </w:t>
      </w:r>
      <w:r w:rsidR="00792100" w:rsidRPr="00EE30DE">
        <w:rPr>
          <w:rFonts w:ascii="Book Antiqua" w:hAnsi="Book Antiqua"/>
          <w:color w:val="000000" w:themeColor="text1"/>
          <w:sz w:val="24"/>
          <w:szCs w:val="24"/>
        </w:rPr>
        <w:t>FLSPCs are considered more suitable for transplantation than BM-MSCs</w:t>
      </w:r>
      <w:r w:rsidR="00C336FC" w:rsidRPr="00EE30DE">
        <w:rPr>
          <w:rFonts w:ascii="Book Antiqua" w:hAnsi="Book Antiqua"/>
          <w:color w:val="000000" w:themeColor="text1"/>
          <w:sz w:val="24"/>
          <w:szCs w:val="24"/>
          <w:vertAlign w:val="superscript"/>
        </w:rPr>
        <w:t>[31]</w:t>
      </w:r>
      <w:r w:rsidR="00792100" w:rsidRPr="00EE30DE">
        <w:rPr>
          <w:rFonts w:ascii="Book Antiqua" w:hAnsi="Book Antiqua"/>
          <w:color w:val="000000" w:themeColor="text1"/>
          <w:sz w:val="24"/>
          <w:szCs w:val="24"/>
        </w:rPr>
        <w:t>. In the present study, we demonstrated that Dlk-1</w:t>
      </w:r>
      <w:r w:rsidR="00792100" w:rsidRPr="00B22829">
        <w:rPr>
          <w:rFonts w:ascii="Book Antiqua" w:hAnsi="Book Antiqua"/>
          <w:color w:val="000000" w:themeColor="text1"/>
          <w:sz w:val="24"/>
          <w:szCs w:val="24"/>
          <w:vertAlign w:val="superscript"/>
        </w:rPr>
        <w:t>+</w:t>
      </w:r>
      <w:r w:rsidR="00792100" w:rsidRPr="00EE30DE">
        <w:rPr>
          <w:rFonts w:ascii="Book Antiqua" w:hAnsi="Book Antiqua"/>
          <w:color w:val="000000" w:themeColor="text1"/>
          <w:sz w:val="24"/>
          <w:szCs w:val="24"/>
        </w:rPr>
        <w:t xml:space="preserve"> FLSPC transplantation inhibited inflammation and HSC activation, led to the improvement of liver function, and thereby prevented the development of cirrhosis. The combination of YGJ and FLSPC resulted in more effective repair of liver fibrosis. YGJ promoted the differentiation of Dlk-1</w:t>
      </w:r>
      <w:r w:rsidR="00792100" w:rsidRPr="00B22829">
        <w:rPr>
          <w:rFonts w:ascii="Book Antiqua" w:hAnsi="Book Antiqua"/>
          <w:color w:val="000000" w:themeColor="text1"/>
          <w:sz w:val="24"/>
          <w:szCs w:val="24"/>
          <w:vertAlign w:val="superscript"/>
        </w:rPr>
        <w:t>+</w:t>
      </w:r>
      <w:r w:rsidR="00792100" w:rsidRPr="00EE30DE">
        <w:rPr>
          <w:rFonts w:ascii="Book Antiqua" w:hAnsi="Book Antiqua"/>
          <w:color w:val="000000" w:themeColor="text1"/>
          <w:sz w:val="24"/>
          <w:szCs w:val="24"/>
        </w:rPr>
        <w:t xml:space="preserve"> FLSPCs into hepatocytes and accelerated wound-healing after liver injury.</w:t>
      </w:r>
    </w:p>
    <w:p w14:paraId="56A80C4A" w14:textId="77777777"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p>
    <w:p w14:paraId="07EC4C80" w14:textId="2B0DA53C"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 xml:space="preserve">YGJ </w:t>
      </w:r>
      <w:r w:rsidR="00B22829" w:rsidRPr="00EE30DE">
        <w:rPr>
          <w:rFonts w:ascii="Book Antiqua" w:hAnsi="Book Antiqua"/>
          <w:b/>
          <w:i/>
          <w:color w:val="000000" w:themeColor="text1"/>
          <w:sz w:val="24"/>
          <w:szCs w:val="24"/>
        </w:rPr>
        <w:t>regulation of the activated state of macrophages</w:t>
      </w:r>
    </w:p>
    <w:p w14:paraId="0F3F8745" w14:textId="60854B10"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Macrophages play a crucial role in the regulation of HPC differentiation, in particular, dependent on the specific Wnt ligands expressed by the macrophages</w:t>
      </w:r>
      <w:r w:rsidR="00C336FC" w:rsidRPr="00EE30DE">
        <w:rPr>
          <w:rFonts w:ascii="Book Antiqua" w:hAnsi="Book Antiqua"/>
          <w:color w:val="000000" w:themeColor="text1"/>
          <w:sz w:val="24"/>
          <w:szCs w:val="24"/>
          <w:vertAlign w:val="superscript"/>
        </w:rPr>
        <w:t>[8]</w:t>
      </w:r>
      <w:r w:rsidR="00C336FC" w:rsidRPr="00EE30DE">
        <w:rPr>
          <w:rFonts w:ascii="Book Antiqua" w:hAnsi="Book Antiqua"/>
          <w:color w:val="000000" w:themeColor="text1"/>
          <w:sz w:val="24"/>
          <w:szCs w:val="24"/>
        </w:rPr>
        <w:t xml:space="preserve">. </w:t>
      </w:r>
      <w:r w:rsidRPr="00EE30DE">
        <w:rPr>
          <w:rFonts w:ascii="Book Antiqua" w:hAnsi="Book Antiqua"/>
          <w:color w:val="000000" w:themeColor="text1"/>
          <w:sz w:val="24"/>
          <w:szCs w:val="24"/>
        </w:rPr>
        <w:t>A recent study demonstrated that cytokines including IL-6, IL-10, TNF-α, HGF, and TGF-β1 were significantly reduced in liver when KCs were selectively depleted by liposome-encapsulated dichloromethylene-diphosphonate (Cl2MDP) after partial hepatectomy, which resulted in delayed liver regeneration</w:t>
      </w:r>
      <w:r w:rsidR="00C336FC" w:rsidRPr="00EE30DE">
        <w:rPr>
          <w:rFonts w:ascii="Book Antiqua" w:hAnsi="Book Antiqua"/>
          <w:color w:val="000000" w:themeColor="text1"/>
          <w:sz w:val="24"/>
          <w:szCs w:val="24"/>
          <w:vertAlign w:val="superscript"/>
        </w:rPr>
        <w:t>[32]</w:t>
      </w:r>
      <w:r w:rsidRPr="00EE30DE">
        <w:rPr>
          <w:rFonts w:ascii="Book Antiqua" w:hAnsi="Book Antiqua"/>
          <w:color w:val="000000" w:themeColor="text1"/>
          <w:sz w:val="24"/>
          <w:szCs w:val="24"/>
        </w:rPr>
        <w:t>. Another study has shown that KCs-derived Nogo-B promotes M1 polarization and exacerbates the progression of alcoholic liver disease (ALD), Nogo-B depletion promotes M2 polarization and restores ALD</w:t>
      </w:r>
      <w:r w:rsidR="00C336FC" w:rsidRPr="00EE30DE">
        <w:rPr>
          <w:rFonts w:ascii="Book Antiqua" w:hAnsi="Book Antiqua"/>
          <w:color w:val="000000" w:themeColor="text1"/>
          <w:sz w:val="24"/>
          <w:szCs w:val="24"/>
          <w:vertAlign w:val="superscript"/>
        </w:rPr>
        <w:t>[33]</w:t>
      </w:r>
      <w:r w:rsidRPr="00EE30DE">
        <w:rPr>
          <w:rFonts w:ascii="Book Antiqua" w:hAnsi="Book Antiqua"/>
          <w:color w:val="000000" w:themeColor="text1"/>
          <w:sz w:val="24"/>
          <w:szCs w:val="24"/>
        </w:rPr>
        <w:t xml:space="preserve">. The pro-inflammatory macrophages that are prevalent in pediatric NASH can be reprogrammed to an anti-inflammatory subset by docosahexaenoic acid (DHA) treatment. </w:t>
      </w:r>
      <w:r w:rsidR="005A42EC">
        <w:rPr>
          <w:rFonts w:ascii="Book Antiqua" w:hAnsi="Book Antiqua"/>
          <w:color w:val="000000" w:themeColor="text1"/>
          <w:sz w:val="24"/>
          <w:szCs w:val="24"/>
        </w:rPr>
        <w:t>Wnt 3A</w:t>
      </w:r>
      <w:r w:rsidRPr="00EE30DE">
        <w:rPr>
          <w:rFonts w:ascii="Book Antiqua" w:hAnsi="Book Antiqua"/>
          <w:color w:val="000000" w:themeColor="text1"/>
          <w:sz w:val="24"/>
          <w:szCs w:val="24"/>
        </w:rPr>
        <w:t xml:space="preserve"> was up-regulated in macrophages and β-</w:t>
      </w:r>
      <w:r w:rsidR="00E243B4" w:rsidRPr="00EE30DE">
        <w:rPr>
          <w:rFonts w:ascii="Book Antiqua" w:hAnsi="Book Antiqua"/>
          <w:color w:val="000000" w:themeColor="text1"/>
          <w:sz w:val="24"/>
          <w:szCs w:val="24"/>
        </w:rPr>
        <w:t>c</w:t>
      </w:r>
      <w:r w:rsidRPr="00EE30DE">
        <w:rPr>
          <w:rFonts w:ascii="Book Antiqua" w:hAnsi="Book Antiqua"/>
          <w:color w:val="000000" w:themeColor="text1"/>
          <w:sz w:val="24"/>
          <w:szCs w:val="24"/>
        </w:rPr>
        <w:t>atenin was activated in HPCs, resulting in the differentiation of HPCs into hepatocytes</w:t>
      </w:r>
      <w:r w:rsidR="00C336FC" w:rsidRPr="00EE30DE">
        <w:rPr>
          <w:rFonts w:ascii="Book Antiqua" w:hAnsi="Book Antiqua"/>
          <w:color w:val="000000" w:themeColor="text1"/>
          <w:sz w:val="24"/>
          <w:szCs w:val="24"/>
          <w:vertAlign w:val="superscript"/>
        </w:rPr>
        <w:t>[17]</w:t>
      </w:r>
      <w:r w:rsidRPr="00EE30DE">
        <w:rPr>
          <w:rFonts w:ascii="Book Antiqua" w:hAnsi="Book Antiqua"/>
          <w:color w:val="000000" w:themeColor="text1"/>
          <w:sz w:val="24"/>
          <w:szCs w:val="24"/>
        </w:rPr>
        <w:t>. These studies demonstrate that macrophage is critical regulator in maintaining liver homeostasis and the wound-healing response. M1 macrophages that polarize to M2 result in the increased production of Wnt ligands that bind to receptors on the surface of HPCs, leading to the activation of Wnt/β-</w:t>
      </w:r>
      <w:r w:rsidR="00874AF5" w:rsidRPr="00EE30DE">
        <w:rPr>
          <w:rFonts w:ascii="Book Antiqua" w:hAnsi="Book Antiqua"/>
          <w:color w:val="000000" w:themeColor="text1"/>
          <w:sz w:val="24"/>
          <w:szCs w:val="24"/>
        </w:rPr>
        <w:t>c</w:t>
      </w:r>
      <w:r w:rsidRPr="00EE30DE">
        <w:rPr>
          <w:rFonts w:ascii="Book Antiqua" w:hAnsi="Book Antiqua"/>
          <w:color w:val="000000" w:themeColor="text1"/>
          <w:sz w:val="24"/>
          <w:szCs w:val="24"/>
        </w:rPr>
        <w:t>atenin signaling and differentiation to hepatocytes</w:t>
      </w:r>
      <w:r w:rsidR="00C336FC" w:rsidRPr="00EE30DE">
        <w:rPr>
          <w:rFonts w:ascii="Book Antiqua" w:hAnsi="Book Antiqua"/>
          <w:color w:val="000000" w:themeColor="text1"/>
          <w:sz w:val="24"/>
          <w:szCs w:val="24"/>
          <w:vertAlign w:val="superscript"/>
        </w:rPr>
        <w:t>[34]</w:t>
      </w:r>
      <w:r w:rsidRPr="00EE30DE">
        <w:rPr>
          <w:rFonts w:ascii="Book Antiqua" w:hAnsi="Book Antiqua"/>
          <w:color w:val="000000" w:themeColor="text1"/>
          <w:sz w:val="24"/>
          <w:szCs w:val="24"/>
        </w:rPr>
        <w:t>. This suggests that the cross-talk between macrophages and HPCs regulates liver homeostasis of Yin and Yang in liver.</w:t>
      </w:r>
    </w:p>
    <w:p w14:paraId="13352175" w14:textId="62F70534"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In this study, we found that the levels of TNF-α and CD68 were increased, </w:t>
      </w:r>
      <w:r w:rsidR="00792100" w:rsidRPr="00EE30DE">
        <w:rPr>
          <w:rFonts w:ascii="Book Antiqua" w:hAnsi="Book Antiqua"/>
          <w:color w:val="000000" w:themeColor="text1"/>
          <w:sz w:val="24"/>
          <w:szCs w:val="24"/>
        </w:rPr>
        <w:lastRenderedPageBreak/>
        <w:t>while the expression of CD163 was decreased in rat cirrhosis induced by 2-AAF/CCl</w:t>
      </w:r>
      <w:r w:rsidR="00792100" w:rsidRPr="00B22829">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However, the levels of expression of TNF-α and CD68 were significantly lower and CD163 expression higher after FLSPC transplantation. Moreover, this effect was further enhanced when FLSPC was combined with YGJ administration, indicating that YGJ improved the therapeutic effect of FLSPCs, possibly through regulation of macrophage activation status.</w:t>
      </w:r>
    </w:p>
    <w:p w14:paraId="7851529A" w14:textId="51CC3FC6"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B22829">
        <w:rPr>
          <w:rFonts w:ascii="Book Antiqua" w:hAnsi="Book Antiqua"/>
          <w:i/>
          <w:color w:val="000000" w:themeColor="text1"/>
          <w:sz w:val="24"/>
          <w:szCs w:val="24"/>
        </w:rPr>
        <w:t>In vitro</w:t>
      </w:r>
      <w:r w:rsidR="00792100" w:rsidRPr="00EE30DE">
        <w:rPr>
          <w:rFonts w:ascii="Book Antiqua" w:hAnsi="Book Antiqua"/>
          <w:color w:val="000000" w:themeColor="text1"/>
          <w:sz w:val="24"/>
          <w:szCs w:val="24"/>
        </w:rPr>
        <w:t>, we found that when LPS-activated RAW264.7 cells were co-cultured with WB-F344 cells, the expression of α-SMA in WB-F344 cells was significantly higher, and it was significantly lower after administration of YGJ and LND. The expression of CD68 and TNF-α was significantly lower and that of CD163 was significantly higher in LPS-activated RAW264.7 cells after YGJ and LND treatment. These results demonstrate that LPS-activated macrophages promote HPCs differentiation into myofibroblasts, which may be related to TNF-α secretion by activated macrophages. YGJ might inhibit the activation of pro-inflammatory macrophages and promote the activation of anti-inflammatory macrophages.</w:t>
      </w:r>
    </w:p>
    <w:p w14:paraId="62DADAA0" w14:textId="77777777" w:rsidR="00792100" w:rsidRPr="00EE30DE" w:rsidRDefault="00792100" w:rsidP="000B5B76">
      <w:pPr>
        <w:pStyle w:val="EndNoteBibliography"/>
        <w:adjustRightInd w:val="0"/>
        <w:snapToGrid w:val="0"/>
        <w:spacing w:line="360" w:lineRule="auto"/>
        <w:rPr>
          <w:rFonts w:ascii="Book Antiqua" w:hAnsi="Book Antiqua"/>
          <w:b/>
          <w:color w:val="000000" w:themeColor="text1"/>
          <w:sz w:val="24"/>
          <w:szCs w:val="24"/>
        </w:rPr>
      </w:pPr>
    </w:p>
    <w:p w14:paraId="01020F8F" w14:textId="4E6D7529" w:rsidR="00792100" w:rsidRPr="00EE30DE" w:rsidRDefault="00792100" w:rsidP="00943737">
      <w:pPr>
        <w:pStyle w:val="EndNoteBibliography"/>
        <w:adjustRightInd w:val="0"/>
        <w:snapToGrid w:val="0"/>
        <w:spacing w:line="360" w:lineRule="auto"/>
        <w:outlineLvl w:val="0"/>
        <w:rPr>
          <w:rFonts w:ascii="Book Antiqua" w:hAnsi="Book Antiqua"/>
          <w:b/>
          <w:i/>
          <w:color w:val="000000" w:themeColor="text1"/>
          <w:sz w:val="24"/>
          <w:szCs w:val="24"/>
        </w:rPr>
      </w:pPr>
      <w:r w:rsidRPr="00EE30DE">
        <w:rPr>
          <w:rFonts w:ascii="Book Antiqua" w:hAnsi="Book Antiqua"/>
          <w:b/>
          <w:i/>
          <w:color w:val="000000" w:themeColor="text1"/>
          <w:sz w:val="24"/>
          <w:szCs w:val="24"/>
        </w:rPr>
        <w:t>YGJ</w:t>
      </w:r>
      <w:r w:rsidR="00B22829" w:rsidRPr="00EE30DE">
        <w:rPr>
          <w:rFonts w:ascii="Book Antiqua" w:hAnsi="Book Antiqua"/>
          <w:b/>
          <w:i/>
          <w:color w:val="000000" w:themeColor="text1"/>
          <w:sz w:val="24"/>
          <w:szCs w:val="24"/>
        </w:rPr>
        <w:t xml:space="preserve"> regulation of</w:t>
      </w:r>
      <w:r w:rsidRPr="00EE30DE">
        <w:rPr>
          <w:rFonts w:ascii="Book Antiqua" w:hAnsi="Book Antiqua"/>
          <w:b/>
          <w:i/>
          <w:color w:val="000000" w:themeColor="text1"/>
          <w:sz w:val="24"/>
          <w:szCs w:val="24"/>
        </w:rPr>
        <w:t xml:space="preserve"> Wnt </w:t>
      </w:r>
      <w:r w:rsidR="00B22829" w:rsidRPr="00EE30DE">
        <w:rPr>
          <w:rFonts w:ascii="Book Antiqua" w:hAnsi="Book Antiqua"/>
          <w:b/>
          <w:i/>
          <w:color w:val="000000" w:themeColor="text1"/>
          <w:sz w:val="24"/>
          <w:szCs w:val="24"/>
        </w:rPr>
        <w:t>signaling pathway</w:t>
      </w:r>
    </w:p>
    <w:p w14:paraId="471B95D9" w14:textId="03D6FFB0" w:rsidR="00792100" w:rsidRPr="00EE30DE" w:rsidRDefault="00792100"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t xml:space="preserve">Wnt signaling consists of two major pathways, the β-catenin-dependent cascade, known as canonical Wnt signaling, and the β-catenin-independent cascade, known as non-canonical Wnt signaling. Recent studies have shown that canonical Wnt signaling regulates the differentiation of HPCs into hepatocytes. The activation of canonical Wnt signaling is associated with </w:t>
      </w:r>
      <w:r w:rsidR="005A42EC">
        <w:rPr>
          <w:rFonts w:ascii="Book Antiqua" w:hAnsi="Book Antiqua"/>
          <w:color w:val="000000" w:themeColor="text1"/>
          <w:sz w:val="24"/>
          <w:szCs w:val="24"/>
        </w:rPr>
        <w:t>Wnt 3A</w:t>
      </w:r>
      <w:r w:rsidRPr="00EE30DE">
        <w:rPr>
          <w:rFonts w:ascii="Book Antiqua" w:hAnsi="Book Antiqua"/>
          <w:color w:val="000000" w:themeColor="text1"/>
          <w:sz w:val="24"/>
          <w:szCs w:val="24"/>
        </w:rPr>
        <w:t>, which is secreted by macrophages upon engulfing hepatocyte debris</w:t>
      </w:r>
      <w:r w:rsidR="00BD2EFE" w:rsidRPr="00EE30DE">
        <w:rPr>
          <w:rFonts w:ascii="Book Antiqua" w:hAnsi="Book Antiqua"/>
          <w:color w:val="000000" w:themeColor="text1"/>
          <w:sz w:val="24"/>
          <w:szCs w:val="24"/>
          <w:vertAlign w:val="superscript"/>
        </w:rPr>
        <w:t>[35]</w:t>
      </w:r>
      <w:r w:rsidRPr="00EE30DE">
        <w:rPr>
          <w:rFonts w:ascii="Book Antiqua" w:hAnsi="Book Antiqua"/>
          <w:color w:val="000000" w:themeColor="text1"/>
          <w:sz w:val="24"/>
          <w:szCs w:val="24"/>
        </w:rPr>
        <w:t>. However, macrophage-derived TNF-α prompted HPCs to differentiate into myofibroblasts, mainly due to the activation of the Wnt5/FZD2 non-canonical cascade</w:t>
      </w:r>
      <w:r w:rsidR="00BD2EFE" w:rsidRPr="00EE30DE">
        <w:rPr>
          <w:rFonts w:ascii="Book Antiqua" w:hAnsi="Book Antiqua"/>
          <w:color w:val="000000" w:themeColor="text1"/>
          <w:sz w:val="24"/>
          <w:szCs w:val="24"/>
          <w:vertAlign w:val="superscript"/>
        </w:rPr>
        <w:t>[8]</w:t>
      </w:r>
      <w:r w:rsidRPr="00EE30DE">
        <w:rPr>
          <w:rFonts w:ascii="Book Antiqua" w:hAnsi="Book Antiqua"/>
          <w:color w:val="000000" w:themeColor="text1"/>
          <w:sz w:val="24"/>
          <w:szCs w:val="24"/>
        </w:rPr>
        <w:t>. These results indicate that macrophages regulate the differentiation and proliferation of HPCs. The main mechanism underlying this process may be related to regulating the activation of the Wnt signaling pathway.</w:t>
      </w:r>
    </w:p>
    <w:p w14:paraId="085088D1" w14:textId="3F9D79A5"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In the present study, </w:t>
      </w:r>
      <w:r w:rsidR="00792100" w:rsidRPr="00B22829">
        <w:rPr>
          <w:rFonts w:ascii="Book Antiqua" w:hAnsi="Book Antiqua"/>
          <w:i/>
          <w:color w:val="000000" w:themeColor="text1"/>
          <w:sz w:val="24"/>
          <w:szCs w:val="24"/>
        </w:rPr>
        <w:t>in vivo</w:t>
      </w:r>
      <w:r w:rsidR="00792100" w:rsidRPr="00EE30DE">
        <w:rPr>
          <w:rFonts w:ascii="Book Antiqua" w:hAnsi="Book Antiqua"/>
          <w:color w:val="000000" w:themeColor="text1"/>
          <w:sz w:val="24"/>
          <w:szCs w:val="24"/>
        </w:rPr>
        <w:t xml:space="preserve">, we found canonical Wnt signaling to be inhibited and the non-canonical Wnt pathway activated in rat cirrhosis </w:t>
      </w:r>
      <w:r w:rsidR="00792100" w:rsidRPr="00EE30DE">
        <w:rPr>
          <w:rFonts w:ascii="Book Antiqua" w:hAnsi="Book Antiqua"/>
          <w:color w:val="000000" w:themeColor="text1"/>
          <w:sz w:val="24"/>
          <w:szCs w:val="24"/>
        </w:rPr>
        <w:lastRenderedPageBreak/>
        <w:t>induced by 2-AAF/CCl</w:t>
      </w:r>
      <w:r w:rsidR="00792100" w:rsidRPr="00B22829">
        <w:rPr>
          <w:rFonts w:ascii="Book Antiqua" w:hAnsi="Book Antiqua"/>
          <w:color w:val="000000" w:themeColor="text1"/>
          <w:sz w:val="24"/>
          <w:szCs w:val="24"/>
          <w:vertAlign w:val="subscript"/>
        </w:rPr>
        <w:t>4</w:t>
      </w:r>
      <w:r w:rsidR="00792100" w:rsidRPr="00EE30DE">
        <w:rPr>
          <w:rFonts w:ascii="Book Antiqua" w:hAnsi="Book Antiqua"/>
          <w:color w:val="000000" w:themeColor="text1"/>
          <w:sz w:val="24"/>
          <w:szCs w:val="24"/>
        </w:rPr>
        <w:t>. However, canonical Wnt signaling was restored and non-canonical signaling repressed after FLSPC transplantation. This regulatory effect was further enhanced when FLSPC transplantation was combined with YGJ administration. FLSPC + YGJ showed sig</w:t>
      </w:r>
      <w:r>
        <w:rPr>
          <w:rFonts w:ascii="Book Antiqua" w:hAnsi="Book Antiqua"/>
          <w:color w:val="000000" w:themeColor="text1"/>
          <w:sz w:val="24"/>
          <w:szCs w:val="24"/>
        </w:rPr>
        <w:t xml:space="preserve">nificant enhancement of the </w:t>
      </w:r>
      <w:r w:rsidR="005A42EC">
        <w:rPr>
          <w:rFonts w:ascii="Book Antiqua" w:hAnsi="Book Antiqua"/>
          <w:color w:val="000000" w:themeColor="text1"/>
          <w:sz w:val="24"/>
          <w:szCs w:val="24"/>
        </w:rPr>
        <w:t>Wnt 3A</w:t>
      </w:r>
      <w:r w:rsidR="00792100" w:rsidRPr="00EE30DE">
        <w:rPr>
          <w:rFonts w:ascii="Book Antiqua" w:hAnsi="Book Antiqua"/>
          <w:color w:val="000000" w:themeColor="text1"/>
          <w:sz w:val="24"/>
          <w:szCs w:val="24"/>
        </w:rPr>
        <w:t xml:space="preserve"> le</w:t>
      </w:r>
      <w:r>
        <w:rPr>
          <w:rFonts w:ascii="Book Antiqua" w:hAnsi="Book Antiqua"/>
          <w:color w:val="000000" w:themeColor="text1"/>
          <w:sz w:val="24"/>
          <w:szCs w:val="24"/>
        </w:rPr>
        <w:t xml:space="preserve">vel and markedly decreased </w:t>
      </w:r>
      <w:r w:rsidR="005A42EC">
        <w:rPr>
          <w:rFonts w:ascii="Book Antiqua" w:hAnsi="Book Antiqua"/>
          <w:color w:val="000000" w:themeColor="text1"/>
          <w:sz w:val="24"/>
          <w:szCs w:val="24"/>
        </w:rPr>
        <w:t>Wnt 5A</w:t>
      </w:r>
      <w:r w:rsidR="00792100" w:rsidRPr="00EE30DE">
        <w:rPr>
          <w:rFonts w:ascii="Book Antiqua" w:hAnsi="Book Antiqua"/>
          <w:color w:val="000000" w:themeColor="text1"/>
          <w:sz w:val="24"/>
          <w:szCs w:val="24"/>
        </w:rPr>
        <w:t xml:space="preserve"> level relative to the single FLSPC treatment group. This suggests that YGJ enhanced the therapeutic effect of FLSPCs, which may be associated with regulation of the Wnt signaling pathway.</w:t>
      </w:r>
    </w:p>
    <w:p w14:paraId="149D76D8" w14:textId="507499B7"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 xml:space="preserve">Consistent with the results observed in vivo, canonical Wnt signaling in WB-F344 cells was significantly inhibited and non-canonical Wnt signaling was activated after co-culture with LPS-activated RAW264.7 cells </w:t>
      </w:r>
      <w:r w:rsidR="00792100" w:rsidRPr="00B22829">
        <w:rPr>
          <w:rFonts w:ascii="Book Antiqua" w:hAnsi="Book Antiqua"/>
          <w:i/>
          <w:color w:val="000000" w:themeColor="text1"/>
          <w:sz w:val="24"/>
          <w:szCs w:val="24"/>
        </w:rPr>
        <w:t>in vitro</w:t>
      </w:r>
      <w:r w:rsidR="00792100" w:rsidRPr="00EE30DE">
        <w:rPr>
          <w:rFonts w:ascii="Book Antiqua" w:hAnsi="Book Antiqua"/>
          <w:color w:val="000000" w:themeColor="text1"/>
          <w:sz w:val="24"/>
          <w:szCs w:val="24"/>
        </w:rPr>
        <w:t>. However, canonical Wnt signaling was activated and non-canonical Wnt signaling was suppressed after YGJ treatment, indicating that pro-inflammatory macrophages inhibited canonical Wnt signaling and activated the non-canonical cascade in HPCs. In this regard, YGJ was also shown to regulate Wnt signaling.</w:t>
      </w:r>
    </w:p>
    <w:p w14:paraId="77E509CB" w14:textId="5ACDA864" w:rsidR="00792100" w:rsidRPr="00EE30DE" w:rsidRDefault="00B22829"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  </w:t>
      </w:r>
      <w:r w:rsidR="00792100" w:rsidRPr="00EE30DE">
        <w:rPr>
          <w:rFonts w:ascii="Book Antiqua" w:hAnsi="Book Antiqua"/>
          <w:color w:val="000000" w:themeColor="text1"/>
          <w:sz w:val="24"/>
          <w:szCs w:val="24"/>
        </w:rPr>
        <w:t>Overall, the proportion of pro-inflammatory and anti-inflammatory macrophage subsets determined the differentiation of FLSPCs. YGJ appears to enhance the therapeutic effect of FLSPCs in a rat model of liver cirrhosis, likely by regulating macrophage activation state and then regulating Wnt signaling. This results in controlling the differentiation of FLSPCs. These results suggest that the combination of YGJ with stem cell transplantation may be a more effective strategy for the treatment of end-stage cirrhosis.</w:t>
      </w:r>
    </w:p>
    <w:p w14:paraId="0A88159A" w14:textId="77777777" w:rsidR="00AF4347" w:rsidRPr="00EE30DE" w:rsidRDefault="00AF4347" w:rsidP="000B5B76">
      <w:pPr>
        <w:pStyle w:val="EndNoteBibliography"/>
        <w:adjustRightInd w:val="0"/>
        <w:snapToGrid w:val="0"/>
        <w:spacing w:line="360" w:lineRule="auto"/>
        <w:rPr>
          <w:rFonts w:ascii="Book Antiqua" w:hAnsi="Book Antiqua"/>
          <w:color w:val="000000" w:themeColor="text1"/>
          <w:sz w:val="24"/>
          <w:szCs w:val="24"/>
        </w:rPr>
      </w:pPr>
    </w:p>
    <w:p w14:paraId="48C69729" w14:textId="77777777" w:rsidR="00AF4347" w:rsidRPr="00EE30DE" w:rsidRDefault="00AF4347" w:rsidP="00943737">
      <w:pPr>
        <w:adjustRightInd w:val="0"/>
        <w:snapToGrid w:val="0"/>
        <w:spacing w:line="360" w:lineRule="auto"/>
        <w:outlineLvl w:val="0"/>
        <w:rPr>
          <w:rFonts w:ascii="Book Antiqua" w:hAnsi="Book Antiqua"/>
          <w:b/>
          <w:caps/>
          <w:color w:val="000000" w:themeColor="text1"/>
          <w:shd w:val="clear" w:color="auto" w:fill="FFFFFF"/>
        </w:rPr>
      </w:pPr>
      <w:r w:rsidRPr="00EE30DE">
        <w:rPr>
          <w:rFonts w:ascii="Book Antiqua" w:hAnsi="Book Antiqua" w:cs="Segoe UI"/>
          <w:b/>
          <w:caps/>
          <w:color w:val="000000" w:themeColor="text1"/>
          <w:shd w:val="clear" w:color="auto" w:fill="FFFFFF"/>
        </w:rPr>
        <w:t>Article Highlights</w:t>
      </w:r>
    </w:p>
    <w:p w14:paraId="05A1D11F" w14:textId="77777777" w:rsidR="00AF4347" w:rsidRPr="00EE30DE" w:rsidRDefault="00AF4347" w:rsidP="00943737">
      <w:pPr>
        <w:adjustRightInd w:val="0"/>
        <w:snapToGrid w:val="0"/>
        <w:spacing w:line="360" w:lineRule="auto"/>
        <w:outlineLvl w:val="0"/>
        <w:rPr>
          <w:rFonts w:ascii="Book Antiqua" w:hAnsi="Book Antiqua"/>
          <w:b/>
          <w:i/>
          <w:color w:val="000000" w:themeColor="text1"/>
        </w:rPr>
      </w:pPr>
      <w:r w:rsidRPr="00EE30DE">
        <w:rPr>
          <w:rFonts w:ascii="Book Antiqua" w:hAnsi="Book Antiqua"/>
          <w:b/>
          <w:i/>
          <w:color w:val="000000" w:themeColor="text1"/>
        </w:rPr>
        <w:t>Research background</w:t>
      </w:r>
    </w:p>
    <w:p w14:paraId="2BE041D8" w14:textId="10019773" w:rsidR="00AF4347" w:rsidRPr="00EE30DE" w:rsidRDefault="00AF4347" w:rsidP="000B5B76">
      <w:pPr>
        <w:adjustRightInd w:val="0"/>
        <w:snapToGrid w:val="0"/>
        <w:spacing w:line="360" w:lineRule="auto"/>
        <w:rPr>
          <w:rFonts w:ascii="Book Antiqua" w:hAnsi="Book Antiqua"/>
          <w:color w:val="000000" w:themeColor="text1"/>
        </w:rPr>
      </w:pPr>
      <w:r w:rsidRPr="00EE30DE">
        <w:rPr>
          <w:rFonts w:ascii="Book Antiqua" w:hAnsi="Book Antiqua"/>
          <w:color w:val="000000" w:themeColor="text1"/>
        </w:rPr>
        <w:t xml:space="preserve">Liver cirrhosis has emerged as a major contributor to the global health burden. Liver transplantation, a recognized treatment for end-stage cirrhosis, is limited by a shortage of organs, transplant rejection, high cost, and other problems. Stem cell transplantation is expected to replace liver transplantation, but finding a way to regulate its differentiation </w:t>
      </w:r>
      <w:r w:rsidRPr="00EE30DE">
        <w:rPr>
          <w:rFonts w:ascii="Book Antiqua" w:hAnsi="Book Antiqua"/>
          <w:i/>
          <w:color w:val="000000" w:themeColor="text1"/>
        </w:rPr>
        <w:t>in vivo</w:t>
      </w:r>
      <w:r w:rsidRPr="00EE30DE">
        <w:rPr>
          <w:rFonts w:ascii="Book Antiqua" w:hAnsi="Book Antiqua"/>
          <w:color w:val="000000" w:themeColor="text1"/>
        </w:rPr>
        <w:t xml:space="preserve"> is a </w:t>
      </w:r>
      <w:r w:rsidRPr="00EE30DE">
        <w:rPr>
          <w:rFonts w:ascii="Book Antiqua" w:hAnsi="Book Antiqua"/>
          <w:color w:val="000000" w:themeColor="text1"/>
        </w:rPr>
        <w:lastRenderedPageBreak/>
        <w:t xml:space="preserve">key scientific problem. Previous studies </w:t>
      </w:r>
      <w:r w:rsidR="00B22829">
        <w:rPr>
          <w:rFonts w:ascii="Book Antiqua" w:hAnsi="Book Antiqua"/>
          <w:color w:val="000000" w:themeColor="text1"/>
        </w:rPr>
        <w:t xml:space="preserve">have confirmed that </w:t>
      </w:r>
      <w:proofErr w:type="spellStart"/>
      <w:r w:rsidR="00B22829">
        <w:rPr>
          <w:rFonts w:ascii="Book Antiqua" w:hAnsi="Book Antiqua"/>
          <w:color w:val="000000" w:themeColor="text1"/>
        </w:rPr>
        <w:t>Yiguanjian</w:t>
      </w:r>
      <w:proofErr w:type="spellEnd"/>
      <w:r w:rsidR="00B22829">
        <w:rPr>
          <w:rFonts w:ascii="Book Antiqua" w:hAnsi="Book Antiqua"/>
          <w:color w:val="000000" w:themeColor="text1"/>
        </w:rPr>
        <w:t xml:space="preserve"> d</w:t>
      </w:r>
      <w:r w:rsidRPr="00EE30DE">
        <w:rPr>
          <w:rFonts w:ascii="Book Antiqua" w:hAnsi="Book Antiqua"/>
          <w:color w:val="000000" w:themeColor="text1"/>
        </w:rPr>
        <w:t>ecoction (YGJ) has a strong ability to prevent fibrosis and to promote hepatocyte regeneration, but whether YGJ can affect the differentiation of transplanted liver stem cells is still unclear.</w:t>
      </w:r>
    </w:p>
    <w:p w14:paraId="554ABC0E" w14:textId="77777777" w:rsidR="00AF4347" w:rsidRPr="00EE30DE" w:rsidRDefault="00AF4347" w:rsidP="000B5B76">
      <w:pPr>
        <w:adjustRightInd w:val="0"/>
        <w:snapToGrid w:val="0"/>
        <w:spacing w:line="360" w:lineRule="auto"/>
        <w:rPr>
          <w:rFonts w:ascii="Book Antiqua" w:hAnsi="Book Antiqua"/>
          <w:color w:val="000000" w:themeColor="text1"/>
        </w:rPr>
      </w:pPr>
    </w:p>
    <w:p w14:paraId="2F1D54F5" w14:textId="77777777" w:rsidR="00AF4347" w:rsidRPr="00EE30DE" w:rsidRDefault="00AF4347" w:rsidP="00943737">
      <w:pPr>
        <w:adjustRightInd w:val="0"/>
        <w:snapToGrid w:val="0"/>
        <w:spacing w:line="360" w:lineRule="auto"/>
        <w:outlineLvl w:val="0"/>
        <w:rPr>
          <w:rFonts w:ascii="Book Antiqua" w:hAnsi="Book Antiqua"/>
          <w:b/>
          <w:i/>
          <w:color w:val="000000" w:themeColor="text1"/>
        </w:rPr>
      </w:pPr>
      <w:r w:rsidRPr="00EE30DE">
        <w:rPr>
          <w:rFonts w:ascii="Book Antiqua" w:hAnsi="Book Antiqua"/>
          <w:b/>
          <w:i/>
          <w:color w:val="000000" w:themeColor="text1"/>
        </w:rPr>
        <w:t>Research motivation</w:t>
      </w:r>
    </w:p>
    <w:p w14:paraId="1350F5C0" w14:textId="5F012B06" w:rsidR="00AF4347" w:rsidRPr="00EE30DE" w:rsidRDefault="00AF4347" w:rsidP="000B5B76">
      <w:pPr>
        <w:adjustRightInd w:val="0"/>
        <w:snapToGrid w:val="0"/>
        <w:spacing w:line="360" w:lineRule="auto"/>
        <w:rPr>
          <w:rFonts w:ascii="Book Antiqua" w:hAnsi="Book Antiqua"/>
          <w:color w:val="000000" w:themeColor="text1"/>
        </w:rPr>
      </w:pPr>
      <w:r w:rsidRPr="00EE30DE">
        <w:rPr>
          <w:rFonts w:ascii="Book Antiqua" w:hAnsi="Book Antiqua"/>
          <w:color w:val="000000" w:themeColor="text1"/>
        </w:rPr>
        <w:t>To determine whether YGJ can affect the therapeutic effect of transplanted fetal liver stem/progenitor cells</w:t>
      </w:r>
      <w:r w:rsidR="00943737">
        <w:rPr>
          <w:rFonts w:ascii="Book Antiqua" w:hAnsi="Book Antiqua"/>
          <w:color w:val="000000" w:themeColor="text1"/>
        </w:rPr>
        <w:t xml:space="preserve"> (FLSPCs)</w:t>
      </w:r>
      <w:r w:rsidRPr="00EE30DE">
        <w:rPr>
          <w:rFonts w:ascii="Book Antiqua" w:hAnsi="Book Antiqua"/>
          <w:color w:val="000000" w:themeColor="text1"/>
        </w:rPr>
        <w:t xml:space="preserve"> and identify possible mechanisms by which it may do so to further identify the active ingredients of YGJ and thus improve the treatment of cirrhosis.</w:t>
      </w:r>
    </w:p>
    <w:p w14:paraId="23F089D0" w14:textId="77777777" w:rsidR="00AF4347" w:rsidRPr="00EE30DE" w:rsidRDefault="00AF4347" w:rsidP="000B5B76">
      <w:pPr>
        <w:adjustRightInd w:val="0"/>
        <w:snapToGrid w:val="0"/>
        <w:spacing w:line="360" w:lineRule="auto"/>
        <w:rPr>
          <w:rFonts w:ascii="Book Antiqua" w:hAnsi="Book Antiqua"/>
          <w:b/>
          <w:i/>
          <w:color w:val="000000" w:themeColor="text1"/>
        </w:rPr>
      </w:pPr>
    </w:p>
    <w:p w14:paraId="5DE3B9D7" w14:textId="77777777" w:rsidR="00AF4347" w:rsidRPr="00EE30DE" w:rsidRDefault="00AF4347" w:rsidP="00943737">
      <w:pPr>
        <w:adjustRightInd w:val="0"/>
        <w:snapToGrid w:val="0"/>
        <w:spacing w:line="360" w:lineRule="auto"/>
        <w:outlineLvl w:val="0"/>
        <w:rPr>
          <w:rFonts w:ascii="Book Antiqua" w:hAnsi="Book Antiqua"/>
          <w:b/>
          <w:i/>
          <w:color w:val="000000" w:themeColor="text1"/>
        </w:rPr>
      </w:pPr>
      <w:r w:rsidRPr="00EE30DE">
        <w:rPr>
          <w:rFonts w:ascii="Book Antiqua" w:hAnsi="Book Antiqua"/>
          <w:b/>
          <w:i/>
          <w:color w:val="000000" w:themeColor="text1"/>
        </w:rPr>
        <w:t>Research objectives</w:t>
      </w:r>
    </w:p>
    <w:p w14:paraId="045D5FAD" w14:textId="77777777" w:rsidR="00AF4347" w:rsidRPr="00EE30DE" w:rsidRDefault="00AF4347" w:rsidP="000B5B76">
      <w:pPr>
        <w:adjustRightInd w:val="0"/>
        <w:snapToGrid w:val="0"/>
        <w:spacing w:line="360" w:lineRule="auto"/>
        <w:rPr>
          <w:rFonts w:ascii="Book Antiqua" w:hAnsi="Book Antiqua"/>
          <w:color w:val="000000" w:themeColor="text1"/>
        </w:rPr>
      </w:pPr>
      <w:r w:rsidRPr="00EE30DE">
        <w:rPr>
          <w:rFonts w:ascii="Book Antiqua" w:hAnsi="Book Antiqua"/>
          <w:color w:val="000000" w:themeColor="text1"/>
        </w:rPr>
        <w:t>To determine whether YGJ can improve the therapeutic efficacy of stem cells for cirrhosis, and so provide scientific evidence for YGJ combined with stem cell transplantation for liver cirrhosis.</w:t>
      </w:r>
    </w:p>
    <w:p w14:paraId="0D2C18E9" w14:textId="77777777" w:rsidR="00AF4347" w:rsidRPr="00EE30DE" w:rsidRDefault="00AF4347" w:rsidP="000B5B76">
      <w:pPr>
        <w:adjustRightInd w:val="0"/>
        <w:snapToGrid w:val="0"/>
        <w:spacing w:line="360" w:lineRule="auto"/>
        <w:rPr>
          <w:rFonts w:ascii="Book Antiqua" w:hAnsi="Book Antiqua"/>
          <w:b/>
          <w:color w:val="000000" w:themeColor="text1"/>
        </w:rPr>
      </w:pPr>
    </w:p>
    <w:p w14:paraId="6FC46ACC" w14:textId="77777777" w:rsidR="00AF4347" w:rsidRPr="00EE30DE" w:rsidRDefault="00AF4347" w:rsidP="00943737">
      <w:pPr>
        <w:adjustRightInd w:val="0"/>
        <w:snapToGrid w:val="0"/>
        <w:spacing w:line="360" w:lineRule="auto"/>
        <w:outlineLvl w:val="0"/>
        <w:rPr>
          <w:rFonts w:ascii="Book Antiqua" w:hAnsi="Book Antiqua"/>
          <w:b/>
          <w:i/>
          <w:color w:val="000000" w:themeColor="text1"/>
        </w:rPr>
      </w:pPr>
      <w:r w:rsidRPr="00EE30DE">
        <w:rPr>
          <w:rFonts w:ascii="Book Antiqua" w:hAnsi="Book Antiqua"/>
          <w:b/>
          <w:i/>
          <w:color w:val="000000" w:themeColor="text1"/>
        </w:rPr>
        <w:t>Research methods</w:t>
      </w:r>
    </w:p>
    <w:p w14:paraId="5D42113D" w14:textId="363C6E04" w:rsidR="00AF4347" w:rsidRPr="00EE30DE" w:rsidRDefault="00AF4347" w:rsidP="000B5B76">
      <w:pPr>
        <w:adjustRightInd w:val="0"/>
        <w:snapToGrid w:val="0"/>
        <w:spacing w:line="360" w:lineRule="auto"/>
        <w:rPr>
          <w:rFonts w:ascii="Book Antiqua" w:hAnsi="Book Antiqua"/>
          <w:color w:val="000000" w:themeColor="text1"/>
        </w:rPr>
      </w:pPr>
      <w:r w:rsidRPr="00EE30DE">
        <w:rPr>
          <w:rFonts w:ascii="Book Antiqua" w:hAnsi="Book Antiqua"/>
          <w:color w:val="000000" w:themeColor="text1"/>
        </w:rPr>
        <w:t xml:space="preserve">Combination of stem cell transplantation with </w:t>
      </w:r>
      <w:r w:rsidR="0043579C" w:rsidRPr="00EE30DE">
        <w:rPr>
          <w:rFonts w:ascii="Book Antiqua" w:hAnsi="Book Antiqua"/>
          <w:color w:val="000000" w:themeColor="text1"/>
        </w:rPr>
        <w:t>traditional</w:t>
      </w:r>
      <w:r w:rsidR="0043579C">
        <w:rPr>
          <w:rFonts w:ascii="Book Antiqua" w:hAnsi="Book Antiqua"/>
          <w:color w:val="000000" w:themeColor="text1"/>
        </w:rPr>
        <w:t xml:space="preserve"> C</w:t>
      </w:r>
      <w:r w:rsidR="0043579C" w:rsidRPr="00EE30DE">
        <w:rPr>
          <w:rFonts w:ascii="Book Antiqua" w:hAnsi="Book Antiqua"/>
          <w:color w:val="000000" w:themeColor="text1"/>
        </w:rPr>
        <w:t>hinese medicine</w:t>
      </w:r>
      <w:r w:rsidR="0043579C">
        <w:rPr>
          <w:rFonts w:ascii="Book Antiqua" w:hAnsi="Book Antiqua"/>
          <w:color w:val="000000" w:themeColor="text1"/>
        </w:rPr>
        <w:t xml:space="preserve"> (TCM)</w:t>
      </w:r>
      <w:r w:rsidRPr="00EE30DE">
        <w:rPr>
          <w:rFonts w:ascii="Book Antiqua" w:hAnsi="Book Antiqua"/>
          <w:color w:val="000000" w:themeColor="text1"/>
        </w:rPr>
        <w:t xml:space="preserve"> may become a new model for the treatment of end-stage cirrhosis.</w:t>
      </w:r>
    </w:p>
    <w:p w14:paraId="4A9C3830" w14:textId="77777777" w:rsidR="00AF4347" w:rsidRPr="00EE30DE" w:rsidRDefault="00AF4347" w:rsidP="000B5B76">
      <w:pPr>
        <w:adjustRightInd w:val="0"/>
        <w:snapToGrid w:val="0"/>
        <w:spacing w:line="360" w:lineRule="auto"/>
        <w:rPr>
          <w:rFonts w:ascii="Book Antiqua" w:hAnsi="Book Antiqua"/>
          <w:b/>
          <w:color w:val="000000" w:themeColor="text1"/>
        </w:rPr>
      </w:pPr>
    </w:p>
    <w:p w14:paraId="662459E9" w14:textId="77777777" w:rsidR="00AF4347" w:rsidRPr="00EE30DE" w:rsidRDefault="00AF4347" w:rsidP="00943737">
      <w:pPr>
        <w:adjustRightInd w:val="0"/>
        <w:snapToGrid w:val="0"/>
        <w:spacing w:line="360" w:lineRule="auto"/>
        <w:outlineLvl w:val="0"/>
        <w:rPr>
          <w:rFonts w:ascii="Book Antiqua" w:hAnsi="Book Antiqua"/>
          <w:b/>
          <w:i/>
          <w:color w:val="000000" w:themeColor="text1"/>
        </w:rPr>
      </w:pPr>
      <w:r w:rsidRPr="00EE30DE">
        <w:rPr>
          <w:rFonts w:ascii="Book Antiqua" w:hAnsi="Book Antiqua"/>
          <w:b/>
          <w:i/>
          <w:color w:val="000000" w:themeColor="text1"/>
        </w:rPr>
        <w:t>Research results</w:t>
      </w:r>
    </w:p>
    <w:p w14:paraId="1B9A1CA2" w14:textId="0660B006" w:rsidR="00AF4347" w:rsidRPr="00EE30DE" w:rsidRDefault="00AF4347" w:rsidP="000B5B76">
      <w:pPr>
        <w:adjustRightInd w:val="0"/>
        <w:snapToGrid w:val="0"/>
        <w:spacing w:line="360" w:lineRule="auto"/>
        <w:rPr>
          <w:rFonts w:ascii="Book Antiqua" w:hAnsi="Book Antiqua" w:cs="Segoe UI"/>
          <w:color w:val="000000" w:themeColor="text1"/>
          <w:shd w:val="clear" w:color="auto" w:fill="FFFFFF"/>
        </w:rPr>
      </w:pPr>
      <w:r w:rsidRPr="00EE30DE">
        <w:rPr>
          <w:rFonts w:ascii="Book Antiqua" w:hAnsi="Book Antiqua" w:cs="Segoe UI"/>
          <w:color w:val="000000" w:themeColor="text1"/>
          <w:shd w:val="clear" w:color="auto" w:fill="FFFFFF"/>
        </w:rPr>
        <w:t xml:space="preserve">We here found that </w:t>
      </w:r>
      <w:r w:rsidRPr="00EE30DE">
        <w:rPr>
          <w:rFonts w:ascii="Book Antiqua" w:hAnsi="Book Antiqua"/>
          <w:color w:val="000000" w:themeColor="text1"/>
        </w:rPr>
        <w:t>YGJ</w:t>
      </w:r>
      <w:r w:rsidRPr="00EE30DE">
        <w:rPr>
          <w:rFonts w:ascii="Book Antiqua" w:hAnsi="Book Antiqua" w:cs="Segoe UI"/>
          <w:color w:val="000000" w:themeColor="text1"/>
          <w:shd w:val="clear" w:color="auto" w:fill="FFFFFF"/>
        </w:rPr>
        <w:t xml:space="preserve"> can enhance </w:t>
      </w:r>
      <w:r w:rsidR="00943737">
        <w:rPr>
          <w:rFonts w:ascii="Book Antiqua" w:hAnsi="Book Antiqua" w:cs="Segoe UI"/>
          <w:color w:val="000000" w:themeColor="text1"/>
          <w:shd w:val="clear" w:color="auto" w:fill="FFFFFF"/>
        </w:rPr>
        <w:t>FLSPC</w:t>
      </w:r>
      <w:r w:rsidRPr="00EE30DE">
        <w:rPr>
          <w:rFonts w:ascii="Book Antiqua" w:hAnsi="Book Antiqua" w:cs="Segoe UI"/>
          <w:color w:val="000000" w:themeColor="text1"/>
          <w:shd w:val="clear" w:color="auto" w:fill="FFFFFF"/>
        </w:rPr>
        <w:t xml:space="preserve">-mediated repair of liver cirrhosis, and the key mechanism is related to regulation of macrophage activation state. This provides empirical evidence for the treatment of cirrhosis by </w:t>
      </w:r>
      <w:r w:rsidRPr="00EE30DE">
        <w:rPr>
          <w:rFonts w:ascii="Book Antiqua" w:hAnsi="Book Antiqua"/>
          <w:color w:val="000000" w:themeColor="text1"/>
        </w:rPr>
        <w:t>YGJ</w:t>
      </w:r>
      <w:r w:rsidRPr="00EE30DE">
        <w:rPr>
          <w:rFonts w:ascii="Book Antiqua" w:hAnsi="Book Antiqua" w:cs="Segoe UI"/>
          <w:color w:val="000000" w:themeColor="text1"/>
          <w:shd w:val="clear" w:color="auto" w:fill="FFFFFF"/>
        </w:rPr>
        <w:t xml:space="preserve">. However, the molecular mechanism by which </w:t>
      </w:r>
      <w:r w:rsidRPr="00EE30DE">
        <w:rPr>
          <w:rFonts w:ascii="Book Antiqua" w:hAnsi="Book Antiqua"/>
          <w:color w:val="000000" w:themeColor="text1"/>
        </w:rPr>
        <w:t>YGJ</w:t>
      </w:r>
      <w:r w:rsidRPr="00EE30DE">
        <w:rPr>
          <w:rFonts w:ascii="Book Antiqua" w:hAnsi="Book Antiqua" w:cs="Segoe UI"/>
          <w:color w:val="000000" w:themeColor="text1"/>
          <w:shd w:val="clear" w:color="auto" w:fill="FFFFFF"/>
        </w:rPr>
        <w:t xml:space="preserve"> regulates macrophage activation is still unclear. This is the main question to be answered in the future.</w:t>
      </w:r>
    </w:p>
    <w:p w14:paraId="0249364B" w14:textId="77777777" w:rsidR="00AF4347" w:rsidRPr="00EE30DE" w:rsidRDefault="00AF4347" w:rsidP="000B5B76">
      <w:pPr>
        <w:adjustRightInd w:val="0"/>
        <w:snapToGrid w:val="0"/>
        <w:spacing w:line="360" w:lineRule="auto"/>
        <w:rPr>
          <w:rFonts w:ascii="Book Antiqua" w:hAnsi="Book Antiqua" w:cs="Segoe UI"/>
          <w:color w:val="000000" w:themeColor="text1"/>
          <w:shd w:val="clear" w:color="auto" w:fill="FFFFFF"/>
        </w:rPr>
      </w:pPr>
    </w:p>
    <w:p w14:paraId="4DB47AA4" w14:textId="77777777" w:rsidR="00AF4347" w:rsidRPr="00EE30DE" w:rsidRDefault="00AF4347" w:rsidP="00943737">
      <w:pPr>
        <w:adjustRightInd w:val="0"/>
        <w:snapToGrid w:val="0"/>
        <w:spacing w:line="360" w:lineRule="auto"/>
        <w:outlineLvl w:val="0"/>
        <w:rPr>
          <w:rFonts w:ascii="Book Antiqua" w:hAnsi="Book Antiqua" w:cs="Segoe UI"/>
          <w:b/>
          <w:i/>
          <w:color w:val="000000" w:themeColor="text1"/>
          <w:shd w:val="clear" w:color="auto" w:fill="FFFFFF"/>
        </w:rPr>
      </w:pPr>
      <w:r w:rsidRPr="00EE30DE">
        <w:rPr>
          <w:rFonts w:ascii="Book Antiqua" w:hAnsi="Book Antiqua"/>
          <w:b/>
          <w:i/>
          <w:color w:val="000000" w:themeColor="text1"/>
        </w:rPr>
        <w:t>Research conclusions</w:t>
      </w:r>
    </w:p>
    <w:p w14:paraId="1FD1C38B" w14:textId="4E1C666C" w:rsidR="00AF4347" w:rsidRPr="00EE30DE" w:rsidRDefault="00AF4347" w:rsidP="000B5B76">
      <w:pPr>
        <w:adjustRightInd w:val="0"/>
        <w:snapToGrid w:val="0"/>
        <w:spacing w:line="360" w:lineRule="auto"/>
        <w:rPr>
          <w:rFonts w:ascii="Book Antiqua" w:hAnsi="Book Antiqua"/>
          <w:color w:val="000000" w:themeColor="text1"/>
        </w:rPr>
      </w:pPr>
      <w:r w:rsidRPr="00EE30DE">
        <w:rPr>
          <w:rFonts w:ascii="Book Antiqua" w:hAnsi="Book Antiqua"/>
          <w:color w:val="000000" w:themeColor="text1"/>
        </w:rPr>
        <w:t xml:space="preserve">YGJ enhances </w:t>
      </w:r>
      <w:r w:rsidR="00B22829">
        <w:rPr>
          <w:rFonts w:ascii="Book Antiqua" w:hAnsi="Book Antiqua" w:cs="Segoe UI"/>
          <w:color w:val="000000" w:themeColor="text1"/>
          <w:shd w:val="clear" w:color="auto" w:fill="FFFFFF"/>
        </w:rPr>
        <w:t>FLSPC</w:t>
      </w:r>
      <w:r w:rsidRPr="00EE30DE">
        <w:rPr>
          <w:rFonts w:ascii="Book Antiqua" w:hAnsi="Book Antiqua" w:cs="Segoe UI"/>
          <w:color w:val="000000" w:themeColor="text1"/>
          <w:shd w:val="clear" w:color="auto" w:fill="FFFFFF"/>
        </w:rPr>
        <w:t>-mediated</w:t>
      </w:r>
      <w:r w:rsidRPr="00EE30DE">
        <w:rPr>
          <w:rFonts w:ascii="Book Antiqua" w:hAnsi="Book Antiqua"/>
          <w:color w:val="000000" w:themeColor="text1"/>
        </w:rPr>
        <w:t xml:space="preserve"> repair of cirrhosis through regulation of macrophage activation state, and stem cell transplantation combination with </w:t>
      </w:r>
      <w:r w:rsidRPr="00EE30DE">
        <w:rPr>
          <w:rFonts w:ascii="Book Antiqua" w:hAnsi="Book Antiqua"/>
          <w:color w:val="000000" w:themeColor="text1"/>
        </w:rPr>
        <w:lastRenderedPageBreak/>
        <w:t>YGJ may be a suitable treatment for end-stage cirrhosis.</w:t>
      </w:r>
    </w:p>
    <w:p w14:paraId="4D476D6F" w14:textId="77777777" w:rsidR="00AF4347" w:rsidRPr="00EE30DE" w:rsidRDefault="00AF4347" w:rsidP="000B5B76">
      <w:pPr>
        <w:adjustRightInd w:val="0"/>
        <w:snapToGrid w:val="0"/>
        <w:spacing w:line="360" w:lineRule="auto"/>
        <w:rPr>
          <w:rFonts w:ascii="Book Antiqua" w:hAnsi="Book Antiqua" w:cs="Segoe UI"/>
          <w:color w:val="000000" w:themeColor="text1"/>
          <w:shd w:val="clear" w:color="auto" w:fill="FFFFFF"/>
        </w:rPr>
      </w:pPr>
    </w:p>
    <w:p w14:paraId="483E0F2B" w14:textId="77777777" w:rsidR="00AF4347" w:rsidRPr="00EE30DE" w:rsidRDefault="00AF4347" w:rsidP="00943737">
      <w:pPr>
        <w:adjustRightInd w:val="0"/>
        <w:snapToGrid w:val="0"/>
        <w:spacing w:line="360" w:lineRule="auto"/>
        <w:outlineLvl w:val="0"/>
        <w:rPr>
          <w:rFonts w:ascii="Book Antiqua" w:hAnsi="Book Antiqua" w:cs="Segoe UI"/>
          <w:b/>
          <w:i/>
          <w:color w:val="000000" w:themeColor="text1"/>
          <w:shd w:val="clear" w:color="auto" w:fill="FFFFFF"/>
        </w:rPr>
      </w:pPr>
      <w:r w:rsidRPr="00EE30DE">
        <w:rPr>
          <w:rFonts w:ascii="Book Antiqua" w:hAnsi="Book Antiqua" w:cs="Segoe UI"/>
          <w:b/>
          <w:i/>
          <w:color w:val="000000" w:themeColor="text1"/>
          <w:shd w:val="clear" w:color="auto" w:fill="FFFFFF"/>
        </w:rPr>
        <w:t>Research perspectives</w:t>
      </w:r>
    </w:p>
    <w:p w14:paraId="0FD8C847" w14:textId="1352E33F" w:rsidR="00AF4347" w:rsidRPr="00EE30DE" w:rsidRDefault="0043579C" w:rsidP="000B5B76">
      <w:pPr>
        <w:adjustRightInd w:val="0"/>
        <w:snapToGrid w:val="0"/>
        <w:spacing w:line="360" w:lineRule="auto"/>
        <w:rPr>
          <w:rFonts w:ascii="Book Antiqua" w:hAnsi="Book Antiqua"/>
          <w:color w:val="000000" w:themeColor="text1"/>
        </w:rPr>
      </w:pPr>
      <w:r>
        <w:rPr>
          <w:rFonts w:ascii="Book Antiqua" w:hAnsi="Book Antiqua" w:cs="Segoe UI"/>
          <w:color w:val="000000" w:themeColor="text1"/>
          <w:shd w:val="clear" w:color="auto" w:fill="FFFFFF"/>
        </w:rPr>
        <w:t>TCM</w:t>
      </w:r>
      <w:r w:rsidR="00AF4347" w:rsidRPr="00EE30DE">
        <w:rPr>
          <w:rFonts w:ascii="Book Antiqua" w:hAnsi="Book Antiqua" w:cs="Segoe UI"/>
          <w:color w:val="000000" w:themeColor="text1"/>
          <w:shd w:val="clear" w:color="auto" w:fill="FFFFFF"/>
        </w:rPr>
        <w:t xml:space="preserve"> has thousands of years of history and its practitioners have accumulated rich experience in the field of chronic liver disease. If </w:t>
      </w:r>
      <w:r>
        <w:rPr>
          <w:rFonts w:ascii="Book Antiqua" w:hAnsi="Book Antiqua" w:cs="Segoe UI"/>
          <w:color w:val="000000" w:themeColor="text1"/>
          <w:shd w:val="clear" w:color="auto" w:fill="FFFFFF"/>
        </w:rPr>
        <w:t>TCM</w:t>
      </w:r>
      <w:r w:rsidR="00AF4347" w:rsidRPr="00EE30DE">
        <w:rPr>
          <w:rFonts w:ascii="Book Antiqua" w:hAnsi="Book Antiqua" w:cs="Segoe UI"/>
          <w:color w:val="000000" w:themeColor="text1"/>
          <w:shd w:val="clear" w:color="auto" w:fill="FFFFFF"/>
        </w:rPr>
        <w:t xml:space="preserve"> is combined with modern medicine, it may provide a more effective treatment for patients with chronic liver disease.</w:t>
      </w:r>
    </w:p>
    <w:p w14:paraId="28B59BF8" w14:textId="07C6CEC1" w:rsidR="00792100" w:rsidRPr="00EE30DE" w:rsidRDefault="00792100" w:rsidP="000B5B76">
      <w:pPr>
        <w:adjustRightInd w:val="0"/>
        <w:snapToGrid w:val="0"/>
        <w:spacing w:line="360" w:lineRule="auto"/>
        <w:rPr>
          <w:rFonts w:ascii="Book Antiqua" w:hAnsi="Book Antiqua" w:cs="Arial"/>
          <w:b/>
          <w:noProof/>
          <w:color w:val="000000" w:themeColor="text1"/>
        </w:rPr>
      </w:pPr>
    </w:p>
    <w:p w14:paraId="295847E7" w14:textId="77777777" w:rsidR="00B22829" w:rsidRDefault="00B22829">
      <w:pPr>
        <w:widowControl/>
        <w:jc w:val="left"/>
        <w:rPr>
          <w:rFonts w:ascii="Book Antiqua" w:hAnsi="Book Antiqua" w:cs="Calibri"/>
          <w:b/>
          <w:noProof/>
          <w:color w:val="000000" w:themeColor="text1"/>
          <w:shd w:val="clear" w:color="auto" w:fill="FFFFFF"/>
        </w:rPr>
      </w:pPr>
      <w:r>
        <w:rPr>
          <w:rFonts w:ascii="Book Antiqua" w:hAnsi="Book Antiqua" w:cs="Calibri"/>
          <w:bCs/>
          <w:noProof/>
          <w:color w:val="000000" w:themeColor="text1"/>
        </w:rPr>
        <w:br w:type="page"/>
      </w:r>
    </w:p>
    <w:p w14:paraId="5A2D503C" w14:textId="329215BA" w:rsidR="00792100" w:rsidRPr="00EE30DE" w:rsidRDefault="00DD58B0" w:rsidP="00943737">
      <w:pPr>
        <w:pStyle w:val="Heading2"/>
        <w:keepNext w:val="0"/>
        <w:keepLines w:val="0"/>
        <w:adjustRightInd w:val="0"/>
        <w:snapToGrid w:val="0"/>
        <w:spacing w:before="0" w:after="0" w:line="360" w:lineRule="auto"/>
        <w:jc w:val="both"/>
        <w:rPr>
          <w:rFonts w:ascii="Book Antiqua" w:eastAsiaTheme="minorEastAsia" w:hAnsi="Book Antiqua" w:cs="Calibri"/>
          <w:bCs w:val="0"/>
          <w:noProof/>
          <w:color w:val="000000" w:themeColor="text1"/>
          <w:kern w:val="2"/>
          <w:sz w:val="24"/>
          <w:szCs w:val="24"/>
        </w:rPr>
      </w:pPr>
      <w:r w:rsidRPr="00EE30DE">
        <w:rPr>
          <w:rFonts w:ascii="Book Antiqua" w:eastAsiaTheme="minorEastAsia" w:hAnsi="Book Antiqua" w:cs="Calibri"/>
          <w:bCs w:val="0"/>
          <w:noProof/>
          <w:color w:val="000000" w:themeColor="text1"/>
          <w:kern w:val="2"/>
          <w:sz w:val="24"/>
          <w:szCs w:val="24"/>
        </w:rPr>
        <w:lastRenderedPageBreak/>
        <w:t>REFERENCES</w:t>
      </w:r>
    </w:p>
    <w:p w14:paraId="09341700"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1 </w:t>
      </w:r>
      <w:r w:rsidRPr="007F2E63">
        <w:rPr>
          <w:rFonts w:ascii="Book Antiqua" w:hAnsi="Book Antiqua"/>
          <w:b/>
          <w:bCs/>
          <w:color w:val="000000" w:themeColor="text1"/>
          <w:sz w:val="24"/>
          <w:szCs w:val="24"/>
        </w:rPr>
        <w:t>Cárdenas A</w:t>
      </w:r>
      <w:r w:rsidRPr="007F2E63">
        <w:rPr>
          <w:rFonts w:ascii="Book Antiqua" w:hAnsi="Book Antiqua"/>
          <w:color w:val="000000" w:themeColor="text1"/>
          <w:sz w:val="24"/>
          <w:szCs w:val="24"/>
        </w:rPr>
        <w:t>, Ginès P. Management of patients with cirrhosis awaiting liver transplantation. </w:t>
      </w:r>
      <w:r w:rsidRPr="007F2E63">
        <w:rPr>
          <w:rFonts w:ascii="Book Antiqua" w:hAnsi="Book Antiqua"/>
          <w:i/>
          <w:iCs/>
          <w:color w:val="000000" w:themeColor="text1"/>
          <w:sz w:val="24"/>
          <w:szCs w:val="24"/>
        </w:rPr>
        <w:t>Gut</w:t>
      </w:r>
      <w:r w:rsidRPr="007F2E63">
        <w:rPr>
          <w:rFonts w:ascii="Book Antiqua" w:hAnsi="Book Antiqua"/>
          <w:color w:val="000000" w:themeColor="text1"/>
          <w:sz w:val="24"/>
          <w:szCs w:val="24"/>
        </w:rPr>
        <w:t> 2011; </w:t>
      </w:r>
      <w:r w:rsidRPr="007F2E63">
        <w:rPr>
          <w:rFonts w:ascii="Book Antiqua" w:hAnsi="Book Antiqua"/>
          <w:b/>
          <w:bCs/>
          <w:color w:val="000000" w:themeColor="text1"/>
          <w:sz w:val="24"/>
          <w:szCs w:val="24"/>
        </w:rPr>
        <w:t>60</w:t>
      </w:r>
      <w:r w:rsidRPr="007F2E63">
        <w:rPr>
          <w:rFonts w:ascii="Book Antiqua" w:hAnsi="Book Antiqua"/>
          <w:color w:val="000000" w:themeColor="text1"/>
          <w:sz w:val="24"/>
          <w:szCs w:val="24"/>
        </w:rPr>
        <w:t>: 412-421 [PMID: 21193458 DOI: 10.1136/gut.2009.179937]</w:t>
      </w:r>
    </w:p>
    <w:p w14:paraId="2E63215C"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2 </w:t>
      </w:r>
      <w:r w:rsidRPr="007F2E63">
        <w:rPr>
          <w:rFonts w:ascii="Book Antiqua" w:hAnsi="Book Antiqua"/>
          <w:b/>
          <w:bCs/>
          <w:color w:val="000000" w:themeColor="text1"/>
          <w:sz w:val="24"/>
          <w:szCs w:val="24"/>
        </w:rPr>
        <w:t>Perera MT</w:t>
      </w:r>
      <w:r w:rsidRPr="007F2E63">
        <w:rPr>
          <w:rFonts w:ascii="Book Antiqua" w:hAnsi="Book Antiqua"/>
          <w:color w:val="000000" w:themeColor="text1"/>
          <w:sz w:val="24"/>
          <w:szCs w:val="24"/>
        </w:rPr>
        <w:t>, Mirza DF, Elias E. Liver transplantation: Issues for the next 20 years. </w:t>
      </w:r>
      <w:r w:rsidRPr="007F2E63">
        <w:rPr>
          <w:rFonts w:ascii="Book Antiqua" w:hAnsi="Book Antiqua"/>
          <w:i/>
          <w:iCs/>
          <w:color w:val="000000" w:themeColor="text1"/>
          <w:sz w:val="24"/>
          <w:szCs w:val="24"/>
        </w:rPr>
        <w:t>J Gastroenterol Hepatol</w:t>
      </w:r>
      <w:r w:rsidRPr="007F2E63">
        <w:rPr>
          <w:rFonts w:ascii="Book Antiqua" w:hAnsi="Book Antiqua"/>
          <w:color w:val="000000" w:themeColor="text1"/>
          <w:sz w:val="24"/>
          <w:szCs w:val="24"/>
        </w:rPr>
        <w:t> 2009; </w:t>
      </w:r>
      <w:r w:rsidRPr="007F2E63">
        <w:rPr>
          <w:rFonts w:ascii="Book Antiqua" w:hAnsi="Book Antiqua"/>
          <w:b/>
          <w:bCs/>
          <w:color w:val="000000" w:themeColor="text1"/>
          <w:sz w:val="24"/>
          <w:szCs w:val="24"/>
        </w:rPr>
        <w:t>24 Suppl 3</w:t>
      </w:r>
      <w:r w:rsidRPr="007F2E63">
        <w:rPr>
          <w:rFonts w:ascii="Book Antiqua" w:hAnsi="Book Antiqua"/>
          <w:color w:val="000000" w:themeColor="text1"/>
          <w:sz w:val="24"/>
          <w:szCs w:val="24"/>
        </w:rPr>
        <w:t>: S124-S131 [PMID: 19799690 DOI: 10.1111/j.1440-1746.2009.06081.x]</w:t>
      </w:r>
    </w:p>
    <w:p w14:paraId="2C038F67"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3 </w:t>
      </w:r>
      <w:r w:rsidRPr="007F2E63">
        <w:rPr>
          <w:rFonts w:ascii="Book Antiqua" w:hAnsi="Book Antiqua"/>
          <w:b/>
          <w:bCs/>
          <w:color w:val="000000" w:themeColor="text1"/>
          <w:sz w:val="24"/>
          <w:szCs w:val="24"/>
        </w:rPr>
        <w:t>Dabeva MD</w:t>
      </w:r>
      <w:r w:rsidRPr="007F2E63">
        <w:rPr>
          <w:rFonts w:ascii="Book Antiqua" w:hAnsi="Book Antiqua"/>
          <w:color w:val="000000" w:themeColor="text1"/>
          <w:sz w:val="24"/>
          <w:szCs w:val="24"/>
        </w:rPr>
        <w:t>, Petkov PM, Sandhu J, Oren R, Laconi E, Hurston E, Shafritz DA. Proliferation and differentiation of fetal liver epithelial progenitor cells after transplantation into adult rat liver. </w:t>
      </w:r>
      <w:r w:rsidRPr="007F2E63">
        <w:rPr>
          <w:rFonts w:ascii="Book Antiqua" w:hAnsi="Book Antiqua"/>
          <w:i/>
          <w:iCs/>
          <w:color w:val="000000" w:themeColor="text1"/>
          <w:sz w:val="24"/>
          <w:szCs w:val="24"/>
        </w:rPr>
        <w:t>Am J Pathol</w:t>
      </w:r>
      <w:r w:rsidRPr="007F2E63">
        <w:rPr>
          <w:rFonts w:ascii="Book Antiqua" w:hAnsi="Book Antiqua"/>
          <w:color w:val="000000" w:themeColor="text1"/>
          <w:sz w:val="24"/>
          <w:szCs w:val="24"/>
        </w:rPr>
        <w:t> 2000; </w:t>
      </w:r>
      <w:r w:rsidRPr="007F2E63">
        <w:rPr>
          <w:rFonts w:ascii="Book Antiqua" w:hAnsi="Book Antiqua"/>
          <w:b/>
          <w:bCs/>
          <w:color w:val="000000" w:themeColor="text1"/>
          <w:sz w:val="24"/>
          <w:szCs w:val="24"/>
        </w:rPr>
        <w:t>156</w:t>
      </w:r>
      <w:r w:rsidRPr="007F2E63">
        <w:rPr>
          <w:rFonts w:ascii="Book Antiqua" w:hAnsi="Book Antiqua"/>
          <w:color w:val="000000" w:themeColor="text1"/>
          <w:sz w:val="24"/>
          <w:szCs w:val="24"/>
        </w:rPr>
        <w:t>: 2017-2031 [PMID: 10854224 DOI: 10.1016/s0002-9440(10)65074-2]</w:t>
      </w:r>
    </w:p>
    <w:p w14:paraId="1FA1391D"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4 </w:t>
      </w:r>
      <w:r w:rsidRPr="007F2E63">
        <w:rPr>
          <w:rFonts w:ascii="Book Antiqua" w:hAnsi="Book Antiqua"/>
          <w:b/>
          <w:bCs/>
          <w:color w:val="000000" w:themeColor="text1"/>
          <w:sz w:val="24"/>
          <w:szCs w:val="24"/>
        </w:rPr>
        <w:t>Suzuki A</w:t>
      </w:r>
      <w:r w:rsidRPr="007F2E63">
        <w:rPr>
          <w:rFonts w:ascii="Book Antiqua" w:hAnsi="Book Antiqua"/>
          <w:color w:val="000000" w:themeColor="text1"/>
          <w:sz w:val="24"/>
          <w:szCs w:val="24"/>
        </w:rPr>
        <w:t>, Sekiya S, Onishi M, Oshima N, Kiyonari H, Nakauchi H, Taniguchi H. Flow cytometric isolation and clonal identification of self-renewing bipotent hepatic progenitor cells in adult mouse liver.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 2008; </w:t>
      </w:r>
      <w:r w:rsidRPr="007F2E63">
        <w:rPr>
          <w:rFonts w:ascii="Book Antiqua" w:hAnsi="Book Antiqua"/>
          <w:b/>
          <w:bCs/>
          <w:color w:val="000000" w:themeColor="text1"/>
          <w:sz w:val="24"/>
          <w:szCs w:val="24"/>
        </w:rPr>
        <w:t>48</w:t>
      </w:r>
      <w:r w:rsidRPr="007F2E63">
        <w:rPr>
          <w:rFonts w:ascii="Book Antiqua" w:hAnsi="Book Antiqua"/>
          <w:color w:val="000000" w:themeColor="text1"/>
          <w:sz w:val="24"/>
          <w:szCs w:val="24"/>
        </w:rPr>
        <w:t>: 1964-1978 [PMID: 18837044 DOI: 10.1002/hep.22558]</w:t>
      </w:r>
    </w:p>
    <w:p w14:paraId="0718C715"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5 </w:t>
      </w:r>
      <w:r w:rsidRPr="007F2E63">
        <w:rPr>
          <w:rFonts w:ascii="Book Antiqua" w:hAnsi="Book Antiqua"/>
          <w:b/>
          <w:bCs/>
          <w:color w:val="000000" w:themeColor="text1"/>
          <w:sz w:val="24"/>
          <w:szCs w:val="24"/>
        </w:rPr>
        <w:t>Schmelzer E</w:t>
      </w:r>
      <w:r w:rsidRPr="007F2E63">
        <w:rPr>
          <w:rFonts w:ascii="Book Antiqua" w:hAnsi="Book Antiqua"/>
          <w:color w:val="000000" w:themeColor="text1"/>
          <w:sz w:val="24"/>
          <w:szCs w:val="24"/>
        </w:rPr>
        <w:t>, Zhang L, Bruce A, Wauthier E, Ludlow J, Yao HL, Moss N, Melhem A, McClelland R, Turner W, Kulik M, Sherwood S, Tallheden T, Cheng N, Furth ME, Reid LM. Human hepatic stem cells from fetal and postnatal donors. </w:t>
      </w:r>
      <w:r w:rsidRPr="007F2E63">
        <w:rPr>
          <w:rFonts w:ascii="Book Antiqua" w:hAnsi="Book Antiqua"/>
          <w:i/>
          <w:iCs/>
          <w:color w:val="000000" w:themeColor="text1"/>
          <w:sz w:val="24"/>
          <w:szCs w:val="24"/>
        </w:rPr>
        <w:t>J Exp Med</w:t>
      </w:r>
      <w:r w:rsidRPr="007F2E63">
        <w:rPr>
          <w:rFonts w:ascii="Book Antiqua" w:hAnsi="Book Antiqua"/>
          <w:color w:val="000000" w:themeColor="text1"/>
          <w:sz w:val="24"/>
          <w:szCs w:val="24"/>
        </w:rPr>
        <w:t> 2007; </w:t>
      </w:r>
      <w:r w:rsidRPr="007F2E63">
        <w:rPr>
          <w:rFonts w:ascii="Book Antiqua" w:hAnsi="Book Antiqua"/>
          <w:b/>
          <w:bCs/>
          <w:color w:val="000000" w:themeColor="text1"/>
          <w:sz w:val="24"/>
          <w:szCs w:val="24"/>
        </w:rPr>
        <w:t>204</w:t>
      </w:r>
      <w:r w:rsidRPr="007F2E63">
        <w:rPr>
          <w:rFonts w:ascii="Book Antiqua" w:hAnsi="Book Antiqua"/>
          <w:color w:val="000000" w:themeColor="text1"/>
          <w:sz w:val="24"/>
          <w:szCs w:val="24"/>
        </w:rPr>
        <w:t>: 1973-1987 [PMID: 17664288 DOI: 10.1084/jem.20061603]</w:t>
      </w:r>
    </w:p>
    <w:p w14:paraId="5C9A3749"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6 </w:t>
      </w:r>
      <w:r w:rsidRPr="007F2E63">
        <w:rPr>
          <w:rFonts w:ascii="Book Antiqua" w:hAnsi="Book Antiqua"/>
          <w:b/>
          <w:bCs/>
          <w:color w:val="000000" w:themeColor="text1"/>
          <w:sz w:val="24"/>
          <w:szCs w:val="24"/>
        </w:rPr>
        <w:t>Cardinale V</w:t>
      </w:r>
      <w:r w:rsidRPr="007F2E63">
        <w:rPr>
          <w:rFonts w:ascii="Book Antiqua" w:hAnsi="Book Antiqua"/>
          <w:color w:val="000000" w:themeColor="text1"/>
          <w:sz w:val="24"/>
          <w:szCs w:val="24"/>
        </w:rPr>
        <w:t>, Wang Y, Carpino G, Cui CB, Gatto M, Rossi M, Berloco PB, Cantafora A, Wauthier E, Furth ME, Inverardi L, Dominguez-Bendala J, Ricordi C, Gerber D, Gaudio E, Alvaro D, Reid L. Multipotent stem/progenitor cells in human biliary tree give rise to hepatocytes, cholangiocytes, and pancreatic islets.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 2011; </w:t>
      </w:r>
      <w:r w:rsidRPr="007F2E63">
        <w:rPr>
          <w:rFonts w:ascii="Book Antiqua" w:hAnsi="Book Antiqua"/>
          <w:b/>
          <w:bCs/>
          <w:color w:val="000000" w:themeColor="text1"/>
          <w:sz w:val="24"/>
          <w:szCs w:val="24"/>
        </w:rPr>
        <w:t>54</w:t>
      </w:r>
      <w:r w:rsidRPr="007F2E63">
        <w:rPr>
          <w:rFonts w:ascii="Book Antiqua" w:hAnsi="Book Antiqua"/>
          <w:color w:val="000000" w:themeColor="text1"/>
          <w:sz w:val="24"/>
          <w:szCs w:val="24"/>
        </w:rPr>
        <w:t>: 2159-2172 [PMID: 21809358 DOI: 10.1002/hep.24590]</w:t>
      </w:r>
    </w:p>
    <w:p w14:paraId="2347D060"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7 </w:t>
      </w:r>
      <w:r w:rsidRPr="007F2E63">
        <w:rPr>
          <w:rFonts w:ascii="Book Antiqua" w:hAnsi="Book Antiqua"/>
          <w:b/>
          <w:bCs/>
          <w:color w:val="000000" w:themeColor="text1"/>
          <w:sz w:val="24"/>
          <w:szCs w:val="24"/>
        </w:rPr>
        <w:t>Lade AG</w:t>
      </w:r>
      <w:r w:rsidRPr="007F2E63">
        <w:rPr>
          <w:rFonts w:ascii="Book Antiqua" w:hAnsi="Book Antiqua"/>
          <w:color w:val="000000" w:themeColor="text1"/>
          <w:sz w:val="24"/>
          <w:szCs w:val="24"/>
        </w:rPr>
        <w:t>, Monga SP. Beta-catenin signaling in hepatic development and progenitors: which way does the WNT blow? </w:t>
      </w:r>
      <w:r w:rsidRPr="007F2E63">
        <w:rPr>
          <w:rFonts w:ascii="Book Antiqua" w:hAnsi="Book Antiqua"/>
          <w:i/>
          <w:iCs/>
          <w:color w:val="000000" w:themeColor="text1"/>
          <w:sz w:val="24"/>
          <w:szCs w:val="24"/>
        </w:rPr>
        <w:t>Dev Dyn</w:t>
      </w:r>
      <w:r w:rsidRPr="007F2E63">
        <w:rPr>
          <w:rFonts w:ascii="Book Antiqua" w:hAnsi="Book Antiqua"/>
          <w:color w:val="000000" w:themeColor="text1"/>
          <w:sz w:val="24"/>
          <w:szCs w:val="24"/>
        </w:rPr>
        <w:t> 2011; </w:t>
      </w:r>
      <w:r w:rsidRPr="007F2E63">
        <w:rPr>
          <w:rFonts w:ascii="Book Antiqua" w:hAnsi="Book Antiqua"/>
          <w:b/>
          <w:bCs/>
          <w:color w:val="000000" w:themeColor="text1"/>
          <w:sz w:val="24"/>
          <w:szCs w:val="24"/>
        </w:rPr>
        <w:t>240</w:t>
      </w:r>
      <w:r w:rsidRPr="007F2E63">
        <w:rPr>
          <w:rFonts w:ascii="Book Antiqua" w:hAnsi="Book Antiqua"/>
          <w:color w:val="000000" w:themeColor="text1"/>
          <w:sz w:val="24"/>
          <w:szCs w:val="24"/>
        </w:rPr>
        <w:t>: 486-500 [PMID: 21337461 DOI: 10.1002/dvdy.22522]</w:t>
      </w:r>
    </w:p>
    <w:p w14:paraId="1511B916"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8 </w:t>
      </w:r>
      <w:r w:rsidRPr="007F2E63">
        <w:rPr>
          <w:rFonts w:ascii="Book Antiqua" w:hAnsi="Book Antiqua"/>
          <w:b/>
          <w:bCs/>
          <w:color w:val="000000" w:themeColor="text1"/>
          <w:sz w:val="24"/>
          <w:szCs w:val="24"/>
        </w:rPr>
        <w:t>Jiang F</w:t>
      </w:r>
      <w:r w:rsidRPr="007F2E63">
        <w:rPr>
          <w:rFonts w:ascii="Book Antiqua" w:hAnsi="Book Antiqua"/>
          <w:color w:val="000000" w:themeColor="text1"/>
          <w:sz w:val="24"/>
          <w:szCs w:val="24"/>
        </w:rPr>
        <w:t xml:space="preserve">, Parsons CJ, Stefanovic B. Gene expression profile of quiescent and </w:t>
      </w:r>
      <w:r w:rsidRPr="007F2E63">
        <w:rPr>
          <w:rFonts w:ascii="Book Antiqua" w:hAnsi="Book Antiqua"/>
          <w:color w:val="000000" w:themeColor="text1"/>
          <w:sz w:val="24"/>
          <w:szCs w:val="24"/>
        </w:rPr>
        <w:lastRenderedPageBreak/>
        <w:t>activated rat hepatic stellate cells implicates Wnt signaling pathway in activation. </w:t>
      </w:r>
      <w:r w:rsidRPr="007F2E63">
        <w:rPr>
          <w:rFonts w:ascii="Book Antiqua" w:hAnsi="Book Antiqua"/>
          <w:i/>
          <w:iCs/>
          <w:color w:val="000000" w:themeColor="text1"/>
          <w:sz w:val="24"/>
          <w:szCs w:val="24"/>
        </w:rPr>
        <w:t>J Hepatol</w:t>
      </w:r>
      <w:r w:rsidRPr="007F2E63">
        <w:rPr>
          <w:rFonts w:ascii="Book Antiqua" w:hAnsi="Book Antiqua"/>
          <w:color w:val="000000" w:themeColor="text1"/>
          <w:sz w:val="24"/>
          <w:szCs w:val="24"/>
        </w:rPr>
        <w:t> 2006; </w:t>
      </w:r>
      <w:r w:rsidRPr="007F2E63">
        <w:rPr>
          <w:rFonts w:ascii="Book Antiqua" w:hAnsi="Book Antiqua"/>
          <w:b/>
          <w:bCs/>
          <w:color w:val="000000" w:themeColor="text1"/>
          <w:sz w:val="24"/>
          <w:szCs w:val="24"/>
        </w:rPr>
        <w:t>45</w:t>
      </w:r>
      <w:r w:rsidRPr="007F2E63">
        <w:rPr>
          <w:rFonts w:ascii="Book Antiqua" w:hAnsi="Book Antiqua"/>
          <w:color w:val="000000" w:themeColor="text1"/>
          <w:sz w:val="24"/>
          <w:szCs w:val="24"/>
        </w:rPr>
        <w:t>: 401-409 [PMID: 16780995 DOI: 10.1016/j.jhep.2006.03.016]</w:t>
      </w:r>
    </w:p>
    <w:p w14:paraId="63F63C09" w14:textId="77DF1234"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9 </w:t>
      </w:r>
      <w:r w:rsidRPr="007F2E63">
        <w:rPr>
          <w:rFonts w:ascii="Book Antiqua" w:hAnsi="Book Antiqua"/>
          <w:b/>
          <w:bCs/>
          <w:color w:val="000000" w:themeColor="text1"/>
          <w:sz w:val="24"/>
          <w:szCs w:val="24"/>
        </w:rPr>
        <w:t>Chen Q</w:t>
      </w:r>
      <w:r w:rsidRPr="007F2E63">
        <w:rPr>
          <w:rFonts w:ascii="Book Antiqua" w:hAnsi="Book Antiqua"/>
          <w:color w:val="000000" w:themeColor="text1"/>
          <w:sz w:val="24"/>
          <w:szCs w:val="24"/>
        </w:rPr>
        <w:t>, Xue Y, Sun J. Kupffer cell-mediated hepatic injury induced by silica nanoparticles in vitro and in vivo. </w:t>
      </w:r>
      <w:r w:rsidRPr="007F2E63">
        <w:rPr>
          <w:rFonts w:ascii="Book Antiqua" w:hAnsi="Book Antiqua"/>
          <w:i/>
          <w:iCs/>
          <w:color w:val="000000" w:themeColor="text1"/>
          <w:sz w:val="24"/>
          <w:szCs w:val="24"/>
        </w:rPr>
        <w:t>Int J Nanomedicine</w:t>
      </w:r>
      <w:r w:rsidRPr="007F2E63">
        <w:rPr>
          <w:rFonts w:ascii="Book Antiqua" w:hAnsi="Book Antiqua"/>
          <w:color w:val="000000" w:themeColor="text1"/>
          <w:sz w:val="24"/>
          <w:szCs w:val="24"/>
        </w:rPr>
        <w:t> 2013; </w:t>
      </w:r>
      <w:r w:rsidRPr="007F2E63">
        <w:rPr>
          <w:rFonts w:ascii="Book Antiqua" w:hAnsi="Book Antiqua"/>
          <w:b/>
          <w:bCs/>
          <w:color w:val="000000" w:themeColor="text1"/>
          <w:sz w:val="24"/>
          <w:szCs w:val="24"/>
        </w:rPr>
        <w:t>8</w:t>
      </w:r>
      <w:r w:rsidRPr="007F2E63">
        <w:rPr>
          <w:rFonts w:ascii="Book Antiqua" w:hAnsi="Book Antiqua"/>
          <w:color w:val="000000" w:themeColor="text1"/>
          <w:sz w:val="24"/>
          <w:szCs w:val="24"/>
        </w:rPr>
        <w:t>: 1129-1140 [PMID: 23515466 DOI: 10.2147/IJN.S42242]</w:t>
      </w:r>
    </w:p>
    <w:p w14:paraId="786A0433"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10 </w:t>
      </w:r>
      <w:r w:rsidRPr="007F2E63">
        <w:rPr>
          <w:rFonts w:ascii="Book Antiqua" w:hAnsi="Book Antiqua"/>
          <w:b/>
          <w:bCs/>
          <w:color w:val="000000" w:themeColor="text1"/>
          <w:sz w:val="24"/>
          <w:szCs w:val="24"/>
        </w:rPr>
        <w:t>You Q</w:t>
      </w:r>
      <w:r w:rsidRPr="007F2E63">
        <w:rPr>
          <w:rFonts w:ascii="Book Antiqua" w:hAnsi="Book Antiqua"/>
          <w:color w:val="000000" w:themeColor="text1"/>
          <w:sz w:val="24"/>
          <w:szCs w:val="24"/>
        </w:rPr>
        <w:t>, Holt M, Yin H, Li G, Hu CJ, Ju C. Role of hepatic resident and infiltrating macrophages in liver repair after acute injury. </w:t>
      </w:r>
      <w:r w:rsidRPr="007F2E63">
        <w:rPr>
          <w:rFonts w:ascii="Book Antiqua" w:hAnsi="Book Antiqua"/>
          <w:i/>
          <w:iCs/>
          <w:color w:val="000000" w:themeColor="text1"/>
          <w:sz w:val="24"/>
          <w:szCs w:val="24"/>
        </w:rPr>
        <w:t>Biochem Pharmacol</w:t>
      </w:r>
      <w:r w:rsidRPr="007F2E63">
        <w:rPr>
          <w:rFonts w:ascii="Book Antiqua" w:hAnsi="Book Antiqua"/>
          <w:color w:val="000000" w:themeColor="text1"/>
          <w:sz w:val="24"/>
          <w:szCs w:val="24"/>
        </w:rPr>
        <w:t> 2013; </w:t>
      </w:r>
      <w:r w:rsidRPr="007F2E63">
        <w:rPr>
          <w:rFonts w:ascii="Book Antiqua" w:hAnsi="Book Antiqua"/>
          <w:b/>
          <w:bCs/>
          <w:color w:val="000000" w:themeColor="text1"/>
          <w:sz w:val="24"/>
          <w:szCs w:val="24"/>
        </w:rPr>
        <w:t>86</w:t>
      </w:r>
      <w:r w:rsidRPr="007F2E63">
        <w:rPr>
          <w:rFonts w:ascii="Book Antiqua" w:hAnsi="Book Antiqua"/>
          <w:color w:val="000000" w:themeColor="text1"/>
          <w:sz w:val="24"/>
          <w:szCs w:val="24"/>
        </w:rPr>
        <w:t>: 836-843 [PMID: 23876342 DOI: 10.1016/j.bcp.2013.07.006]</w:t>
      </w:r>
    </w:p>
    <w:p w14:paraId="16301E0D"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11 </w:t>
      </w:r>
      <w:r w:rsidRPr="007F2E63">
        <w:rPr>
          <w:rFonts w:ascii="Book Antiqua" w:hAnsi="Book Antiqua"/>
          <w:b/>
          <w:bCs/>
          <w:color w:val="000000" w:themeColor="text1"/>
          <w:sz w:val="24"/>
          <w:szCs w:val="24"/>
        </w:rPr>
        <w:t>Gordon S</w:t>
      </w:r>
      <w:r w:rsidRPr="007F2E63">
        <w:rPr>
          <w:rFonts w:ascii="Book Antiqua" w:hAnsi="Book Antiqua"/>
          <w:color w:val="000000" w:themeColor="text1"/>
          <w:sz w:val="24"/>
          <w:szCs w:val="24"/>
        </w:rPr>
        <w:t>. Alternative activation of macrophages. </w:t>
      </w:r>
      <w:r w:rsidRPr="007F2E63">
        <w:rPr>
          <w:rFonts w:ascii="Book Antiqua" w:hAnsi="Book Antiqua"/>
          <w:i/>
          <w:iCs/>
          <w:color w:val="000000" w:themeColor="text1"/>
          <w:sz w:val="24"/>
          <w:szCs w:val="24"/>
        </w:rPr>
        <w:t>Nat Rev Immunol</w:t>
      </w:r>
      <w:r w:rsidRPr="007F2E63">
        <w:rPr>
          <w:rFonts w:ascii="Book Antiqua" w:hAnsi="Book Antiqua"/>
          <w:color w:val="000000" w:themeColor="text1"/>
          <w:sz w:val="24"/>
          <w:szCs w:val="24"/>
        </w:rPr>
        <w:t> 2003; </w:t>
      </w:r>
      <w:r w:rsidRPr="007F2E63">
        <w:rPr>
          <w:rFonts w:ascii="Book Antiqua" w:hAnsi="Book Antiqua"/>
          <w:b/>
          <w:bCs/>
          <w:color w:val="000000" w:themeColor="text1"/>
          <w:sz w:val="24"/>
          <w:szCs w:val="24"/>
        </w:rPr>
        <w:t>3</w:t>
      </w:r>
      <w:r w:rsidRPr="007F2E63">
        <w:rPr>
          <w:rFonts w:ascii="Book Antiqua" w:hAnsi="Book Antiqua"/>
          <w:color w:val="000000" w:themeColor="text1"/>
          <w:sz w:val="24"/>
          <w:szCs w:val="24"/>
        </w:rPr>
        <w:t>: 23-35 [PMID: 12511873 DOI: 10.1038/nri978]</w:t>
      </w:r>
    </w:p>
    <w:p w14:paraId="4EFDA693"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12 </w:t>
      </w:r>
      <w:r w:rsidRPr="007F2E63">
        <w:rPr>
          <w:rFonts w:ascii="Book Antiqua" w:hAnsi="Book Antiqua"/>
          <w:b/>
          <w:bCs/>
          <w:color w:val="000000" w:themeColor="text1"/>
          <w:sz w:val="24"/>
          <w:szCs w:val="24"/>
        </w:rPr>
        <w:t>Rauh MJ</w:t>
      </w:r>
      <w:r w:rsidRPr="007F2E63">
        <w:rPr>
          <w:rFonts w:ascii="Book Antiqua" w:hAnsi="Book Antiqua"/>
          <w:color w:val="000000" w:themeColor="text1"/>
          <w:sz w:val="24"/>
          <w:szCs w:val="24"/>
        </w:rPr>
        <w:t>, Ho V, Pereira C, Sham A, Sly LM, Lam V, Huxham L, Minchinton AI, Mui A, Krystal G. SHIP represses the generation of alternatively activated macrophages. </w:t>
      </w:r>
      <w:r w:rsidRPr="007F2E63">
        <w:rPr>
          <w:rFonts w:ascii="Book Antiqua" w:hAnsi="Book Antiqua"/>
          <w:i/>
          <w:iCs/>
          <w:color w:val="000000" w:themeColor="text1"/>
          <w:sz w:val="24"/>
          <w:szCs w:val="24"/>
        </w:rPr>
        <w:t>Immunity</w:t>
      </w:r>
      <w:r w:rsidRPr="007F2E63">
        <w:rPr>
          <w:rFonts w:ascii="Book Antiqua" w:hAnsi="Book Antiqua"/>
          <w:color w:val="000000" w:themeColor="text1"/>
          <w:sz w:val="24"/>
          <w:szCs w:val="24"/>
        </w:rPr>
        <w:t> 2005; </w:t>
      </w:r>
      <w:r w:rsidRPr="007F2E63">
        <w:rPr>
          <w:rFonts w:ascii="Book Antiqua" w:hAnsi="Book Antiqua"/>
          <w:b/>
          <w:bCs/>
          <w:color w:val="000000" w:themeColor="text1"/>
          <w:sz w:val="24"/>
          <w:szCs w:val="24"/>
        </w:rPr>
        <w:t>23</w:t>
      </w:r>
      <w:r w:rsidRPr="007F2E63">
        <w:rPr>
          <w:rFonts w:ascii="Book Antiqua" w:hAnsi="Book Antiqua"/>
          <w:color w:val="000000" w:themeColor="text1"/>
          <w:sz w:val="24"/>
          <w:szCs w:val="24"/>
        </w:rPr>
        <w:t>: 361-374 [PMID: 16226502 DOI: 10.1016/j.immuni.2005.09.003]</w:t>
      </w:r>
    </w:p>
    <w:p w14:paraId="73EC24AC"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13 </w:t>
      </w:r>
      <w:r w:rsidRPr="007F2E63">
        <w:rPr>
          <w:rFonts w:ascii="Book Antiqua" w:hAnsi="Book Antiqua"/>
          <w:b/>
          <w:bCs/>
          <w:color w:val="000000" w:themeColor="text1"/>
          <w:sz w:val="24"/>
          <w:szCs w:val="24"/>
        </w:rPr>
        <w:t>Anderson CF</w:t>
      </w:r>
      <w:r w:rsidRPr="007F2E63">
        <w:rPr>
          <w:rFonts w:ascii="Book Antiqua" w:hAnsi="Book Antiqua"/>
          <w:color w:val="000000" w:themeColor="text1"/>
          <w:sz w:val="24"/>
          <w:szCs w:val="24"/>
        </w:rPr>
        <w:t>, Mosser DM. A novel phenotype for an activated macrophage: the type 2 activated macrophage. </w:t>
      </w:r>
      <w:r w:rsidRPr="007F2E63">
        <w:rPr>
          <w:rFonts w:ascii="Book Antiqua" w:hAnsi="Book Antiqua"/>
          <w:i/>
          <w:iCs/>
          <w:color w:val="000000" w:themeColor="text1"/>
          <w:sz w:val="24"/>
          <w:szCs w:val="24"/>
        </w:rPr>
        <w:t>J Leukoc Biol</w:t>
      </w:r>
      <w:r w:rsidRPr="007F2E63">
        <w:rPr>
          <w:rFonts w:ascii="Book Antiqua" w:hAnsi="Book Antiqua"/>
          <w:color w:val="000000" w:themeColor="text1"/>
          <w:sz w:val="24"/>
          <w:szCs w:val="24"/>
        </w:rPr>
        <w:t> 2002; </w:t>
      </w:r>
      <w:r w:rsidRPr="007F2E63">
        <w:rPr>
          <w:rFonts w:ascii="Book Antiqua" w:hAnsi="Book Antiqua"/>
          <w:b/>
          <w:bCs/>
          <w:color w:val="000000" w:themeColor="text1"/>
          <w:sz w:val="24"/>
          <w:szCs w:val="24"/>
        </w:rPr>
        <w:t>72</w:t>
      </w:r>
      <w:r w:rsidRPr="007F2E63">
        <w:rPr>
          <w:rFonts w:ascii="Book Antiqua" w:hAnsi="Book Antiqua"/>
          <w:color w:val="000000" w:themeColor="text1"/>
          <w:sz w:val="24"/>
          <w:szCs w:val="24"/>
        </w:rPr>
        <w:t>: 101-106 [PMID: 12101268]</w:t>
      </w:r>
    </w:p>
    <w:p w14:paraId="4547E16E"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14 </w:t>
      </w:r>
      <w:r w:rsidRPr="007F2E63">
        <w:rPr>
          <w:rFonts w:ascii="Book Antiqua" w:hAnsi="Book Antiqua"/>
          <w:b/>
          <w:bCs/>
          <w:color w:val="000000" w:themeColor="text1"/>
          <w:sz w:val="24"/>
          <w:szCs w:val="24"/>
        </w:rPr>
        <w:t>Arnold L</w:t>
      </w:r>
      <w:r w:rsidRPr="007F2E63">
        <w:rPr>
          <w:rFonts w:ascii="Book Antiqua" w:hAnsi="Book Antiqua"/>
          <w:color w:val="000000" w:themeColor="text1"/>
          <w:sz w:val="24"/>
          <w:szCs w:val="24"/>
        </w:rPr>
        <w:t>, Henry A, Poron F, Baba-Amer Y, van Rooijen N, Plonquet A, Gherardi RK, Chazaud B. Inflammatory monocytes recruited after skeletal muscle injury switch into antiinflammatory macrophages to support myogenesis. </w:t>
      </w:r>
      <w:r w:rsidRPr="007F2E63">
        <w:rPr>
          <w:rFonts w:ascii="Book Antiqua" w:hAnsi="Book Antiqua"/>
          <w:i/>
          <w:iCs/>
          <w:color w:val="000000" w:themeColor="text1"/>
          <w:sz w:val="24"/>
          <w:szCs w:val="24"/>
        </w:rPr>
        <w:t>J Exp Med</w:t>
      </w:r>
      <w:r w:rsidRPr="007F2E63">
        <w:rPr>
          <w:rFonts w:ascii="Book Antiqua" w:hAnsi="Book Antiqua"/>
          <w:color w:val="000000" w:themeColor="text1"/>
          <w:sz w:val="24"/>
          <w:szCs w:val="24"/>
        </w:rPr>
        <w:t> 2007; </w:t>
      </w:r>
      <w:r w:rsidRPr="007F2E63">
        <w:rPr>
          <w:rFonts w:ascii="Book Antiqua" w:hAnsi="Book Antiqua"/>
          <w:b/>
          <w:bCs/>
          <w:color w:val="000000" w:themeColor="text1"/>
          <w:sz w:val="24"/>
          <w:szCs w:val="24"/>
        </w:rPr>
        <w:t>204</w:t>
      </w:r>
      <w:r w:rsidRPr="007F2E63">
        <w:rPr>
          <w:rFonts w:ascii="Book Antiqua" w:hAnsi="Book Antiqua"/>
          <w:color w:val="000000" w:themeColor="text1"/>
          <w:sz w:val="24"/>
          <w:szCs w:val="24"/>
        </w:rPr>
        <w:t>: 1057-1069 [PMID: 17485518 DOI: 10.1084/jem.20070075]</w:t>
      </w:r>
    </w:p>
    <w:p w14:paraId="71A0180B"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15 </w:t>
      </w:r>
      <w:r w:rsidRPr="007F2E63">
        <w:rPr>
          <w:rFonts w:ascii="Book Antiqua" w:hAnsi="Book Antiqua"/>
          <w:b/>
          <w:bCs/>
          <w:color w:val="000000" w:themeColor="text1"/>
          <w:sz w:val="24"/>
          <w:szCs w:val="24"/>
        </w:rPr>
        <w:t>Moestrup SK</w:t>
      </w:r>
      <w:r w:rsidRPr="007F2E63">
        <w:rPr>
          <w:rFonts w:ascii="Book Antiqua" w:hAnsi="Book Antiqua"/>
          <w:color w:val="000000" w:themeColor="text1"/>
          <w:sz w:val="24"/>
          <w:szCs w:val="24"/>
        </w:rPr>
        <w:t>, Møller HJ. CD163: a regulated hemoglobin scavenger receptor with a role in the anti-inflammatory response. </w:t>
      </w:r>
      <w:r w:rsidRPr="007F2E63">
        <w:rPr>
          <w:rFonts w:ascii="Book Antiqua" w:hAnsi="Book Antiqua"/>
          <w:i/>
          <w:iCs/>
          <w:color w:val="000000" w:themeColor="text1"/>
          <w:sz w:val="24"/>
          <w:szCs w:val="24"/>
        </w:rPr>
        <w:t>Ann Med</w:t>
      </w:r>
      <w:r w:rsidRPr="007F2E63">
        <w:rPr>
          <w:rFonts w:ascii="Book Antiqua" w:hAnsi="Book Antiqua"/>
          <w:color w:val="000000" w:themeColor="text1"/>
          <w:sz w:val="24"/>
          <w:szCs w:val="24"/>
        </w:rPr>
        <w:t> 2004; </w:t>
      </w:r>
      <w:r w:rsidRPr="007F2E63">
        <w:rPr>
          <w:rFonts w:ascii="Book Antiqua" w:hAnsi="Book Antiqua"/>
          <w:b/>
          <w:bCs/>
          <w:color w:val="000000" w:themeColor="text1"/>
          <w:sz w:val="24"/>
          <w:szCs w:val="24"/>
        </w:rPr>
        <w:t>36</w:t>
      </w:r>
      <w:r w:rsidRPr="007F2E63">
        <w:rPr>
          <w:rFonts w:ascii="Book Antiqua" w:hAnsi="Book Antiqua"/>
          <w:color w:val="000000" w:themeColor="text1"/>
          <w:sz w:val="24"/>
          <w:szCs w:val="24"/>
        </w:rPr>
        <w:t>: 347-354 [PMID: 15478309]</w:t>
      </w:r>
    </w:p>
    <w:p w14:paraId="25C74B18"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16 </w:t>
      </w:r>
      <w:r w:rsidRPr="007F2E63">
        <w:rPr>
          <w:rFonts w:ascii="Book Antiqua" w:hAnsi="Book Antiqua"/>
          <w:b/>
          <w:bCs/>
          <w:color w:val="000000" w:themeColor="text1"/>
          <w:sz w:val="24"/>
          <w:szCs w:val="24"/>
        </w:rPr>
        <w:t>Labonte AC</w:t>
      </w:r>
      <w:r w:rsidRPr="007F2E63">
        <w:rPr>
          <w:rFonts w:ascii="Book Antiqua" w:hAnsi="Book Antiqua"/>
          <w:color w:val="000000" w:themeColor="text1"/>
          <w:sz w:val="24"/>
          <w:szCs w:val="24"/>
        </w:rPr>
        <w:t>, Sung SJ, Jennelle LT, Dandekar AP, Hahn YS. Expression of scavenger receptor-AI promotes alternative activation of murine macrophages to limit hepatic inflammation and fibrosis.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 2017; </w:t>
      </w:r>
      <w:r w:rsidRPr="007F2E63">
        <w:rPr>
          <w:rFonts w:ascii="Book Antiqua" w:hAnsi="Book Antiqua"/>
          <w:b/>
          <w:bCs/>
          <w:color w:val="000000" w:themeColor="text1"/>
          <w:sz w:val="24"/>
          <w:szCs w:val="24"/>
        </w:rPr>
        <w:t>65</w:t>
      </w:r>
      <w:r w:rsidRPr="007F2E63">
        <w:rPr>
          <w:rFonts w:ascii="Book Antiqua" w:hAnsi="Book Antiqua"/>
          <w:color w:val="000000" w:themeColor="text1"/>
          <w:sz w:val="24"/>
          <w:szCs w:val="24"/>
        </w:rPr>
        <w:t>: 32-43 [PMID: 27770558 DOI: 10.1002/hep.28873]</w:t>
      </w:r>
    </w:p>
    <w:p w14:paraId="69989D2D"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17 </w:t>
      </w:r>
      <w:r w:rsidRPr="007F2E63">
        <w:rPr>
          <w:rFonts w:ascii="Book Antiqua" w:hAnsi="Book Antiqua"/>
          <w:b/>
          <w:bCs/>
          <w:color w:val="000000" w:themeColor="text1"/>
          <w:sz w:val="24"/>
          <w:szCs w:val="24"/>
        </w:rPr>
        <w:t>Carpino G</w:t>
      </w:r>
      <w:r w:rsidRPr="007F2E63">
        <w:rPr>
          <w:rFonts w:ascii="Book Antiqua" w:hAnsi="Book Antiqua"/>
          <w:color w:val="000000" w:themeColor="text1"/>
          <w:sz w:val="24"/>
          <w:szCs w:val="24"/>
        </w:rPr>
        <w:t xml:space="preserve">, Nobili V, Renzi A, De Stefanis C, Stronati L, Franchitto A, Alisi </w:t>
      </w:r>
      <w:r w:rsidRPr="007F2E63">
        <w:rPr>
          <w:rFonts w:ascii="Book Antiqua" w:hAnsi="Book Antiqua"/>
          <w:color w:val="000000" w:themeColor="text1"/>
          <w:sz w:val="24"/>
          <w:szCs w:val="24"/>
        </w:rPr>
        <w:lastRenderedPageBreak/>
        <w:t>A, Onori P, De Vito R, Alpini G, Gaudio E. Macrophage Activation in Pediatric Nonalcoholic Fatty Liver Disease (NAFLD) Correlates with Hepatic Progenitor Cell Response via Wnt3a Pathway. </w:t>
      </w:r>
      <w:r w:rsidRPr="007F2E63">
        <w:rPr>
          <w:rFonts w:ascii="Book Antiqua" w:hAnsi="Book Antiqua"/>
          <w:i/>
          <w:iCs/>
          <w:color w:val="000000" w:themeColor="text1"/>
          <w:sz w:val="24"/>
          <w:szCs w:val="24"/>
        </w:rPr>
        <w:t>PLoS One</w:t>
      </w:r>
      <w:r w:rsidRPr="007F2E63">
        <w:rPr>
          <w:rFonts w:ascii="Book Antiqua" w:hAnsi="Book Antiqua"/>
          <w:color w:val="000000" w:themeColor="text1"/>
          <w:sz w:val="24"/>
          <w:szCs w:val="24"/>
        </w:rPr>
        <w:t> 2016; </w:t>
      </w:r>
      <w:r w:rsidRPr="007F2E63">
        <w:rPr>
          <w:rFonts w:ascii="Book Antiqua" w:hAnsi="Book Antiqua"/>
          <w:b/>
          <w:bCs/>
          <w:color w:val="000000" w:themeColor="text1"/>
          <w:sz w:val="24"/>
          <w:szCs w:val="24"/>
        </w:rPr>
        <w:t>11</w:t>
      </w:r>
      <w:r w:rsidRPr="007F2E63">
        <w:rPr>
          <w:rFonts w:ascii="Book Antiqua" w:hAnsi="Book Antiqua"/>
          <w:color w:val="000000" w:themeColor="text1"/>
          <w:sz w:val="24"/>
          <w:szCs w:val="24"/>
        </w:rPr>
        <w:t>: e0157246 [PMID: 27310371 DOI: 10.1371/journal.pone.0157246]</w:t>
      </w:r>
    </w:p>
    <w:p w14:paraId="1ED2AFCD"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18 </w:t>
      </w:r>
      <w:r w:rsidRPr="007F2E63">
        <w:rPr>
          <w:rFonts w:ascii="Book Antiqua" w:hAnsi="Book Antiqua"/>
          <w:b/>
          <w:bCs/>
          <w:color w:val="000000" w:themeColor="text1"/>
          <w:sz w:val="24"/>
          <w:szCs w:val="24"/>
        </w:rPr>
        <w:t>Mu Y</w:t>
      </w:r>
      <w:r w:rsidRPr="007F2E63">
        <w:rPr>
          <w:rFonts w:ascii="Book Antiqua" w:hAnsi="Book Antiqua"/>
          <w:color w:val="000000" w:themeColor="text1"/>
          <w:sz w:val="24"/>
          <w:szCs w:val="24"/>
        </w:rPr>
        <w:t>, Liu P, Du G, Du J, Wang G, Long A, Wang L, Li F. Action mechanism of Yi Guan Jian Decoction on CCl4 induced cirrhosis in rats. </w:t>
      </w:r>
      <w:r w:rsidRPr="007F2E63">
        <w:rPr>
          <w:rFonts w:ascii="Book Antiqua" w:hAnsi="Book Antiqua"/>
          <w:i/>
          <w:iCs/>
          <w:color w:val="000000" w:themeColor="text1"/>
          <w:sz w:val="24"/>
          <w:szCs w:val="24"/>
        </w:rPr>
        <w:t>J Ethnopharmacol</w:t>
      </w:r>
      <w:r w:rsidRPr="007F2E63">
        <w:rPr>
          <w:rFonts w:ascii="Book Antiqua" w:hAnsi="Book Antiqua"/>
          <w:color w:val="000000" w:themeColor="text1"/>
          <w:sz w:val="24"/>
          <w:szCs w:val="24"/>
        </w:rPr>
        <w:t> 2009; </w:t>
      </w:r>
      <w:r w:rsidRPr="007F2E63">
        <w:rPr>
          <w:rFonts w:ascii="Book Antiqua" w:hAnsi="Book Antiqua"/>
          <w:b/>
          <w:bCs/>
          <w:color w:val="000000" w:themeColor="text1"/>
          <w:sz w:val="24"/>
          <w:szCs w:val="24"/>
        </w:rPr>
        <w:t>121</w:t>
      </w:r>
      <w:r w:rsidRPr="007F2E63">
        <w:rPr>
          <w:rFonts w:ascii="Book Antiqua" w:hAnsi="Book Antiqua"/>
          <w:color w:val="000000" w:themeColor="text1"/>
          <w:sz w:val="24"/>
          <w:szCs w:val="24"/>
        </w:rPr>
        <w:t>: 35-42 [PMID: 18996463 DOI: 10.1016/j.jep.2008.09.032]</w:t>
      </w:r>
    </w:p>
    <w:p w14:paraId="13AF06E5"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19 </w:t>
      </w:r>
      <w:r w:rsidRPr="007F2E63">
        <w:rPr>
          <w:rFonts w:ascii="Book Antiqua" w:hAnsi="Book Antiqua"/>
          <w:b/>
          <w:bCs/>
          <w:color w:val="000000" w:themeColor="text1"/>
          <w:sz w:val="24"/>
          <w:szCs w:val="24"/>
        </w:rPr>
        <w:t>Zhou YN</w:t>
      </w:r>
      <w:r w:rsidRPr="007F2E63">
        <w:rPr>
          <w:rFonts w:ascii="Book Antiqua" w:hAnsi="Book Antiqua"/>
          <w:color w:val="000000" w:themeColor="text1"/>
          <w:sz w:val="24"/>
          <w:szCs w:val="24"/>
        </w:rPr>
        <w:t>, Mu YP, Fu WW, Ning BB, Du GL, Chen JM, Sun MY, Zhang H, Hu YY, Liu CH, Xu LM, Liu P. Yiguanjian decoction and its ingredients inhibit angiogenesis in carbon tetrachloride-induced cirrhosis mice. </w:t>
      </w:r>
      <w:r w:rsidRPr="007F2E63">
        <w:rPr>
          <w:rFonts w:ascii="Book Antiqua" w:hAnsi="Book Antiqua"/>
          <w:i/>
          <w:iCs/>
          <w:color w:val="000000" w:themeColor="text1"/>
          <w:sz w:val="24"/>
          <w:szCs w:val="24"/>
        </w:rPr>
        <w:t>BMC Complement Altern Med</w:t>
      </w:r>
      <w:r w:rsidRPr="007F2E63">
        <w:rPr>
          <w:rFonts w:ascii="Book Antiqua" w:hAnsi="Book Antiqua"/>
          <w:color w:val="000000" w:themeColor="text1"/>
          <w:sz w:val="24"/>
          <w:szCs w:val="24"/>
        </w:rPr>
        <w:t> 2015; </w:t>
      </w:r>
      <w:r w:rsidRPr="007F2E63">
        <w:rPr>
          <w:rFonts w:ascii="Book Antiqua" w:hAnsi="Book Antiqua"/>
          <w:b/>
          <w:bCs/>
          <w:color w:val="000000" w:themeColor="text1"/>
          <w:sz w:val="24"/>
          <w:szCs w:val="24"/>
        </w:rPr>
        <w:t>15</w:t>
      </w:r>
      <w:r w:rsidRPr="007F2E63">
        <w:rPr>
          <w:rFonts w:ascii="Book Antiqua" w:hAnsi="Book Antiqua"/>
          <w:color w:val="000000" w:themeColor="text1"/>
          <w:sz w:val="24"/>
          <w:szCs w:val="24"/>
        </w:rPr>
        <w:t>: 342 [PMID: 26427787 DOI: 10.1186/s12906-015-0862-6]</w:t>
      </w:r>
    </w:p>
    <w:p w14:paraId="3CA8343E"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20 </w:t>
      </w:r>
      <w:r w:rsidRPr="007F2E63">
        <w:rPr>
          <w:rFonts w:ascii="Book Antiqua" w:hAnsi="Book Antiqua"/>
          <w:b/>
          <w:bCs/>
          <w:color w:val="000000" w:themeColor="text1"/>
          <w:sz w:val="24"/>
          <w:szCs w:val="24"/>
        </w:rPr>
        <w:t>Wang XL</w:t>
      </w:r>
      <w:r w:rsidRPr="007F2E63">
        <w:rPr>
          <w:rFonts w:ascii="Book Antiqua" w:hAnsi="Book Antiqua"/>
          <w:color w:val="000000" w:themeColor="text1"/>
          <w:sz w:val="24"/>
          <w:szCs w:val="24"/>
        </w:rPr>
        <w:t>, Jia DW, Liu HY, Yan XF, Ye TJ, Hu XD, Li BQ, Chen YL, Liu P. Effect of Yiguanjian decoction on cell differentiation and proliferation in CCl</w:t>
      </w:r>
      <w:r w:rsidRPr="007F2E63">
        <w:rPr>
          <w:rFonts w:eastAsia="Calibri"/>
          <w:color w:val="000000" w:themeColor="text1"/>
          <w:sz w:val="24"/>
          <w:szCs w:val="24"/>
        </w:rPr>
        <w:t>₄</w:t>
      </w:r>
      <w:r w:rsidRPr="007F2E63">
        <w:rPr>
          <w:rFonts w:ascii="Book Antiqua" w:hAnsi="Book Antiqua"/>
          <w:color w:val="000000" w:themeColor="text1"/>
          <w:sz w:val="24"/>
          <w:szCs w:val="24"/>
        </w:rPr>
        <w:t>-treated mice. </w:t>
      </w:r>
      <w:r w:rsidRPr="007F2E63">
        <w:rPr>
          <w:rFonts w:ascii="Book Antiqua" w:hAnsi="Book Antiqua"/>
          <w:i/>
          <w:iCs/>
          <w:color w:val="000000" w:themeColor="text1"/>
          <w:sz w:val="24"/>
          <w:szCs w:val="24"/>
        </w:rPr>
        <w:t>World J Gastroenterol</w:t>
      </w:r>
      <w:r w:rsidRPr="007F2E63">
        <w:rPr>
          <w:rFonts w:ascii="Book Antiqua" w:hAnsi="Book Antiqua"/>
          <w:color w:val="000000" w:themeColor="text1"/>
          <w:sz w:val="24"/>
          <w:szCs w:val="24"/>
        </w:rPr>
        <w:t> 2012; </w:t>
      </w:r>
      <w:r w:rsidRPr="007F2E63">
        <w:rPr>
          <w:rFonts w:ascii="Book Antiqua" w:hAnsi="Book Antiqua"/>
          <w:b/>
          <w:bCs/>
          <w:color w:val="000000" w:themeColor="text1"/>
          <w:sz w:val="24"/>
          <w:szCs w:val="24"/>
        </w:rPr>
        <w:t>18</w:t>
      </w:r>
      <w:r w:rsidRPr="007F2E63">
        <w:rPr>
          <w:rFonts w:ascii="Book Antiqua" w:hAnsi="Book Antiqua"/>
          <w:color w:val="000000" w:themeColor="text1"/>
          <w:sz w:val="24"/>
          <w:szCs w:val="24"/>
        </w:rPr>
        <w:t>: 3235-3249 [PMID: 22783047 DOI: 10.3748/wjg.v18.i25.3235]</w:t>
      </w:r>
    </w:p>
    <w:p w14:paraId="1BE8F914"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21 </w:t>
      </w:r>
      <w:r w:rsidRPr="007F2E63">
        <w:rPr>
          <w:rFonts w:ascii="Book Antiqua" w:hAnsi="Book Antiqua"/>
          <w:b/>
          <w:bCs/>
          <w:color w:val="000000" w:themeColor="text1"/>
          <w:sz w:val="24"/>
          <w:szCs w:val="24"/>
        </w:rPr>
        <w:t>Jensen CH</w:t>
      </w:r>
      <w:r w:rsidRPr="007F2E63">
        <w:rPr>
          <w:rFonts w:ascii="Book Antiqua" w:hAnsi="Book Antiqua"/>
          <w:color w:val="000000" w:themeColor="text1"/>
          <w:sz w:val="24"/>
          <w:szCs w:val="24"/>
        </w:rPr>
        <w:t>, Jauho EI, Santoni-Rugiu E, Holmskov U, Teisner B, Tygstrup N, Bisgaard HC. Transit-amplifying ductular (oval) cells and their hepatocytic progeny are characterized by a novel and distinctive expression of delta-like protein/preadipocyte factor 1/fetal antigen 1. </w:t>
      </w:r>
      <w:r w:rsidRPr="007F2E63">
        <w:rPr>
          <w:rFonts w:ascii="Book Antiqua" w:hAnsi="Book Antiqua"/>
          <w:i/>
          <w:iCs/>
          <w:color w:val="000000" w:themeColor="text1"/>
          <w:sz w:val="24"/>
          <w:szCs w:val="24"/>
        </w:rPr>
        <w:t>Am J Pathol</w:t>
      </w:r>
      <w:r w:rsidRPr="007F2E63">
        <w:rPr>
          <w:rFonts w:ascii="Book Antiqua" w:hAnsi="Book Antiqua"/>
          <w:color w:val="000000" w:themeColor="text1"/>
          <w:sz w:val="24"/>
          <w:szCs w:val="24"/>
        </w:rPr>
        <w:t> 2004; </w:t>
      </w:r>
      <w:r w:rsidRPr="007F2E63">
        <w:rPr>
          <w:rFonts w:ascii="Book Antiqua" w:hAnsi="Book Antiqua"/>
          <w:b/>
          <w:bCs/>
          <w:color w:val="000000" w:themeColor="text1"/>
          <w:sz w:val="24"/>
          <w:szCs w:val="24"/>
        </w:rPr>
        <w:t>164</w:t>
      </w:r>
      <w:r w:rsidRPr="007F2E63">
        <w:rPr>
          <w:rFonts w:ascii="Book Antiqua" w:hAnsi="Book Antiqua"/>
          <w:color w:val="000000" w:themeColor="text1"/>
          <w:sz w:val="24"/>
          <w:szCs w:val="24"/>
        </w:rPr>
        <w:t>: 1347-1359 [PMID: 15039222 DOI: 10.1016/s0002-9440(10)63221-x]</w:t>
      </w:r>
    </w:p>
    <w:p w14:paraId="53A843D7"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22 </w:t>
      </w:r>
      <w:r w:rsidRPr="007F2E63">
        <w:rPr>
          <w:rFonts w:ascii="Book Antiqua" w:hAnsi="Book Antiqua"/>
          <w:b/>
          <w:bCs/>
          <w:color w:val="000000" w:themeColor="text1"/>
          <w:sz w:val="24"/>
          <w:szCs w:val="24"/>
        </w:rPr>
        <w:t>Zhang X</w:t>
      </w:r>
      <w:r w:rsidRPr="007F2E63">
        <w:rPr>
          <w:rFonts w:ascii="Book Antiqua" w:hAnsi="Book Antiqua"/>
          <w:color w:val="000000" w:themeColor="text1"/>
          <w:sz w:val="24"/>
          <w:szCs w:val="24"/>
        </w:rPr>
        <w:t>, Du G, Xu Y, Li X, Fan W, Chen J, Liu C, Chen G, Liu C, Zern MA, Mu Y, Liu P. Inhibition of notch signaling pathway prevents cholestatic liver fibrosis by decreasing the differentiation of hepatic progenitor cells into cholangiocytes. </w:t>
      </w:r>
      <w:r w:rsidRPr="007F2E63">
        <w:rPr>
          <w:rFonts w:ascii="Book Antiqua" w:hAnsi="Book Antiqua"/>
          <w:i/>
          <w:iCs/>
          <w:color w:val="000000" w:themeColor="text1"/>
          <w:sz w:val="24"/>
          <w:szCs w:val="24"/>
        </w:rPr>
        <w:t>Lab Invest</w:t>
      </w:r>
      <w:r w:rsidRPr="007F2E63">
        <w:rPr>
          <w:rFonts w:ascii="Book Antiqua" w:hAnsi="Book Antiqua"/>
          <w:color w:val="000000" w:themeColor="text1"/>
          <w:sz w:val="24"/>
          <w:szCs w:val="24"/>
        </w:rPr>
        <w:t> 2016; </w:t>
      </w:r>
      <w:r w:rsidRPr="007F2E63">
        <w:rPr>
          <w:rFonts w:ascii="Book Antiqua" w:hAnsi="Book Antiqua"/>
          <w:b/>
          <w:bCs/>
          <w:color w:val="000000" w:themeColor="text1"/>
          <w:sz w:val="24"/>
          <w:szCs w:val="24"/>
        </w:rPr>
        <w:t>96</w:t>
      </w:r>
      <w:r w:rsidRPr="007F2E63">
        <w:rPr>
          <w:rFonts w:ascii="Book Antiqua" w:hAnsi="Book Antiqua"/>
          <w:color w:val="000000" w:themeColor="text1"/>
          <w:sz w:val="24"/>
          <w:szCs w:val="24"/>
        </w:rPr>
        <w:t>: 350-360 [PMID: 26692291 DOI: 10.1038/labinvest.2015.149]</w:t>
      </w:r>
    </w:p>
    <w:p w14:paraId="793F6532"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23 </w:t>
      </w:r>
      <w:r w:rsidRPr="007F2E63">
        <w:rPr>
          <w:rFonts w:ascii="Book Antiqua" w:hAnsi="Book Antiqua"/>
          <w:b/>
          <w:bCs/>
          <w:color w:val="000000" w:themeColor="text1"/>
          <w:sz w:val="24"/>
          <w:szCs w:val="24"/>
        </w:rPr>
        <w:t>Tsao MS</w:t>
      </w:r>
      <w:r w:rsidRPr="007F2E63">
        <w:rPr>
          <w:rFonts w:ascii="Book Antiqua" w:hAnsi="Book Antiqua"/>
          <w:color w:val="000000" w:themeColor="text1"/>
          <w:sz w:val="24"/>
          <w:szCs w:val="24"/>
        </w:rPr>
        <w:t>, Smith JD, Nelson KG, Grisham JW. A diploid epithelial cell line from normal adult rat liver with phenotypic properties of 'oval' cells. </w:t>
      </w:r>
      <w:r w:rsidRPr="007F2E63">
        <w:rPr>
          <w:rFonts w:ascii="Book Antiqua" w:hAnsi="Book Antiqua"/>
          <w:i/>
          <w:iCs/>
          <w:color w:val="000000" w:themeColor="text1"/>
          <w:sz w:val="24"/>
          <w:szCs w:val="24"/>
        </w:rPr>
        <w:t>Exp Cell Res</w:t>
      </w:r>
      <w:r w:rsidRPr="007F2E63">
        <w:rPr>
          <w:rFonts w:ascii="Book Antiqua" w:hAnsi="Book Antiqua"/>
          <w:color w:val="000000" w:themeColor="text1"/>
          <w:sz w:val="24"/>
          <w:szCs w:val="24"/>
        </w:rPr>
        <w:t> 1984; </w:t>
      </w:r>
      <w:r w:rsidRPr="007F2E63">
        <w:rPr>
          <w:rFonts w:ascii="Book Antiqua" w:hAnsi="Book Antiqua"/>
          <w:b/>
          <w:bCs/>
          <w:color w:val="000000" w:themeColor="text1"/>
          <w:sz w:val="24"/>
          <w:szCs w:val="24"/>
        </w:rPr>
        <w:t>154</w:t>
      </w:r>
      <w:r w:rsidRPr="007F2E63">
        <w:rPr>
          <w:rFonts w:ascii="Book Antiqua" w:hAnsi="Book Antiqua"/>
          <w:color w:val="000000" w:themeColor="text1"/>
          <w:sz w:val="24"/>
          <w:szCs w:val="24"/>
        </w:rPr>
        <w:t>: 38-52 [PMID: 6468534]</w:t>
      </w:r>
    </w:p>
    <w:p w14:paraId="101A240E" w14:textId="690A3690"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24 </w:t>
      </w:r>
      <w:r w:rsidRPr="007F2E63">
        <w:rPr>
          <w:rFonts w:ascii="Book Antiqua" w:hAnsi="Book Antiqua"/>
          <w:b/>
          <w:bCs/>
          <w:color w:val="000000" w:themeColor="text1"/>
          <w:sz w:val="24"/>
          <w:szCs w:val="24"/>
        </w:rPr>
        <w:t>Ploeger DT</w:t>
      </w:r>
      <w:r w:rsidRPr="007F2E63">
        <w:rPr>
          <w:rFonts w:ascii="Book Antiqua" w:hAnsi="Book Antiqua"/>
          <w:color w:val="000000" w:themeColor="text1"/>
          <w:sz w:val="24"/>
          <w:szCs w:val="24"/>
        </w:rPr>
        <w:t xml:space="preserve">, Hosper NA, Schipper M, Koerts JA, de Rond S, Bank RA. Cell </w:t>
      </w:r>
      <w:r w:rsidRPr="007F2E63">
        <w:rPr>
          <w:rFonts w:ascii="Book Antiqua" w:hAnsi="Book Antiqua"/>
          <w:color w:val="000000" w:themeColor="text1"/>
          <w:sz w:val="24"/>
          <w:szCs w:val="24"/>
        </w:rPr>
        <w:lastRenderedPageBreak/>
        <w:t>plasticity in wound healing: paracrine factors of M1/ M2 polarized macrophages influence the phenotypical state of dermal fibroblasts. </w:t>
      </w:r>
      <w:r w:rsidRPr="007F2E63">
        <w:rPr>
          <w:rFonts w:ascii="Book Antiqua" w:hAnsi="Book Antiqua"/>
          <w:i/>
          <w:iCs/>
          <w:color w:val="000000" w:themeColor="text1"/>
          <w:sz w:val="24"/>
          <w:szCs w:val="24"/>
        </w:rPr>
        <w:t>Cell Commun Signal</w:t>
      </w:r>
      <w:r w:rsidRPr="007F2E63">
        <w:rPr>
          <w:rFonts w:ascii="Book Antiqua" w:hAnsi="Book Antiqua"/>
          <w:color w:val="000000" w:themeColor="text1"/>
          <w:sz w:val="24"/>
          <w:szCs w:val="24"/>
        </w:rPr>
        <w:t>2013; </w:t>
      </w:r>
      <w:r w:rsidRPr="007F2E63">
        <w:rPr>
          <w:rFonts w:ascii="Book Antiqua" w:hAnsi="Book Antiqua"/>
          <w:b/>
          <w:bCs/>
          <w:color w:val="000000" w:themeColor="text1"/>
          <w:sz w:val="24"/>
          <w:szCs w:val="24"/>
        </w:rPr>
        <w:t>11</w:t>
      </w:r>
      <w:r w:rsidRPr="007F2E63">
        <w:rPr>
          <w:rFonts w:ascii="Book Antiqua" w:hAnsi="Book Antiqua"/>
          <w:color w:val="000000" w:themeColor="text1"/>
          <w:sz w:val="24"/>
          <w:szCs w:val="24"/>
        </w:rPr>
        <w:t>: 29 [PMID: 23601247 DOI: 10.1186/1478-811X-11-29]</w:t>
      </w:r>
    </w:p>
    <w:p w14:paraId="55E5EE59"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25 </w:t>
      </w:r>
      <w:r w:rsidRPr="007F2E63">
        <w:rPr>
          <w:rFonts w:ascii="Book Antiqua" w:hAnsi="Book Antiqua"/>
          <w:b/>
          <w:bCs/>
          <w:color w:val="000000" w:themeColor="text1"/>
          <w:sz w:val="24"/>
          <w:szCs w:val="24"/>
        </w:rPr>
        <w:t>Yovchev MI</w:t>
      </w:r>
      <w:r w:rsidRPr="007F2E63">
        <w:rPr>
          <w:rFonts w:ascii="Book Antiqua" w:hAnsi="Book Antiqua"/>
          <w:color w:val="000000" w:themeColor="text1"/>
          <w:sz w:val="24"/>
          <w:szCs w:val="24"/>
        </w:rPr>
        <w:t>, Oertel M. Fetal Liver Stem/Progenitor Cell Transplantation: A Model to Study Tissue Mass Replacement and Cell-Based Therapies. </w:t>
      </w:r>
      <w:r w:rsidRPr="007F2E63">
        <w:rPr>
          <w:rFonts w:ascii="Book Antiqua" w:hAnsi="Book Antiqua"/>
          <w:i/>
          <w:iCs/>
          <w:color w:val="000000" w:themeColor="text1"/>
          <w:sz w:val="24"/>
          <w:szCs w:val="24"/>
        </w:rPr>
        <w:t>Methods Mol Biol</w:t>
      </w:r>
      <w:r w:rsidRPr="007F2E63">
        <w:rPr>
          <w:rFonts w:ascii="Book Antiqua" w:hAnsi="Book Antiqua"/>
          <w:color w:val="000000" w:themeColor="text1"/>
          <w:sz w:val="24"/>
          <w:szCs w:val="24"/>
        </w:rPr>
        <w:t> 2017; </w:t>
      </w:r>
      <w:r w:rsidRPr="007F2E63">
        <w:rPr>
          <w:rFonts w:ascii="Book Antiqua" w:hAnsi="Book Antiqua"/>
          <w:b/>
          <w:bCs/>
          <w:color w:val="000000" w:themeColor="text1"/>
          <w:sz w:val="24"/>
          <w:szCs w:val="24"/>
        </w:rPr>
        <w:t>1506</w:t>
      </w:r>
      <w:r w:rsidRPr="007F2E63">
        <w:rPr>
          <w:rFonts w:ascii="Book Antiqua" w:hAnsi="Book Antiqua"/>
          <w:color w:val="000000" w:themeColor="text1"/>
          <w:sz w:val="24"/>
          <w:szCs w:val="24"/>
        </w:rPr>
        <w:t>: 101-115 [PMID: 27830548 DOI: 10.1007/978-1-4939-6506-9_7]</w:t>
      </w:r>
    </w:p>
    <w:p w14:paraId="70F5AE30"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26 </w:t>
      </w:r>
      <w:r w:rsidRPr="007F2E63">
        <w:rPr>
          <w:rFonts w:ascii="Book Antiqua" w:hAnsi="Book Antiqua"/>
          <w:b/>
          <w:bCs/>
          <w:color w:val="000000" w:themeColor="text1"/>
          <w:sz w:val="24"/>
          <w:szCs w:val="24"/>
        </w:rPr>
        <w:t>Roderfeld M</w:t>
      </w:r>
      <w:r w:rsidRPr="007F2E63">
        <w:rPr>
          <w:rFonts w:ascii="Book Antiqua" w:hAnsi="Book Antiqua"/>
          <w:color w:val="000000" w:themeColor="text1"/>
          <w:sz w:val="24"/>
          <w:szCs w:val="24"/>
        </w:rPr>
        <w:t>, Rath T, Voswinckel R, Dierkes C, Dietrich H, Zahner D, Graf J, Roeb E. Bone marrow transplantation demonstrates medullar origin of CD34+ fibrocytes and ameliorates hepatic fibrosis in Abcb4-/- mice.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2010; </w:t>
      </w:r>
      <w:r w:rsidRPr="007F2E63">
        <w:rPr>
          <w:rFonts w:ascii="Book Antiqua" w:hAnsi="Book Antiqua"/>
          <w:b/>
          <w:bCs/>
          <w:color w:val="000000" w:themeColor="text1"/>
          <w:sz w:val="24"/>
          <w:szCs w:val="24"/>
        </w:rPr>
        <w:t>51</w:t>
      </w:r>
      <w:r w:rsidRPr="007F2E63">
        <w:rPr>
          <w:rFonts w:ascii="Book Antiqua" w:hAnsi="Book Antiqua"/>
          <w:color w:val="000000" w:themeColor="text1"/>
          <w:sz w:val="24"/>
          <w:szCs w:val="24"/>
        </w:rPr>
        <w:t>: 267-276 [PMID: 19827165 DOI: 10.1002/hep.23274]</w:t>
      </w:r>
    </w:p>
    <w:p w14:paraId="1C2849D2"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27 </w:t>
      </w:r>
      <w:r w:rsidRPr="007F2E63">
        <w:rPr>
          <w:rFonts w:ascii="Book Antiqua" w:hAnsi="Book Antiqua"/>
          <w:b/>
          <w:bCs/>
          <w:color w:val="000000" w:themeColor="text1"/>
          <w:sz w:val="24"/>
          <w:szCs w:val="24"/>
        </w:rPr>
        <w:t>van Poll D</w:t>
      </w:r>
      <w:r w:rsidRPr="007F2E63">
        <w:rPr>
          <w:rFonts w:ascii="Book Antiqua" w:hAnsi="Book Antiqua"/>
          <w:color w:val="000000" w:themeColor="text1"/>
          <w:sz w:val="24"/>
          <w:szCs w:val="24"/>
        </w:rPr>
        <w:t>, Parekkadan B, Cho CH, Berthiaume F, Nahmias Y, Tilles AW, Yarmush ML. Mesenchymal stem cell-derived molecules directly modulate hepatocellular death and regeneration in vitro and in vivo.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 2008; </w:t>
      </w:r>
      <w:r w:rsidRPr="007F2E63">
        <w:rPr>
          <w:rFonts w:ascii="Book Antiqua" w:hAnsi="Book Antiqua"/>
          <w:b/>
          <w:bCs/>
          <w:color w:val="000000" w:themeColor="text1"/>
          <w:sz w:val="24"/>
          <w:szCs w:val="24"/>
        </w:rPr>
        <w:t>47</w:t>
      </w:r>
      <w:r w:rsidRPr="007F2E63">
        <w:rPr>
          <w:rFonts w:ascii="Book Antiqua" w:hAnsi="Book Antiqua"/>
          <w:color w:val="000000" w:themeColor="text1"/>
          <w:sz w:val="24"/>
          <w:szCs w:val="24"/>
        </w:rPr>
        <w:t>: 1634-1643 [PMID: 18395843 DOI: 10.1002/hep.22236]</w:t>
      </w:r>
    </w:p>
    <w:p w14:paraId="50A4C3CC"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28 </w:t>
      </w:r>
      <w:r w:rsidRPr="007F2E63">
        <w:rPr>
          <w:rFonts w:ascii="Book Antiqua" w:hAnsi="Book Antiqua"/>
          <w:b/>
          <w:bCs/>
          <w:color w:val="000000" w:themeColor="text1"/>
          <w:sz w:val="24"/>
          <w:szCs w:val="24"/>
        </w:rPr>
        <w:t>Lin BL</w:t>
      </w:r>
      <w:r w:rsidRPr="007F2E63">
        <w:rPr>
          <w:rFonts w:ascii="Book Antiqua" w:hAnsi="Book Antiqua"/>
          <w:color w:val="000000" w:themeColor="text1"/>
          <w:sz w:val="24"/>
          <w:szCs w:val="24"/>
        </w:rPr>
        <w:t>, Chen JF, Qiu WH, Wang KW, Xie DY, Chen XY, Liu QL, Peng L, Li JG, Mei YY, Weng WZ, Peng YW, Cao HJ, Xie JQ, Xie SB, Xiang AP, Gao ZL. Allogeneic bone marrow-derived mesenchymal stromal cells for hepatitis B virus-related acute-on-chronic liver failure: A randomized controlled trial.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 2017; </w:t>
      </w:r>
      <w:r w:rsidRPr="007F2E63">
        <w:rPr>
          <w:rFonts w:ascii="Book Antiqua" w:hAnsi="Book Antiqua"/>
          <w:b/>
          <w:bCs/>
          <w:color w:val="000000" w:themeColor="text1"/>
          <w:sz w:val="24"/>
          <w:szCs w:val="24"/>
        </w:rPr>
        <w:t>66</w:t>
      </w:r>
      <w:r w:rsidRPr="007F2E63">
        <w:rPr>
          <w:rFonts w:ascii="Book Antiqua" w:hAnsi="Book Antiqua"/>
          <w:color w:val="000000" w:themeColor="text1"/>
          <w:sz w:val="24"/>
          <w:szCs w:val="24"/>
        </w:rPr>
        <w:t>: 209-219 [PMID: 28370357 DOI: 10.1002/hep.29189]</w:t>
      </w:r>
    </w:p>
    <w:p w14:paraId="5BF84006"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29 </w:t>
      </w:r>
      <w:r w:rsidRPr="007F2E63">
        <w:rPr>
          <w:rFonts w:ascii="Book Antiqua" w:hAnsi="Book Antiqua"/>
          <w:b/>
          <w:bCs/>
          <w:color w:val="000000" w:themeColor="text1"/>
          <w:sz w:val="24"/>
          <w:szCs w:val="24"/>
        </w:rPr>
        <w:t>di Bonzo LV</w:t>
      </w:r>
      <w:r w:rsidRPr="007F2E63">
        <w:rPr>
          <w:rFonts w:ascii="Book Antiqua" w:hAnsi="Book Antiqua"/>
          <w:color w:val="000000" w:themeColor="text1"/>
          <w:sz w:val="24"/>
          <w:szCs w:val="24"/>
        </w:rPr>
        <w:t>, Ferrero I, Cravanzola C, Mareschi K, Rustichell D, Novo E, Sanavio F, Cannito S, Zamara E, Bertero M, Davit A, Francica S, Novelli F, Colombatto S, Fagioli F, Parola M. Human mesenchymal stem cells as a two-edged sword in hepatic regenerative medicine: engraftment and hepatocyte differentiation versus profibrogenic potential. </w:t>
      </w:r>
      <w:r w:rsidRPr="007F2E63">
        <w:rPr>
          <w:rFonts w:ascii="Book Antiqua" w:hAnsi="Book Antiqua"/>
          <w:i/>
          <w:iCs/>
          <w:color w:val="000000" w:themeColor="text1"/>
          <w:sz w:val="24"/>
          <w:szCs w:val="24"/>
        </w:rPr>
        <w:t>Gut</w:t>
      </w:r>
      <w:r w:rsidRPr="007F2E63">
        <w:rPr>
          <w:rFonts w:ascii="Book Antiqua" w:hAnsi="Book Antiqua"/>
          <w:color w:val="000000" w:themeColor="text1"/>
          <w:sz w:val="24"/>
          <w:szCs w:val="24"/>
        </w:rPr>
        <w:t> 2008; </w:t>
      </w:r>
      <w:r w:rsidRPr="007F2E63">
        <w:rPr>
          <w:rFonts w:ascii="Book Antiqua" w:hAnsi="Book Antiqua"/>
          <w:b/>
          <w:bCs/>
          <w:color w:val="000000" w:themeColor="text1"/>
          <w:sz w:val="24"/>
          <w:szCs w:val="24"/>
        </w:rPr>
        <w:t>57</w:t>
      </w:r>
      <w:r w:rsidRPr="007F2E63">
        <w:rPr>
          <w:rFonts w:ascii="Book Antiqua" w:hAnsi="Book Antiqua"/>
          <w:color w:val="000000" w:themeColor="text1"/>
          <w:sz w:val="24"/>
          <w:szCs w:val="24"/>
        </w:rPr>
        <w:t>: 223-231 [PMID: 17639088 DOI: 10.1136/gut.2006.111617]</w:t>
      </w:r>
    </w:p>
    <w:p w14:paraId="5DBD1AFE"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30 </w:t>
      </w:r>
      <w:r w:rsidRPr="007F2E63">
        <w:rPr>
          <w:rFonts w:ascii="Book Antiqua" w:hAnsi="Book Antiqua"/>
          <w:b/>
          <w:bCs/>
          <w:color w:val="000000" w:themeColor="text1"/>
          <w:sz w:val="24"/>
          <w:szCs w:val="24"/>
        </w:rPr>
        <w:t>Carvalho AB</w:t>
      </w:r>
      <w:r w:rsidRPr="007F2E63">
        <w:rPr>
          <w:rFonts w:ascii="Book Antiqua" w:hAnsi="Book Antiqua"/>
          <w:color w:val="000000" w:themeColor="text1"/>
          <w:sz w:val="24"/>
          <w:szCs w:val="24"/>
        </w:rPr>
        <w:t>, Quintanilha LF, Dias JV, Paredes BD, Mannheimer EG, Carvalho FG, Asensi KD, Gutfilen B, Fonseca LM, Resende CM, Rezende GF, Takiya CM, de Carvalho AC, Goldenberg RC. Bone marrow multipotent mesenchymal stromal cells do not reduce fibrosis or improve function in a rat model of severe chronic liver injury. </w:t>
      </w:r>
      <w:r w:rsidRPr="007F2E63">
        <w:rPr>
          <w:rFonts w:ascii="Book Antiqua" w:hAnsi="Book Antiqua"/>
          <w:i/>
          <w:iCs/>
          <w:color w:val="000000" w:themeColor="text1"/>
          <w:sz w:val="24"/>
          <w:szCs w:val="24"/>
        </w:rPr>
        <w:t>Stem Cells</w:t>
      </w:r>
      <w:r w:rsidRPr="007F2E63">
        <w:rPr>
          <w:rFonts w:ascii="Book Antiqua" w:hAnsi="Book Antiqua"/>
          <w:color w:val="000000" w:themeColor="text1"/>
          <w:sz w:val="24"/>
          <w:szCs w:val="24"/>
        </w:rPr>
        <w:t> 2008; </w:t>
      </w:r>
      <w:r w:rsidRPr="007F2E63">
        <w:rPr>
          <w:rFonts w:ascii="Book Antiqua" w:hAnsi="Book Antiqua"/>
          <w:b/>
          <w:bCs/>
          <w:color w:val="000000" w:themeColor="text1"/>
          <w:sz w:val="24"/>
          <w:szCs w:val="24"/>
        </w:rPr>
        <w:t>26</w:t>
      </w:r>
      <w:r w:rsidRPr="007F2E63">
        <w:rPr>
          <w:rFonts w:ascii="Book Antiqua" w:hAnsi="Book Antiqua"/>
          <w:color w:val="000000" w:themeColor="text1"/>
          <w:sz w:val="24"/>
          <w:szCs w:val="24"/>
        </w:rPr>
        <w:t xml:space="preserve">: 1307-1314 [PMID: </w:t>
      </w:r>
      <w:r w:rsidRPr="007F2E63">
        <w:rPr>
          <w:rFonts w:ascii="Book Antiqua" w:hAnsi="Book Antiqua"/>
          <w:color w:val="000000" w:themeColor="text1"/>
          <w:sz w:val="24"/>
          <w:szCs w:val="24"/>
        </w:rPr>
        <w:lastRenderedPageBreak/>
        <w:t>18308943 DOI: 10.1634/stemcells.2007-0941]</w:t>
      </w:r>
    </w:p>
    <w:p w14:paraId="3AC162EE"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31 </w:t>
      </w:r>
      <w:r w:rsidRPr="007F2E63">
        <w:rPr>
          <w:rFonts w:ascii="Book Antiqua" w:hAnsi="Book Antiqua"/>
          <w:b/>
          <w:bCs/>
          <w:color w:val="000000" w:themeColor="text1"/>
          <w:sz w:val="24"/>
          <w:szCs w:val="24"/>
        </w:rPr>
        <w:t>Oertel M</w:t>
      </w:r>
      <w:r w:rsidRPr="007F2E63">
        <w:rPr>
          <w:rFonts w:ascii="Book Antiqua" w:hAnsi="Book Antiqua"/>
          <w:color w:val="000000" w:themeColor="text1"/>
          <w:sz w:val="24"/>
          <w:szCs w:val="24"/>
        </w:rPr>
        <w:t>, Menthena A, Chen YQ, Teisner B, Jensen CH, Shafritz DA. Purification of fetal liver stem/progenitor cells containing all the repopulation potential for normal adult rat liver. </w:t>
      </w:r>
      <w:r w:rsidRPr="007F2E63">
        <w:rPr>
          <w:rFonts w:ascii="Book Antiqua" w:hAnsi="Book Antiqua"/>
          <w:i/>
          <w:iCs/>
          <w:color w:val="000000" w:themeColor="text1"/>
          <w:sz w:val="24"/>
          <w:szCs w:val="24"/>
        </w:rPr>
        <w:t>Gastroenterology</w:t>
      </w:r>
      <w:r w:rsidRPr="007F2E63">
        <w:rPr>
          <w:rFonts w:ascii="Book Antiqua" w:hAnsi="Book Antiqua"/>
          <w:color w:val="000000" w:themeColor="text1"/>
          <w:sz w:val="24"/>
          <w:szCs w:val="24"/>
        </w:rPr>
        <w:t> 2008; </w:t>
      </w:r>
      <w:r w:rsidRPr="007F2E63">
        <w:rPr>
          <w:rFonts w:ascii="Book Antiqua" w:hAnsi="Book Antiqua"/>
          <w:b/>
          <w:bCs/>
          <w:color w:val="000000" w:themeColor="text1"/>
          <w:sz w:val="24"/>
          <w:szCs w:val="24"/>
        </w:rPr>
        <w:t>134</w:t>
      </w:r>
      <w:r w:rsidRPr="007F2E63">
        <w:rPr>
          <w:rFonts w:ascii="Book Antiqua" w:hAnsi="Book Antiqua"/>
          <w:color w:val="000000" w:themeColor="text1"/>
          <w:sz w:val="24"/>
          <w:szCs w:val="24"/>
        </w:rPr>
        <w:t>: 823-832 [PMID: 18262526 DOI: 10.1053/j.gastro.2008.01.007]</w:t>
      </w:r>
    </w:p>
    <w:p w14:paraId="27FD2A71"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32 </w:t>
      </w:r>
      <w:r w:rsidRPr="007F2E63">
        <w:rPr>
          <w:rFonts w:ascii="Book Antiqua" w:hAnsi="Book Antiqua"/>
          <w:b/>
          <w:bCs/>
          <w:color w:val="000000" w:themeColor="text1"/>
          <w:sz w:val="24"/>
          <w:szCs w:val="24"/>
        </w:rPr>
        <w:t>Meijer C</w:t>
      </w:r>
      <w:r w:rsidRPr="007F2E63">
        <w:rPr>
          <w:rFonts w:ascii="Book Antiqua" w:hAnsi="Book Antiqua"/>
          <w:color w:val="000000" w:themeColor="text1"/>
          <w:sz w:val="24"/>
          <w:szCs w:val="24"/>
        </w:rPr>
        <w:t>, Wiezer MJ, Diehl AM, Schouten HJ, Schouten HJ, Meijer S, van Rooijen N, van Lambalgen AA, Dijkstra CD, van Leeuwen PA. Kupffer cell depletion by CI2MDP-liposomes alters hepatic cytokine expression and delays liver regeneration after partial hepatectomy. </w:t>
      </w:r>
      <w:r w:rsidRPr="007F2E63">
        <w:rPr>
          <w:rFonts w:ascii="Book Antiqua" w:hAnsi="Book Antiqua"/>
          <w:i/>
          <w:iCs/>
          <w:color w:val="000000" w:themeColor="text1"/>
          <w:sz w:val="24"/>
          <w:szCs w:val="24"/>
        </w:rPr>
        <w:t>Liver</w:t>
      </w:r>
      <w:r w:rsidRPr="007F2E63">
        <w:rPr>
          <w:rFonts w:ascii="Book Antiqua" w:hAnsi="Book Antiqua"/>
          <w:color w:val="000000" w:themeColor="text1"/>
          <w:sz w:val="24"/>
          <w:szCs w:val="24"/>
        </w:rPr>
        <w:t> 2000; </w:t>
      </w:r>
      <w:r w:rsidRPr="007F2E63">
        <w:rPr>
          <w:rFonts w:ascii="Book Antiqua" w:hAnsi="Book Antiqua"/>
          <w:b/>
          <w:bCs/>
          <w:color w:val="000000" w:themeColor="text1"/>
          <w:sz w:val="24"/>
          <w:szCs w:val="24"/>
        </w:rPr>
        <w:t>20</w:t>
      </w:r>
      <w:r w:rsidRPr="007F2E63">
        <w:rPr>
          <w:rFonts w:ascii="Book Antiqua" w:hAnsi="Book Antiqua"/>
          <w:color w:val="000000" w:themeColor="text1"/>
          <w:sz w:val="24"/>
          <w:szCs w:val="24"/>
        </w:rPr>
        <w:t>: 66-77 [PMID: 10726963]</w:t>
      </w:r>
    </w:p>
    <w:p w14:paraId="3651ECB2"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33 </w:t>
      </w:r>
      <w:r w:rsidRPr="007F2E63">
        <w:rPr>
          <w:rFonts w:ascii="Book Antiqua" w:hAnsi="Book Antiqua"/>
          <w:b/>
          <w:bCs/>
          <w:color w:val="000000" w:themeColor="text1"/>
          <w:sz w:val="24"/>
          <w:szCs w:val="24"/>
        </w:rPr>
        <w:t>Park JK</w:t>
      </w:r>
      <w:r w:rsidRPr="007F2E63">
        <w:rPr>
          <w:rFonts w:ascii="Book Antiqua" w:hAnsi="Book Antiqua"/>
          <w:color w:val="000000" w:themeColor="text1"/>
          <w:sz w:val="24"/>
          <w:szCs w:val="24"/>
        </w:rPr>
        <w:t>, Shao M, Kim MY, Baik SK, Cho MY, Utsumi T, Satoh A, Ouyang X, Chung C, Iwakiri Y. An endoplasmic reticulum protein, Nogo-B, facilitates alcoholic liver disease through regulation of kupffer cell polarization. </w:t>
      </w:r>
      <w:r w:rsidRPr="007F2E63">
        <w:rPr>
          <w:rFonts w:ascii="Book Antiqua" w:hAnsi="Book Antiqua"/>
          <w:i/>
          <w:iCs/>
          <w:color w:val="000000" w:themeColor="text1"/>
          <w:sz w:val="24"/>
          <w:szCs w:val="24"/>
        </w:rPr>
        <w:t>Hepatology</w:t>
      </w:r>
      <w:r w:rsidRPr="007F2E63">
        <w:rPr>
          <w:rFonts w:ascii="Book Antiqua" w:hAnsi="Book Antiqua"/>
          <w:color w:val="000000" w:themeColor="text1"/>
          <w:sz w:val="24"/>
          <w:szCs w:val="24"/>
        </w:rPr>
        <w:t>2017; </w:t>
      </w:r>
      <w:r w:rsidRPr="007F2E63">
        <w:rPr>
          <w:rFonts w:ascii="Book Antiqua" w:hAnsi="Book Antiqua"/>
          <w:b/>
          <w:bCs/>
          <w:color w:val="000000" w:themeColor="text1"/>
          <w:sz w:val="24"/>
          <w:szCs w:val="24"/>
        </w:rPr>
        <w:t>65</w:t>
      </w:r>
      <w:r w:rsidRPr="007F2E63">
        <w:rPr>
          <w:rFonts w:ascii="Book Antiqua" w:hAnsi="Book Antiqua"/>
          <w:color w:val="000000" w:themeColor="text1"/>
          <w:sz w:val="24"/>
          <w:szCs w:val="24"/>
        </w:rPr>
        <w:t>: 1720-1734 [PMID: 28090670 DOI: 10.1002/hep.29051]</w:t>
      </w:r>
    </w:p>
    <w:p w14:paraId="7FF2329D" w14:textId="77777777" w:rsidR="007F2E63"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34 </w:t>
      </w:r>
      <w:r w:rsidRPr="007F2E63">
        <w:rPr>
          <w:rFonts w:ascii="Book Antiqua" w:hAnsi="Book Antiqua"/>
          <w:b/>
          <w:bCs/>
          <w:color w:val="000000" w:themeColor="text1"/>
          <w:sz w:val="24"/>
          <w:szCs w:val="24"/>
        </w:rPr>
        <w:t>Lang R</w:t>
      </w:r>
      <w:r w:rsidRPr="007F2E63">
        <w:rPr>
          <w:rFonts w:ascii="Book Antiqua" w:hAnsi="Book Antiqua"/>
          <w:color w:val="000000" w:themeColor="text1"/>
          <w:sz w:val="24"/>
          <w:szCs w:val="24"/>
        </w:rPr>
        <w:t>, Patel D, Morris JJ, Rutschman RL, Murray PJ. Shaping gene expression in activated and resting primary macrophages by IL-10. </w:t>
      </w:r>
      <w:r w:rsidRPr="007F2E63">
        <w:rPr>
          <w:rFonts w:ascii="Book Antiqua" w:hAnsi="Book Antiqua"/>
          <w:i/>
          <w:iCs/>
          <w:color w:val="000000" w:themeColor="text1"/>
          <w:sz w:val="24"/>
          <w:szCs w:val="24"/>
        </w:rPr>
        <w:t>J Immunol</w:t>
      </w:r>
      <w:r w:rsidRPr="007F2E63">
        <w:rPr>
          <w:rFonts w:ascii="Book Antiqua" w:hAnsi="Book Antiqua"/>
          <w:color w:val="000000" w:themeColor="text1"/>
          <w:sz w:val="24"/>
          <w:szCs w:val="24"/>
        </w:rPr>
        <w:t> 2002; </w:t>
      </w:r>
      <w:r w:rsidRPr="007F2E63">
        <w:rPr>
          <w:rFonts w:ascii="Book Antiqua" w:hAnsi="Book Antiqua"/>
          <w:b/>
          <w:bCs/>
          <w:color w:val="000000" w:themeColor="text1"/>
          <w:sz w:val="24"/>
          <w:szCs w:val="24"/>
        </w:rPr>
        <w:t>169</w:t>
      </w:r>
      <w:r w:rsidRPr="007F2E63">
        <w:rPr>
          <w:rFonts w:ascii="Book Antiqua" w:hAnsi="Book Antiqua"/>
          <w:color w:val="000000" w:themeColor="text1"/>
          <w:sz w:val="24"/>
          <w:szCs w:val="24"/>
        </w:rPr>
        <w:t>: 2253-2263 [PMID: 12193690]</w:t>
      </w:r>
    </w:p>
    <w:p w14:paraId="719741AD" w14:textId="6C5D2415" w:rsidR="00E13272" w:rsidRPr="007F2E63" w:rsidRDefault="007F2E63" w:rsidP="007F2E63">
      <w:pPr>
        <w:pStyle w:val="EndNoteBibliography"/>
        <w:adjustRightInd w:val="0"/>
        <w:snapToGrid w:val="0"/>
        <w:spacing w:line="360" w:lineRule="auto"/>
        <w:rPr>
          <w:rFonts w:ascii="Book Antiqua" w:hAnsi="Book Antiqua"/>
          <w:color w:val="000000" w:themeColor="text1"/>
          <w:sz w:val="24"/>
          <w:szCs w:val="24"/>
        </w:rPr>
      </w:pPr>
      <w:r w:rsidRPr="007F2E63">
        <w:rPr>
          <w:rFonts w:ascii="Book Antiqua" w:hAnsi="Book Antiqua"/>
          <w:color w:val="000000" w:themeColor="text1"/>
          <w:sz w:val="24"/>
          <w:szCs w:val="24"/>
        </w:rPr>
        <w:t>35 </w:t>
      </w:r>
      <w:r w:rsidRPr="007F2E63">
        <w:rPr>
          <w:rFonts w:ascii="Book Antiqua" w:hAnsi="Book Antiqua"/>
          <w:b/>
          <w:bCs/>
          <w:color w:val="000000" w:themeColor="text1"/>
          <w:sz w:val="24"/>
          <w:szCs w:val="24"/>
        </w:rPr>
        <w:t>Boulter L</w:t>
      </w:r>
      <w:r w:rsidRPr="007F2E63">
        <w:rPr>
          <w:rFonts w:ascii="Book Antiqua" w:hAnsi="Book Antiqua"/>
          <w:color w:val="000000" w:themeColor="text1"/>
          <w:sz w:val="24"/>
          <w:szCs w:val="24"/>
        </w:rPr>
        <w:t>, Govaere O, Bird TG, Radulescu S, Ramachandran P, Pellicoro A, Ridgway RA, Seo SS, Spee B, Van Rooijen N, Sansom OJ, Iredale JP, Lowell S, Roskams T, Forbes SJ. Macrophage-derived Wnt opposes Notch signaling to specify hepatic progenitor cell fate in chronic liver disease. </w:t>
      </w:r>
      <w:r w:rsidRPr="007F2E63">
        <w:rPr>
          <w:rFonts w:ascii="Book Antiqua" w:hAnsi="Book Antiqua"/>
          <w:i/>
          <w:iCs/>
          <w:color w:val="000000" w:themeColor="text1"/>
          <w:sz w:val="24"/>
          <w:szCs w:val="24"/>
        </w:rPr>
        <w:t>Nat Med</w:t>
      </w:r>
      <w:r w:rsidRPr="007F2E63">
        <w:rPr>
          <w:rFonts w:ascii="Book Antiqua" w:hAnsi="Book Antiqua"/>
          <w:color w:val="000000" w:themeColor="text1"/>
          <w:sz w:val="24"/>
          <w:szCs w:val="24"/>
        </w:rPr>
        <w:t> 2012; </w:t>
      </w:r>
      <w:r w:rsidRPr="007F2E63">
        <w:rPr>
          <w:rFonts w:ascii="Book Antiqua" w:hAnsi="Book Antiqua"/>
          <w:b/>
          <w:bCs/>
          <w:color w:val="000000" w:themeColor="text1"/>
          <w:sz w:val="24"/>
          <w:szCs w:val="24"/>
        </w:rPr>
        <w:t>18</w:t>
      </w:r>
      <w:r w:rsidRPr="007F2E63">
        <w:rPr>
          <w:rFonts w:ascii="Book Antiqua" w:hAnsi="Book Antiqua"/>
          <w:color w:val="000000" w:themeColor="text1"/>
          <w:sz w:val="24"/>
          <w:szCs w:val="24"/>
        </w:rPr>
        <w:t>: 572-579 [PMID: 22388089 DOI: 10.1038/nm.2667]</w:t>
      </w:r>
    </w:p>
    <w:p w14:paraId="78E97041" w14:textId="16FDEBBB" w:rsidR="00716245" w:rsidRDefault="00716245" w:rsidP="00716245">
      <w:pPr>
        <w:wordWrap w:val="0"/>
        <w:snapToGrid w:val="0"/>
        <w:spacing w:line="360" w:lineRule="auto"/>
        <w:jc w:val="right"/>
        <w:rPr>
          <w:rFonts w:ascii="Book Antiqua" w:hAnsi="Book Antiqua"/>
          <w:b/>
          <w:bCs/>
        </w:rPr>
      </w:pPr>
      <w:bookmarkStart w:id="94" w:name="OLE_LINK148"/>
      <w:bookmarkStart w:id="95" w:name="OLE_LINK320"/>
      <w:bookmarkStart w:id="96" w:name="OLE_LINK387"/>
      <w:bookmarkStart w:id="97" w:name="OLE_LINK254"/>
      <w:bookmarkStart w:id="98" w:name="OLE_LINK149"/>
      <w:bookmarkStart w:id="99" w:name="OLE_LINK225"/>
      <w:bookmarkStart w:id="100" w:name="OLE_LINK207"/>
      <w:bookmarkStart w:id="101" w:name="OLE_LINK226"/>
      <w:bookmarkStart w:id="102" w:name="OLE_LINK212"/>
      <w:bookmarkStart w:id="103" w:name="OLE_LINK250"/>
      <w:bookmarkStart w:id="104" w:name="OLE_LINK281"/>
      <w:bookmarkStart w:id="105" w:name="OLE_LINK282"/>
      <w:bookmarkStart w:id="106" w:name="OLE_LINK313"/>
      <w:bookmarkStart w:id="107" w:name="OLE_LINK304"/>
      <w:bookmarkStart w:id="108" w:name="OLE_LINK321"/>
      <w:bookmarkStart w:id="109" w:name="OLE_LINK385"/>
      <w:bookmarkStart w:id="110" w:name="OLE_LINK400"/>
      <w:bookmarkStart w:id="111" w:name="OLE_LINK346"/>
      <w:bookmarkStart w:id="112" w:name="OLE_LINK371"/>
      <w:bookmarkStart w:id="113" w:name="OLE_LINK334"/>
      <w:bookmarkStart w:id="114" w:name="OLE_LINK1830"/>
      <w:bookmarkStart w:id="115" w:name="OLE_LINK457"/>
      <w:bookmarkStart w:id="116" w:name="OLE_LINK288"/>
      <w:bookmarkStart w:id="117" w:name="OLE_LINK384"/>
      <w:bookmarkStart w:id="118" w:name="OLE_LINK379"/>
      <w:bookmarkStart w:id="119" w:name="OLE_LINK303"/>
      <w:bookmarkStart w:id="120" w:name="OLE_LINK450"/>
      <w:bookmarkStart w:id="121" w:name="OLE_LINK489"/>
      <w:bookmarkStart w:id="122" w:name="OLE_LINK535"/>
      <w:bookmarkStart w:id="123" w:name="OLE_LINK648"/>
      <w:bookmarkStart w:id="124" w:name="OLE_LINK686"/>
      <w:bookmarkStart w:id="125" w:name="OLE_LINK471"/>
      <w:bookmarkStart w:id="126" w:name="OLE_LINK462"/>
      <w:bookmarkStart w:id="127" w:name="OLE_LINK519"/>
      <w:bookmarkStart w:id="128" w:name="OLE_LINK575"/>
      <w:bookmarkStart w:id="129" w:name="OLE_LINK491"/>
      <w:bookmarkStart w:id="130" w:name="OLE_LINK532"/>
      <w:bookmarkStart w:id="131" w:name="OLE_LINK572"/>
      <w:bookmarkStart w:id="132" w:name="OLE_LINK574"/>
      <w:bookmarkStart w:id="133" w:name="OLE_LINK480"/>
      <w:bookmarkStart w:id="134" w:name="OLE_LINK567"/>
      <w:bookmarkStart w:id="135" w:name="OLE_LINK2700"/>
      <w:bookmarkStart w:id="136" w:name="OLE_LINK581"/>
      <w:bookmarkStart w:id="137" w:name="OLE_LINK639"/>
      <w:bookmarkStart w:id="138" w:name="OLE_LINK688"/>
      <w:bookmarkStart w:id="139" w:name="OLE_LINK722"/>
      <w:bookmarkStart w:id="140" w:name="OLE_LINK542"/>
      <w:bookmarkStart w:id="141" w:name="OLE_LINK589"/>
      <w:bookmarkStart w:id="142" w:name="OLE_LINK582"/>
      <w:bookmarkStart w:id="143" w:name="OLE_LINK640"/>
      <w:bookmarkStart w:id="144" w:name="OLE_LINK714"/>
      <w:bookmarkStart w:id="145" w:name="OLE_LINK593"/>
      <w:bookmarkStart w:id="146" w:name="OLE_LINK716"/>
      <w:bookmarkStart w:id="147" w:name="OLE_LINK770"/>
      <w:bookmarkStart w:id="148" w:name="OLE_LINK801"/>
      <w:bookmarkStart w:id="149" w:name="OLE_LINK660"/>
      <w:bookmarkStart w:id="150" w:name="OLE_LINK781"/>
      <w:bookmarkStart w:id="151" w:name="OLE_LINK833"/>
      <w:bookmarkStart w:id="152" w:name="OLE_LINK642"/>
      <w:bookmarkStart w:id="153" w:name="OLE_LINK700"/>
      <w:bookmarkStart w:id="154" w:name="OLE_LINK792"/>
      <w:bookmarkStart w:id="155" w:name="OLE_LINK2882"/>
      <w:bookmarkStart w:id="156" w:name="OLE_LINK836"/>
      <w:bookmarkStart w:id="157" w:name="OLE_LINK889"/>
      <w:bookmarkStart w:id="158" w:name="OLE_LINK782"/>
      <w:bookmarkStart w:id="159" w:name="OLE_LINK826"/>
      <w:bookmarkStart w:id="160" w:name="OLE_LINK865"/>
      <w:bookmarkStart w:id="161" w:name="OLE_LINK856"/>
      <w:bookmarkStart w:id="162" w:name="OLE_LINK908"/>
      <w:bookmarkStart w:id="163" w:name="OLE_LINK980"/>
      <w:bookmarkStart w:id="164" w:name="OLE_LINK1018"/>
      <w:bookmarkStart w:id="165" w:name="OLE_LINK1049"/>
      <w:bookmarkStart w:id="166" w:name="OLE_LINK1076"/>
      <w:bookmarkStart w:id="167" w:name="OLE_LINK1106"/>
      <w:bookmarkStart w:id="168" w:name="OLE_LINK891"/>
      <w:bookmarkStart w:id="169" w:name="OLE_LINK943"/>
      <w:bookmarkStart w:id="170" w:name="OLE_LINK981"/>
      <w:bookmarkStart w:id="171" w:name="OLE_LINK1030"/>
      <w:bookmarkStart w:id="172" w:name="OLE_LINK847"/>
      <w:bookmarkStart w:id="173" w:name="OLE_LINK909"/>
      <w:bookmarkStart w:id="174" w:name="OLE_LINK906"/>
      <w:bookmarkStart w:id="175" w:name="OLE_LINK992"/>
      <w:bookmarkStart w:id="176" w:name="OLE_LINK993"/>
      <w:bookmarkStart w:id="177" w:name="OLE_LINK1052"/>
      <w:bookmarkStart w:id="178" w:name="OLE_LINK946"/>
      <w:bookmarkStart w:id="179" w:name="OLE_LINK911"/>
      <w:bookmarkStart w:id="180" w:name="OLE_LINK930"/>
      <w:bookmarkStart w:id="181" w:name="OLE_LINK1059"/>
      <w:bookmarkStart w:id="182" w:name="OLE_LINK1174"/>
      <w:bookmarkStart w:id="183" w:name="OLE_LINK1137"/>
      <w:bookmarkStart w:id="184" w:name="OLE_LINK1167"/>
      <w:bookmarkStart w:id="185" w:name="OLE_LINK1200"/>
      <w:bookmarkStart w:id="186" w:name="OLE_LINK1241"/>
      <w:bookmarkStart w:id="187" w:name="OLE_LINK1288"/>
      <w:bookmarkStart w:id="188" w:name="OLE_LINK1056"/>
      <w:bookmarkStart w:id="189" w:name="OLE_LINK1158"/>
      <w:bookmarkStart w:id="190" w:name="OLE_LINK1175"/>
      <w:bookmarkStart w:id="191" w:name="OLE_LINK1074"/>
      <w:bookmarkStart w:id="192" w:name="OLE_LINK1169"/>
      <w:r w:rsidRPr="004F57C6">
        <w:rPr>
          <w:rFonts w:ascii="Book Antiqua" w:hAnsi="Book Antiqua"/>
          <w:b/>
          <w:bCs/>
        </w:rPr>
        <w:t>P-Reviewer:</w:t>
      </w:r>
      <w:r w:rsidRPr="004F57C6">
        <w:rPr>
          <w:rFonts w:ascii="Book Antiqua" w:hAnsi="Book Antiqua" w:hint="eastAsia"/>
          <w:b/>
          <w:bCs/>
        </w:rPr>
        <w:t xml:space="preserve"> </w:t>
      </w:r>
      <w:proofErr w:type="spellStart"/>
      <w:r w:rsidR="009D14E9">
        <w:rPr>
          <w:rFonts w:ascii="Book Antiqua" w:hAnsi="Book Antiqua"/>
          <w:bCs/>
        </w:rPr>
        <w:t>Lv</w:t>
      </w:r>
      <w:proofErr w:type="spellEnd"/>
      <w:r w:rsidR="009D14E9">
        <w:rPr>
          <w:rFonts w:ascii="Book Antiqua" w:hAnsi="Book Antiqua"/>
          <w:bCs/>
        </w:rPr>
        <w:t xml:space="preserve"> XP, Muriel P</w:t>
      </w:r>
    </w:p>
    <w:p w14:paraId="2E84759C" w14:textId="77777777" w:rsidR="00716245" w:rsidRPr="0053246E" w:rsidRDefault="00716245" w:rsidP="00716245">
      <w:pPr>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2AA0AF39" w14:textId="77777777" w:rsidR="00716245" w:rsidRPr="004F57C6" w:rsidRDefault="00716245" w:rsidP="00716245">
      <w:pPr>
        <w:shd w:val="clear" w:color="auto" w:fill="FFFFFF"/>
        <w:snapToGrid w:val="0"/>
        <w:spacing w:line="360" w:lineRule="auto"/>
        <w:rPr>
          <w:rFonts w:ascii="Book Antiqua" w:hAnsi="Book Antiqua" w:cs="Helvetica"/>
          <w:b/>
        </w:rPr>
      </w:pPr>
      <w:bookmarkStart w:id="193" w:name="OLE_LINK880"/>
      <w:bookmarkStart w:id="194" w:name="OLE_LINK88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716EF778" w14:textId="77777777" w:rsidR="00716245" w:rsidRPr="004F57C6" w:rsidRDefault="00716245" w:rsidP="00716245">
      <w:pPr>
        <w:shd w:val="clear" w:color="auto" w:fill="FFFFFF"/>
        <w:snapToGrid w:val="0"/>
        <w:spacing w:line="360" w:lineRule="auto"/>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China</w:t>
      </w:r>
    </w:p>
    <w:p w14:paraId="4918A7A9" w14:textId="77777777" w:rsidR="00716245" w:rsidRPr="004F57C6" w:rsidRDefault="00716245" w:rsidP="00716245">
      <w:pPr>
        <w:shd w:val="clear" w:color="auto" w:fill="FFFFFF"/>
        <w:snapToGrid w:val="0"/>
        <w:spacing w:line="360" w:lineRule="auto"/>
        <w:rPr>
          <w:rFonts w:ascii="Book Antiqua" w:hAnsi="Book Antiqua" w:cs="Helvetica"/>
          <w:b/>
        </w:rPr>
      </w:pPr>
      <w:r w:rsidRPr="004F57C6">
        <w:rPr>
          <w:rFonts w:ascii="Book Antiqua" w:hAnsi="Book Antiqua" w:cs="Helvetica"/>
          <w:b/>
        </w:rPr>
        <w:t>Peer-review report classification</w:t>
      </w:r>
    </w:p>
    <w:p w14:paraId="51E4DBFB" w14:textId="77777777" w:rsidR="00716245" w:rsidRPr="004F57C6" w:rsidRDefault="00716245" w:rsidP="0071624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0</w:t>
      </w:r>
    </w:p>
    <w:p w14:paraId="53D80100" w14:textId="77777777" w:rsidR="00716245" w:rsidRPr="004F57C6" w:rsidRDefault="00716245" w:rsidP="0071624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B</w:t>
      </w:r>
    </w:p>
    <w:p w14:paraId="20AB4E85" w14:textId="5C51704A" w:rsidR="00716245" w:rsidRPr="004F57C6" w:rsidRDefault="00716245" w:rsidP="00716245">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C (Good): </w:t>
      </w:r>
      <w:r w:rsidR="009D14E9">
        <w:rPr>
          <w:rFonts w:ascii="Book Antiqua" w:hAnsi="Book Antiqua" w:cs="Helvetica" w:hint="eastAsia"/>
        </w:rPr>
        <w:t>C</w:t>
      </w:r>
    </w:p>
    <w:p w14:paraId="66EFFEE9" w14:textId="77777777" w:rsidR="00716245" w:rsidRPr="004F57C6" w:rsidRDefault="00716245" w:rsidP="00716245">
      <w:pPr>
        <w:shd w:val="clear" w:color="auto" w:fill="FFFFFF"/>
        <w:snapToGrid w:val="0"/>
        <w:spacing w:line="360" w:lineRule="auto"/>
        <w:rPr>
          <w:rFonts w:ascii="Book Antiqua" w:hAnsi="Book Antiqua" w:cs="Helvetica"/>
        </w:rPr>
      </w:pPr>
      <w:r w:rsidRPr="004F57C6">
        <w:rPr>
          <w:rFonts w:ascii="Book Antiqua" w:hAnsi="Book Antiqua" w:cs="Helvetica"/>
        </w:rPr>
        <w:lastRenderedPageBreak/>
        <w:t xml:space="preserve">Grade D (Fair): </w:t>
      </w:r>
      <w:r>
        <w:rPr>
          <w:rFonts w:ascii="Book Antiqua" w:hAnsi="Book Antiqua" w:cs="Helvetica" w:hint="eastAsia"/>
        </w:rPr>
        <w:t>0</w:t>
      </w:r>
    </w:p>
    <w:p w14:paraId="65E00FD2" w14:textId="4B8F5688" w:rsidR="00A25500" w:rsidRPr="009D14E9" w:rsidRDefault="00716245" w:rsidP="009D14E9">
      <w:pPr>
        <w:snapToGrid w:val="0"/>
        <w:spacing w:line="360" w:lineRule="auto"/>
        <w:rPr>
          <w:rFonts w:ascii="Book Antiqua" w:hAnsi="Book Antiqua"/>
          <w:b/>
          <w:iCs/>
        </w:rPr>
      </w:pPr>
      <w:r w:rsidRPr="004F57C6">
        <w:rPr>
          <w:rFonts w:ascii="Book Antiqua" w:hAnsi="Book Antiqua" w:cs="Helvetica"/>
        </w:rPr>
        <w:t xml:space="preserve">Grade E (Poor): </w:t>
      </w:r>
      <w:r w:rsidRPr="004F57C6">
        <w:rPr>
          <w:rFonts w:ascii="Book Antiqua" w:hAnsi="Book Antiqua" w:cs="Helvetica" w:hint="eastAsia"/>
        </w:rPr>
        <w:t>0</w:t>
      </w:r>
      <w:bookmarkEnd w:id="193"/>
      <w:bookmarkEnd w:id="194"/>
    </w:p>
    <w:p w14:paraId="30125D3A" w14:textId="77777777" w:rsidR="009D14E9" w:rsidRDefault="009D14E9">
      <w:pPr>
        <w:widowControl/>
        <w:jc w:val="left"/>
        <w:rPr>
          <w:rFonts w:ascii="Book Antiqua" w:hAnsi="Book Antiqua" w:cs="Arial"/>
          <w:b/>
          <w:color w:val="000000" w:themeColor="text1"/>
        </w:rPr>
      </w:pPr>
      <w:r>
        <w:rPr>
          <w:rFonts w:ascii="Book Antiqua" w:hAnsi="Book Antiqua" w:cs="Arial"/>
          <w:b/>
          <w:color w:val="000000" w:themeColor="text1"/>
        </w:rPr>
        <w:br w:type="page"/>
      </w:r>
    </w:p>
    <w:p w14:paraId="2B61261B" w14:textId="3B4DBB2C" w:rsidR="00A25500" w:rsidRPr="00EE30DE" w:rsidRDefault="00A25500" w:rsidP="00943737">
      <w:pPr>
        <w:adjustRightInd w:val="0"/>
        <w:snapToGrid w:val="0"/>
        <w:spacing w:line="360" w:lineRule="auto"/>
        <w:outlineLvl w:val="0"/>
        <w:rPr>
          <w:rFonts w:ascii="Book Antiqua" w:hAnsi="Book Antiqua" w:cs="Arial"/>
          <w:color w:val="000000" w:themeColor="text1"/>
          <w:kern w:val="36"/>
        </w:rPr>
      </w:pPr>
      <w:r w:rsidRPr="00EE30DE">
        <w:rPr>
          <w:rFonts w:ascii="Book Antiqua" w:hAnsi="Book Antiqua" w:cs="Arial"/>
          <w:b/>
          <w:color w:val="000000" w:themeColor="text1"/>
        </w:rPr>
        <w:lastRenderedPageBreak/>
        <w:t xml:space="preserve">Table 1 Primer pairs and probes used for real-time PCR </w:t>
      </w:r>
    </w:p>
    <w:tbl>
      <w:tblPr>
        <w:tblW w:w="8762" w:type="dxa"/>
        <w:jc w:val="center"/>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1259"/>
        <w:gridCol w:w="1172"/>
        <w:gridCol w:w="4989"/>
        <w:gridCol w:w="1342"/>
      </w:tblGrid>
      <w:tr w:rsidR="00EE30DE" w:rsidRPr="00EE30DE" w14:paraId="62375039" w14:textId="77777777" w:rsidTr="0077053D">
        <w:trPr>
          <w:trHeight w:val="116"/>
          <w:jc w:val="center"/>
        </w:trPr>
        <w:tc>
          <w:tcPr>
            <w:tcW w:w="1259" w:type="dxa"/>
            <w:tcBorders>
              <w:bottom w:val="single" w:sz="4" w:space="0" w:color="auto"/>
            </w:tcBorders>
            <w:vAlign w:val="center"/>
          </w:tcPr>
          <w:p w14:paraId="48FF996C" w14:textId="77777777" w:rsidR="00A25500" w:rsidRPr="00357CE4" w:rsidRDefault="00A25500" w:rsidP="000B5B76">
            <w:pPr>
              <w:adjustRightInd w:val="0"/>
              <w:snapToGrid w:val="0"/>
              <w:spacing w:line="360" w:lineRule="auto"/>
              <w:rPr>
                <w:rFonts w:ascii="Book Antiqua" w:hAnsi="Book Antiqua" w:cs="Arial"/>
                <w:b/>
                <w:color w:val="000000" w:themeColor="text1"/>
              </w:rPr>
            </w:pPr>
            <w:r w:rsidRPr="00357CE4">
              <w:rPr>
                <w:rFonts w:ascii="Book Antiqua" w:hAnsi="Book Antiqua" w:cs="Arial"/>
                <w:b/>
                <w:color w:val="000000" w:themeColor="text1"/>
              </w:rPr>
              <w:t>Gene</w:t>
            </w:r>
          </w:p>
        </w:tc>
        <w:tc>
          <w:tcPr>
            <w:tcW w:w="1172" w:type="dxa"/>
            <w:tcBorders>
              <w:bottom w:val="single" w:sz="4" w:space="0" w:color="auto"/>
            </w:tcBorders>
            <w:vAlign w:val="center"/>
          </w:tcPr>
          <w:p w14:paraId="10ADA63E" w14:textId="77777777" w:rsidR="00A25500" w:rsidRPr="00357CE4" w:rsidRDefault="00A25500" w:rsidP="00357CE4">
            <w:pPr>
              <w:adjustRightInd w:val="0"/>
              <w:snapToGrid w:val="0"/>
              <w:spacing w:line="360" w:lineRule="auto"/>
              <w:jc w:val="center"/>
              <w:rPr>
                <w:rFonts w:ascii="Book Antiqua" w:hAnsi="Book Antiqua" w:cs="Arial"/>
                <w:b/>
                <w:color w:val="000000" w:themeColor="text1"/>
              </w:rPr>
            </w:pPr>
          </w:p>
        </w:tc>
        <w:tc>
          <w:tcPr>
            <w:tcW w:w="4989" w:type="dxa"/>
            <w:tcBorders>
              <w:bottom w:val="single" w:sz="4" w:space="0" w:color="auto"/>
            </w:tcBorders>
            <w:vAlign w:val="center"/>
          </w:tcPr>
          <w:p w14:paraId="70CF627A" w14:textId="4AC2ACE8" w:rsidR="00A25500" w:rsidRPr="00357CE4" w:rsidRDefault="00357CE4" w:rsidP="00357CE4">
            <w:pPr>
              <w:adjustRightInd w:val="0"/>
              <w:snapToGrid w:val="0"/>
              <w:spacing w:line="360" w:lineRule="auto"/>
              <w:jc w:val="center"/>
              <w:rPr>
                <w:rFonts w:ascii="Book Antiqua" w:hAnsi="Book Antiqua" w:cs="Arial"/>
                <w:b/>
                <w:color w:val="000000" w:themeColor="text1"/>
              </w:rPr>
            </w:pPr>
            <w:r w:rsidRPr="00357CE4">
              <w:rPr>
                <w:rFonts w:ascii="Book Antiqua" w:hAnsi="Book Antiqua" w:cs="Arial"/>
                <w:b/>
                <w:color w:val="000000" w:themeColor="text1"/>
              </w:rPr>
              <w:t xml:space="preserve">Primer </w:t>
            </w:r>
            <w:r w:rsidR="00A25500" w:rsidRPr="00357CE4">
              <w:rPr>
                <w:rFonts w:ascii="Book Antiqua" w:hAnsi="Book Antiqua" w:cs="Arial"/>
                <w:b/>
                <w:color w:val="000000" w:themeColor="text1"/>
              </w:rPr>
              <w:t>sequence</w:t>
            </w:r>
          </w:p>
        </w:tc>
        <w:tc>
          <w:tcPr>
            <w:tcW w:w="1342" w:type="dxa"/>
            <w:tcBorders>
              <w:bottom w:val="single" w:sz="4" w:space="0" w:color="auto"/>
            </w:tcBorders>
            <w:vAlign w:val="center"/>
          </w:tcPr>
          <w:p w14:paraId="5F01C6DF" w14:textId="77777777" w:rsidR="00A25500" w:rsidRPr="00357CE4" w:rsidRDefault="00A25500" w:rsidP="00357CE4">
            <w:pPr>
              <w:adjustRightInd w:val="0"/>
              <w:snapToGrid w:val="0"/>
              <w:spacing w:line="360" w:lineRule="auto"/>
              <w:jc w:val="center"/>
              <w:rPr>
                <w:rFonts w:ascii="Book Antiqua" w:hAnsi="Book Antiqua" w:cs="Arial"/>
                <w:b/>
                <w:color w:val="000000" w:themeColor="text1"/>
              </w:rPr>
            </w:pPr>
            <w:r w:rsidRPr="00357CE4">
              <w:rPr>
                <w:rFonts w:ascii="Book Antiqua" w:hAnsi="Book Antiqua" w:cs="Arial"/>
                <w:b/>
                <w:color w:val="000000" w:themeColor="text1"/>
              </w:rPr>
              <w:t>Note</w:t>
            </w:r>
          </w:p>
        </w:tc>
      </w:tr>
      <w:tr w:rsidR="00EE30DE" w:rsidRPr="00EE30DE" w14:paraId="3ECA4084" w14:textId="77777777" w:rsidTr="0077053D">
        <w:trPr>
          <w:trHeight w:val="235"/>
          <w:jc w:val="center"/>
        </w:trPr>
        <w:tc>
          <w:tcPr>
            <w:tcW w:w="1259" w:type="dxa"/>
            <w:tcBorders>
              <w:top w:val="single" w:sz="4" w:space="0" w:color="auto"/>
              <w:bottom w:val="nil"/>
            </w:tcBorders>
            <w:vAlign w:val="center"/>
          </w:tcPr>
          <w:p w14:paraId="7F0D742B"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α-SMA</w:t>
            </w:r>
          </w:p>
        </w:tc>
        <w:tc>
          <w:tcPr>
            <w:tcW w:w="1172" w:type="dxa"/>
            <w:tcBorders>
              <w:top w:val="single" w:sz="4" w:space="0" w:color="auto"/>
              <w:bottom w:val="nil"/>
            </w:tcBorders>
            <w:vAlign w:val="center"/>
          </w:tcPr>
          <w:p w14:paraId="422E912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0F84596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single" w:sz="4" w:space="0" w:color="auto"/>
              <w:bottom w:val="nil"/>
            </w:tcBorders>
            <w:vAlign w:val="center"/>
          </w:tcPr>
          <w:p w14:paraId="6367313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AATGGCTCTGGGCTCTGTAA</w:t>
            </w:r>
          </w:p>
          <w:p w14:paraId="08D6FE0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TCTCTTGCTCTGGGCTTCAT</w:t>
            </w:r>
          </w:p>
        </w:tc>
        <w:tc>
          <w:tcPr>
            <w:tcW w:w="1342" w:type="dxa"/>
            <w:tcBorders>
              <w:top w:val="single" w:sz="4" w:space="0" w:color="auto"/>
              <w:bottom w:val="nil"/>
            </w:tcBorders>
            <w:vAlign w:val="center"/>
          </w:tcPr>
          <w:p w14:paraId="3ADCAC4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7E187E51" w14:textId="77777777" w:rsidTr="0077053D">
        <w:trPr>
          <w:trHeight w:val="57"/>
          <w:jc w:val="center"/>
        </w:trPr>
        <w:tc>
          <w:tcPr>
            <w:tcW w:w="1259" w:type="dxa"/>
            <w:tcBorders>
              <w:top w:val="nil"/>
              <w:bottom w:val="nil"/>
            </w:tcBorders>
            <w:vAlign w:val="center"/>
          </w:tcPr>
          <w:p w14:paraId="7019D32E"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Col1</w:t>
            </w:r>
          </w:p>
        </w:tc>
        <w:tc>
          <w:tcPr>
            <w:tcW w:w="1172" w:type="dxa"/>
            <w:tcBorders>
              <w:top w:val="nil"/>
              <w:bottom w:val="nil"/>
            </w:tcBorders>
            <w:vAlign w:val="center"/>
          </w:tcPr>
          <w:p w14:paraId="29C773A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63AC0BA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5A4804E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TGACTGGAAGAGCGGAGAGT</w:t>
            </w:r>
          </w:p>
          <w:p w14:paraId="17F0AF5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GACGGCTGAGTAGGGAACAC</w:t>
            </w:r>
          </w:p>
        </w:tc>
        <w:tc>
          <w:tcPr>
            <w:tcW w:w="1342" w:type="dxa"/>
            <w:tcBorders>
              <w:top w:val="nil"/>
              <w:bottom w:val="nil"/>
            </w:tcBorders>
            <w:vAlign w:val="center"/>
          </w:tcPr>
          <w:p w14:paraId="07846B64"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DCBD955" w14:textId="77777777" w:rsidTr="0077053D">
        <w:trPr>
          <w:trHeight w:val="464"/>
          <w:jc w:val="center"/>
        </w:trPr>
        <w:tc>
          <w:tcPr>
            <w:tcW w:w="1259" w:type="dxa"/>
            <w:tcBorders>
              <w:top w:val="nil"/>
              <w:bottom w:val="nil"/>
            </w:tcBorders>
            <w:vAlign w:val="center"/>
          </w:tcPr>
          <w:p w14:paraId="0CB2E2F7"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TGF-β</w:t>
            </w:r>
          </w:p>
        </w:tc>
        <w:tc>
          <w:tcPr>
            <w:tcW w:w="1172" w:type="dxa"/>
            <w:tcBorders>
              <w:top w:val="nil"/>
              <w:bottom w:val="nil"/>
            </w:tcBorders>
            <w:vAlign w:val="center"/>
          </w:tcPr>
          <w:p w14:paraId="45B9C2D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0273C8C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2EE9857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ATTCCTGGCGTTACCTTGG</w:t>
            </w:r>
          </w:p>
          <w:p w14:paraId="4FB292B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AGCCCTGTATTCCGTCTCCT</w:t>
            </w:r>
          </w:p>
        </w:tc>
        <w:tc>
          <w:tcPr>
            <w:tcW w:w="1342" w:type="dxa"/>
            <w:tcBorders>
              <w:top w:val="nil"/>
              <w:bottom w:val="nil"/>
            </w:tcBorders>
            <w:vAlign w:val="center"/>
          </w:tcPr>
          <w:p w14:paraId="10B2FE20"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2F02BFC7" w14:textId="77777777" w:rsidTr="0077053D">
        <w:trPr>
          <w:trHeight w:val="447"/>
          <w:jc w:val="center"/>
        </w:trPr>
        <w:tc>
          <w:tcPr>
            <w:tcW w:w="1259" w:type="dxa"/>
            <w:tcBorders>
              <w:top w:val="nil"/>
              <w:bottom w:val="nil"/>
            </w:tcBorders>
            <w:vAlign w:val="center"/>
          </w:tcPr>
          <w:p w14:paraId="505D6533"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TNF-α</w:t>
            </w:r>
          </w:p>
        </w:tc>
        <w:tc>
          <w:tcPr>
            <w:tcW w:w="1172" w:type="dxa"/>
            <w:tcBorders>
              <w:top w:val="nil"/>
              <w:bottom w:val="nil"/>
            </w:tcBorders>
            <w:vAlign w:val="center"/>
          </w:tcPr>
          <w:p w14:paraId="2A002EC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640EFBD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2DE0D48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GACGTGGAACTGGCAGAAGAG</w:t>
            </w:r>
          </w:p>
          <w:p w14:paraId="254716D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TTGGTGGTTTGTGAGTGTGAG</w:t>
            </w:r>
          </w:p>
        </w:tc>
        <w:tc>
          <w:tcPr>
            <w:tcW w:w="1342" w:type="dxa"/>
            <w:tcBorders>
              <w:top w:val="nil"/>
              <w:bottom w:val="nil"/>
            </w:tcBorders>
            <w:vAlign w:val="center"/>
          </w:tcPr>
          <w:p w14:paraId="3343117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42169232" w14:textId="77777777" w:rsidTr="0077053D">
        <w:trPr>
          <w:trHeight w:val="447"/>
          <w:jc w:val="center"/>
        </w:trPr>
        <w:tc>
          <w:tcPr>
            <w:tcW w:w="1259" w:type="dxa"/>
            <w:tcBorders>
              <w:top w:val="nil"/>
              <w:bottom w:val="nil"/>
            </w:tcBorders>
            <w:vAlign w:val="center"/>
          </w:tcPr>
          <w:p w14:paraId="17840731"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CD68</w:t>
            </w:r>
          </w:p>
        </w:tc>
        <w:tc>
          <w:tcPr>
            <w:tcW w:w="1172" w:type="dxa"/>
            <w:tcBorders>
              <w:top w:val="nil"/>
              <w:bottom w:val="nil"/>
            </w:tcBorders>
            <w:vAlign w:val="center"/>
          </w:tcPr>
          <w:p w14:paraId="3F14AAB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6E6B02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2B00E1C6"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GGACCCACAACTGTCACTCAT</w:t>
            </w:r>
          </w:p>
          <w:p w14:paraId="5BE22A57"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AAGCCCCACTTTAGCTTTACC</w:t>
            </w:r>
          </w:p>
        </w:tc>
        <w:tc>
          <w:tcPr>
            <w:tcW w:w="1342" w:type="dxa"/>
            <w:tcBorders>
              <w:top w:val="nil"/>
              <w:bottom w:val="nil"/>
            </w:tcBorders>
            <w:vAlign w:val="center"/>
          </w:tcPr>
          <w:p w14:paraId="0E7F3B67"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127BAB88" w14:textId="77777777" w:rsidTr="0077053D">
        <w:trPr>
          <w:trHeight w:val="447"/>
          <w:jc w:val="center"/>
        </w:trPr>
        <w:tc>
          <w:tcPr>
            <w:tcW w:w="1259" w:type="dxa"/>
            <w:tcBorders>
              <w:top w:val="nil"/>
              <w:bottom w:val="nil"/>
            </w:tcBorders>
            <w:vAlign w:val="center"/>
          </w:tcPr>
          <w:p w14:paraId="76F34F5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CD163</w:t>
            </w:r>
          </w:p>
        </w:tc>
        <w:tc>
          <w:tcPr>
            <w:tcW w:w="1172" w:type="dxa"/>
            <w:tcBorders>
              <w:top w:val="nil"/>
              <w:bottom w:val="nil"/>
            </w:tcBorders>
            <w:vAlign w:val="center"/>
          </w:tcPr>
          <w:p w14:paraId="6F37D23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4B893DF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6B1ACB13"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TGGGATCGCCGTGACGCTTC</w:t>
            </w:r>
          </w:p>
          <w:p w14:paraId="7DED8764"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CAGCGACTGCCTCCACCGAC</w:t>
            </w:r>
          </w:p>
        </w:tc>
        <w:tc>
          <w:tcPr>
            <w:tcW w:w="1342" w:type="dxa"/>
            <w:tcBorders>
              <w:top w:val="nil"/>
              <w:bottom w:val="nil"/>
            </w:tcBorders>
            <w:vAlign w:val="center"/>
          </w:tcPr>
          <w:p w14:paraId="1C70125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6C7330C3" w14:textId="77777777" w:rsidTr="0077053D">
        <w:trPr>
          <w:trHeight w:val="447"/>
          <w:jc w:val="center"/>
        </w:trPr>
        <w:tc>
          <w:tcPr>
            <w:tcW w:w="1259" w:type="dxa"/>
            <w:tcBorders>
              <w:top w:val="nil"/>
              <w:bottom w:val="nil"/>
            </w:tcBorders>
            <w:vAlign w:val="center"/>
          </w:tcPr>
          <w:p w14:paraId="2D704EC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HNF4α</w:t>
            </w:r>
          </w:p>
        </w:tc>
        <w:tc>
          <w:tcPr>
            <w:tcW w:w="1172" w:type="dxa"/>
            <w:tcBorders>
              <w:top w:val="nil"/>
              <w:bottom w:val="nil"/>
            </w:tcBorders>
            <w:vAlign w:val="center"/>
          </w:tcPr>
          <w:p w14:paraId="488B285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D97A21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5D3147CE"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CGGGCCACTGGCAAACAC</w:t>
            </w:r>
          </w:p>
          <w:p w14:paraId="469C9DAD"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GTAATCCTCCAGGCTCAC</w:t>
            </w:r>
          </w:p>
        </w:tc>
        <w:tc>
          <w:tcPr>
            <w:tcW w:w="1342" w:type="dxa"/>
            <w:tcBorders>
              <w:top w:val="nil"/>
              <w:bottom w:val="nil"/>
            </w:tcBorders>
            <w:vAlign w:val="center"/>
          </w:tcPr>
          <w:p w14:paraId="0159C8A6"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76C1039C" w14:textId="77777777" w:rsidTr="0077053D">
        <w:trPr>
          <w:trHeight w:val="447"/>
          <w:jc w:val="center"/>
        </w:trPr>
        <w:tc>
          <w:tcPr>
            <w:tcW w:w="1259" w:type="dxa"/>
            <w:tcBorders>
              <w:top w:val="nil"/>
              <w:bottom w:val="nil"/>
            </w:tcBorders>
            <w:vAlign w:val="center"/>
          </w:tcPr>
          <w:p w14:paraId="1A22AC5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Hep</w:t>
            </w:r>
          </w:p>
        </w:tc>
        <w:tc>
          <w:tcPr>
            <w:tcW w:w="1172" w:type="dxa"/>
            <w:tcBorders>
              <w:top w:val="nil"/>
              <w:bottom w:val="nil"/>
            </w:tcBorders>
            <w:vAlign w:val="center"/>
          </w:tcPr>
          <w:p w14:paraId="3F3A629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3DE524A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1ABC06C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TAGCAGAGATGAGCCGTGTG</w:t>
            </w:r>
          </w:p>
          <w:p w14:paraId="3A5D515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GCTTTGAGGCAGGCGTATT</w:t>
            </w:r>
          </w:p>
        </w:tc>
        <w:tc>
          <w:tcPr>
            <w:tcW w:w="1342" w:type="dxa"/>
            <w:tcBorders>
              <w:top w:val="nil"/>
              <w:bottom w:val="nil"/>
            </w:tcBorders>
            <w:vAlign w:val="center"/>
          </w:tcPr>
          <w:p w14:paraId="29066E4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6B9F7C73" w14:textId="77777777" w:rsidTr="0077053D">
        <w:trPr>
          <w:trHeight w:val="447"/>
          <w:jc w:val="center"/>
        </w:trPr>
        <w:tc>
          <w:tcPr>
            <w:tcW w:w="1259" w:type="dxa"/>
            <w:tcBorders>
              <w:top w:val="nil"/>
              <w:bottom w:val="nil"/>
            </w:tcBorders>
            <w:vAlign w:val="center"/>
          </w:tcPr>
          <w:p w14:paraId="65B480DD"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β-catenin</w:t>
            </w:r>
          </w:p>
        </w:tc>
        <w:tc>
          <w:tcPr>
            <w:tcW w:w="1172" w:type="dxa"/>
            <w:tcBorders>
              <w:top w:val="nil"/>
              <w:bottom w:val="nil"/>
            </w:tcBorders>
            <w:vAlign w:val="center"/>
          </w:tcPr>
          <w:p w14:paraId="58C08E9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6E2B8E7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1806953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GTCTGAGGACAAGCCACAGGACTAC</w:t>
            </w:r>
          </w:p>
          <w:p w14:paraId="4F96912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AATGTCCAGTCCGAGATCAGCA</w:t>
            </w:r>
          </w:p>
        </w:tc>
        <w:tc>
          <w:tcPr>
            <w:tcW w:w="1342" w:type="dxa"/>
            <w:tcBorders>
              <w:top w:val="nil"/>
              <w:bottom w:val="nil"/>
            </w:tcBorders>
            <w:vAlign w:val="center"/>
          </w:tcPr>
          <w:p w14:paraId="5E4A8364"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A7EB90F" w14:textId="77777777" w:rsidTr="0077053D">
        <w:trPr>
          <w:trHeight w:val="447"/>
          <w:jc w:val="center"/>
        </w:trPr>
        <w:tc>
          <w:tcPr>
            <w:tcW w:w="1259" w:type="dxa"/>
            <w:tcBorders>
              <w:top w:val="nil"/>
              <w:bottom w:val="nil"/>
            </w:tcBorders>
            <w:vAlign w:val="center"/>
          </w:tcPr>
          <w:p w14:paraId="607641E9"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1</w:t>
            </w:r>
          </w:p>
        </w:tc>
        <w:tc>
          <w:tcPr>
            <w:tcW w:w="1172" w:type="dxa"/>
            <w:tcBorders>
              <w:top w:val="nil"/>
              <w:bottom w:val="nil"/>
            </w:tcBorders>
            <w:vAlign w:val="center"/>
          </w:tcPr>
          <w:p w14:paraId="33CB647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CDA9E8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0A012EDD"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GGGGAGCAACCAAAGTCG</w:t>
            </w:r>
          </w:p>
          <w:p w14:paraId="6A6F8B2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TGGAGGAGGCTATGTTCACG</w:t>
            </w:r>
          </w:p>
        </w:tc>
        <w:tc>
          <w:tcPr>
            <w:tcW w:w="1342" w:type="dxa"/>
            <w:tcBorders>
              <w:top w:val="nil"/>
              <w:bottom w:val="nil"/>
            </w:tcBorders>
            <w:vAlign w:val="center"/>
          </w:tcPr>
          <w:p w14:paraId="54396FB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F735849" w14:textId="77777777" w:rsidTr="0077053D">
        <w:trPr>
          <w:trHeight w:val="447"/>
          <w:jc w:val="center"/>
        </w:trPr>
        <w:tc>
          <w:tcPr>
            <w:tcW w:w="1259" w:type="dxa"/>
            <w:tcBorders>
              <w:top w:val="nil"/>
              <w:bottom w:val="nil"/>
            </w:tcBorders>
            <w:vAlign w:val="center"/>
          </w:tcPr>
          <w:p w14:paraId="2A8E5389"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3A</w:t>
            </w:r>
          </w:p>
        </w:tc>
        <w:tc>
          <w:tcPr>
            <w:tcW w:w="1172" w:type="dxa"/>
            <w:tcBorders>
              <w:top w:val="nil"/>
              <w:bottom w:val="nil"/>
            </w:tcBorders>
            <w:vAlign w:val="center"/>
          </w:tcPr>
          <w:p w14:paraId="3127758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51D39B5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3DFA813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TCCGACTCTTGGCAGAACTT-3</w:t>
            </w:r>
          </w:p>
          <w:p w14:paraId="4E3CE2F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AATGGAATAGGTCCCGAACA</w:t>
            </w:r>
          </w:p>
        </w:tc>
        <w:tc>
          <w:tcPr>
            <w:tcW w:w="1342" w:type="dxa"/>
            <w:tcBorders>
              <w:top w:val="nil"/>
              <w:bottom w:val="nil"/>
            </w:tcBorders>
            <w:vAlign w:val="center"/>
          </w:tcPr>
          <w:p w14:paraId="10DB12F7"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05E5ADD1" w14:textId="77777777" w:rsidTr="0077053D">
        <w:trPr>
          <w:trHeight w:val="447"/>
          <w:jc w:val="center"/>
        </w:trPr>
        <w:tc>
          <w:tcPr>
            <w:tcW w:w="1259" w:type="dxa"/>
            <w:tcBorders>
              <w:top w:val="nil"/>
              <w:bottom w:val="nil"/>
            </w:tcBorders>
            <w:vAlign w:val="center"/>
          </w:tcPr>
          <w:p w14:paraId="470EB818"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4</w:t>
            </w:r>
          </w:p>
        </w:tc>
        <w:tc>
          <w:tcPr>
            <w:tcW w:w="1172" w:type="dxa"/>
            <w:tcBorders>
              <w:top w:val="nil"/>
              <w:bottom w:val="nil"/>
            </w:tcBorders>
            <w:vAlign w:val="center"/>
          </w:tcPr>
          <w:p w14:paraId="1AB946D0"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50DE6816"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7F4BFB9D" w14:textId="297011A8"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GGCACTCATGAACCTTCACAACA</w:t>
            </w:r>
          </w:p>
          <w:p w14:paraId="2100BE4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CTTTACCTCACAGGAGCCTGACAC</w:t>
            </w:r>
          </w:p>
        </w:tc>
        <w:tc>
          <w:tcPr>
            <w:tcW w:w="1342" w:type="dxa"/>
            <w:tcBorders>
              <w:top w:val="nil"/>
              <w:bottom w:val="nil"/>
            </w:tcBorders>
            <w:vAlign w:val="center"/>
          </w:tcPr>
          <w:p w14:paraId="348FA62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7CA2CAEC" w14:textId="77777777" w:rsidTr="0077053D">
        <w:trPr>
          <w:trHeight w:val="447"/>
          <w:jc w:val="center"/>
        </w:trPr>
        <w:tc>
          <w:tcPr>
            <w:tcW w:w="1259" w:type="dxa"/>
            <w:tcBorders>
              <w:top w:val="nil"/>
              <w:bottom w:val="nil"/>
            </w:tcBorders>
            <w:vAlign w:val="center"/>
          </w:tcPr>
          <w:p w14:paraId="5749CC45"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5A</w:t>
            </w:r>
          </w:p>
        </w:tc>
        <w:tc>
          <w:tcPr>
            <w:tcW w:w="1172" w:type="dxa"/>
            <w:tcBorders>
              <w:top w:val="nil"/>
              <w:bottom w:val="nil"/>
            </w:tcBorders>
            <w:vAlign w:val="center"/>
          </w:tcPr>
          <w:p w14:paraId="452E466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B4F1D3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45203A8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GCGCTGCTGGAGTGGTAAAT</w:t>
            </w:r>
          </w:p>
          <w:p w14:paraId="0072BA7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AGCCAGTCCCGAGGTAAGTC</w:t>
            </w:r>
          </w:p>
        </w:tc>
        <w:tc>
          <w:tcPr>
            <w:tcW w:w="1342" w:type="dxa"/>
            <w:tcBorders>
              <w:top w:val="nil"/>
              <w:bottom w:val="nil"/>
            </w:tcBorders>
            <w:vAlign w:val="center"/>
          </w:tcPr>
          <w:p w14:paraId="4C693F00"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123F266C" w14:textId="77777777" w:rsidTr="0077053D">
        <w:trPr>
          <w:trHeight w:val="745"/>
          <w:jc w:val="center"/>
        </w:trPr>
        <w:tc>
          <w:tcPr>
            <w:tcW w:w="1259" w:type="dxa"/>
            <w:tcBorders>
              <w:top w:val="nil"/>
              <w:bottom w:val="nil"/>
            </w:tcBorders>
            <w:vAlign w:val="center"/>
          </w:tcPr>
          <w:p w14:paraId="0C4FC8EE"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5B</w:t>
            </w:r>
          </w:p>
        </w:tc>
        <w:tc>
          <w:tcPr>
            <w:tcW w:w="1172" w:type="dxa"/>
            <w:tcBorders>
              <w:top w:val="nil"/>
              <w:bottom w:val="nil"/>
            </w:tcBorders>
            <w:vAlign w:val="center"/>
          </w:tcPr>
          <w:p w14:paraId="6BDC1C6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763AF30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4E8B7DA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CGAGCCCTCATGAACTTACAGAAC</w:t>
            </w:r>
          </w:p>
          <w:p w14:paraId="586095E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GGAGACTCCGTGACATTTGCAG</w:t>
            </w:r>
          </w:p>
        </w:tc>
        <w:tc>
          <w:tcPr>
            <w:tcW w:w="1342" w:type="dxa"/>
            <w:tcBorders>
              <w:top w:val="nil"/>
              <w:bottom w:val="nil"/>
            </w:tcBorders>
            <w:vAlign w:val="center"/>
          </w:tcPr>
          <w:p w14:paraId="0C64CDF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1CA01E26" w14:textId="77777777" w:rsidTr="0077053D">
        <w:trPr>
          <w:trHeight w:val="447"/>
          <w:jc w:val="center"/>
        </w:trPr>
        <w:tc>
          <w:tcPr>
            <w:tcW w:w="1259" w:type="dxa"/>
            <w:tcBorders>
              <w:top w:val="nil"/>
              <w:bottom w:val="nil"/>
            </w:tcBorders>
            <w:vAlign w:val="center"/>
          </w:tcPr>
          <w:p w14:paraId="1BB1C9F7"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8A</w:t>
            </w:r>
          </w:p>
        </w:tc>
        <w:tc>
          <w:tcPr>
            <w:tcW w:w="1172" w:type="dxa"/>
            <w:tcBorders>
              <w:top w:val="nil"/>
              <w:bottom w:val="nil"/>
            </w:tcBorders>
            <w:vAlign w:val="center"/>
          </w:tcPr>
          <w:p w14:paraId="0E9DBC36"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544A0EE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lastRenderedPageBreak/>
              <w:t>Reverse</w:t>
            </w:r>
          </w:p>
        </w:tc>
        <w:tc>
          <w:tcPr>
            <w:tcW w:w="4989" w:type="dxa"/>
            <w:tcBorders>
              <w:top w:val="nil"/>
              <w:bottom w:val="nil"/>
            </w:tcBorders>
            <w:vAlign w:val="center"/>
          </w:tcPr>
          <w:p w14:paraId="382B737D"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lastRenderedPageBreak/>
              <w:t>CCTGGGAGCGGTGGAACT</w:t>
            </w:r>
          </w:p>
          <w:p w14:paraId="75FA50A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lastRenderedPageBreak/>
              <w:t>CCTGGTGTGGGTTGAAAACTG</w:t>
            </w:r>
          </w:p>
        </w:tc>
        <w:tc>
          <w:tcPr>
            <w:tcW w:w="1342" w:type="dxa"/>
            <w:tcBorders>
              <w:top w:val="nil"/>
              <w:bottom w:val="nil"/>
            </w:tcBorders>
            <w:vAlign w:val="center"/>
          </w:tcPr>
          <w:p w14:paraId="1EF448F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lastRenderedPageBreak/>
              <w:t>SYBR</w:t>
            </w:r>
          </w:p>
        </w:tc>
      </w:tr>
      <w:tr w:rsidR="00EE30DE" w:rsidRPr="00EE30DE" w14:paraId="6BDE3F3C" w14:textId="77777777" w:rsidTr="0077053D">
        <w:trPr>
          <w:trHeight w:val="447"/>
          <w:jc w:val="center"/>
        </w:trPr>
        <w:tc>
          <w:tcPr>
            <w:tcW w:w="1259" w:type="dxa"/>
            <w:tcBorders>
              <w:top w:val="nil"/>
              <w:bottom w:val="nil"/>
            </w:tcBorders>
            <w:vAlign w:val="center"/>
          </w:tcPr>
          <w:p w14:paraId="45B1594B"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8B</w:t>
            </w:r>
          </w:p>
        </w:tc>
        <w:tc>
          <w:tcPr>
            <w:tcW w:w="1172" w:type="dxa"/>
            <w:tcBorders>
              <w:top w:val="nil"/>
              <w:bottom w:val="nil"/>
            </w:tcBorders>
            <w:vAlign w:val="center"/>
          </w:tcPr>
          <w:p w14:paraId="3FBB62A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2C429F6"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0A8A89ED"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AAGGCTTACCTGGTCTACTC</w:t>
            </w:r>
          </w:p>
          <w:p w14:paraId="7FDA0E7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CAGAGCTGATGGCGTGCACA</w:t>
            </w:r>
          </w:p>
        </w:tc>
        <w:tc>
          <w:tcPr>
            <w:tcW w:w="1342" w:type="dxa"/>
            <w:tcBorders>
              <w:top w:val="nil"/>
              <w:bottom w:val="nil"/>
            </w:tcBorders>
            <w:vAlign w:val="center"/>
          </w:tcPr>
          <w:p w14:paraId="6B6A662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15D59D11" w14:textId="77777777" w:rsidTr="0077053D">
        <w:trPr>
          <w:trHeight w:val="447"/>
          <w:jc w:val="center"/>
        </w:trPr>
        <w:tc>
          <w:tcPr>
            <w:tcW w:w="1259" w:type="dxa"/>
            <w:tcBorders>
              <w:top w:val="nil"/>
              <w:bottom w:val="nil"/>
            </w:tcBorders>
            <w:vAlign w:val="center"/>
          </w:tcPr>
          <w:p w14:paraId="482CC2E1"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10B</w:t>
            </w:r>
          </w:p>
        </w:tc>
        <w:tc>
          <w:tcPr>
            <w:tcW w:w="1172" w:type="dxa"/>
            <w:tcBorders>
              <w:top w:val="nil"/>
              <w:bottom w:val="nil"/>
            </w:tcBorders>
            <w:vAlign w:val="center"/>
          </w:tcPr>
          <w:p w14:paraId="783D02B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579ECDB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024618F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CCTCAAGCGCGGTTTCC</w:t>
            </w:r>
          </w:p>
          <w:p w14:paraId="56391D90"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CAGCAGCCAGCATGGAGAA</w:t>
            </w:r>
          </w:p>
        </w:tc>
        <w:tc>
          <w:tcPr>
            <w:tcW w:w="1342" w:type="dxa"/>
            <w:tcBorders>
              <w:top w:val="nil"/>
              <w:bottom w:val="nil"/>
            </w:tcBorders>
            <w:vAlign w:val="center"/>
          </w:tcPr>
          <w:p w14:paraId="683008F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C771F3A" w14:textId="77777777" w:rsidTr="0077053D">
        <w:trPr>
          <w:trHeight w:val="447"/>
          <w:jc w:val="center"/>
        </w:trPr>
        <w:tc>
          <w:tcPr>
            <w:tcW w:w="1259" w:type="dxa"/>
            <w:tcBorders>
              <w:top w:val="nil"/>
              <w:bottom w:val="nil"/>
            </w:tcBorders>
            <w:vAlign w:val="center"/>
          </w:tcPr>
          <w:p w14:paraId="3EF74FC5" w14:textId="77777777" w:rsidR="00A25500" w:rsidRPr="00357CE4" w:rsidRDefault="00A25500" w:rsidP="000B5B76">
            <w:pPr>
              <w:adjustRightInd w:val="0"/>
              <w:snapToGrid w:val="0"/>
              <w:spacing w:line="360" w:lineRule="auto"/>
              <w:rPr>
                <w:rFonts w:ascii="Book Antiqua" w:hAnsi="Book Antiqua" w:cs="Arial"/>
                <w:i/>
                <w:color w:val="000000" w:themeColor="text1"/>
              </w:rPr>
            </w:pPr>
            <w:proofErr w:type="spellStart"/>
            <w:r w:rsidRPr="00357CE4">
              <w:rPr>
                <w:rFonts w:ascii="Book Antiqua" w:hAnsi="Book Antiqua" w:cs="Arial"/>
                <w:i/>
                <w:color w:val="000000" w:themeColor="text1"/>
              </w:rPr>
              <w:t>Wnt</w:t>
            </w:r>
            <w:proofErr w:type="spellEnd"/>
            <w:r w:rsidRPr="00357CE4">
              <w:rPr>
                <w:rFonts w:ascii="Book Antiqua" w:hAnsi="Book Antiqua" w:cs="Arial"/>
                <w:i/>
                <w:color w:val="000000" w:themeColor="text1"/>
              </w:rPr>
              <w:t xml:space="preserve"> 11</w:t>
            </w:r>
          </w:p>
        </w:tc>
        <w:tc>
          <w:tcPr>
            <w:tcW w:w="1172" w:type="dxa"/>
            <w:tcBorders>
              <w:top w:val="nil"/>
              <w:bottom w:val="nil"/>
            </w:tcBorders>
            <w:vAlign w:val="center"/>
          </w:tcPr>
          <w:p w14:paraId="30BC140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3A5A2E9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30BAE220"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TTGACCTGGAGAGAGGTACAC</w:t>
            </w:r>
          </w:p>
          <w:p w14:paraId="0C81BC1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GTCAGGGGAGCTCTGTAGATA</w:t>
            </w:r>
          </w:p>
        </w:tc>
        <w:tc>
          <w:tcPr>
            <w:tcW w:w="1342" w:type="dxa"/>
            <w:tcBorders>
              <w:top w:val="nil"/>
              <w:bottom w:val="nil"/>
            </w:tcBorders>
            <w:vAlign w:val="center"/>
          </w:tcPr>
          <w:p w14:paraId="6819AFB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57E46842" w14:textId="77777777" w:rsidTr="0077053D">
        <w:trPr>
          <w:trHeight w:val="518"/>
          <w:jc w:val="center"/>
        </w:trPr>
        <w:tc>
          <w:tcPr>
            <w:tcW w:w="1259" w:type="dxa"/>
            <w:tcBorders>
              <w:top w:val="nil"/>
              <w:bottom w:val="nil"/>
            </w:tcBorders>
            <w:vAlign w:val="center"/>
          </w:tcPr>
          <w:p w14:paraId="40F5D7CD"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1</w:t>
            </w:r>
          </w:p>
        </w:tc>
        <w:tc>
          <w:tcPr>
            <w:tcW w:w="1172" w:type="dxa"/>
            <w:tcBorders>
              <w:top w:val="nil"/>
              <w:bottom w:val="nil"/>
            </w:tcBorders>
            <w:vAlign w:val="center"/>
          </w:tcPr>
          <w:p w14:paraId="3264A43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59FDD76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7A3CA3E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GGGAATGCAGTCACCAGTACCA</w:t>
            </w:r>
          </w:p>
          <w:p w14:paraId="036935A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CCAGACCCATAGCAGGTTCCA</w:t>
            </w:r>
          </w:p>
        </w:tc>
        <w:tc>
          <w:tcPr>
            <w:tcW w:w="1342" w:type="dxa"/>
            <w:tcBorders>
              <w:top w:val="nil"/>
              <w:bottom w:val="nil"/>
            </w:tcBorders>
            <w:vAlign w:val="center"/>
          </w:tcPr>
          <w:p w14:paraId="763B316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0312A5FD" w14:textId="77777777" w:rsidTr="0077053D">
        <w:trPr>
          <w:trHeight w:val="447"/>
          <w:jc w:val="center"/>
        </w:trPr>
        <w:tc>
          <w:tcPr>
            <w:tcW w:w="1259" w:type="dxa"/>
            <w:tcBorders>
              <w:top w:val="nil"/>
              <w:bottom w:val="nil"/>
            </w:tcBorders>
            <w:vAlign w:val="center"/>
          </w:tcPr>
          <w:p w14:paraId="70808C6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2</w:t>
            </w:r>
          </w:p>
        </w:tc>
        <w:tc>
          <w:tcPr>
            <w:tcW w:w="1172" w:type="dxa"/>
            <w:tcBorders>
              <w:top w:val="nil"/>
              <w:bottom w:val="nil"/>
            </w:tcBorders>
            <w:vAlign w:val="center"/>
          </w:tcPr>
          <w:p w14:paraId="0E97693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61AC517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2ABF724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ACTGCAAGAGCCTAGCCATCC</w:t>
            </w:r>
          </w:p>
          <w:p w14:paraId="0D8F819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ATCCAGAAGCCCGACGTGA</w:t>
            </w:r>
          </w:p>
        </w:tc>
        <w:tc>
          <w:tcPr>
            <w:tcW w:w="1342" w:type="dxa"/>
            <w:tcBorders>
              <w:top w:val="nil"/>
              <w:bottom w:val="nil"/>
            </w:tcBorders>
            <w:vAlign w:val="center"/>
          </w:tcPr>
          <w:p w14:paraId="556AF3AA"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0669D956" w14:textId="77777777" w:rsidTr="0077053D">
        <w:trPr>
          <w:trHeight w:val="447"/>
          <w:jc w:val="center"/>
        </w:trPr>
        <w:tc>
          <w:tcPr>
            <w:tcW w:w="1259" w:type="dxa"/>
            <w:tcBorders>
              <w:top w:val="nil"/>
              <w:bottom w:val="nil"/>
            </w:tcBorders>
            <w:vAlign w:val="center"/>
          </w:tcPr>
          <w:p w14:paraId="7D769D9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3</w:t>
            </w:r>
          </w:p>
        </w:tc>
        <w:tc>
          <w:tcPr>
            <w:tcW w:w="1172" w:type="dxa"/>
            <w:tcBorders>
              <w:top w:val="nil"/>
              <w:bottom w:val="nil"/>
            </w:tcBorders>
            <w:vAlign w:val="center"/>
          </w:tcPr>
          <w:p w14:paraId="4A88C36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7BBC7E6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094A6CFF" w14:textId="4B62178C"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ACACATGGCACCAGCATGAAC</w:t>
            </w:r>
          </w:p>
          <w:p w14:paraId="07442704"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CCATGCGAAGGCCAAGACTAA</w:t>
            </w:r>
          </w:p>
        </w:tc>
        <w:tc>
          <w:tcPr>
            <w:tcW w:w="1342" w:type="dxa"/>
            <w:tcBorders>
              <w:top w:val="nil"/>
              <w:bottom w:val="nil"/>
            </w:tcBorders>
            <w:vAlign w:val="center"/>
          </w:tcPr>
          <w:p w14:paraId="5C9976A7"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0D52BE8B" w14:textId="77777777" w:rsidTr="0077053D">
        <w:trPr>
          <w:trHeight w:val="447"/>
          <w:jc w:val="center"/>
        </w:trPr>
        <w:tc>
          <w:tcPr>
            <w:tcW w:w="1259" w:type="dxa"/>
            <w:tcBorders>
              <w:top w:val="nil"/>
              <w:bottom w:val="nil"/>
            </w:tcBorders>
            <w:vAlign w:val="center"/>
          </w:tcPr>
          <w:p w14:paraId="25C3649A"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4</w:t>
            </w:r>
          </w:p>
        </w:tc>
        <w:tc>
          <w:tcPr>
            <w:tcW w:w="1172" w:type="dxa"/>
            <w:tcBorders>
              <w:top w:val="nil"/>
              <w:bottom w:val="nil"/>
            </w:tcBorders>
            <w:vAlign w:val="center"/>
          </w:tcPr>
          <w:p w14:paraId="53F72FC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4CF1ACB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6E7C52E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GACAACTTTCACGCCGCTCA</w:t>
            </w:r>
          </w:p>
          <w:p w14:paraId="32865BD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TTCAGGACTGGTTCACATCGTCTC</w:t>
            </w:r>
          </w:p>
        </w:tc>
        <w:tc>
          <w:tcPr>
            <w:tcW w:w="1342" w:type="dxa"/>
            <w:tcBorders>
              <w:top w:val="nil"/>
              <w:bottom w:val="nil"/>
            </w:tcBorders>
            <w:vAlign w:val="center"/>
          </w:tcPr>
          <w:p w14:paraId="677EFA3C"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2EA6DA53" w14:textId="77777777" w:rsidTr="0077053D">
        <w:trPr>
          <w:trHeight w:val="447"/>
          <w:jc w:val="center"/>
        </w:trPr>
        <w:tc>
          <w:tcPr>
            <w:tcW w:w="1259" w:type="dxa"/>
            <w:tcBorders>
              <w:top w:val="nil"/>
              <w:bottom w:val="nil"/>
            </w:tcBorders>
            <w:vAlign w:val="center"/>
          </w:tcPr>
          <w:p w14:paraId="3A649FCE"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5</w:t>
            </w:r>
          </w:p>
        </w:tc>
        <w:tc>
          <w:tcPr>
            <w:tcW w:w="1172" w:type="dxa"/>
            <w:tcBorders>
              <w:top w:val="nil"/>
              <w:bottom w:val="nil"/>
            </w:tcBorders>
            <w:vAlign w:val="center"/>
          </w:tcPr>
          <w:p w14:paraId="41537C5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3AD64C5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4A3C19B9" w14:textId="0D2E3492"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CGAGAGCACAGCCACATTCACTA</w:t>
            </w:r>
          </w:p>
          <w:p w14:paraId="7EB39FC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GAGCTGGCCATGCCAAAGA</w:t>
            </w:r>
          </w:p>
        </w:tc>
        <w:tc>
          <w:tcPr>
            <w:tcW w:w="1342" w:type="dxa"/>
            <w:tcBorders>
              <w:top w:val="nil"/>
              <w:bottom w:val="nil"/>
            </w:tcBorders>
            <w:vAlign w:val="center"/>
          </w:tcPr>
          <w:p w14:paraId="4C067442"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CB665FB" w14:textId="77777777" w:rsidTr="0077053D">
        <w:trPr>
          <w:trHeight w:val="447"/>
          <w:jc w:val="center"/>
        </w:trPr>
        <w:tc>
          <w:tcPr>
            <w:tcW w:w="1259" w:type="dxa"/>
            <w:tcBorders>
              <w:top w:val="nil"/>
              <w:bottom w:val="nil"/>
            </w:tcBorders>
            <w:vAlign w:val="center"/>
          </w:tcPr>
          <w:p w14:paraId="52126D8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Frizzled 6</w:t>
            </w:r>
          </w:p>
        </w:tc>
        <w:tc>
          <w:tcPr>
            <w:tcW w:w="1172" w:type="dxa"/>
            <w:tcBorders>
              <w:top w:val="nil"/>
              <w:bottom w:val="nil"/>
            </w:tcBorders>
            <w:vAlign w:val="center"/>
          </w:tcPr>
          <w:p w14:paraId="2800C9E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414E986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7F39A06C" w14:textId="40A38F4B"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CAGCAGCGTCCAACTCCAAG</w:t>
            </w:r>
          </w:p>
          <w:p w14:paraId="60CC5CD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TGCACTCCATCAGGCCAGTC</w:t>
            </w:r>
          </w:p>
        </w:tc>
        <w:tc>
          <w:tcPr>
            <w:tcW w:w="1342" w:type="dxa"/>
            <w:tcBorders>
              <w:top w:val="nil"/>
              <w:bottom w:val="nil"/>
            </w:tcBorders>
            <w:vAlign w:val="center"/>
          </w:tcPr>
          <w:p w14:paraId="1B12D65D"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7245630E" w14:textId="77777777" w:rsidTr="0077053D">
        <w:trPr>
          <w:trHeight w:val="447"/>
          <w:jc w:val="center"/>
        </w:trPr>
        <w:tc>
          <w:tcPr>
            <w:tcW w:w="1259" w:type="dxa"/>
            <w:tcBorders>
              <w:top w:val="nil"/>
              <w:bottom w:val="nil"/>
            </w:tcBorders>
            <w:vAlign w:val="center"/>
          </w:tcPr>
          <w:p w14:paraId="3C7330DD" w14:textId="38415F47" w:rsidR="00A25500" w:rsidRPr="00357CE4" w:rsidRDefault="00357CE4" w:rsidP="000B5B76">
            <w:pPr>
              <w:adjustRightInd w:val="0"/>
              <w:snapToGrid w:val="0"/>
              <w:spacing w:line="360" w:lineRule="auto"/>
              <w:rPr>
                <w:rFonts w:ascii="Book Antiqua" w:hAnsi="Book Antiqua" w:cs="Arial"/>
                <w:i/>
                <w:color w:val="000000" w:themeColor="text1"/>
              </w:rPr>
            </w:pPr>
            <w:r>
              <w:rPr>
                <w:rFonts w:ascii="Book Antiqua" w:hAnsi="Book Antiqua" w:cs="Arial"/>
                <w:i/>
                <w:color w:val="000000" w:themeColor="text1"/>
              </w:rPr>
              <w:t>LRP</w:t>
            </w:r>
            <w:r w:rsidR="00A25500" w:rsidRPr="00357CE4">
              <w:rPr>
                <w:rFonts w:ascii="Book Antiqua" w:hAnsi="Book Antiqua" w:cs="Arial"/>
                <w:i/>
                <w:color w:val="000000" w:themeColor="text1"/>
              </w:rPr>
              <w:t>5</w:t>
            </w:r>
          </w:p>
        </w:tc>
        <w:tc>
          <w:tcPr>
            <w:tcW w:w="1172" w:type="dxa"/>
            <w:tcBorders>
              <w:top w:val="nil"/>
              <w:bottom w:val="nil"/>
            </w:tcBorders>
            <w:vAlign w:val="center"/>
          </w:tcPr>
          <w:p w14:paraId="2A267098"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FBA36AF"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45D0ABA5"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GACATTTACTGGCCCAATGG</w:t>
            </w:r>
          </w:p>
          <w:p w14:paraId="7155AB23"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CTGCCCTCCACCACCTTCT</w:t>
            </w:r>
          </w:p>
        </w:tc>
        <w:tc>
          <w:tcPr>
            <w:tcW w:w="1342" w:type="dxa"/>
            <w:tcBorders>
              <w:top w:val="nil"/>
              <w:bottom w:val="nil"/>
            </w:tcBorders>
            <w:vAlign w:val="center"/>
          </w:tcPr>
          <w:p w14:paraId="7E934184"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378A1279" w14:textId="77777777" w:rsidTr="0077053D">
        <w:trPr>
          <w:trHeight w:val="447"/>
          <w:jc w:val="center"/>
        </w:trPr>
        <w:tc>
          <w:tcPr>
            <w:tcW w:w="1259" w:type="dxa"/>
            <w:tcBorders>
              <w:top w:val="nil"/>
              <w:bottom w:val="nil"/>
            </w:tcBorders>
            <w:vAlign w:val="center"/>
          </w:tcPr>
          <w:p w14:paraId="6AF604E6" w14:textId="3CC68EA3" w:rsidR="00A25500" w:rsidRPr="00357CE4" w:rsidRDefault="00357CE4" w:rsidP="000B5B76">
            <w:pPr>
              <w:adjustRightInd w:val="0"/>
              <w:snapToGrid w:val="0"/>
              <w:spacing w:line="360" w:lineRule="auto"/>
              <w:rPr>
                <w:rFonts w:ascii="Book Antiqua" w:hAnsi="Book Antiqua" w:cs="Arial"/>
                <w:i/>
                <w:color w:val="000000" w:themeColor="text1"/>
              </w:rPr>
            </w:pPr>
            <w:r>
              <w:rPr>
                <w:rFonts w:ascii="Book Antiqua" w:hAnsi="Book Antiqua" w:cs="Arial"/>
                <w:i/>
                <w:color w:val="000000" w:themeColor="text1"/>
              </w:rPr>
              <w:t>LRP</w:t>
            </w:r>
            <w:r w:rsidR="00A25500" w:rsidRPr="00357CE4">
              <w:rPr>
                <w:rFonts w:ascii="Book Antiqua" w:hAnsi="Book Antiqua" w:cs="Arial"/>
                <w:i/>
                <w:color w:val="000000" w:themeColor="text1"/>
              </w:rPr>
              <w:t>6</w:t>
            </w:r>
          </w:p>
        </w:tc>
        <w:tc>
          <w:tcPr>
            <w:tcW w:w="1172" w:type="dxa"/>
            <w:tcBorders>
              <w:top w:val="nil"/>
              <w:bottom w:val="nil"/>
            </w:tcBorders>
            <w:vAlign w:val="center"/>
          </w:tcPr>
          <w:p w14:paraId="7B26CC4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1A77F98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nil"/>
            </w:tcBorders>
            <w:vAlign w:val="center"/>
          </w:tcPr>
          <w:p w14:paraId="07AD0811" w14:textId="77777777" w:rsidR="00A25500" w:rsidRPr="00EE30DE" w:rsidRDefault="00A25500" w:rsidP="00357CE4">
            <w:pPr>
              <w:adjustRightInd w:val="0"/>
              <w:snapToGrid w:val="0"/>
              <w:spacing w:line="360" w:lineRule="auto"/>
              <w:jc w:val="center"/>
              <w:rPr>
                <w:rFonts w:ascii="Book Antiqua" w:hAnsi="Book Antiqua" w:cs="Arial"/>
                <w:iCs/>
                <w:color w:val="000000" w:themeColor="text1"/>
              </w:rPr>
            </w:pPr>
            <w:r w:rsidRPr="00EE30DE">
              <w:rPr>
                <w:rFonts w:ascii="Book Antiqua" w:hAnsi="Book Antiqua" w:cs="Arial"/>
                <w:iCs/>
                <w:color w:val="000000" w:themeColor="text1"/>
              </w:rPr>
              <w:t>TCTCCGGCGAATTGAAAG</w:t>
            </w:r>
          </w:p>
          <w:p w14:paraId="141B1AF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iCs/>
                <w:color w:val="000000" w:themeColor="text1"/>
              </w:rPr>
              <w:t>GAGTCTTCTAGCACGATCCTGT</w:t>
            </w:r>
          </w:p>
        </w:tc>
        <w:tc>
          <w:tcPr>
            <w:tcW w:w="1342" w:type="dxa"/>
            <w:tcBorders>
              <w:top w:val="nil"/>
              <w:bottom w:val="nil"/>
            </w:tcBorders>
            <w:vAlign w:val="center"/>
          </w:tcPr>
          <w:p w14:paraId="6EE73931"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r w:rsidR="00EE30DE" w:rsidRPr="00EE30DE" w14:paraId="133EDCE1" w14:textId="77777777" w:rsidTr="0077053D">
        <w:trPr>
          <w:trHeight w:val="447"/>
          <w:jc w:val="center"/>
        </w:trPr>
        <w:tc>
          <w:tcPr>
            <w:tcW w:w="1259" w:type="dxa"/>
            <w:tcBorders>
              <w:top w:val="nil"/>
              <w:bottom w:val="single" w:sz="8" w:space="0" w:color="auto"/>
            </w:tcBorders>
            <w:vAlign w:val="center"/>
          </w:tcPr>
          <w:p w14:paraId="46F38798" w14:textId="77777777" w:rsidR="00A25500" w:rsidRPr="00357CE4" w:rsidRDefault="00A25500" w:rsidP="000B5B76">
            <w:pPr>
              <w:adjustRightInd w:val="0"/>
              <w:snapToGrid w:val="0"/>
              <w:spacing w:line="360" w:lineRule="auto"/>
              <w:rPr>
                <w:rFonts w:ascii="Book Antiqua" w:hAnsi="Book Antiqua" w:cs="Arial"/>
                <w:i/>
                <w:color w:val="000000" w:themeColor="text1"/>
              </w:rPr>
            </w:pPr>
            <w:r w:rsidRPr="00357CE4">
              <w:rPr>
                <w:rFonts w:ascii="Book Antiqua" w:hAnsi="Book Antiqua" w:cs="Arial"/>
                <w:i/>
                <w:color w:val="000000" w:themeColor="text1"/>
              </w:rPr>
              <w:t>GAPDH</w:t>
            </w:r>
          </w:p>
        </w:tc>
        <w:tc>
          <w:tcPr>
            <w:tcW w:w="1172" w:type="dxa"/>
            <w:tcBorders>
              <w:top w:val="nil"/>
              <w:bottom w:val="single" w:sz="8" w:space="0" w:color="auto"/>
            </w:tcBorders>
            <w:vAlign w:val="center"/>
          </w:tcPr>
          <w:p w14:paraId="07A5B1A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Forward</w:t>
            </w:r>
          </w:p>
          <w:p w14:paraId="7A9E236B"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Reverse</w:t>
            </w:r>
          </w:p>
        </w:tc>
        <w:tc>
          <w:tcPr>
            <w:tcW w:w="4989" w:type="dxa"/>
            <w:tcBorders>
              <w:top w:val="nil"/>
              <w:bottom w:val="single" w:sz="8" w:space="0" w:color="auto"/>
            </w:tcBorders>
            <w:vAlign w:val="center"/>
          </w:tcPr>
          <w:p w14:paraId="1FC1BD74"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AAGGTCATCCATGACAACTTTGGC</w:t>
            </w:r>
          </w:p>
          <w:p w14:paraId="668DCF19"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ACAGTCTTCTGGGTGGCAGTGAT</w:t>
            </w:r>
          </w:p>
        </w:tc>
        <w:tc>
          <w:tcPr>
            <w:tcW w:w="1342" w:type="dxa"/>
            <w:tcBorders>
              <w:top w:val="nil"/>
              <w:bottom w:val="single" w:sz="8" w:space="0" w:color="auto"/>
            </w:tcBorders>
            <w:vAlign w:val="center"/>
          </w:tcPr>
          <w:p w14:paraId="694EE89E" w14:textId="77777777" w:rsidR="00A25500" w:rsidRPr="00EE30DE" w:rsidRDefault="00A25500" w:rsidP="00357CE4">
            <w:pPr>
              <w:adjustRightInd w:val="0"/>
              <w:snapToGrid w:val="0"/>
              <w:spacing w:line="360" w:lineRule="auto"/>
              <w:jc w:val="center"/>
              <w:rPr>
                <w:rFonts w:ascii="Book Antiqua" w:hAnsi="Book Antiqua" w:cs="Arial"/>
                <w:color w:val="000000" w:themeColor="text1"/>
              </w:rPr>
            </w:pPr>
            <w:r w:rsidRPr="00EE30DE">
              <w:rPr>
                <w:rFonts w:ascii="Book Antiqua" w:hAnsi="Book Antiqua" w:cs="Arial"/>
                <w:color w:val="000000" w:themeColor="text1"/>
              </w:rPr>
              <w:t>SYBR</w:t>
            </w:r>
          </w:p>
        </w:tc>
      </w:tr>
    </w:tbl>
    <w:p w14:paraId="697019B9" w14:textId="205FA75B" w:rsidR="009D4314" w:rsidRPr="005A42EC" w:rsidRDefault="005A42EC" w:rsidP="005A42EC">
      <w:pPr>
        <w:rPr>
          <w:rFonts w:ascii="Book Antiqua" w:hAnsi="Book Antiqua" w:cs="Arial"/>
          <w:noProof/>
          <w:color w:val="000000" w:themeColor="text1"/>
          <w:shd w:val="clear" w:color="auto" w:fill="FFFFFF"/>
        </w:rPr>
      </w:pPr>
      <w:r>
        <w:rPr>
          <w:rFonts w:ascii="Book Antiqua" w:hAnsi="Book Antiqua" w:cs="Arial"/>
          <w:color w:val="000000" w:themeColor="text1"/>
        </w:rPr>
        <w:t>α-SMA: A</w:t>
      </w:r>
      <w:r w:rsidR="009D4314" w:rsidRPr="00EE30DE">
        <w:rPr>
          <w:rFonts w:ascii="Book Antiqua" w:hAnsi="Book Antiqua" w:cs="Arial"/>
          <w:color w:val="000000" w:themeColor="text1"/>
        </w:rPr>
        <w:t>l</w:t>
      </w:r>
      <w:r>
        <w:rPr>
          <w:rFonts w:ascii="Book Antiqua" w:hAnsi="Book Antiqua" w:cs="Arial"/>
          <w:color w:val="000000" w:themeColor="text1"/>
        </w:rPr>
        <w:t xml:space="preserve">pha-smooth muscle actin; </w:t>
      </w:r>
      <w:proofErr w:type="gramStart"/>
      <w:r>
        <w:rPr>
          <w:rFonts w:ascii="Book Antiqua" w:hAnsi="Book Antiqua" w:cs="Arial"/>
          <w:color w:val="000000" w:themeColor="text1"/>
        </w:rPr>
        <w:t>Col(</w:t>
      </w:r>
      <w:proofErr w:type="gramEnd"/>
      <w:r>
        <w:rPr>
          <w:rFonts w:ascii="Book Antiqua" w:hAnsi="Book Antiqua" w:cs="Arial"/>
          <w:color w:val="000000" w:themeColor="text1"/>
        </w:rPr>
        <w:t>1): Collagen type I; TGF-β: T</w:t>
      </w:r>
      <w:r w:rsidR="009D4314" w:rsidRPr="00EE30DE">
        <w:rPr>
          <w:rFonts w:ascii="Book Antiqua" w:hAnsi="Book Antiqua" w:cs="Arial"/>
          <w:color w:val="000000" w:themeColor="text1"/>
        </w:rPr>
        <w:t>ransfo</w:t>
      </w:r>
      <w:r>
        <w:rPr>
          <w:rFonts w:ascii="Book Antiqua" w:hAnsi="Book Antiqua" w:cs="Arial"/>
          <w:color w:val="000000" w:themeColor="text1"/>
        </w:rPr>
        <w:t>rming growth factor beta; TNF-α: T</w:t>
      </w:r>
      <w:r w:rsidR="009D4314" w:rsidRPr="00EE30DE">
        <w:rPr>
          <w:rFonts w:ascii="Book Antiqua" w:hAnsi="Book Antiqua" w:cs="Arial"/>
          <w:color w:val="000000" w:themeColor="text1"/>
        </w:rPr>
        <w:t>um</w:t>
      </w:r>
      <w:r>
        <w:rPr>
          <w:rFonts w:ascii="Book Antiqua" w:hAnsi="Book Antiqua" w:cs="Arial"/>
          <w:color w:val="000000" w:themeColor="text1"/>
        </w:rPr>
        <w:t>or necrosis factor-alpha; HNF4α: H</w:t>
      </w:r>
      <w:r w:rsidR="009D4314" w:rsidRPr="00EE30DE">
        <w:rPr>
          <w:rFonts w:ascii="Book Antiqua" w:hAnsi="Book Antiqua" w:cs="Arial"/>
          <w:color w:val="000000" w:themeColor="text1"/>
        </w:rPr>
        <w:t>epatoc</w:t>
      </w:r>
      <w:r>
        <w:rPr>
          <w:rFonts w:ascii="Book Antiqua" w:hAnsi="Book Antiqua" w:cs="Arial"/>
          <w:color w:val="000000" w:themeColor="text1"/>
        </w:rPr>
        <w:t>yte nuclear factor 4 alpha; Hep: Hep Par-1; LRP:</w:t>
      </w:r>
      <w:r w:rsidR="009D4314" w:rsidRPr="00EE30DE">
        <w:rPr>
          <w:rFonts w:ascii="Book Antiqua" w:hAnsi="Book Antiqua" w:cs="Arial"/>
          <w:color w:val="000000" w:themeColor="text1"/>
        </w:rPr>
        <w:t xml:space="preserve"> </w:t>
      </w:r>
      <w:r w:rsidRPr="005A42EC">
        <w:rPr>
          <w:rFonts w:ascii="Book Antiqua" w:hAnsi="Book Antiqua" w:cs="Arial"/>
          <w:noProof/>
          <w:color w:val="000000" w:themeColor="text1"/>
          <w:shd w:val="clear" w:color="auto" w:fill="FFFFFF"/>
        </w:rPr>
        <w:t>Low-density lipoprotein</w:t>
      </w:r>
      <w:r>
        <w:rPr>
          <w:rFonts w:ascii="Book Antiqua" w:hAnsi="Book Antiqua" w:cs="Arial"/>
          <w:noProof/>
          <w:color w:val="000000" w:themeColor="text1"/>
          <w:shd w:val="clear" w:color="auto" w:fill="FFFFFF"/>
        </w:rPr>
        <w:t xml:space="preserve"> </w:t>
      </w:r>
      <w:r>
        <w:rPr>
          <w:rFonts w:ascii="Book Antiqua" w:hAnsi="Book Antiqua" w:cs="Arial"/>
          <w:color w:val="000000" w:themeColor="text1"/>
        </w:rPr>
        <w:t>receptor-related protein; GAPDH: G</w:t>
      </w:r>
      <w:r w:rsidR="009D4314" w:rsidRPr="00EE30DE">
        <w:rPr>
          <w:rFonts w:ascii="Book Antiqua" w:hAnsi="Book Antiqua" w:cs="Arial"/>
          <w:color w:val="000000" w:themeColor="text1"/>
        </w:rPr>
        <w:t>lyceraldehyde-3-phosphate dehydrogenase.</w:t>
      </w:r>
    </w:p>
    <w:p w14:paraId="228421A2" w14:textId="09E0A4E1" w:rsidR="00611FE1" w:rsidRPr="00EE30DE" w:rsidRDefault="00E06DA4" w:rsidP="000B5B76">
      <w:pPr>
        <w:adjustRightInd w:val="0"/>
        <w:snapToGrid w:val="0"/>
        <w:spacing w:line="360" w:lineRule="auto"/>
        <w:rPr>
          <w:rFonts w:ascii="Book Antiqua" w:hAnsi="Book Antiqua"/>
          <w:b/>
          <w:color w:val="000000" w:themeColor="text1"/>
        </w:rPr>
      </w:pPr>
      <w:r w:rsidRPr="00EE30DE">
        <w:rPr>
          <w:rFonts w:ascii="Book Antiqua" w:hAnsi="Book Antiqua"/>
          <w:color w:val="000000" w:themeColor="text1"/>
        </w:rPr>
        <w:t xml:space="preserve"> </w:t>
      </w:r>
      <w:r w:rsidR="00611FE1" w:rsidRPr="00EE30DE">
        <w:rPr>
          <w:rFonts w:ascii="Book Antiqua" w:hAnsi="Book Antiqua"/>
          <w:b/>
          <w:noProof/>
          <w:color w:val="000000" w:themeColor="text1"/>
        </w:rPr>
        <w:lastRenderedPageBreak/>
        <w:drawing>
          <wp:inline distT="0" distB="0" distL="0" distR="0" wp14:anchorId="34052DF5" wp14:editId="0077B3C7">
            <wp:extent cx="5210810" cy="2791212"/>
            <wp:effectExtent l="0" t="0" r="0" b="3175"/>
            <wp:docPr id="16" name="图片 8" descr="J:\一贯煎论文材料\WJG修改意见\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J:\一贯煎论文材料\WJG修改意见\Fig.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719" b="6778"/>
                    <a:stretch/>
                  </pic:blipFill>
                  <pic:spPr bwMode="auto">
                    <a:xfrm>
                      <a:off x="0" y="0"/>
                      <a:ext cx="5210810" cy="2791212"/>
                    </a:xfrm>
                    <a:prstGeom prst="rect">
                      <a:avLst/>
                    </a:prstGeom>
                    <a:noFill/>
                    <a:ln>
                      <a:noFill/>
                    </a:ln>
                    <a:extLst>
                      <a:ext uri="{53640926-AAD7-44D8-BBD7-CCE9431645EC}">
                        <a14:shadowObscured xmlns:a14="http://schemas.microsoft.com/office/drawing/2010/main"/>
                      </a:ext>
                    </a:extLst>
                  </pic:spPr>
                </pic:pic>
              </a:graphicData>
            </a:graphic>
          </wp:inline>
        </w:drawing>
      </w:r>
    </w:p>
    <w:p w14:paraId="420B0B2F" w14:textId="524933CA"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b/>
          <w:color w:val="000000" w:themeColor="text1"/>
          <w:sz w:val="24"/>
          <w:szCs w:val="24"/>
          <w:lang w:val="en-CA"/>
        </w:rPr>
        <w:t>Figure 1</w:t>
      </w:r>
      <w:r w:rsidRPr="00EE30DE">
        <w:rPr>
          <w:rFonts w:ascii="Book Antiqua" w:hAnsi="Book Antiqua"/>
          <w:color w:val="000000" w:themeColor="text1"/>
          <w:sz w:val="24"/>
          <w:szCs w:val="24"/>
        </w:rPr>
        <w:t xml:space="preserve"> </w:t>
      </w:r>
      <w:r w:rsidRPr="00EE30DE">
        <w:rPr>
          <w:rFonts w:ascii="Book Antiqua" w:hAnsi="Book Antiqua"/>
          <w:b/>
          <w:color w:val="000000" w:themeColor="text1"/>
          <w:sz w:val="24"/>
          <w:szCs w:val="24"/>
        </w:rPr>
        <w:t xml:space="preserve">Yiguanjian decoction enhances the reparative effects of fetal liver stem cells on the hepatic inflammatory response and fibrosis. </w:t>
      </w:r>
      <w:r w:rsidR="005A42EC">
        <w:rPr>
          <w:rFonts w:ascii="Book Antiqua" w:hAnsi="Book Antiqua"/>
          <w:color w:val="000000" w:themeColor="text1"/>
          <w:sz w:val="24"/>
          <w:szCs w:val="24"/>
        </w:rPr>
        <w:t>A:</w:t>
      </w:r>
      <w:r w:rsidRPr="00EE30DE">
        <w:rPr>
          <w:rFonts w:ascii="Book Antiqua" w:hAnsi="Book Antiqua"/>
          <w:color w:val="000000" w:themeColor="text1"/>
          <w:sz w:val="24"/>
          <w:szCs w:val="24"/>
        </w:rPr>
        <w:t xml:space="preserve"> </w:t>
      </w:r>
      <w:r w:rsidR="005A42EC">
        <w:rPr>
          <w:rFonts w:ascii="Book Antiqua" w:hAnsi="Book Antiqua"/>
          <w:color w:val="000000" w:themeColor="text1"/>
          <w:sz w:val="24"/>
          <w:szCs w:val="24"/>
        </w:rPr>
        <w:t>H</w:t>
      </w:r>
      <w:r w:rsidR="005A42EC" w:rsidRPr="005A42EC">
        <w:rPr>
          <w:rFonts w:ascii="Book Antiqua" w:hAnsi="Book Antiqua"/>
          <w:color w:val="000000" w:themeColor="text1"/>
          <w:sz w:val="24"/>
          <w:szCs w:val="24"/>
        </w:rPr>
        <w:t>ematoxylin and eosin</w:t>
      </w:r>
      <w:r w:rsidR="005A42E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H&amp;E</w:t>
      </w:r>
      <w:r w:rsidR="005A42EC">
        <w:rPr>
          <w:rFonts w:ascii="Book Antiqua" w:hAnsi="Book Antiqua"/>
          <w:color w:val="000000" w:themeColor="text1"/>
          <w:sz w:val="24"/>
          <w:szCs w:val="24"/>
        </w:rPr>
        <w:t>)</w:t>
      </w:r>
      <w:r w:rsidRPr="00EE30DE">
        <w:rPr>
          <w:rFonts w:ascii="Book Antiqua" w:hAnsi="Book Antiqua"/>
          <w:color w:val="000000" w:themeColor="text1"/>
          <w:sz w:val="24"/>
          <w:szCs w:val="24"/>
        </w:rPr>
        <w:t xml:space="preserve"> staining (×</w:t>
      </w:r>
      <w:r w:rsidR="005A42EC">
        <w:rPr>
          <w:rFonts w:ascii="Book Antiqua" w:hAnsi="Book Antiqua"/>
          <w:color w:val="000000" w:themeColor="text1"/>
          <w:sz w:val="24"/>
          <w:szCs w:val="24"/>
        </w:rPr>
        <w:t xml:space="preserve"> 100). B:</w:t>
      </w:r>
      <w:r w:rsidRPr="00EE30DE">
        <w:rPr>
          <w:rFonts w:ascii="Book Antiqua" w:hAnsi="Book Antiqua"/>
          <w:color w:val="000000" w:themeColor="text1"/>
          <w:sz w:val="24"/>
          <w:szCs w:val="24"/>
        </w:rPr>
        <w:t xml:space="preserve"> Sirius Red staining (×</w:t>
      </w:r>
      <w:r w:rsidR="005A42E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 xml:space="preserve">100). </w:t>
      </w:r>
      <w:r w:rsidR="005A42EC">
        <w:rPr>
          <w:rFonts w:ascii="Book Antiqua" w:hAnsi="Book Antiqua"/>
          <w:color w:val="000000" w:themeColor="text1"/>
          <w:sz w:val="24"/>
          <w:szCs w:val="24"/>
        </w:rPr>
        <w:t>C:</w:t>
      </w:r>
      <w:r w:rsidRPr="00EE30DE">
        <w:rPr>
          <w:rFonts w:ascii="Book Antiqua" w:hAnsi="Book Antiqua"/>
          <w:color w:val="000000" w:themeColor="text1"/>
          <w:sz w:val="24"/>
          <w:szCs w:val="24"/>
        </w:rPr>
        <w:t xml:space="preserve"> The positive area of Sirius Red staining. </w:t>
      </w:r>
      <w:r w:rsidR="005A42EC">
        <w:rPr>
          <w:rFonts w:ascii="Book Antiqua" w:hAnsi="Book Antiqua"/>
          <w:color w:val="000000" w:themeColor="text1"/>
          <w:sz w:val="24"/>
          <w:szCs w:val="24"/>
        </w:rPr>
        <w:t>D:</w:t>
      </w:r>
      <w:r w:rsidRPr="00EE30DE">
        <w:rPr>
          <w:rFonts w:ascii="Book Antiqua" w:hAnsi="Book Antiqua"/>
          <w:color w:val="000000" w:themeColor="text1"/>
          <w:sz w:val="24"/>
          <w:szCs w:val="24"/>
        </w:rPr>
        <w:t xml:space="preserve"> Serum biochemistry.</w:t>
      </w:r>
      <w:r w:rsidRPr="00EE30DE">
        <w:rPr>
          <w:rFonts w:ascii="Book Antiqua" w:hAnsi="Book Antiqua"/>
          <w:b/>
          <w:color w:val="000000" w:themeColor="text1"/>
          <w:sz w:val="24"/>
          <w:szCs w:val="24"/>
        </w:rPr>
        <w:t xml:space="preserve"> </w:t>
      </w:r>
      <w:r w:rsidRPr="00EE30DE">
        <w:rPr>
          <w:rFonts w:ascii="Book Antiqua" w:hAnsi="Book Antiqua"/>
          <w:color w:val="000000" w:themeColor="text1"/>
          <w:sz w:val="24"/>
          <w:szCs w:val="24"/>
          <w:vertAlign w:val="superscript"/>
        </w:rPr>
        <w:t>a</w:t>
      </w:r>
      <w:r w:rsidRPr="00EE30DE">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 </w:t>
      </w:r>
      <w:r w:rsidRPr="00EE30DE">
        <w:rPr>
          <w:rFonts w:ascii="Book Antiqua" w:hAnsi="Book Antiqua"/>
          <w:color w:val="000000" w:themeColor="text1"/>
          <w:sz w:val="24"/>
          <w:szCs w:val="24"/>
          <w:vertAlign w:val="superscript"/>
        </w:rPr>
        <w:t>b</w:t>
      </w:r>
      <w:r w:rsidRPr="00EE30DE">
        <w:rPr>
          <w:rFonts w:ascii="Book Antiqua" w:hAnsi="Book Antiqua"/>
          <w:i/>
          <w:color w:val="000000" w:themeColor="text1"/>
          <w:sz w:val="24"/>
          <w:szCs w:val="24"/>
        </w:rPr>
        <w:t>P</w:t>
      </w:r>
      <w:r w:rsidR="005A42EC">
        <w:rPr>
          <w:rFonts w:ascii="Book Antiqua" w:hAnsi="Book Antiqua"/>
          <w:color w:val="000000" w:themeColor="text1"/>
          <w:sz w:val="24"/>
          <w:szCs w:val="24"/>
        </w:rPr>
        <w:t xml:space="preserve"> &lt; 0.01. N: N</w:t>
      </w:r>
      <w:r w:rsidRPr="00EE30DE">
        <w:rPr>
          <w:rFonts w:ascii="Book Antiqua" w:hAnsi="Book Antiqua"/>
          <w:color w:val="000000" w:themeColor="text1"/>
          <w:sz w:val="24"/>
          <w:szCs w:val="24"/>
        </w:rPr>
        <w:t>ormal control group; 2-AAF/CCl</w:t>
      </w:r>
      <w:r w:rsidRPr="005A42EC">
        <w:rPr>
          <w:rFonts w:ascii="Book Antiqua" w:hAnsi="Book Antiqua"/>
          <w:color w:val="000000" w:themeColor="text1"/>
          <w:sz w:val="24"/>
          <w:szCs w:val="24"/>
          <w:vertAlign w:val="subscript"/>
        </w:rPr>
        <w:t>4</w:t>
      </w:r>
      <w:r w:rsidR="005A42EC">
        <w:rPr>
          <w:rFonts w:ascii="Book Antiqua" w:hAnsi="Book Antiqua"/>
          <w:color w:val="000000" w:themeColor="text1"/>
          <w:sz w:val="24"/>
          <w:szCs w:val="24"/>
        </w:rPr>
        <w:t>:</w:t>
      </w:r>
      <w:r w:rsidRPr="00EE30DE">
        <w:rPr>
          <w:rFonts w:ascii="Book Antiqua" w:hAnsi="Book Antiqua"/>
          <w:color w:val="000000" w:themeColor="text1"/>
          <w:sz w:val="24"/>
          <w:szCs w:val="24"/>
        </w:rPr>
        <w:t xml:space="preserve"> 2-acetylaminofluorene/ca</w:t>
      </w:r>
      <w:r w:rsidR="005A42EC">
        <w:rPr>
          <w:rFonts w:ascii="Book Antiqua" w:hAnsi="Book Antiqua"/>
          <w:color w:val="000000" w:themeColor="text1"/>
          <w:sz w:val="24"/>
          <w:szCs w:val="24"/>
        </w:rPr>
        <w:t>rbon tetrachloride group; FLSPC: F</w:t>
      </w:r>
      <w:r w:rsidRPr="00EE30DE">
        <w:rPr>
          <w:rFonts w:ascii="Book Antiqua" w:hAnsi="Book Antiqua"/>
          <w:color w:val="000000" w:themeColor="text1"/>
          <w:sz w:val="24"/>
          <w:szCs w:val="24"/>
        </w:rPr>
        <w:t>etal li</w:t>
      </w:r>
      <w:r w:rsidR="005A42EC">
        <w:rPr>
          <w:rFonts w:ascii="Book Antiqua" w:hAnsi="Book Antiqua"/>
          <w:color w:val="000000" w:themeColor="text1"/>
          <w:sz w:val="24"/>
          <w:szCs w:val="24"/>
        </w:rPr>
        <w:t>ver stem/progenitor cells group;</w:t>
      </w:r>
      <w:r w:rsidRPr="00EE30DE">
        <w:rPr>
          <w:rFonts w:ascii="Book Antiqua" w:hAnsi="Book Antiqua"/>
          <w:color w:val="000000" w:themeColor="text1"/>
          <w:sz w:val="24"/>
          <w:szCs w:val="24"/>
        </w:rPr>
        <w:t xml:space="preserve"> FLSPC</w:t>
      </w:r>
      <w:r w:rsidR="005A42E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w:t>
      </w:r>
      <w:r w:rsidR="005A42EC">
        <w:rPr>
          <w:rFonts w:ascii="Book Antiqua" w:hAnsi="Book Antiqua"/>
          <w:color w:val="000000" w:themeColor="text1"/>
          <w:sz w:val="24"/>
          <w:szCs w:val="24"/>
        </w:rPr>
        <w:t xml:space="preserve"> YGJ:</w:t>
      </w:r>
      <w:r w:rsidRPr="00EE30DE">
        <w:rPr>
          <w:rFonts w:ascii="Book Antiqua" w:hAnsi="Book Antiqua"/>
          <w:color w:val="000000" w:themeColor="text1"/>
          <w:sz w:val="24"/>
          <w:szCs w:val="24"/>
        </w:rPr>
        <w:t xml:space="preserve"> FLSPCs plus Yiguanjian decoction group; FLSPC</w:t>
      </w:r>
      <w:r w:rsidR="005A42E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w:t>
      </w:r>
      <w:r w:rsidR="005A42EC">
        <w:rPr>
          <w:rFonts w:ascii="Book Antiqua" w:hAnsi="Book Antiqua"/>
          <w:color w:val="000000" w:themeColor="text1"/>
          <w:sz w:val="24"/>
          <w:szCs w:val="24"/>
        </w:rPr>
        <w:t xml:space="preserve"> SORA:</w:t>
      </w:r>
      <w:r w:rsidRPr="00EE30DE">
        <w:rPr>
          <w:rFonts w:ascii="Book Antiqua" w:hAnsi="Book Antiqua"/>
          <w:color w:val="000000" w:themeColor="text1"/>
          <w:sz w:val="24"/>
          <w:szCs w:val="24"/>
        </w:rPr>
        <w:t xml:space="preserve"> FLSPCs plus sorafenib group. </w:t>
      </w:r>
    </w:p>
    <w:p w14:paraId="6701FCD7" w14:textId="77777777" w:rsidR="005A42EC" w:rsidRDefault="005A42EC">
      <w:pPr>
        <w:widowControl/>
        <w:jc w:val="left"/>
        <w:rPr>
          <w:rFonts w:ascii="Book Antiqua" w:hAnsi="Book Antiqua" w:cs="Calibri"/>
          <w:b/>
          <w:noProof/>
          <w:color w:val="000000" w:themeColor="text1"/>
          <w:shd w:val="clear" w:color="auto" w:fill="FFFFFF"/>
          <w:lang w:val="en-CA"/>
        </w:rPr>
      </w:pPr>
      <w:r>
        <w:rPr>
          <w:rFonts w:ascii="Book Antiqua" w:hAnsi="Book Antiqua"/>
          <w:b/>
          <w:color w:val="000000" w:themeColor="text1"/>
          <w:lang w:val="en-CA"/>
        </w:rPr>
        <w:br w:type="page"/>
      </w:r>
    </w:p>
    <w:p w14:paraId="1B995EDB" w14:textId="45E46BA2"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lastRenderedPageBreak/>
        <w:drawing>
          <wp:inline distT="0" distB="0" distL="0" distR="0" wp14:anchorId="10A7A562" wp14:editId="1083CAAD">
            <wp:extent cx="5200015" cy="1821042"/>
            <wp:effectExtent l="0" t="0" r="6985" b="8255"/>
            <wp:docPr id="8" name="图片 9" descr="J:\一贯煎论文材料\WJG修改意见\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J:\一贯煎论文材料\WJG修改意见\Fig.2.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844" b="20396"/>
                    <a:stretch/>
                  </pic:blipFill>
                  <pic:spPr bwMode="auto">
                    <a:xfrm>
                      <a:off x="0" y="0"/>
                      <a:ext cx="5200015" cy="1821042"/>
                    </a:xfrm>
                    <a:prstGeom prst="rect">
                      <a:avLst/>
                    </a:prstGeom>
                    <a:noFill/>
                    <a:ln>
                      <a:noFill/>
                    </a:ln>
                    <a:extLst>
                      <a:ext uri="{53640926-AAD7-44D8-BBD7-CCE9431645EC}">
                        <a14:shadowObscured xmlns:a14="http://schemas.microsoft.com/office/drawing/2010/main"/>
                      </a:ext>
                    </a:extLst>
                  </pic:spPr>
                </pic:pic>
              </a:graphicData>
            </a:graphic>
          </wp:inline>
        </w:drawing>
      </w:r>
    </w:p>
    <w:p w14:paraId="65D8B5F9" w14:textId="7333604D" w:rsidR="00611FE1" w:rsidRPr="00EE30DE" w:rsidRDefault="00877195"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lang w:val="en-CA"/>
        </w:rPr>
        <w:t>Figure 2</w:t>
      </w:r>
      <w:r w:rsidR="00611FE1" w:rsidRPr="00EE30DE">
        <w:rPr>
          <w:rFonts w:ascii="Book Antiqua" w:hAnsi="Book Antiqua"/>
          <w:b/>
          <w:color w:val="000000" w:themeColor="text1"/>
          <w:sz w:val="24"/>
          <w:szCs w:val="24"/>
        </w:rPr>
        <w:t xml:space="preserve"> Yiguanjian decoction enhances the inhibitory effect of fetal liver stem cells on hepatic stellate cell activation.</w:t>
      </w:r>
      <w:r w:rsidR="00611FE1" w:rsidRPr="00EE30DE">
        <w:rPr>
          <w:rFonts w:ascii="Book Antiqua" w:hAnsi="Book Antiqua"/>
          <w:color w:val="000000" w:themeColor="text1"/>
          <w:sz w:val="24"/>
          <w:szCs w:val="24"/>
        </w:rPr>
        <w:t xml:space="preserve"> </w:t>
      </w:r>
      <w:r>
        <w:rPr>
          <w:rFonts w:ascii="Book Antiqua" w:hAnsi="Book Antiqua"/>
          <w:color w:val="000000" w:themeColor="text1"/>
          <w:sz w:val="24"/>
          <w:szCs w:val="24"/>
        </w:rPr>
        <w:t>A:</w:t>
      </w:r>
      <w:r w:rsidR="00611FE1" w:rsidRPr="00EE30DE">
        <w:rPr>
          <w:rFonts w:ascii="Book Antiqua" w:hAnsi="Book Antiqua"/>
          <w:color w:val="000000" w:themeColor="text1"/>
          <w:sz w:val="24"/>
          <w:szCs w:val="24"/>
        </w:rPr>
        <w:t xml:space="preserve"> Immunoblotting for </w:t>
      </w:r>
      <w:r w:rsidR="006C2606" w:rsidRPr="00EE30DE">
        <w:rPr>
          <w:rFonts w:ascii="Book Antiqua" w:hAnsi="Book Antiqua"/>
          <w:color w:val="000000" w:themeColor="text1"/>
          <w:sz w:val="24"/>
          <w:szCs w:val="24"/>
        </w:rPr>
        <w:t>α-smooth muscle actin (α-SMA</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w:t>
      </w:r>
      <w:r w:rsidR="006C2606">
        <w:rPr>
          <w:rFonts w:ascii="Book Antiqua" w:hAnsi="Book Antiqua"/>
          <w:color w:val="000000" w:themeColor="text1"/>
          <w:sz w:val="24"/>
          <w:szCs w:val="24"/>
        </w:rPr>
        <w:t>B:</w:t>
      </w:r>
      <w:r w:rsidR="00611FE1" w:rsidRPr="00EE30DE">
        <w:rPr>
          <w:rFonts w:ascii="Book Antiqua" w:hAnsi="Book Antiqua"/>
          <w:color w:val="000000" w:themeColor="text1"/>
          <w:sz w:val="24"/>
          <w:szCs w:val="24"/>
        </w:rPr>
        <w:t xml:space="preserve"> The gray-level score indicates the immunoblotting histogram for α-SMA. </w:t>
      </w:r>
      <w:r w:rsidR="006C2606">
        <w:rPr>
          <w:rFonts w:ascii="Book Antiqua" w:hAnsi="Book Antiqua"/>
          <w:color w:val="000000" w:themeColor="text1"/>
          <w:sz w:val="24"/>
          <w:szCs w:val="24"/>
        </w:rPr>
        <w:t>C:</w:t>
      </w:r>
      <w:r w:rsidR="00611FE1" w:rsidRPr="00EE30DE">
        <w:rPr>
          <w:rFonts w:ascii="Book Antiqua" w:hAnsi="Book Antiqua"/>
          <w:color w:val="000000" w:themeColor="text1"/>
          <w:sz w:val="24"/>
          <w:szCs w:val="24"/>
        </w:rPr>
        <w:t xml:space="preserve"> Relative mRNA levels of α-SMA, </w:t>
      </w:r>
      <w:r w:rsidR="006C2606">
        <w:rPr>
          <w:rFonts w:ascii="Book Antiqua" w:hAnsi="Book Antiqua" w:cs="Arial"/>
          <w:color w:val="000000" w:themeColor="text1"/>
          <w:sz w:val="24"/>
          <w:szCs w:val="24"/>
        </w:rPr>
        <w:t>collagen type I</w:t>
      </w:r>
      <w:r w:rsidR="006C2606" w:rsidRPr="00EE30DE">
        <w:rPr>
          <w:rFonts w:ascii="Book Antiqua" w:hAnsi="Book Antiqua"/>
          <w:color w:val="000000" w:themeColor="text1"/>
          <w:sz w:val="24"/>
          <w:szCs w:val="24"/>
        </w:rPr>
        <w:t xml:space="preserve"> </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Col(1)</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w:t>
      </w:r>
      <w:r w:rsidR="006C2606">
        <w:rPr>
          <w:rFonts w:ascii="Book Antiqua" w:hAnsi="Book Antiqua" w:cs="Arial"/>
          <w:color w:val="000000" w:themeColor="text1"/>
          <w:sz w:val="24"/>
          <w:szCs w:val="24"/>
        </w:rPr>
        <w:t>t</w:t>
      </w:r>
      <w:r w:rsidR="006C2606" w:rsidRPr="00EE30DE">
        <w:rPr>
          <w:rFonts w:ascii="Book Antiqua" w:hAnsi="Book Antiqua" w:cs="Arial"/>
          <w:color w:val="000000" w:themeColor="text1"/>
          <w:sz w:val="24"/>
          <w:szCs w:val="24"/>
        </w:rPr>
        <w:t>ransfo</w:t>
      </w:r>
      <w:r w:rsidR="006C2606">
        <w:rPr>
          <w:rFonts w:ascii="Book Antiqua" w:hAnsi="Book Antiqua" w:cs="Arial"/>
          <w:color w:val="000000" w:themeColor="text1"/>
          <w:sz w:val="24"/>
          <w:szCs w:val="24"/>
        </w:rPr>
        <w:t>rming growth factor beta</w:t>
      </w:r>
      <w:r w:rsidR="006C2606" w:rsidRPr="00EE30DE">
        <w:rPr>
          <w:rFonts w:ascii="Book Antiqua" w:hAnsi="Book Antiqua"/>
          <w:color w:val="000000" w:themeColor="text1"/>
          <w:sz w:val="24"/>
          <w:szCs w:val="24"/>
        </w:rPr>
        <w:t xml:space="preserve"> </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TGF-β</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w:t>
      </w:r>
      <w:r w:rsidR="006C2606">
        <w:rPr>
          <w:rFonts w:ascii="Book Antiqua" w:hAnsi="Book Antiqua"/>
          <w:color w:val="000000" w:themeColor="text1"/>
          <w:sz w:val="24"/>
          <w:szCs w:val="24"/>
        </w:rPr>
        <w:t>tumor necrosis factor alpha (</w:t>
      </w:r>
      <w:r w:rsidR="00611FE1" w:rsidRPr="00EE30DE">
        <w:rPr>
          <w:rFonts w:ascii="Book Antiqua" w:hAnsi="Book Antiqua"/>
          <w:color w:val="000000" w:themeColor="text1"/>
          <w:sz w:val="24"/>
          <w:szCs w:val="24"/>
        </w:rPr>
        <w:t>TNF-α</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CD68, and CD163. The mRNA levels were normalized to </w:t>
      </w:r>
      <w:bookmarkStart w:id="195" w:name="OLE_LINK38"/>
      <w:bookmarkStart w:id="196" w:name="OLE_LINK39"/>
      <w:r w:rsidR="00611FE1" w:rsidRPr="006C2606">
        <w:rPr>
          <w:rFonts w:ascii="Book Antiqua" w:hAnsi="Book Antiqua"/>
          <w:color w:val="000000" w:themeColor="text1"/>
          <w:sz w:val="24"/>
          <w:szCs w:val="24"/>
        </w:rPr>
        <w:t>GAPD</w:t>
      </w:r>
      <w:r w:rsidR="00611FE1" w:rsidRPr="00EE30DE">
        <w:rPr>
          <w:rFonts w:ascii="Book Antiqua" w:hAnsi="Book Antiqua"/>
          <w:color w:val="000000" w:themeColor="text1"/>
          <w:sz w:val="24"/>
          <w:szCs w:val="24"/>
        </w:rPr>
        <w:t>H</w:t>
      </w:r>
      <w:bookmarkEnd w:id="195"/>
      <w:bookmarkEnd w:id="196"/>
      <w:r w:rsidR="00FF4471">
        <w:rPr>
          <w:rFonts w:ascii="Book Antiqua" w:hAnsi="Book Antiqua" w:hint="eastAsia"/>
          <w:color w:val="000000" w:themeColor="text1"/>
          <w:sz w:val="24"/>
          <w:szCs w:val="24"/>
        </w:rPr>
        <w:t xml:space="preserve"> </w:t>
      </w:r>
      <w:r w:rsidR="00611FE1" w:rsidRPr="00EE30DE">
        <w:rPr>
          <w:rFonts w:ascii="Book Antiqua" w:hAnsi="Book Antiqua"/>
          <w:color w:val="000000" w:themeColor="text1"/>
          <w:sz w:val="24"/>
          <w:szCs w:val="24"/>
        </w:rPr>
        <w:t xml:space="preserve">expression. </w:t>
      </w:r>
      <w:r w:rsidR="00611FE1" w:rsidRPr="00EE30DE">
        <w:rPr>
          <w:rFonts w:ascii="Book Antiqua" w:hAnsi="Book Antiqua"/>
          <w:color w:val="000000" w:themeColor="text1"/>
          <w:sz w:val="24"/>
          <w:szCs w:val="24"/>
          <w:vertAlign w:val="superscript"/>
        </w:rPr>
        <w:t>a</w:t>
      </w:r>
      <w:r w:rsidR="00611FE1" w:rsidRPr="00EE30DE">
        <w:rPr>
          <w:rFonts w:ascii="Book Antiqua" w:hAnsi="Book Antiqua"/>
          <w:i/>
          <w:color w:val="000000" w:themeColor="text1"/>
          <w:sz w:val="24"/>
          <w:szCs w:val="24"/>
        </w:rPr>
        <w:t>P</w:t>
      </w:r>
      <w:r w:rsidR="00611FE1" w:rsidRPr="00EE30DE">
        <w:rPr>
          <w:rFonts w:ascii="Book Antiqua" w:hAnsi="Book Antiqua"/>
          <w:color w:val="000000" w:themeColor="text1"/>
          <w:sz w:val="24"/>
          <w:szCs w:val="24"/>
        </w:rPr>
        <w:t xml:space="preserve"> &lt; 0.05, </w:t>
      </w:r>
      <w:r w:rsidR="00611FE1" w:rsidRPr="00EE30DE">
        <w:rPr>
          <w:rFonts w:ascii="Book Antiqua" w:hAnsi="Book Antiqua"/>
          <w:color w:val="000000" w:themeColor="text1"/>
          <w:sz w:val="24"/>
          <w:szCs w:val="24"/>
          <w:vertAlign w:val="superscript"/>
        </w:rPr>
        <w:t>b</w:t>
      </w:r>
      <w:r w:rsidR="00611FE1" w:rsidRPr="00EE30DE">
        <w:rPr>
          <w:rFonts w:ascii="Book Antiqua" w:hAnsi="Book Antiqua"/>
          <w:i/>
          <w:color w:val="000000" w:themeColor="text1"/>
          <w:sz w:val="24"/>
          <w:szCs w:val="24"/>
        </w:rPr>
        <w:t>P</w:t>
      </w:r>
      <w:r w:rsidR="006C2606">
        <w:rPr>
          <w:rFonts w:ascii="Book Antiqua" w:hAnsi="Book Antiqua"/>
          <w:color w:val="000000" w:themeColor="text1"/>
          <w:sz w:val="24"/>
          <w:szCs w:val="24"/>
        </w:rPr>
        <w:t xml:space="preserve"> &lt; 0.01. N: n</w:t>
      </w:r>
      <w:r w:rsidR="00611FE1" w:rsidRPr="00EE30DE">
        <w:rPr>
          <w:rFonts w:ascii="Book Antiqua" w:hAnsi="Book Antiqua"/>
          <w:color w:val="000000" w:themeColor="text1"/>
          <w:sz w:val="24"/>
          <w:szCs w:val="24"/>
        </w:rPr>
        <w:t>ormal control group; 2-AAF/CCl</w:t>
      </w:r>
      <w:r w:rsidR="00611FE1" w:rsidRPr="006C2606">
        <w:rPr>
          <w:rFonts w:ascii="Book Antiqua" w:hAnsi="Book Antiqua"/>
          <w:color w:val="000000" w:themeColor="text1"/>
          <w:sz w:val="24"/>
          <w:szCs w:val="24"/>
          <w:vertAlign w:val="subscript"/>
        </w:rPr>
        <w:t>4</w:t>
      </w:r>
      <w:r w:rsidR="006C2606">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2-acetylaminofluorene/ca</w:t>
      </w:r>
      <w:r w:rsidR="006C2606">
        <w:rPr>
          <w:rFonts w:ascii="Book Antiqua" w:hAnsi="Book Antiqua"/>
          <w:color w:val="000000" w:themeColor="text1"/>
          <w:sz w:val="24"/>
          <w:szCs w:val="24"/>
        </w:rPr>
        <w:t>rbon tetrachloride group; FLSPC: F</w:t>
      </w:r>
      <w:r w:rsidR="00611FE1" w:rsidRPr="00EE30DE">
        <w:rPr>
          <w:rFonts w:ascii="Book Antiqua" w:hAnsi="Book Antiqua"/>
          <w:color w:val="000000" w:themeColor="text1"/>
          <w:sz w:val="24"/>
          <w:szCs w:val="24"/>
        </w:rPr>
        <w:t>etal l</w:t>
      </w:r>
      <w:r w:rsidR="006C2606">
        <w:rPr>
          <w:rFonts w:ascii="Book Antiqua" w:hAnsi="Book Antiqua"/>
          <w:color w:val="000000" w:themeColor="text1"/>
          <w:sz w:val="24"/>
          <w:szCs w:val="24"/>
        </w:rPr>
        <w:t>iver stem/progenitor cell group;</w:t>
      </w:r>
      <w:r w:rsidR="00611FE1" w:rsidRPr="00EE30DE">
        <w:rPr>
          <w:rFonts w:ascii="Book Antiqua" w:hAnsi="Book Antiqua"/>
          <w:color w:val="000000" w:themeColor="text1"/>
          <w:sz w:val="24"/>
          <w:szCs w:val="24"/>
        </w:rPr>
        <w:t xml:space="preserve"> FLSPC</w:t>
      </w:r>
      <w:r w:rsidR="006C2606">
        <w:rPr>
          <w:rFonts w:ascii="Book Antiqua" w:hAnsi="Book Antiqua"/>
          <w:color w:val="000000" w:themeColor="text1"/>
          <w:sz w:val="24"/>
          <w:szCs w:val="24"/>
        </w:rPr>
        <w:t xml:space="preserve"> </w:t>
      </w:r>
      <w:r w:rsidR="00611FE1" w:rsidRPr="00EE30DE">
        <w:rPr>
          <w:rFonts w:ascii="Book Antiqua" w:hAnsi="Book Antiqua"/>
          <w:color w:val="000000" w:themeColor="text1"/>
          <w:sz w:val="24"/>
          <w:szCs w:val="24"/>
        </w:rPr>
        <w:t>+</w:t>
      </w:r>
      <w:r w:rsidR="006C2606">
        <w:rPr>
          <w:rFonts w:ascii="Book Antiqua" w:hAnsi="Book Antiqua"/>
          <w:color w:val="000000" w:themeColor="text1"/>
          <w:sz w:val="24"/>
          <w:szCs w:val="24"/>
        </w:rPr>
        <w:t xml:space="preserve"> YGJ:</w:t>
      </w:r>
      <w:r w:rsidR="00611FE1" w:rsidRPr="00EE30DE">
        <w:rPr>
          <w:rFonts w:ascii="Book Antiqua" w:hAnsi="Book Antiqua"/>
          <w:color w:val="000000" w:themeColor="text1"/>
          <w:sz w:val="24"/>
          <w:szCs w:val="24"/>
        </w:rPr>
        <w:t xml:space="preserve"> FLSPCs plus Yiguanjian decoction group; FLSPC</w:t>
      </w:r>
      <w:r w:rsidR="006C2606">
        <w:rPr>
          <w:rFonts w:ascii="Book Antiqua" w:hAnsi="Book Antiqua"/>
          <w:color w:val="000000" w:themeColor="text1"/>
          <w:sz w:val="24"/>
          <w:szCs w:val="24"/>
        </w:rPr>
        <w:t xml:space="preserve"> </w:t>
      </w:r>
      <w:r w:rsidR="00611FE1" w:rsidRPr="00EE30DE">
        <w:rPr>
          <w:rFonts w:ascii="Book Antiqua" w:hAnsi="Book Antiqua"/>
          <w:color w:val="000000" w:themeColor="text1"/>
          <w:sz w:val="24"/>
          <w:szCs w:val="24"/>
        </w:rPr>
        <w:t>+</w:t>
      </w:r>
      <w:r w:rsidR="006C2606">
        <w:rPr>
          <w:rFonts w:ascii="Book Antiqua" w:hAnsi="Book Antiqua"/>
          <w:color w:val="000000" w:themeColor="text1"/>
          <w:sz w:val="24"/>
          <w:szCs w:val="24"/>
        </w:rPr>
        <w:t xml:space="preserve"> SORA:</w:t>
      </w:r>
      <w:r w:rsidR="00611FE1" w:rsidRPr="00EE30DE">
        <w:rPr>
          <w:rFonts w:ascii="Book Antiqua" w:hAnsi="Book Antiqua"/>
          <w:color w:val="000000" w:themeColor="text1"/>
          <w:sz w:val="24"/>
          <w:szCs w:val="24"/>
        </w:rPr>
        <w:t xml:space="preserve"> FLSPCs plus sorafenib group. </w:t>
      </w:r>
    </w:p>
    <w:p w14:paraId="2F728A3A" w14:textId="77777777" w:rsidR="00533D8C" w:rsidRDefault="00533D8C">
      <w:pPr>
        <w:widowControl/>
        <w:jc w:val="left"/>
        <w:rPr>
          <w:rFonts w:ascii="Book Antiqua" w:hAnsi="Book Antiqua" w:cs="Calibri"/>
          <w:noProof/>
          <w:color w:val="000000" w:themeColor="text1"/>
          <w:shd w:val="clear" w:color="auto" w:fill="FFFFFF"/>
        </w:rPr>
      </w:pPr>
      <w:r>
        <w:rPr>
          <w:rFonts w:ascii="Book Antiqua" w:hAnsi="Book Antiqua"/>
          <w:color w:val="000000" w:themeColor="text1"/>
        </w:rPr>
        <w:br w:type="page"/>
      </w:r>
    </w:p>
    <w:p w14:paraId="45C9F70F" w14:textId="11C436AF"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lastRenderedPageBreak/>
        <w:drawing>
          <wp:inline distT="0" distB="0" distL="0" distR="0" wp14:anchorId="7879B12F" wp14:editId="4FE619D5">
            <wp:extent cx="5210810" cy="2832487"/>
            <wp:effectExtent l="0" t="0" r="0" b="12700"/>
            <wp:docPr id="9" name="图片 10" descr="J:\一贯煎论文材料\WJG修改意见\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J:\一贯煎论文材料\WJG修改意见\Fig.3.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302" b="9039"/>
                    <a:stretch/>
                  </pic:blipFill>
                  <pic:spPr bwMode="auto">
                    <a:xfrm>
                      <a:off x="0" y="0"/>
                      <a:ext cx="5210810" cy="2832487"/>
                    </a:xfrm>
                    <a:prstGeom prst="rect">
                      <a:avLst/>
                    </a:prstGeom>
                    <a:noFill/>
                    <a:ln>
                      <a:noFill/>
                    </a:ln>
                    <a:extLst>
                      <a:ext uri="{53640926-AAD7-44D8-BBD7-CCE9431645EC}">
                        <a14:shadowObscured xmlns:a14="http://schemas.microsoft.com/office/drawing/2010/main"/>
                      </a:ext>
                    </a:extLst>
                  </pic:spPr>
                </pic:pic>
              </a:graphicData>
            </a:graphic>
          </wp:inline>
        </w:drawing>
      </w:r>
    </w:p>
    <w:p w14:paraId="7017DFF9" w14:textId="00CF2167"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b/>
          <w:color w:val="000000" w:themeColor="text1"/>
          <w:sz w:val="24"/>
          <w:szCs w:val="24"/>
          <w:lang w:val="en-CA"/>
        </w:rPr>
        <w:t>Figure 3</w:t>
      </w:r>
      <w:r w:rsidRPr="00EE30DE">
        <w:rPr>
          <w:rFonts w:ascii="Book Antiqua" w:hAnsi="Book Antiqua"/>
          <w:color w:val="000000" w:themeColor="text1"/>
          <w:sz w:val="24"/>
          <w:szCs w:val="24"/>
        </w:rPr>
        <w:t xml:space="preserve"> </w:t>
      </w:r>
      <w:r w:rsidRPr="00EE30DE">
        <w:rPr>
          <w:rFonts w:ascii="Book Antiqua" w:hAnsi="Book Antiqua"/>
          <w:b/>
          <w:color w:val="000000" w:themeColor="text1"/>
          <w:sz w:val="24"/>
          <w:szCs w:val="24"/>
        </w:rPr>
        <w:t xml:space="preserve">Yiguanjian decoction promotes the differentiation of </w:t>
      </w:r>
      <w:r w:rsidR="00533D8C">
        <w:rPr>
          <w:rFonts w:ascii="Book Antiqua" w:hAnsi="Book Antiqua"/>
          <w:b/>
          <w:color w:val="000000" w:themeColor="text1"/>
          <w:sz w:val="24"/>
          <w:szCs w:val="24"/>
        </w:rPr>
        <w:t>f</w:t>
      </w:r>
      <w:r w:rsidR="00533D8C" w:rsidRPr="00533D8C">
        <w:rPr>
          <w:rFonts w:ascii="Book Antiqua" w:hAnsi="Book Antiqua"/>
          <w:b/>
          <w:color w:val="000000" w:themeColor="text1"/>
          <w:sz w:val="24"/>
          <w:szCs w:val="24"/>
        </w:rPr>
        <w:t>etal liver stem/progenitor cells</w:t>
      </w:r>
      <w:r w:rsidRPr="00EE30DE">
        <w:rPr>
          <w:rFonts w:ascii="Book Antiqua" w:hAnsi="Book Antiqua"/>
          <w:b/>
          <w:color w:val="000000" w:themeColor="text1"/>
          <w:sz w:val="24"/>
          <w:szCs w:val="24"/>
        </w:rPr>
        <w:t xml:space="preserve"> into hepatocytes. </w:t>
      </w:r>
      <w:r w:rsidR="00533D8C">
        <w:rPr>
          <w:rFonts w:ascii="Book Antiqua" w:hAnsi="Book Antiqua"/>
          <w:color w:val="000000" w:themeColor="text1"/>
          <w:sz w:val="24"/>
          <w:szCs w:val="24"/>
        </w:rPr>
        <w:t>A:</w:t>
      </w:r>
      <w:r w:rsidRPr="00EE30DE">
        <w:rPr>
          <w:rFonts w:ascii="Book Antiqua" w:hAnsi="Book Antiqua"/>
          <w:color w:val="000000" w:themeColor="text1"/>
          <w:sz w:val="24"/>
          <w:szCs w:val="24"/>
        </w:rPr>
        <w:t xml:space="preserve"> Double immunofluorescent staining of </w:t>
      </w:r>
      <w:r w:rsidR="00533D8C">
        <w:rPr>
          <w:rFonts w:ascii="Book Antiqua" w:hAnsi="Book Antiqua"/>
          <w:color w:val="000000" w:themeColor="text1"/>
          <w:sz w:val="24"/>
          <w:szCs w:val="24"/>
        </w:rPr>
        <w:t>f</w:t>
      </w:r>
      <w:r w:rsidR="00533D8C" w:rsidRPr="00EE30DE">
        <w:rPr>
          <w:rFonts w:ascii="Book Antiqua" w:hAnsi="Book Antiqua"/>
          <w:color w:val="000000" w:themeColor="text1"/>
          <w:sz w:val="24"/>
          <w:szCs w:val="24"/>
        </w:rPr>
        <w:t>etal li</w:t>
      </w:r>
      <w:r w:rsidR="00533D8C">
        <w:rPr>
          <w:rFonts w:ascii="Book Antiqua" w:hAnsi="Book Antiqua"/>
          <w:color w:val="000000" w:themeColor="text1"/>
          <w:sz w:val="24"/>
          <w:szCs w:val="24"/>
        </w:rPr>
        <w:t>ver stem/progenitor cells</w:t>
      </w:r>
      <w:r w:rsidR="00533D8C" w:rsidRPr="00EE30DE">
        <w:rPr>
          <w:rFonts w:ascii="Book Antiqua" w:hAnsi="Book Antiqua"/>
          <w:color w:val="000000" w:themeColor="text1"/>
          <w:sz w:val="24"/>
          <w:szCs w:val="24"/>
        </w:rPr>
        <w:t xml:space="preserve"> </w:t>
      </w:r>
      <w:r w:rsidR="00533D8C">
        <w:rPr>
          <w:rFonts w:ascii="Book Antiqua" w:hAnsi="Book Antiqua"/>
          <w:color w:val="000000" w:themeColor="text1"/>
          <w:sz w:val="24"/>
          <w:szCs w:val="24"/>
        </w:rPr>
        <w:t>(</w:t>
      </w:r>
      <w:r w:rsidRPr="00EE30DE">
        <w:rPr>
          <w:rFonts w:ascii="Book Antiqua" w:hAnsi="Book Antiqua"/>
          <w:color w:val="000000" w:themeColor="text1"/>
          <w:sz w:val="24"/>
          <w:szCs w:val="24"/>
        </w:rPr>
        <w:t>FLSPCs</w:t>
      </w:r>
      <w:r w:rsidR="00533D8C">
        <w:rPr>
          <w:rFonts w:ascii="Book Antiqua" w:hAnsi="Book Antiqua"/>
          <w:color w:val="000000" w:themeColor="text1"/>
          <w:sz w:val="24"/>
          <w:szCs w:val="24"/>
        </w:rPr>
        <w:t>)</w:t>
      </w:r>
      <w:r w:rsidRPr="00EE30DE">
        <w:rPr>
          <w:rFonts w:ascii="Book Antiqua" w:hAnsi="Book Antiqua"/>
          <w:color w:val="000000" w:themeColor="text1"/>
          <w:sz w:val="24"/>
          <w:szCs w:val="24"/>
        </w:rPr>
        <w:t xml:space="preserve"> (green) and HNF4α (red) merged (×</w:t>
      </w:r>
      <w:r w:rsidR="00533D8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 xml:space="preserve">200). </w:t>
      </w:r>
      <w:r w:rsidR="00533D8C">
        <w:rPr>
          <w:rFonts w:ascii="Book Antiqua" w:hAnsi="Book Antiqua"/>
          <w:color w:val="000000" w:themeColor="text1"/>
          <w:sz w:val="24"/>
          <w:szCs w:val="24"/>
        </w:rPr>
        <w:t>B:</w:t>
      </w:r>
      <w:r w:rsidRPr="00EE30DE">
        <w:rPr>
          <w:rFonts w:ascii="Book Antiqua" w:hAnsi="Book Antiqua"/>
          <w:color w:val="000000" w:themeColor="text1"/>
          <w:sz w:val="24"/>
          <w:szCs w:val="24"/>
        </w:rPr>
        <w:t xml:space="preserve"> Double immunofluorescent staining of FLSPCs (green) and </w:t>
      </w:r>
      <w:r w:rsidR="00533D8C">
        <w:rPr>
          <w:rFonts w:ascii="Book Antiqua" w:hAnsi="Book Antiqua" w:cs="Arial"/>
          <w:color w:val="000000" w:themeColor="text1"/>
          <w:sz w:val="24"/>
          <w:szCs w:val="24"/>
        </w:rPr>
        <w:t>Hep Par-1 (</w:t>
      </w:r>
      <w:r w:rsidRPr="00EE30DE">
        <w:rPr>
          <w:rFonts w:ascii="Book Antiqua" w:hAnsi="Book Antiqua"/>
          <w:color w:val="000000" w:themeColor="text1"/>
          <w:sz w:val="24"/>
          <w:szCs w:val="24"/>
        </w:rPr>
        <w:t>Hep</w:t>
      </w:r>
      <w:r w:rsidR="00533D8C">
        <w:rPr>
          <w:rFonts w:ascii="Book Antiqua" w:hAnsi="Book Antiqua"/>
          <w:color w:val="000000" w:themeColor="text1"/>
          <w:sz w:val="24"/>
          <w:szCs w:val="24"/>
        </w:rPr>
        <w:t>)</w:t>
      </w:r>
      <w:r w:rsidRPr="00EE30DE">
        <w:rPr>
          <w:rFonts w:ascii="Book Antiqua" w:hAnsi="Book Antiqua"/>
          <w:color w:val="000000" w:themeColor="text1"/>
          <w:sz w:val="24"/>
          <w:szCs w:val="24"/>
        </w:rPr>
        <w:t xml:space="preserve"> (red) merged (×</w:t>
      </w:r>
      <w:r w:rsidR="00533D8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 xml:space="preserve">200), DAPI (blue) counterstain was used to locate the nuclei. </w:t>
      </w:r>
      <w:r w:rsidR="00533D8C">
        <w:rPr>
          <w:rFonts w:ascii="Book Antiqua" w:hAnsi="Book Antiqua"/>
          <w:color w:val="000000" w:themeColor="text1"/>
          <w:sz w:val="24"/>
          <w:szCs w:val="24"/>
        </w:rPr>
        <w:t>C:</w:t>
      </w:r>
      <w:r w:rsidRPr="00EE30DE">
        <w:rPr>
          <w:rFonts w:ascii="Book Antiqua" w:hAnsi="Book Antiqua"/>
          <w:color w:val="000000" w:themeColor="text1"/>
          <w:sz w:val="24"/>
          <w:szCs w:val="24"/>
        </w:rPr>
        <w:t xml:space="preserve"> Relative mRNA levels of </w:t>
      </w:r>
      <w:r w:rsidR="00533D8C">
        <w:rPr>
          <w:rFonts w:ascii="Book Antiqua" w:hAnsi="Book Antiqua" w:cs="Arial"/>
          <w:color w:val="000000" w:themeColor="text1"/>
          <w:sz w:val="24"/>
          <w:szCs w:val="24"/>
        </w:rPr>
        <w:t>h</w:t>
      </w:r>
      <w:r w:rsidR="00533D8C" w:rsidRPr="00EE30DE">
        <w:rPr>
          <w:rFonts w:ascii="Book Antiqua" w:hAnsi="Book Antiqua" w:cs="Arial"/>
          <w:color w:val="000000" w:themeColor="text1"/>
          <w:sz w:val="24"/>
          <w:szCs w:val="24"/>
        </w:rPr>
        <w:t>epatoc</w:t>
      </w:r>
      <w:r w:rsidR="00533D8C">
        <w:rPr>
          <w:rFonts w:ascii="Book Antiqua" w:hAnsi="Book Antiqua" w:cs="Arial"/>
          <w:color w:val="000000" w:themeColor="text1"/>
          <w:sz w:val="24"/>
          <w:szCs w:val="24"/>
        </w:rPr>
        <w:t>yte nuclear factor 4 alpha</w:t>
      </w:r>
      <w:r w:rsidR="00533D8C" w:rsidRPr="00EE30DE">
        <w:rPr>
          <w:rFonts w:ascii="Book Antiqua" w:hAnsi="Book Antiqua"/>
          <w:color w:val="000000" w:themeColor="text1"/>
          <w:sz w:val="24"/>
          <w:szCs w:val="24"/>
        </w:rPr>
        <w:t xml:space="preserve"> </w:t>
      </w:r>
      <w:r w:rsidR="00533D8C">
        <w:rPr>
          <w:rFonts w:ascii="Book Antiqua" w:hAnsi="Book Antiqua"/>
          <w:color w:val="000000" w:themeColor="text1"/>
          <w:sz w:val="24"/>
          <w:szCs w:val="24"/>
        </w:rPr>
        <w:t>(</w:t>
      </w:r>
      <w:r w:rsidRPr="00EE30DE">
        <w:rPr>
          <w:rFonts w:ascii="Book Antiqua" w:hAnsi="Book Antiqua"/>
          <w:color w:val="000000" w:themeColor="text1"/>
          <w:sz w:val="24"/>
          <w:szCs w:val="24"/>
        </w:rPr>
        <w:t>HNF4α</w:t>
      </w:r>
      <w:r w:rsidR="00533D8C">
        <w:rPr>
          <w:rFonts w:ascii="Book Antiqua" w:hAnsi="Book Antiqua"/>
          <w:color w:val="000000" w:themeColor="text1"/>
          <w:sz w:val="24"/>
          <w:szCs w:val="24"/>
        </w:rPr>
        <w:t>)</w:t>
      </w:r>
      <w:r w:rsidRPr="00EE30DE">
        <w:rPr>
          <w:rFonts w:ascii="Book Antiqua" w:hAnsi="Book Antiqua"/>
          <w:color w:val="000000" w:themeColor="text1"/>
          <w:sz w:val="24"/>
          <w:szCs w:val="24"/>
        </w:rPr>
        <w:t xml:space="preserve"> and Hep. The mRNA levels were normalized to the</w:t>
      </w:r>
      <w:r w:rsidR="009311CC">
        <w:rPr>
          <w:rFonts w:ascii="Book Antiqua" w:hAnsi="Book Antiqua" w:hint="eastAsia"/>
          <w:color w:val="000000" w:themeColor="text1"/>
          <w:sz w:val="24"/>
          <w:szCs w:val="24"/>
        </w:rPr>
        <w:t xml:space="preserve"> </w:t>
      </w:r>
      <w:r w:rsidR="00533D8C" w:rsidRPr="006C2606">
        <w:rPr>
          <w:rFonts w:ascii="Book Antiqua" w:hAnsi="Book Antiqua"/>
          <w:color w:val="000000" w:themeColor="text1"/>
          <w:sz w:val="24"/>
          <w:szCs w:val="24"/>
        </w:rPr>
        <w:t>GAPD</w:t>
      </w:r>
      <w:r w:rsidR="00533D8C" w:rsidRPr="00EE30DE">
        <w:rPr>
          <w:rFonts w:ascii="Book Antiqua" w:hAnsi="Book Antiqua"/>
          <w:color w:val="000000" w:themeColor="text1"/>
          <w:sz w:val="24"/>
          <w:szCs w:val="24"/>
        </w:rPr>
        <w:t>H</w:t>
      </w:r>
      <w:r w:rsidR="00533D8C">
        <w:rPr>
          <w:rFonts w:ascii="Book Antiqua" w:hAnsi="Book Antiqua"/>
          <w:color w:val="000000" w:themeColor="text1"/>
          <w:sz w:val="24"/>
          <w:szCs w:val="24"/>
        </w:rPr>
        <w:t xml:space="preserve"> </w:t>
      </w:r>
      <w:r w:rsidRPr="00EE30DE">
        <w:rPr>
          <w:rFonts w:ascii="Book Antiqua" w:hAnsi="Book Antiqua"/>
          <w:color w:val="000000" w:themeColor="text1"/>
          <w:sz w:val="24"/>
          <w:szCs w:val="24"/>
        </w:rPr>
        <w:t xml:space="preserve">expression levels. </w:t>
      </w:r>
      <w:r w:rsidR="00CE302E">
        <w:rPr>
          <w:rFonts w:ascii="Book Antiqua" w:hAnsi="Book Antiqua"/>
          <w:color w:val="000000" w:themeColor="text1"/>
          <w:sz w:val="24"/>
          <w:szCs w:val="24"/>
        </w:rPr>
        <w:t>D:</w:t>
      </w:r>
      <w:r w:rsidRPr="00EE30DE">
        <w:rPr>
          <w:rFonts w:ascii="Book Antiqua" w:hAnsi="Book Antiqua"/>
          <w:color w:val="000000" w:themeColor="text1"/>
          <w:sz w:val="24"/>
          <w:szCs w:val="24"/>
        </w:rPr>
        <w:t xml:space="preserve"> Immunoblotting for HNF4α and Hep. </w:t>
      </w:r>
      <w:r w:rsidR="00CE302E">
        <w:rPr>
          <w:rFonts w:ascii="Book Antiqua" w:hAnsi="Book Antiqua"/>
          <w:color w:val="000000" w:themeColor="text1"/>
          <w:sz w:val="24"/>
          <w:szCs w:val="24"/>
        </w:rPr>
        <w:t>E:</w:t>
      </w:r>
      <w:r w:rsidRPr="00EE30DE">
        <w:rPr>
          <w:rFonts w:ascii="Book Antiqua" w:hAnsi="Book Antiqua"/>
          <w:color w:val="000000" w:themeColor="text1"/>
          <w:sz w:val="24"/>
          <w:szCs w:val="24"/>
        </w:rPr>
        <w:t xml:space="preserve"> The gray-level score indicates the immunoblotting histogram for HNF4α and Hep. </w:t>
      </w:r>
      <w:r w:rsidRPr="00EE30DE">
        <w:rPr>
          <w:rFonts w:ascii="Book Antiqua" w:hAnsi="Book Antiqua"/>
          <w:color w:val="000000" w:themeColor="text1"/>
          <w:sz w:val="24"/>
          <w:szCs w:val="24"/>
          <w:vertAlign w:val="superscript"/>
        </w:rPr>
        <w:t>a</w:t>
      </w:r>
      <w:r w:rsidRPr="00EE30DE">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 </w:t>
      </w:r>
      <w:r w:rsidRPr="00EE30DE">
        <w:rPr>
          <w:rFonts w:ascii="Book Antiqua" w:hAnsi="Book Antiqua"/>
          <w:color w:val="000000" w:themeColor="text1"/>
          <w:sz w:val="24"/>
          <w:szCs w:val="24"/>
          <w:vertAlign w:val="superscript"/>
        </w:rPr>
        <w:t>b</w:t>
      </w:r>
      <w:r w:rsidRPr="00EE30DE">
        <w:rPr>
          <w:rFonts w:ascii="Book Antiqua" w:hAnsi="Book Antiqua"/>
          <w:i/>
          <w:color w:val="000000" w:themeColor="text1"/>
          <w:sz w:val="24"/>
          <w:szCs w:val="24"/>
        </w:rPr>
        <w:t>P</w:t>
      </w:r>
      <w:r w:rsidR="00CE302E">
        <w:rPr>
          <w:rFonts w:ascii="Book Antiqua" w:hAnsi="Book Antiqua"/>
          <w:color w:val="000000" w:themeColor="text1"/>
          <w:sz w:val="24"/>
          <w:szCs w:val="24"/>
        </w:rPr>
        <w:t xml:space="preserve"> &lt; 0.01. N: N</w:t>
      </w:r>
      <w:r w:rsidRPr="00EE30DE">
        <w:rPr>
          <w:rFonts w:ascii="Book Antiqua" w:hAnsi="Book Antiqua"/>
          <w:color w:val="000000" w:themeColor="text1"/>
          <w:sz w:val="24"/>
          <w:szCs w:val="24"/>
        </w:rPr>
        <w:t>ormal control group; 2-AAF/CCl</w:t>
      </w:r>
      <w:r w:rsidRPr="00CE302E">
        <w:rPr>
          <w:rFonts w:ascii="Book Antiqua" w:hAnsi="Book Antiqua"/>
          <w:color w:val="000000" w:themeColor="text1"/>
          <w:sz w:val="24"/>
          <w:szCs w:val="24"/>
          <w:vertAlign w:val="subscript"/>
        </w:rPr>
        <w:t>4</w:t>
      </w:r>
      <w:r w:rsidRPr="00EE30DE">
        <w:rPr>
          <w:rFonts w:ascii="Book Antiqua" w:hAnsi="Book Antiqua"/>
          <w:color w:val="000000" w:themeColor="text1"/>
          <w:sz w:val="24"/>
          <w:szCs w:val="24"/>
        </w:rPr>
        <w:t>, 2-acetylaminofluorene/carbon tetrac</w:t>
      </w:r>
      <w:r w:rsidR="00CE302E">
        <w:rPr>
          <w:rFonts w:ascii="Book Antiqua" w:hAnsi="Book Antiqua"/>
          <w:color w:val="000000" w:themeColor="text1"/>
          <w:sz w:val="24"/>
          <w:szCs w:val="24"/>
        </w:rPr>
        <w:t>hloride group; FLSPC: F</w:t>
      </w:r>
      <w:r w:rsidRPr="00EE30DE">
        <w:rPr>
          <w:rFonts w:ascii="Book Antiqua" w:hAnsi="Book Antiqua"/>
          <w:color w:val="000000" w:themeColor="text1"/>
          <w:sz w:val="24"/>
          <w:szCs w:val="24"/>
        </w:rPr>
        <w:t>etal li</w:t>
      </w:r>
      <w:r w:rsidR="00CE302E">
        <w:rPr>
          <w:rFonts w:ascii="Book Antiqua" w:hAnsi="Book Antiqua"/>
          <w:color w:val="000000" w:themeColor="text1"/>
          <w:sz w:val="24"/>
          <w:szCs w:val="24"/>
        </w:rPr>
        <w:t>ver stem/progenitor cells group;</w:t>
      </w:r>
      <w:r w:rsidRPr="00EE30DE">
        <w:rPr>
          <w:rFonts w:ascii="Book Antiqua" w:hAnsi="Book Antiqua"/>
          <w:color w:val="000000" w:themeColor="text1"/>
          <w:sz w:val="24"/>
          <w:szCs w:val="24"/>
        </w:rPr>
        <w:t xml:space="preserve"> FLSPC</w:t>
      </w:r>
      <w:r w:rsidR="00CE302E">
        <w:rPr>
          <w:rFonts w:ascii="Book Antiqua" w:hAnsi="Book Antiqua"/>
          <w:color w:val="000000" w:themeColor="text1"/>
          <w:sz w:val="24"/>
          <w:szCs w:val="24"/>
        </w:rPr>
        <w:t xml:space="preserve"> </w:t>
      </w:r>
      <w:r w:rsidRPr="00EE30DE">
        <w:rPr>
          <w:rFonts w:ascii="Book Antiqua" w:hAnsi="Book Antiqua"/>
          <w:color w:val="000000" w:themeColor="text1"/>
          <w:sz w:val="24"/>
          <w:szCs w:val="24"/>
        </w:rPr>
        <w:t>+</w:t>
      </w:r>
      <w:r w:rsidR="00CE302E">
        <w:rPr>
          <w:rFonts w:ascii="Book Antiqua" w:hAnsi="Book Antiqua"/>
          <w:color w:val="000000" w:themeColor="text1"/>
          <w:sz w:val="24"/>
          <w:szCs w:val="24"/>
        </w:rPr>
        <w:t xml:space="preserve"> YGJ:</w:t>
      </w:r>
      <w:r w:rsidRPr="00EE30DE">
        <w:rPr>
          <w:rFonts w:ascii="Book Antiqua" w:hAnsi="Book Antiqua"/>
          <w:color w:val="000000" w:themeColor="text1"/>
          <w:sz w:val="24"/>
          <w:szCs w:val="24"/>
        </w:rPr>
        <w:t xml:space="preserve"> FLSPCs plus Yiguanjian decoction group; FLSPC</w:t>
      </w:r>
      <w:r w:rsidR="00CE302E">
        <w:rPr>
          <w:rFonts w:ascii="Book Antiqua" w:hAnsi="Book Antiqua"/>
          <w:color w:val="000000" w:themeColor="text1"/>
          <w:sz w:val="24"/>
          <w:szCs w:val="24"/>
        </w:rPr>
        <w:t xml:space="preserve"> </w:t>
      </w:r>
      <w:r w:rsidRPr="00EE30DE">
        <w:rPr>
          <w:rFonts w:ascii="Book Antiqua" w:hAnsi="Book Antiqua"/>
          <w:color w:val="000000" w:themeColor="text1"/>
          <w:sz w:val="24"/>
          <w:szCs w:val="24"/>
        </w:rPr>
        <w:t>+</w:t>
      </w:r>
      <w:r w:rsidR="00CE302E">
        <w:rPr>
          <w:rFonts w:ascii="Book Antiqua" w:hAnsi="Book Antiqua"/>
          <w:color w:val="000000" w:themeColor="text1"/>
          <w:sz w:val="24"/>
          <w:szCs w:val="24"/>
        </w:rPr>
        <w:t xml:space="preserve"> SORA:</w:t>
      </w:r>
      <w:r w:rsidRPr="00EE30DE">
        <w:rPr>
          <w:rFonts w:ascii="Book Antiqua" w:hAnsi="Book Antiqua"/>
          <w:color w:val="000000" w:themeColor="text1"/>
          <w:sz w:val="24"/>
          <w:szCs w:val="24"/>
        </w:rPr>
        <w:t xml:space="preserve"> FLSPCs plus sorafenib group.</w:t>
      </w:r>
    </w:p>
    <w:p w14:paraId="5EF85861" w14:textId="15780185"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lastRenderedPageBreak/>
        <w:drawing>
          <wp:inline distT="0" distB="0" distL="0" distR="0" wp14:anchorId="687F9605" wp14:editId="40AB84CF">
            <wp:extent cx="5222240" cy="3334495"/>
            <wp:effectExtent l="0" t="0" r="10160" b="0"/>
            <wp:docPr id="10" name="图片 11" descr="J:\一贯煎论文材料\WJG修改意见\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J:\一贯煎论文材料\WJG修改意见\Fig.4.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40"/>
                    <a:stretch/>
                  </pic:blipFill>
                  <pic:spPr bwMode="auto">
                    <a:xfrm>
                      <a:off x="0" y="0"/>
                      <a:ext cx="5222240" cy="3334495"/>
                    </a:xfrm>
                    <a:prstGeom prst="rect">
                      <a:avLst/>
                    </a:prstGeom>
                    <a:noFill/>
                    <a:ln>
                      <a:noFill/>
                    </a:ln>
                    <a:extLst>
                      <a:ext uri="{53640926-AAD7-44D8-BBD7-CCE9431645EC}">
                        <a14:shadowObscured xmlns:a14="http://schemas.microsoft.com/office/drawing/2010/main"/>
                      </a:ext>
                    </a:extLst>
                  </pic:spPr>
                </pic:pic>
              </a:graphicData>
            </a:graphic>
          </wp:inline>
        </w:drawing>
      </w:r>
    </w:p>
    <w:p w14:paraId="78636411" w14:textId="4F8582B7" w:rsidR="00611FE1" w:rsidRPr="00EE30DE" w:rsidRDefault="00CE302E" w:rsidP="000B5B76">
      <w:pPr>
        <w:pStyle w:val="EndNoteBibliography"/>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Figure 4</w:t>
      </w:r>
      <w:r w:rsidR="00611FE1" w:rsidRPr="00EE30DE">
        <w:rPr>
          <w:rFonts w:ascii="Book Antiqua" w:hAnsi="Book Antiqua"/>
          <w:b/>
          <w:color w:val="000000" w:themeColor="text1"/>
          <w:sz w:val="24"/>
          <w:szCs w:val="24"/>
        </w:rPr>
        <w:t xml:space="preserve"> Yiguanjian decoction regulation of </w:t>
      </w:r>
      <w:r w:rsidR="00611FE1" w:rsidRPr="00CE302E">
        <w:rPr>
          <w:rFonts w:ascii="Book Antiqua" w:hAnsi="Book Antiqua"/>
          <w:b/>
          <w:color w:val="000000" w:themeColor="text1"/>
          <w:sz w:val="24"/>
          <w:szCs w:val="24"/>
        </w:rPr>
        <w:t>the</w:t>
      </w:r>
      <w:r w:rsidR="00611FE1" w:rsidRPr="00EE30DE">
        <w:rPr>
          <w:rFonts w:ascii="Book Antiqua" w:hAnsi="Book Antiqua"/>
          <w:b/>
          <w:color w:val="000000" w:themeColor="text1"/>
          <w:sz w:val="24"/>
          <w:szCs w:val="24"/>
        </w:rPr>
        <w:t xml:space="preserve"> Wnt signaling pathway.</w:t>
      </w:r>
      <w:r w:rsidR="00611FE1" w:rsidRPr="00EE30DE">
        <w:rPr>
          <w:rFonts w:ascii="Book Antiqua" w:hAnsi="Book Antiqua"/>
          <w:color w:val="000000" w:themeColor="text1"/>
          <w:sz w:val="24"/>
          <w:szCs w:val="24"/>
        </w:rPr>
        <w:t xml:space="preserve"> </w:t>
      </w:r>
      <w:r>
        <w:rPr>
          <w:rFonts w:ascii="Book Antiqua" w:hAnsi="Book Antiqua"/>
          <w:color w:val="000000" w:themeColor="text1"/>
          <w:sz w:val="24"/>
          <w:szCs w:val="24"/>
        </w:rPr>
        <w:t>A:</w:t>
      </w:r>
      <w:r w:rsidR="00611FE1" w:rsidRPr="00EE30DE">
        <w:rPr>
          <w:rFonts w:ascii="Book Antiqua" w:hAnsi="Book Antiqua"/>
          <w:color w:val="000000" w:themeColor="text1"/>
          <w:sz w:val="24"/>
          <w:szCs w:val="24"/>
        </w:rPr>
        <w:t xml:space="preserve"> Relative mRNA levels of canonical Wnt signaling pathway components. </w:t>
      </w:r>
      <w:r>
        <w:rPr>
          <w:rFonts w:ascii="Book Antiqua" w:hAnsi="Book Antiqua"/>
          <w:color w:val="000000" w:themeColor="text1"/>
          <w:sz w:val="24"/>
          <w:szCs w:val="24"/>
        </w:rPr>
        <w:t>B:</w:t>
      </w:r>
      <w:r w:rsidR="00611FE1" w:rsidRPr="00EE30DE">
        <w:rPr>
          <w:rFonts w:ascii="Book Antiqua" w:hAnsi="Book Antiqua"/>
          <w:color w:val="000000" w:themeColor="text1"/>
          <w:sz w:val="24"/>
          <w:szCs w:val="24"/>
        </w:rPr>
        <w:t xml:space="preserve"> Relative mRNA levels of non-canonical Wnt signaling pathway components. The mRNA levels were normalized to </w:t>
      </w:r>
      <w:r w:rsidRPr="006C2606">
        <w:rPr>
          <w:rFonts w:ascii="Book Antiqua" w:hAnsi="Book Antiqua"/>
          <w:color w:val="000000" w:themeColor="text1"/>
          <w:sz w:val="24"/>
          <w:szCs w:val="24"/>
        </w:rPr>
        <w:t>GAPD</w:t>
      </w:r>
      <w:r w:rsidRPr="00EE30DE">
        <w:rPr>
          <w:rFonts w:ascii="Book Antiqua" w:hAnsi="Book Antiqua"/>
          <w:color w:val="000000" w:themeColor="text1"/>
          <w:sz w:val="24"/>
          <w:szCs w:val="24"/>
        </w:rPr>
        <w:t>H</w:t>
      </w:r>
      <w:r w:rsidR="00434E24">
        <w:rPr>
          <w:rFonts w:ascii="Book Antiqua" w:hAnsi="Book Antiqua" w:hint="eastAsia"/>
          <w:color w:val="000000" w:themeColor="text1"/>
          <w:sz w:val="24"/>
          <w:szCs w:val="24"/>
        </w:rPr>
        <w:t xml:space="preserve"> </w:t>
      </w:r>
      <w:r w:rsidR="00611FE1" w:rsidRPr="00EE30DE">
        <w:rPr>
          <w:rFonts w:ascii="Book Antiqua" w:hAnsi="Book Antiqua"/>
          <w:color w:val="000000" w:themeColor="text1"/>
          <w:sz w:val="24"/>
          <w:szCs w:val="24"/>
        </w:rPr>
        <w:t xml:space="preserve">expression. </w:t>
      </w:r>
      <w:r w:rsidR="00611FE1" w:rsidRPr="00EE30DE">
        <w:rPr>
          <w:rFonts w:ascii="Book Antiqua" w:hAnsi="Book Antiqua"/>
          <w:color w:val="000000" w:themeColor="text1"/>
          <w:sz w:val="24"/>
          <w:szCs w:val="24"/>
          <w:vertAlign w:val="superscript"/>
        </w:rPr>
        <w:t>a</w:t>
      </w:r>
      <w:r w:rsidR="00611FE1" w:rsidRPr="00EE30DE">
        <w:rPr>
          <w:rFonts w:ascii="Book Antiqua" w:hAnsi="Book Antiqua"/>
          <w:i/>
          <w:color w:val="000000" w:themeColor="text1"/>
          <w:sz w:val="24"/>
          <w:szCs w:val="24"/>
        </w:rPr>
        <w:t>P</w:t>
      </w:r>
      <w:r w:rsidR="00611FE1" w:rsidRPr="00EE30DE">
        <w:rPr>
          <w:rFonts w:ascii="Book Antiqua" w:hAnsi="Book Antiqua"/>
          <w:color w:val="000000" w:themeColor="text1"/>
          <w:sz w:val="24"/>
          <w:szCs w:val="24"/>
        </w:rPr>
        <w:t xml:space="preserve"> &lt; 0.05, </w:t>
      </w:r>
      <w:r w:rsidR="00611FE1" w:rsidRPr="00EE30DE">
        <w:rPr>
          <w:rFonts w:ascii="Book Antiqua" w:hAnsi="Book Antiqua"/>
          <w:color w:val="000000" w:themeColor="text1"/>
          <w:sz w:val="24"/>
          <w:szCs w:val="24"/>
          <w:vertAlign w:val="superscript"/>
        </w:rPr>
        <w:t>b</w:t>
      </w:r>
      <w:r w:rsidR="00611FE1" w:rsidRPr="00EE30DE">
        <w:rPr>
          <w:rFonts w:ascii="Book Antiqua" w:hAnsi="Book Antiqua"/>
          <w:i/>
          <w:color w:val="000000" w:themeColor="text1"/>
          <w:sz w:val="24"/>
          <w:szCs w:val="24"/>
        </w:rPr>
        <w:t>P</w:t>
      </w:r>
      <w:r>
        <w:rPr>
          <w:rFonts w:ascii="Book Antiqua" w:hAnsi="Book Antiqua"/>
          <w:color w:val="000000" w:themeColor="text1"/>
          <w:sz w:val="24"/>
          <w:szCs w:val="24"/>
        </w:rPr>
        <w:t xml:space="preserve"> &lt; 0.01. N: N</w:t>
      </w:r>
      <w:r w:rsidR="00611FE1" w:rsidRPr="00EE30DE">
        <w:rPr>
          <w:rFonts w:ascii="Book Antiqua" w:hAnsi="Book Antiqua"/>
          <w:color w:val="000000" w:themeColor="text1"/>
          <w:sz w:val="24"/>
          <w:szCs w:val="24"/>
        </w:rPr>
        <w:t>ormal control group; 2-AAF/CCl</w:t>
      </w:r>
      <w:r w:rsidR="00611FE1" w:rsidRPr="00CE302E">
        <w:rPr>
          <w:rFonts w:ascii="Book Antiqua" w:hAnsi="Book Antiqua"/>
          <w:color w:val="000000" w:themeColor="text1"/>
          <w:sz w:val="24"/>
          <w:szCs w:val="24"/>
          <w:vertAlign w:val="subscript"/>
        </w:rPr>
        <w:t>4</w:t>
      </w:r>
      <w:r>
        <w:rPr>
          <w:rFonts w:ascii="Book Antiqua" w:hAnsi="Book Antiqua"/>
          <w:color w:val="000000" w:themeColor="text1"/>
          <w:sz w:val="24"/>
          <w:szCs w:val="24"/>
        </w:rPr>
        <w:t>:</w:t>
      </w:r>
      <w:r w:rsidR="00611FE1" w:rsidRPr="00EE30DE">
        <w:rPr>
          <w:rFonts w:ascii="Book Antiqua" w:hAnsi="Book Antiqua"/>
          <w:color w:val="000000" w:themeColor="text1"/>
          <w:sz w:val="24"/>
          <w:szCs w:val="24"/>
        </w:rPr>
        <w:t xml:space="preserve"> 2-acetylaminofluorene/ca</w:t>
      </w:r>
      <w:r w:rsidR="00FD6297">
        <w:rPr>
          <w:rFonts w:ascii="Book Antiqua" w:hAnsi="Book Antiqua"/>
          <w:color w:val="000000" w:themeColor="text1"/>
          <w:sz w:val="24"/>
          <w:szCs w:val="24"/>
        </w:rPr>
        <w:t>rbon tetrachloride group; FLSPC: F</w:t>
      </w:r>
      <w:r w:rsidR="00611FE1" w:rsidRPr="00EE30DE">
        <w:rPr>
          <w:rFonts w:ascii="Book Antiqua" w:hAnsi="Book Antiqua"/>
          <w:color w:val="000000" w:themeColor="text1"/>
          <w:sz w:val="24"/>
          <w:szCs w:val="24"/>
        </w:rPr>
        <w:t>etal li</w:t>
      </w:r>
      <w:r w:rsidR="00FD6297">
        <w:rPr>
          <w:rFonts w:ascii="Book Antiqua" w:hAnsi="Book Antiqua"/>
          <w:color w:val="000000" w:themeColor="text1"/>
          <w:sz w:val="24"/>
          <w:szCs w:val="24"/>
        </w:rPr>
        <w:t>ver stem/progenitor cells group;</w:t>
      </w:r>
      <w:r w:rsidR="00611FE1" w:rsidRPr="00EE30DE">
        <w:rPr>
          <w:rFonts w:ascii="Book Antiqua" w:hAnsi="Book Antiqua"/>
          <w:color w:val="000000" w:themeColor="text1"/>
          <w:sz w:val="24"/>
          <w:szCs w:val="24"/>
        </w:rPr>
        <w:t xml:space="preserve"> FLSPC</w:t>
      </w:r>
      <w:r w:rsidR="00FD6297">
        <w:rPr>
          <w:rFonts w:ascii="Book Antiqua" w:hAnsi="Book Antiqua"/>
          <w:color w:val="000000" w:themeColor="text1"/>
          <w:sz w:val="24"/>
          <w:szCs w:val="24"/>
        </w:rPr>
        <w:t xml:space="preserve"> </w:t>
      </w:r>
      <w:r w:rsidR="00611FE1" w:rsidRPr="00EE30DE">
        <w:rPr>
          <w:rFonts w:ascii="Book Antiqua" w:hAnsi="Book Antiqua"/>
          <w:color w:val="000000" w:themeColor="text1"/>
          <w:sz w:val="24"/>
          <w:szCs w:val="24"/>
        </w:rPr>
        <w:t>+</w:t>
      </w:r>
      <w:r w:rsidR="00FD6297">
        <w:rPr>
          <w:rFonts w:ascii="Book Antiqua" w:hAnsi="Book Antiqua"/>
          <w:color w:val="000000" w:themeColor="text1"/>
          <w:sz w:val="24"/>
          <w:szCs w:val="24"/>
        </w:rPr>
        <w:t xml:space="preserve"> YGJ:</w:t>
      </w:r>
      <w:r w:rsidR="00611FE1" w:rsidRPr="00EE30DE">
        <w:rPr>
          <w:rFonts w:ascii="Book Antiqua" w:hAnsi="Book Antiqua"/>
          <w:color w:val="000000" w:themeColor="text1"/>
          <w:sz w:val="24"/>
          <w:szCs w:val="24"/>
        </w:rPr>
        <w:t xml:space="preserve"> FLSPCs plus Yiguanjian decoction group; FLSPC</w:t>
      </w:r>
      <w:r w:rsidR="00FD6297">
        <w:rPr>
          <w:rFonts w:ascii="Book Antiqua" w:hAnsi="Book Antiqua"/>
          <w:color w:val="000000" w:themeColor="text1"/>
          <w:sz w:val="24"/>
          <w:szCs w:val="24"/>
        </w:rPr>
        <w:t xml:space="preserve"> </w:t>
      </w:r>
      <w:r w:rsidR="00611FE1" w:rsidRPr="00EE30DE">
        <w:rPr>
          <w:rFonts w:ascii="Book Antiqua" w:hAnsi="Book Antiqua"/>
          <w:color w:val="000000" w:themeColor="text1"/>
          <w:sz w:val="24"/>
          <w:szCs w:val="24"/>
        </w:rPr>
        <w:t>+</w:t>
      </w:r>
      <w:r w:rsidR="00FD6297">
        <w:rPr>
          <w:rFonts w:ascii="Book Antiqua" w:hAnsi="Book Antiqua"/>
          <w:color w:val="000000" w:themeColor="text1"/>
          <w:sz w:val="24"/>
          <w:szCs w:val="24"/>
        </w:rPr>
        <w:t xml:space="preserve"> SORA:</w:t>
      </w:r>
      <w:r w:rsidR="00611FE1" w:rsidRPr="00EE30DE">
        <w:rPr>
          <w:rFonts w:ascii="Book Antiqua" w:hAnsi="Book Antiqua"/>
          <w:color w:val="000000" w:themeColor="text1"/>
          <w:sz w:val="24"/>
          <w:szCs w:val="24"/>
        </w:rPr>
        <w:t xml:space="preserve"> FLSPCs plus sorafenib group. </w:t>
      </w:r>
    </w:p>
    <w:p w14:paraId="62398127" w14:textId="77777777" w:rsidR="00FD6297" w:rsidRDefault="00FD6297">
      <w:pPr>
        <w:widowControl/>
        <w:jc w:val="left"/>
        <w:rPr>
          <w:rFonts w:ascii="Book Antiqua" w:hAnsi="Book Antiqua" w:cs="Calibri"/>
          <w:noProof/>
          <w:color w:val="000000" w:themeColor="text1"/>
          <w:shd w:val="clear" w:color="auto" w:fill="FFFFFF"/>
        </w:rPr>
      </w:pPr>
      <w:r>
        <w:rPr>
          <w:rFonts w:ascii="Book Antiqua" w:hAnsi="Book Antiqua"/>
          <w:color w:val="000000" w:themeColor="text1"/>
        </w:rPr>
        <w:br w:type="page"/>
      </w:r>
    </w:p>
    <w:p w14:paraId="1802D06C" w14:textId="0F12E074"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color w:val="000000" w:themeColor="text1"/>
          <w:sz w:val="24"/>
          <w:szCs w:val="24"/>
        </w:rPr>
        <w:lastRenderedPageBreak/>
        <w:drawing>
          <wp:inline distT="0" distB="0" distL="0" distR="0" wp14:anchorId="1DA5C376" wp14:editId="7A5236E9">
            <wp:extent cx="5222240" cy="2481249"/>
            <wp:effectExtent l="0" t="0" r="10160" b="8255"/>
            <wp:docPr id="14" name="图片 12" descr="J:\一贯煎论文材料\WJG修改意见\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J:\一贯煎论文材料\WJG修改意见\Fig.5.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75"/>
                    <a:stretch/>
                  </pic:blipFill>
                  <pic:spPr bwMode="auto">
                    <a:xfrm>
                      <a:off x="0" y="0"/>
                      <a:ext cx="5222240" cy="2481249"/>
                    </a:xfrm>
                    <a:prstGeom prst="rect">
                      <a:avLst/>
                    </a:prstGeom>
                    <a:noFill/>
                    <a:ln>
                      <a:noFill/>
                    </a:ln>
                    <a:extLst>
                      <a:ext uri="{53640926-AAD7-44D8-BBD7-CCE9431645EC}">
                        <a14:shadowObscured xmlns:a14="http://schemas.microsoft.com/office/drawing/2010/main"/>
                      </a:ext>
                    </a:extLst>
                  </pic:spPr>
                </pic:pic>
              </a:graphicData>
            </a:graphic>
          </wp:inline>
        </w:drawing>
      </w:r>
    </w:p>
    <w:p w14:paraId="3F02769B" w14:textId="16CE08E9" w:rsidR="00611FE1" w:rsidRPr="00EE30DE" w:rsidRDefault="00611FE1" w:rsidP="000B5B76">
      <w:pPr>
        <w:pStyle w:val="EndNoteBibliography"/>
        <w:adjustRightInd w:val="0"/>
        <w:snapToGrid w:val="0"/>
        <w:spacing w:line="360" w:lineRule="auto"/>
        <w:rPr>
          <w:rFonts w:ascii="Book Antiqua" w:hAnsi="Book Antiqua"/>
          <w:color w:val="000000" w:themeColor="text1"/>
          <w:sz w:val="24"/>
          <w:szCs w:val="24"/>
        </w:rPr>
      </w:pPr>
      <w:r w:rsidRPr="00EE30DE">
        <w:rPr>
          <w:rFonts w:ascii="Book Antiqua" w:hAnsi="Book Antiqua"/>
          <w:b/>
          <w:color w:val="000000" w:themeColor="text1"/>
          <w:sz w:val="24"/>
          <w:szCs w:val="24"/>
        </w:rPr>
        <w:t>Figure 5</w:t>
      </w:r>
      <w:r w:rsidRPr="00EE30DE">
        <w:rPr>
          <w:rFonts w:ascii="Book Antiqua" w:hAnsi="Book Antiqua"/>
          <w:color w:val="000000" w:themeColor="text1"/>
          <w:sz w:val="24"/>
          <w:szCs w:val="24"/>
        </w:rPr>
        <w:t xml:space="preserve"> </w:t>
      </w:r>
      <w:r w:rsidRPr="00EE30DE">
        <w:rPr>
          <w:rFonts w:ascii="Book Antiqua" w:hAnsi="Book Antiqua"/>
          <w:b/>
          <w:color w:val="000000" w:themeColor="text1"/>
          <w:sz w:val="24"/>
          <w:szCs w:val="24"/>
        </w:rPr>
        <w:t>Activation of macrophages and differentiation of WB-F344 to myofibroblasts</w:t>
      </w:r>
      <w:r w:rsidRPr="00EE30DE">
        <w:rPr>
          <w:rFonts w:ascii="Book Antiqua" w:hAnsi="Book Antiqua"/>
          <w:b/>
          <w:i/>
          <w:color w:val="000000" w:themeColor="text1"/>
          <w:sz w:val="24"/>
          <w:szCs w:val="24"/>
        </w:rPr>
        <w:t xml:space="preserve"> in vitro</w:t>
      </w:r>
      <w:r w:rsidRPr="00EE30DE">
        <w:rPr>
          <w:rFonts w:ascii="Book Antiqua" w:hAnsi="Book Antiqua"/>
          <w:b/>
          <w:color w:val="000000" w:themeColor="text1"/>
          <w:sz w:val="24"/>
          <w:szCs w:val="24"/>
        </w:rPr>
        <w:t>.</w:t>
      </w:r>
      <w:r w:rsidRPr="00EE30DE">
        <w:rPr>
          <w:rFonts w:ascii="Book Antiqua" w:hAnsi="Book Antiqua"/>
          <w:color w:val="000000" w:themeColor="text1"/>
          <w:sz w:val="24"/>
          <w:szCs w:val="24"/>
        </w:rPr>
        <w:t xml:space="preserve"> </w:t>
      </w:r>
      <w:r w:rsidR="00FD6297">
        <w:rPr>
          <w:rFonts w:ascii="Book Antiqua" w:hAnsi="Book Antiqua"/>
          <w:color w:val="000000" w:themeColor="text1"/>
          <w:sz w:val="24"/>
          <w:szCs w:val="24"/>
        </w:rPr>
        <w:t>A:</w:t>
      </w:r>
      <w:r w:rsidRPr="00EE30DE">
        <w:rPr>
          <w:rFonts w:ascii="Book Antiqua" w:hAnsi="Book Antiqua"/>
          <w:color w:val="000000" w:themeColor="text1"/>
          <w:sz w:val="24"/>
          <w:szCs w:val="24"/>
        </w:rPr>
        <w:t xml:space="preserve"> Double immunofluorescent staining of </w:t>
      </w:r>
      <w:r w:rsidR="00FD6297" w:rsidRPr="00EE30DE">
        <w:rPr>
          <w:rFonts w:ascii="Book Antiqua" w:hAnsi="Book Antiqua"/>
          <w:color w:val="000000" w:themeColor="text1"/>
          <w:sz w:val="24"/>
          <w:szCs w:val="24"/>
        </w:rPr>
        <w:t>α-smooth muscle actin (α-SMA</w:t>
      </w:r>
      <w:r w:rsidR="00FD6297">
        <w:rPr>
          <w:rFonts w:ascii="Book Antiqua" w:hAnsi="Book Antiqua"/>
          <w:color w:val="000000" w:themeColor="text1"/>
          <w:sz w:val="24"/>
          <w:szCs w:val="24"/>
        </w:rPr>
        <w:t>)</w:t>
      </w:r>
      <w:r w:rsidRPr="00EE30DE">
        <w:rPr>
          <w:rFonts w:ascii="Book Antiqua" w:hAnsi="Book Antiqua"/>
          <w:color w:val="000000" w:themeColor="text1"/>
          <w:sz w:val="24"/>
          <w:szCs w:val="24"/>
        </w:rPr>
        <w:t xml:space="preserve"> (red) and DAPI (blue) merged (×</w:t>
      </w:r>
      <w:r w:rsidR="00FD6297">
        <w:rPr>
          <w:rFonts w:ascii="Book Antiqua" w:hAnsi="Book Antiqua"/>
          <w:color w:val="000000" w:themeColor="text1"/>
          <w:sz w:val="24"/>
          <w:szCs w:val="24"/>
        </w:rPr>
        <w:t xml:space="preserve"> </w:t>
      </w:r>
      <w:r w:rsidRPr="00EE30DE">
        <w:rPr>
          <w:rFonts w:ascii="Book Antiqua" w:hAnsi="Book Antiqua"/>
          <w:color w:val="000000" w:themeColor="text1"/>
          <w:sz w:val="24"/>
          <w:szCs w:val="24"/>
        </w:rPr>
        <w:t xml:space="preserve">200). </w:t>
      </w:r>
      <w:r w:rsidR="00FD6297">
        <w:rPr>
          <w:rFonts w:ascii="Book Antiqua" w:hAnsi="Book Antiqua"/>
          <w:color w:val="000000" w:themeColor="text1"/>
          <w:sz w:val="24"/>
          <w:szCs w:val="24"/>
        </w:rPr>
        <w:t>B:</w:t>
      </w:r>
      <w:r w:rsidRPr="00EE30DE">
        <w:rPr>
          <w:rFonts w:ascii="Book Antiqua" w:hAnsi="Book Antiqua"/>
          <w:color w:val="000000" w:themeColor="text1"/>
          <w:sz w:val="24"/>
          <w:szCs w:val="24"/>
        </w:rPr>
        <w:t xml:space="preserve"> The mRNA expression of α-SMA in WB-F344 cells after co-culture with </w:t>
      </w:r>
      <w:r w:rsidR="00FD6297" w:rsidRPr="00FD6297">
        <w:rPr>
          <w:rFonts w:ascii="Book Antiqua" w:hAnsi="Book Antiqua"/>
          <w:color w:val="000000" w:themeColor="text1"/>
          <w:sz w:val="24"/>
          <w:szCs w:val="24"/>
        </w:rPr>
        <w:t>lipopolysaccharide (LPS)</w:t>
      </w:r>
      <w:r w:rsidRPr="00EE30DE">
        <w:rPr>
          <w:rFonts w:ascii="Book Antiqua" w:hAnsi="Book Antiqua"/>
          <w:color w:val="000000" w:themeColor="text1"/>
          <w:sz w:val="24"/>
          <w:szCs w:val="24"/>
        </w:rPr>
        <w:t xml:space="preserve">-activated RAW264.7 cells for 3, 5, or 7 d. </w:t>
      </w:r>
      <w:r w:rsidR="00FD6297">
        <w:rPr>
          <w:rFonts w:ascii="Book Antiqua" w:hAnsi="Book Antiqua"/>
          <w:color w:val="000000" w:themeColor="text1"/>
          <w:sz w:val="24"/>
          <w:szCs w:val="24"/>
        </w:rPr>
        <w:t>C:</w:t>
      </w:r>
      <w:r w:rsidRPr="00EE30DE">
        <w:rPr>
          <w:rFonts w:ascii="Book Antiqua" w:hAnsi="Book Antiqua"/>
          <w:color w:val="000000" w:themeColor="text1"/>
          <w:sz w:val="24"/>
          <w:szCs w:val="24"/>
        </w:rPr>
        <w:t xml:space="preserve"> </w:t>
      </w:r>
      <w:r w:rsidR="00FD6297">
        <w:rPr>
          <w:rFonts w:ascii="Book Antiqua" w:hAnsi="Book Antiqua"/>
          <w:color w:val="000000" w:themeColor="text1"/>
          <w:sz w:val="24"/>
          <w:szCs w:val="24"/>
        </w:rPr>
        <w:t>Tumor necrosis factor</w:t>
      </w:r>
      <w:r w:rsidR="00437B2C">
        <w:rPr>
          <w:rFonts w:ascii="Book Antiqua" w:hAnsi="Book Antiqua" w:hint="eastAsia"/>
          <w:color w:val="000000" w:themeColor="text1"/>
          <w:sz w:val="24"/>
          <w:szCs w:val="24"/>
        </w:rPr>
        <w:t xml:space="preserve"> </w:t>
      </w:r>
      <w:r w:rsidRPr="00EE30DE">
        <w:rPr>
          <w:rFonts w:ascii="Book Antiqua" w:hAnsi="Book Antiqua"/>
          <w:color w:val="000000" w:themeColor="text1"/>
          <w:sz w:val="24"/>
          <w:szCs w:val="24"/>
        </w:rPr>
        <w:t xml:space="preserve">production in LPS-activated RAW264.7 was detected by </w:t>
      </w:r>
      <w:r w:rsidR="00FD6297" w:rsidRPr="00FD6297">
        <w:rPr>
          <w:rFonts w:ascii="Book Antiqua" w:hAnsi="Book Antiqua"/>
          <w:color w:val="000000" w:themeColor="text1"/>
          <w:sz w:val="24"/>
          <w:szCs w:val="24"/>
        </w:rPr>
        <w:t>enzyme-linked immuno sorbent assay</w:t>
      </w:r>
      <w:r w:rsidRPr="00EE30DE">
        <w:rPr>
          <w:rFonts w:ascii="Book Antiqua" w:hAnsi="Book Antiqua"/>
          <w:color w:val="000000" w:themeColor="text1"/>
          <w:sz w:val="24"/>
          <w:szCs w:val="24"/>
        </w:rPr>
        <w:t xml:space="preserve">. </w:t>
      </w:r>
      <w:r w:rsidR="00FD6297">
        <w:rPr>
          <w:rFonts w:ascii="Book Antiqua" w:hAnsi="Book Antiqua"/>
          <w:color w:val="000000" w:themeColor="text1"/>
          <w:sz w:val="24"/>
          <w:szCs w:val="24"/>
        </w:rPr>
        <w:t>D:</w:t>
      </w:r>
      <w:r w:rsidRPr="00EE30DE">
        <w:rPr>
          <w:rFonts w:ascii="Book Antiqua" w:hAnsi="Book Antiqua"/>
          <w:color w:val="000000" w:themeColor="text1"/>
          <w:sz w:val="24"/>
          <w:szCs w:val="24"/>
        </w:rPr>
        <w:t xml:space="preserve"> Relative mRNA expression levels of α-SMA (WB-F344), CD68 (RAW264.7), and CD163 (RAW264.7). </w:t>
      </w:r>
      <w:r w:rsidR="00FD6297">
        <w:rPr>
          <w:rFonts w:ascii="Book Antiqua" w:hAnsi="Book Antiqua"/>
          <w:color w:val="000000" w:themeColor="text1"/>
          <w:sz w:val="24"/>
          <w:szCs w:val="24"/>
        </w:rPr>
        <w:t>E:</w:t>
      </w:r>
      <w:r w:rsidRPr="00EE30DE">
        <w:rPr>
          <w:rFonts w:ascii="Book Antiqua" w:hAnsi="Book Antiqua"/>
          <w:color w:val="000000" w:themeColor="text1"/>
          <w:sz w:val="24"/>
          <w:szCs w:val="24"/>
        </w:rPr>
        <w:t xml:space="preserve"> Relative mRNA levels of non-canonical Wnt signaling pathway components. </w:t>
      </w:r>
      <w:r w:rsidR="00FD6297">
        <w:rPr>
          <w:rFonts w:ascii="Book Antiqua" w:hAnsi="Book Antiqua"/>
          <w:color w:val="000000" w:themeColor="text1"/>
          <w:sz w:val="24"/>
          <w:szCs w:val="24"/>
        </w:rPr>
        <w:t>F:</w:t>
      </w:r>
      <w:r w:rsidRPr="00EE30DE">
        <w:rPr>
          <w:rFonts w:ascii="Book Antiqua" w:hAnsi="Book Antiqua"/>
          <w:color w:val="000000" w:themeColor="text1"/>
          <w:sz w:val="24"/>
          <w:szCs w:val="24"/>
        </w:rPr>
        <w:t xml:space="preserve"> Relative mRNA levels of canonical Wnt signaling pathway components. The mRNA levels were normalized to the</w:t>
      </w:r>
      <w:r w:rsidR="00E51540">
        <w:rPr>
          <w:rFonts w:ascii="Book Antiqua" w:hAnsi="Book Antiqua" w:hint="eastAsia"/>
          <w:color w:val="000000" w:themeColor="text1"/>
          <w:sz w:val="24"/>
          <w:szCs w:val="24"/>
        </w:rPr>
        <w:t xml:space="preserve"> </w:t>
      </w:r>
      <w:r w:rsidR="00FD6297" w:rsidRPr="006C2606">
        <w:rPr>
          <w:rFonts w:ascii="Book Antiqua" w:hAnsi="Book Antiqua"/>
          <w:color w:val="000000" w:themeColor="text1"/>
          <w:sz w:val="24"/>
          <w:szCs w:val="24"/>
        </w:rPr>
        <w:t>GAPD</w:t>
      </w:r>
      <w:r w:rsidR="00FD6297" w:rsidRPr="00EE30DE">
        <w:rPr>
          <w:rFonts w:ascii="Book Antiqua" w:hAnsi="Book Antiqua"/>
          <w:color w:val="000000" w:themeColor="text1"/>
          <w:sz w:val="24"/>
          <w:szCs w:val="24"/>
        </w:rPr>
        <w:t>H</w:t>
      </w:r>
      <w:r w:rsidR="00D67CCA">
        <w:rPr>
          <w:rFonts w:ascii="Book Antiqua" w:hAnsi="Book Antiqua" w:hint="eastAsia"/>
          <w:color w:val="000000" w:themeColor="text1"/>
          <w:sz w:val="24"/>
          <w:szCs w:val="24"/>
        </w:rPr>
        <w:t xml:space="preserve"> </w:t>
      </w:r>
      <w:r w:rsidRPr="00EE30DE">
        <w:rPr>
          <w:rFonts w:ascii="Book Antiqua" w:hAnsi="Book Antiqua"/>
          <w:color w:val="000000" w:themeColor="text1"/>
          <w:sz w:val="24"/>
          <w:szCs w:val="24"/>
        </w:rPr>
        <w:t xml:space="preserve">expression levels. </w:t>
      </w:r>
      <w:r w:rsidRPr="00EE30DE">
        <w:rPr>
          <w:rFonts w:ascii="Book Antiqua" w:hAnsi="Book Antiqua"/>
          <w:color w:val="000000" w:themeColor="text1"/>
          <w:sz w:val="24"/>
          <w:szCs w:val="24"/>
          <w:vertAlign w:val="superscript"/>
        </w:rPr>
        <w:t>a</w:t>
      </w:r>
      <w:r w:rsidRPr="00EE30DE">
        <w:rPr>
          <w:rFonts w:ascii="Book Antiqua" w:hAnsi="Book Antiqua"/>
          <w:i/>
          <w:color w:val="000000" w:themeColor="text1"/>
          <w:sz w:val="24"/>
          <w:szCs w:val="24"/>
        </w:rPr>
        <w:t>P</w:t>
      </w:r>
      <w:r w:rsidRPr="00EE30DE">
        <w:rPr>
          <w:rFonts w:ascii="Book Antiqua" w:hAnsi="Book Antiqua"/>
          <w:color w:val="000000" w:themeColor="text1"/>
          <w:sz w:val="24"/>
          <w:szCs w:val="24"/>
        </w:rPr>
        <w:t xml:space="preserve"> &lt; 0.05, </w:t>
      </w:r>
      <w:r w:rsidRPr="00EE30DE">
        <w:rPr>
          <w:rFonts w:ascii="Book Antiqua" w:hAnsi="Book Antiqua"/>
          <w:color w:val="000000" w:themeColor="text1"/>
          <w:sz w:val="24"/>
          <w:szCs w:val="24"/>
          <w:vertAlign w:val="superscript"/>
        </w:rPr>
        <w:t>b</w:t>
      </w:r>
      <w:r w:rsidRPr="00EE30DE">
        <w:rPr>
          <w:rFonts w:ascii="Book Antiqua" w:hAnsi="Book Antiqua"/>
          <w:i/>
          <w:color w:val="000000" w:themeColor="text1"/>
          <w:sz w:val="24"/>
          <w:szCs w:val="24"/>
        </w:rPr>
        <w:t>P</w:t>
      </w:r>
      <w:r w:rsidR="00FD6297">
        <w:rPr>
          <w:rFonts w:ascii="Book Antiqua" w:hAnsi="Book Antiqua"/>
          <w:color w:val="000000" w:themeColor="text1"/>
          <w:sz w:val="24"/>
          <w:szCs w:val="24"/>
        </w:rPr>
        <w:t xml:space="preserve"> &lt; 0.01. N: Normal control group; M:</w:t>
      </w:r>
      <w:r w:rsidRPr="00EE30DE">
        <w:rPr>
          <w:rFonts w:ascii="Book Antiqua" w:hAnsi="Book Antiqua"/>
          <w:color w:val="000000" w:themeColor="text1"/>
          <w:sz w:val="24"/>
          <w:szCs w:val="24"/>
        </w:rPr>
        <w:t xml:space="preserve"> WB-F344 cells co-cultured with LPS-acti</w:t>
      </w:r>
      <w:r w:rsidR="00FD6297">
        <w:rPr>
          <w:rFonts w:ascii="Book Antiqua" w:hAnsi="Book Antiqua"/>
          <w:color w:val="000000" w:themeColor="text1"/>
          <w:sz w:val="24"/>
          <w:szCs w:val="24"/>
        </w:rPr>
        <w:t>vated RAW264.7 cells group; YGJ:</w:t>
      </w:r>
      <w:r w:rsidRPr="00EE30DE">
        <w:rPr>
          <w:rFonts w:ascii="Book Antiqua" w:hAnsi="Book Antiqua"/>
          <w:color w:val="000000" w:themeColor="text1"/>
          <w:sz w:val="24"/>
          <w:szCs w:val="24"/>
        </w:rPr>
        <w:t xml:space="preserve"> </w:t>
      </w:r>
      <w:r w:rsidR="00FD6297">
        <w:rPr>
          <w:rFonts w:ascii="Book Antiqua" w:hAnsi="Book Antiqua"/>
          <w:color w:val="000000" w:themeColor="text1"/>
          <w:sz w:val="24"/>
          <w:szCs w:val="24"/>
        </w:rPr>
        <w:t>Yiguanjian decoction group; LND:</w:t>
      </w:r>
      <w:r w:rsidRPr="00EE30DE">
        <w:rPr>
          <w:rFonts w:ascii="Book Antiqua" w:hAnsi="Book Antiqua"/>
          <w:color w:val="000000" w:themeColor="text1"/>
          <w:sz w:val="24"/>
          <w:szCs w:val="24"/>
        </w:rPr>
        <w:t xml:space="preserve"> Lenalidomide group.</w:t>
      </w:r>
    </w:p>
    <w:sectPr w:rsidR="00611FE1" w:rsidRPr="00EE30DE" w:rsidSect="00C94980">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728AB"/>
    <w:multiLevelType w:val="hybridMultilevel"/>
    <w:tmpl w:val="BAEA4C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7D616F6"/>
    <w:multiLevelType w:val="multilevel"/>
    <w:tmpl w:val="25D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FE315D"/>
    <w:multiLevelType w:val="hybridMultilevel"/>
    <w:tmpl w:val="F2229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B820BCC"/>
    <w:multiLevelType w:val="hybridMultilevel"/>
    <w:tmpl w:val="CD3C115E"/>
    <w:lvl w:ilvl="0" w:tplc="38D4AC2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7ED"/>
    <w:rsid w:val="00001288"/>
    <w:rsid w:val="00020966"/>
    <w:rsid w:val="00031AEE"/>
    <w:rsid w:val="000369CF"/>
    <w:rsid w:val="00037FCA"/>
    <w:rsid w:val="000411E2"/>
    <w:rsid w:val="000541DC"/>
    <w:rsid w:val="00071D9F"/>
    <w:rsid w:val="00073A86"/>
    <w:rsid w:val="00074464"/>
    <w:rsid w:val="0008757C"/>
    <w:rsid w:val="000A7EF0"/>
    <w:rsid w:val="000B14EE"/>
    <w:rsid w:val="000B5B76"/>
    <w:rsid w:val="000B63EF"/>
    <w:rsid w:val="000D5608"/>
    <w:rsid w:val="000F75B0"/>
    <w:rsid w:val="00116711"/>
    <w:rsid w:val="001345A0"/>
    <w:rsid w:val="00151EAE"/>
    <w:rsid w:val="001863B1"/>
    <w:rsid w:val="00187968"/>
    <w:rsid w:val="0019731F"/>
    <w:rsid w:val="001B627F"/>
    <w:rsid w:val="001E7124"/>
    <w:rsid w:val="002037ED"/>
    <w:rsid w:val="002069C7"/>
    <w:rsid w:val="00226014"/>
    <w:rsid w:val="00226867"/>
    <w:rsid w:val="0023258C"/>
    <w:rsid w:val="0024332E"/>
    <w:rsid w:val="00245C21"/>
    <w:rsid w:val="002925DE"/>
    <w:rsid w:val="002B56AA"/>
    <w:rsid w:val="002F3A5A"/>
    <w:rsid w:val="00304E43"/>
    <w:rsid w:val="00307353"/>
    <w:rsid w:val="00317F09"/>
    <w:rsid w:val="003221B1"/>
    <w:rsid w:val="00322F15"/>
    <w:rsid w:val="00351B38"/>
    <w:rsid w:val="003527FC"/>
    <w:rsid w:val="00355145"/>
    <w:rsid w:val="00357CE4"/>
    <w:rsid w:val="00364279"/>
    <w:rsid w:val="0039720A"/>
    <w:rsid w:val="003B4FE4"/>
    <w:rsid w:val="003C53A6"/>
    <w:rsid w:val="003C672B"/>
    <w:rsid w:val="003D0FB6"/>
    <w:rsid w:val="00417F93"/>
    <w:rsid w:val="00430969"/>
    <w:rsid w:val="00433A4B"/>
    <w:rsid w:val="00434E24"/>
    <w:rsid w:val="0043579C"/>
    <w:rsid w:val="00437B2C"/>
    <w:rsid w:val="004472D9"/>
    <w:rsid w:val="004519D1"/>
    <w:rsid w:val="00467813"/>
    <w:rsid w:val="004765E1"/>
    <w:rsid w:val="004A10E6"/>
    <w:rsid w:val="004D1CC8"/>
    <w:rsid w:val="004E7923"/>
    <w:rsid w:val="004F055B"/>
    <w:rsid w:val="005076B7"/>
    <w:rsid w:val="00507E1F"/>
    <w:rsid w:val="00514FE6"/>
    <w:rsid w:val="00524807"/>
    <w:rsid w:val="005301F9"/>
    <w:rsid w:val="00530F28"/>
    <w:rsid w:val="00533D8C"/>
    <w:rsid w:val="00542197"/>
    <w:rsid w:val="0055440A"/>
    <w:rsid w:val="00575A88"/>
    <w:rsid w:val="005807FD"/>
    <w:rsid w:val="00592466"/>
    <w:rsid w:val="005A124F"/>
    <w:rsid w:val="005A417E"/>
    <w:rsid w:val="005A42EC"/>
    <w:rsid w:val="005C3E5B"/>
    <w:rsid w:val="005C4384"/>
    <w:rsid w:val="005D797E"/>
    <w:rsid w:val="005F1D24"/>
    <w:rsid w:val="005F63F4"/>
    <w:rsid w:val="005F6C3E"/>
    <w:rsid w:val="0060792C"/>
    <w:rsid w:val="00611432"/>
    <w:rsid w:val="00611FE1"/>
    <w:rsid w:val="00622073"/>
    <w:rsid w:val="00641D31"/>
    <w:rsid w:val="0065086B"/>
    <w:rsid w:val="00652347"/>
    <w:rsid w:val="006636D6"/>
    <w:rsid w:val="00667E52"/>
    <w:rsid w:val="00673AAA"/>
    <w:rsid w:val="006755DF"/>
    <w:rsid w:val="00675BB4"/>
    <w:rsid w:val="00682F58"/>
    <w:rsid w:val="006930B8"/>
    <w:rsid w:val="006C078E"/>
    <w:rsid w:val="006C2606"/>
    <w:rsid w:val="006C44B8"/>
    <w:rsid w:val="006D3638"/>
    <w:rsid w:val="006E0ECC"/>
    <w:rsid w:val="007036B0"/>
    <w:rsid w:val="00704E9F"/>
    <w:rsid w:val="00716245"/>
    <w:rsid w:val="007175D4"/>
    <w:rsid w:val="00724DB7"/>
    <w:rsid w:val="00725EA8"/>
    <w:rsid w:val="0077053D"/>
    <w:rsid w:val="00771464"/>
    <w:rsid w:val="00771646"/>
    <w:rsid w:val="0079093E"/>
    <w:rsid w:val="00792100"/>
    <w:rsid w:val="007C6597"/>
    <w:rsid w:val="007F2E63"/>
    <w:rsid w:val="007F7786"/>
    <w:rsid w:val="00824F0C"/>
    <w:rsid w:val="008330CC"/>
    <w:rsid w:val="00840F4F"/>
    <w:rsid w:val="00846217"/>
    <w:rsid w:val="0086207D"/>
    <w:rsid w:val="0087005B"/>
    <w:rsid w:val="00874AF5"/>
    <w:rsid w:val="00877195"/>
    <w:rsid w:val="008906AF"/>
    <w:rsid w:val="008B1B06"/>
    <w:rsid w:val="008C7B62"/>
    <w:rsid w:val="008D3645"/>
    <w:rsid w:val="008E4319"/>
    <w:rsid w:val="008F24E7"/>
    <w:rsid w:val="00923D9B"/>
    <w:rsid w:val="00925DD4"/>
    <w:rsid w:val="009311CC"/>
    <w:rsid w:val="00943737"/>
    <w:rsid w:val="00952748"/>
    <w:rsid w:val="00954217"/>
    <w:rsid w:val="00971366"/>
    <w:rsid w:val="00976C98"/>
    <w:rsid w:val="00984E69"/>
    <w:rsid w:val="00995135"/>
    <w:rsid w:val="00997738"/>
    <w:rsid w:val="009C5BF1"/>
    <w:rsid w:val="009C6917"/>
    <w:rsid w:val="009C7CE2"/>
    <w:rsid w:val="009D14E9"/>
    <w:rsid w:val="009D4314"/>
    <w:rsid w:val="009D510F"/>
    <w:rsid w:val="009F0D11"/>
    <w:rsid w:val="00A22C34"/>
    <w:rsid w:val="00A234C4"/>
    <w:rsid w:val="00A25500"/>
    <w:rsid w:val="00A37ABD"/>
    <w:rsid w:val="00A500E0"/>
    <w:rsid w:val="00A51C2B"/>
    <w:rsid w:val="00A71EB8"/>
    <w:rsid w:val="00A740FF"/>
    <w:rsid w:val="00A8414C"/>
    <w:rsid w:val="00AB102B"/>
    <w:rsid w:val="00AC15A7"/>
    <w:rsid w:val="00AC2BCC"/>
    <w:rsid w:val="00AC6247"/>
    <w:rsid w:val="00AD1198"/>
    <w:rsid w:val="00AE45C9"/>
    <w:rsid w:val="00AF263D"/>
    <w:rsid w:val="00AF4347"/>
    <w:rsid w:val="00B06350"/>
    <w:rsid w:val="00B06383"/>
    <w:rsid w:val="00B20FCA"/>
    <w:rsid w:val="00B22829"/>
    <w:rsid w:val="00B3206E"/>
    <w:rsid w:val="00B34CD4"/>
    <w:rsid w:val="00B514B6"/>
    <w:rsid w:val="00B93912"/>
    <w:rsid w:val="00B97450"/>
    <w:rsid w:val="00BC6190"/>
    <w:rsid w:val="00BD2EFE"/>
    <w:rsid w:val="00C054F5"/>
    <w:rsid w:val="00C13BD0"/>
    <w:rsid w:val="00C336FC"/>
    <w:rsid w:val="00C428B3"/>
    <w:rsid w:val="00C520CB"/>
    <w:rsid w:val="00C769D2"/>
    <w:rsid w:val="00C802A0"/>
    <w:rsid w:val="00C94980"/>
    <w:rsid w:val="00CA7E4F"/>
    <w:rsid w:val="00CD7DC0"/>
    <w:rsid w:val="00CE302E"/>
    <w:rsid w:val="00CF3139"/>
    <w:rsid w:val="00CF4699"/>
    <w:rsid w:val="00D0312A"/>
    <w:rsid w:val="00D072EE"/>
    <w:rsid w:val="00D17BD1"/>
    <w:rsid w:val="00D21A72"/>
    <w:rsid w:val="00D26282"/>
    <w:rsid w:val="00D30BB2"/>
    <w:rsid w:val="00D36B2F"/>
    <w:rsid w:val="00D624BD"/>
    <w:rsid w:val="00D67CCA"/>
    <w:rsid w:val="00D86EBE"/>
    <w:rsid w:val="00DA414C"/>
    <w:rsid w:val="00DB7C94"/>
    <w:rsid w:val="00DD58B0"/>
    <w:rsid w:val="00DE4467"/>
    <w:rsid w:val="00E06A31"/>
    <w:rsid w:val="00E06DA4"/>
    <w:rsid w:val="00E10684"/>
    <w:rsid w:val="00E13272"/>
    <w:rsid w:val="00E135BF"/>
    <w:rsid w:val="00E20626"/>
    <w:rsid w:val="00E243B4"/>
    <w:rsid w:val="00E51540"/>
    <w:rsid w:val="00E51D51"/>
    <w:rsid w:val="00E706FF"/>
    <w:rsid w:val="00E73F0D"/>
    <w:rsid w:val="00E82357"/>
    <w:rsid w:val="00E87CCC"/>
    <w:rsid w:val="00EA0864"/>
    <w:rsid w:val="00EA1159"/>
    <w:rsid w:val="00EA1EBB"/>
    <w:rsid w:val="00EA68E9"/>
    <w:rsid w:val="00ED3AD6"/>
    <w:rsid w:val="00EE09C6"/>
    <w:rsid w:val="00EE30DE"/>
    <w:rsid w:val="00F2356C"/>
    <w:rsid w:val="00F3165E"/>
    <w:rsid w:val="00F463EC"/>
    <w:rsid w:val="00F6302A"/>
    <w:rsid w:val="00F958E8"/>
    <w:rsid w:val="00F97FE8"/>
    <w:rsid w:val="00FB18E8"/>
    <w:rsid w:val="00FC1623"/>
    <w:rsid w:val="00FD2ECD"/>
    <w:rsid w:val="00FD48B9"/>
    <w:rsid w:val="00FD6297"/>
    <w:rsid w:val="00FE7389"/>
    <w:rsid w:val="00FE7671"/>
    <w:rsid w:val="00FF4471"/>
    <w:rsid w:val="00FF7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48887"/>
  <w15:docId w15:val="{0C9F32CF-BD7F-48F8-96CD-14E3FB3B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92100"/>
    <w:pPr>
      <w:keepNext/>
      <w:keepLines/>
      <w:spacing w:before="340" w:after="330" w:line="578" w:lineRule="auto"/>
      <w:outlineLvl w:val="0"/>
    </w:pPr>
    <w:rPr>
      <w:rFonts w:ascii="Verdana" w:hAnsi="Verdana"/>
      <w:b/>
      <w:bCs/>
      <w:color w:val="000000"/>
      <w:kern w:val="44"/>
      <w:sz w:val="44"/>
      <w:szCs w:val="44"/>
      <w:shd w:val="clear" w:color="auto" w:fill="FFFFFF"/>
    </w:rPr>
  </w:style>
  <w:style w:type="paragraph" w:styleId="Heading2">
    <w:name w:val="heading 2"/>
    <w:basedOn w:val="Normal"/>
    <w:next w:val="Normal"/>
    <w:link w:val="Heading2Char"/>
    <w:uiPriority w:val="9"/>
    <w:qFormat/>
    <w:rsid w:val="00792100"/>
    <w:pPr>
      <w:keepNext/>
      <w:keepLines/>
      <w:spacing w:before="260" w:after="260" w:line="416" w:lineRule="auto"/>
      <w:jc w:val="left"/>
      <w:outlineLvl w:val="1"/>
    </w:pPr>
    <w:rPr>
      <w:rFonts w:ascii="Cambria" w:eastAsia="SimHei" w:hAnsi="Cambria" w:cs="Times New Roman"/>
      <w:b/>
      <w:bCs/>
      <w:color w:val="000000"/>
      <w:kern w:val="0"/>
      <w:sz w:val="28"/>
      <w:szCs w:val="32"/>
      <w:shd w:val="clear" w:color="auto" w:fill="FFFFFF"/>
    </w:rPr>
  </w:style>
  <w:style w:type="paragraph" w:styleId="Heading3">
    <w:name w:val="heading 3"/>
    <w:basedOn w:val="Normal"/>
    <w:next w:val="Normal"/>
    <w:link w:val="Heading3Char"/>
    <w:uiPriority w:val="9"/>
    <w:unhideWhenUsed/>
    <w:qFormat/>
    <w:rsid w:val="00792100"/>
    <w:pPr>
      <w:keepNext/>
      <w:keepLines/>
      <w:spacing w:before="260" w:after="260" w:line="416" w:lineRule="auto"/>
      <w:outlineLvl w:val="2"/>
    </w:pPr>
    <w:rPr>
      <w:rFonts w:ascii="Verdana" w:hAnsi="Verdana"/>
      <w:b/>
      <w:bCs/>
      <w:color w:val="000000"/>
      <w:sz w:val="32"/>
      <w:szCs w:val="32"/>
      <w:shd w:val="clear" w:color="auto" w:fill="FFFFFF"/>
    </w:rPr>
  </w:style>
  <w:style w:type="paragraph" w:styleId="Heading4">
    <w:name w:val="heading 4"/>
    <w:basedOn w:val="Normal"/>
    <w:next w:val="Normal"/>
    <w:link w:val="Heading4Char"/>
    <w:uiPriority w:val="9"/>
    <w:unhideWhenUsed/>
    <w:qFormat/>
    <w:rsid w:val="00792100"/>
    <w:pPr>
      <w:keepNext/>
      <w:keepLines/>
      <w:spacing w:before="280" w:after="290" w:line="376" w:lineRule="auto"/>
      <w:outlineLvl w:val="3"/>
    </w:pPr>
    <w:rPr>
      <w:rFonts w:asciiTheme="majorHAnsi" w:eastAsiaTheme="majorEastAsia" w:hAnsiTheme="majorHAnsi" w:cstheme="majorBidi"/>
      <w:b/>
      <w:bCs/>
      <w:color w:val="000000"/>
      <w:sz w:val="28"/>
      <w:szCs w:val="28"/>
      <w:shd w:val="clear" w:color="auto" w:fill="FFFFFF"/>
    </w:rPr>
  </w:style>
  <w:style w:type="paragraph" w:styleId="Heading5">
    <w:name w:val="heading 5"/>
    <w:basedOn w:val="Normal"/>
    <w:next w:val="Normal"/>
    <w:link w:val="Heading5Char"/>
    <w:uiPriority w:val="9"/>
    <w:unhideWhenUsed/>
    <w:qFormat/>
    <w:rsid w:val="00792100"/>
    <w:pPr>
      <w:keepNext/>
      <w:keepLines/>
      <w:spacing w:before="280" w:after="290" w:line="376" w:lineRule="auto"/>
      <w:outlineLvl w:val="4"/>
    </w:pPr>
    <w:rPr>
      <w:rFonts w:ascii="Verdana" w:hAnsi="Verdana"/>
      <w:b/>
      <w:bCs/>
      <w:color w:val="000000"/>
      <w:sz w:val="28"/>
      <w:szCs w:val="28"/>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100"/>
    <w:rPr>
      <w:rFonts w:ascii="Verdana" w:hAnsi="Verdana"/>
      <w:b/>
      <w:bCs/>
      <w:color w:val="000000"/>
      <w:kern w:val="44"/>
      <w:sz w:val="44"/>
      <w:szCs w:val="44"/>
    </w:rPr>
  </w:style>
  <w:style w:type="character" w:customStyle="1" w:styleId="Heading2Char">
    <w:name w:val="Heading 2 Char"/>
    <w:basedOn w:val="DefaultParagraphFont"/>
    <w:link w:val="Heading2"/>
    <w:uiPriority w:val="9"/>
    <w:rsid w:val="00792100"/>
    <w:rPr>
      <w:rFonts w:ascii="Cambria" w:eastAsia="SimHei" w:hAnsi="Cambria" w:cs="Times New Roman"/>
      <w:b/>
      <w:bCs/>
      <w:color w:val="000000"/>
      <w:kern w:val="0"/>
      <w:sz w:val="28"/>
      <w:szCs w:val="32"/>
    </w:rPr>
  </w:style>
  <w:style w:type="character" w:customStyle="1" w:styleId="Heading3Char">
    <w:name w:val="Heading 3 Char"/>
    <w:basedOn w:val="DefaultParagraphFont"/>
    <w:link w:val="Heading3"/>
    <w:uiPriority w:val="9"/>
    <w:rsid w:val="00792100"/>
    <w:rPr>
      <w:rFonts w:ascii="Verdana" w:hAnsi="Verdana"/>
      <w:b/>
      <w:bCs/>
      <w:color w:val="000000"/>
      <w:sz w:val="32"/>
      <w:szCs w:val="32"/>
    </w:rPr>
  </w:style>
  <w:style w:type="character" w:customStyle="1" w:styleId="Heading4Char">
    <w:name w:val="Heading 4 Char"/>
    <w:basedOn w:val="DefaultParagraphFont"/>
    <w:link w:val="Heading4"/>
    <w:uiPriority w:val="9"/>
    <w:rsid w:val="00792100"/>
    <w:rPr>
      <w:rFonts w:asciiTheme="majorHAnsi" w:eastAsiaTheme="majorEastAsia" w:hAnsiTheme="majorHAnsi" w:cstheme="majorBidi"/>
      <w:b/>
      <w:bCs/>
      <w:color w:val="000000"/>
      <w:sz w:val="28"/>
      <w:szCs w:val="28"/>
    </w:rPr>
  </w:style>
  <w:style w:type="character" w:customStyle="1" w:styleId="Heading5Char">
    <w:name w:val="Heading 5 Char"/>
    <w:basedOn w:val="DefaultParagraphFont"/>
    <w:link w:val="Heading5"/>
    <w:uiPriority w:val="9"/>
    <w:rsid w:val="00792100"/>
    <w:rPr>
      <w:rFonts w:ascii="Verdana" w:hAnsi="Verdana"/>
      <w:b/>
      <w:bCs/>
      <w:color w:val="000000"/>
      <w:sz w:val="28"/>
      <w:szCs w:val="28"/>
    </w:rPr>
  </w:style>
  <w:style w:type="paragraph" w:customStyle="1" w:styleId="p1">
    <w:name w:val="p1"/>
    <w:basedOn w:val="Normal"/>
    <w:rsid w:val="002037ED"/>
    <w:pPr>
      <w:widowControl/>
      <w:jc w:val="left"/>
    </w:pPr>
    <w:rPr>
      <w:rFonts w:ascii="Book Antiqua" w:hAnsi="Book Antiqua" w:cs="Times New Roman"/>
      <w:kern w:val="0"/>
      <w:sz w:val="18"/>
      <w:szCs w:val="18"/>
    </w:rPr>
  </w:style>
  <w:style w:type="paragraph" w:customStyle="1" w:styleId="p2">
    <w:name w:val="p2"/>
    <w:basedOn w:val="Normal"/>
    <w:rsid w:val="002037ED"/>
    <w:pPr>
      <w:widowControl/>
      <w:jc w:val="left"/>
    </w:pPr>
    <w:rPr>
      <w:rFonts w:ascii="Book Antiqua" w:hAnsi="Book Antiqua" w:cs="Times New Roman"/>
      <w:kern w:val="0"/>
      <w:sz w:val="17"/>
      <w:szCs w:val="17"/>
    </w:rPr>
  </w:style>
  <w:style w:type="character" w:customStyle="1" w:styleId="apple-converted-space">
    <w:name w:val="apple-converted-space"/>
    <w:basedOn w:val="DefaultParagraphFont"/>
    <w:rsid w:val="002037ED"/>
  </w:style>
  <w:style w:type="paragraph" w:customStyle="1" w:styleId="Default">
    <w:name w:val="Default"/>
    <w:rsid w:val="003221B1"/>
    <w:pPr>
      <w:widowControl w:val="0"/>
      <w:autoSpaceDE w:val="0"/>
      <w:autoSpaceDN w:val="0"/>
      <w:adjustRightInd w:val="0"/>
    </w:pPr>
    <w:rPr>
      <w:rFonts w:ascii="Book Antiqua" w:hAnsi="Book Antiqua" w:cs="Book Antiqua"/>
      <w:color w:val="000000"/>
      <w:kern w:val="0"/>
    </w:rPr>
  </w:style>
  <w:style w:type="paragraph" w:styleId="Header">
    <w:name w:val="header"/>
    <w:basedOn w:val="Normal"/>
    <w:link w:val="HeaderChar"/>
    <w:uiPriority w:val="99"/>
    <w:unhideWhenUsed/>
    <w:rsid w:val="00792100"/>
    <w:pPr>
      <w:pBdr>
        <w:bottom w:val="single" w:sz="6" w:space="1" w:color="auto"/>
      </w:pBdr>
      <w:tabs>
        <w:tab w:val="center" w:pos="4153"/>
        <w:tab w:val="right" w:pos="8306"/>
      </w:tabs>
      <w:snapToGrid w:val="0"/>
      <w:jc w:val="center"/>
    </w:pPr>
    <w:rPr>
      <w:rFonts w:ascii="Verdana" w:hAnsi="Verdana"/>
      <w:color w:val="000000"/>
      <w:sz w:val="18"/>
      <w:szCs w:val="18"/>
      <w:shd w:val="clear" w:color="auto" w:fill="FFFFFF"/>
    </w:rPr>
  </w:style>
  <w:style w:type="character" w:customStyle="1" w:styleId="HeaderChar">
    <w:name w:val="Header Char"/>
    <w:basedOn w:val="DefaultParagraphFont"/>
    <w:link w:val="Header"/>
    <w:uiPriority w:val="99"/>
    <w:rsid w:val="00792100"/>
    <w:rPr>
      <w:rFonts w:ascii="Verdana" w:hAnsi="Verdana"/>
      <w:color w:val="000000"/>
      <w:sz w:val="18"/>
      <w:szCs w:val="18"/>
    </w:rPr>
  </w:style>
  <w:style w:type="paragraph" w:styleId="Footer">
    <w:name w:val="footer"/>
    <w:basedOn w:val="Normal"/>
    <w:link w:val="FooterChar"/>
    <w:uiPriority w:val="99"/>
    <w:unhideWhenUsed/>
    <w:rsid w:val="00792100"/>
    <w:pPr>
      <w:tabs>
        <w:tab w:val="center" w:pos="4153"/>
        <w:tab w:val="right" w:pos="8306"/>
      </w:tabs>
      <w:snapToGrid w:val="0"/>
      <w:jc w:val="left"/>
    </w:pPr>
    <w:rPr>
      <w:rFonts w:ascii="Verdana" w:hAnsi="Verdana"/>
      <w:color w:val="000000"/>
      <w:sz w:val="18"/>
      <w:szCs w:val="18"/>
      <w:shd w:val="clear" w:color="auto" w:fill="FFFFFF"/>
    </w:rPr>
  </w:style>
  <w:style w:type="character" w:customStyle="1" w:styleId="FooterChar">
    <w:name w:val="Footer Char"/>
    <w:basedOn w:val="DefaultParagraphFont"/>
    <w:link w:val="Footer"/>
    <w:uiPriority w:val="99"/>
    <w:rsid w:val="00792100"/>
    <w:rPr>
      <w:rFonts w:ascii="Verdana" w:hAnsi="Verdana"/>
      <w:color w:val="000000"/>
      <w:sz w:val="18"/>
      <w:szCs w:val="18"/>
    </w:rPr>
  </w:style>
  <w:style w:type="character" w:customStyle="1" w:styleId="BalloonTextChar">
    <w:name w:val="Balloon Text Char"/>
    <w:basedOn w:val="DefaultParagraphFont"/>
    <w:link w:val="BalloonText"/>
    <w:uiPriority w:val="99"/>
    <w:semiHidden/>
    <w:rsid w:val="00792100"/>
    <w:rPr>
      <w:rFonts w:ascii="Verdana" w:hAnsi="Verdana"/>
      <w:color w:val="000000"/>
      <w:sz w:val="18"/>
      <w:szCs w:val="18"/>
    </w:rPr>
  </w:style>
  <w:style w:type="paragraph" w:styleId="BalloonText">
    <w:name w:val="Balloon Text"/>
    <w:basedOn w:val="Normal"/>
    <w:link w:val="BalloonTextChar"/>
    <w:uiPriority w:val="99"/>
    <w:semiHidden/>
    <w:unhideWhenUsed/>
    <w:rsid w:val="00792100"/>
    <w:rPr>
      <w:rFonts w:ascii="Verdana" w:hAnsi="Verdana"/>
      <w:color w:val="000000"/>
      <w:sz w:val="18"/>
      <w:szCs w:val="18"/>
      <w:shd w:val="clear" w:color="auto" w:fill="FFFFFF"/>
    </w:rPr>
  </w:style>
  <w:style w:type="character" w:styleId="Hyperlink">
    <w:name w:val="Hyperlink"/>
    <w:basedOn w:val="DefaultParagraphFont"/>
    <w:unhideWhenUsed/>
    <w:rsid w:val="00792100"/>
    <w:rPr>
      <w:color w:val="0000FF"/>
      <w:u w:val="single"/>
    </w:rPr>
  </w:style>
  <w:style w:type="paragraph" w:customStyle="1" w:styleId="EndNoteBibliographyTitle">
    <w:name w:val="EndNote Bibliography Title"/>
    <w:basedOn w:val="Normal"/>
    <w:link w:val="EndNoteBibliographyTitleChar"/>
    <w:rsid w:val="00792100"/>
    <w:pPr>
      <w:jc w:val="center"/>
    </w:pPr>
    <w:rPr>
      <w:rFonts w:ascii="Calibri" w:hAnsi="Calibri" w:cs="Calibri"/>
      <w:noProof/>
      <w:color w:val="000000"/>
      <w:sz w:val="20"/>
      <w:szCs w:val="16"/>
      <w:shd w:val="clear" w:color="auto" w:fill="FFFFFF"/>
    </w:rPr>
  </w:style>
  <w:style w:type="character" w:customStyle="1" w:styleId="EndNoteBibliographyTitleChar">
    <w:name w:val="EndNote Bibliography Title Char"/>
    <w:basedOn w:val="DefaultParagraphFont"/>
    <w:link w:val="EndNoteBibliographyTitle"/>
    <w:rsid w:val="00792100"/>
    <w:rPr>
      <w:rFonts w:ascii="Calibri" w:hAnsi="Calibri" w:cs="Calibri"/>
      <w:noProof/>
      <w:color w:val="000000"/>
      <w:sz w:val="20"/>
      <w:szCs w:val="16"/>
    </w:rPr>
  </w:style>
  <w:style w:type="paragraph" w:customStyle="1" w:styleId="EndNoteBibliography">
    <w:name w:val="EndNote Bibliography"/>
    <w:basedOn w:val="Normal"/>
    <w:link w:val="EndNoteBibliographyChar"/>
    <w:qFormat/>
    <w:rsid w:val="00792100"/>
    <w:rPr>
      <w:rFonts w:ascii="Calibri" w:hAnsi="Calibri" w:cs="Calibri"/>
      <w:noProof/>
      <w:color w:val="000000"/>
      <w:sz w:val="20"/>
      <w:szCs w:val="16"/>
      <w:shd w:val="clear" w:color="auto" w:fill="FFFFFF"/>
    </w:rPr>
  </w:style>
  <w:style w:type="character" w:customStyle="1" w:styleId="EndNoteBibliographyChar">
    <w:name w:val="EndNote Bibliography Char"/>
    <w:basedOn w:val="DefaultParagraphFont"/>
    <w:link w:val="EndNoteBibliography"/>
    <w:qFormat/>
    <w:rsid w:val="00792100"/>
    <w:rPr>
      <w:rFonts w:ascii="Calibri" w:hAnsi="Calibri" w:cs="Calibri"/>
      <w:noProof/>
      <w:color w:val="000000"/>
      <w:sz w:val="20"/>
      <w:szCs w:val="16"/>
    </w:rPr>
  </w:style>
  <w:style w:type="character" w:customStyle="1" w:styleId="mb">
    <w:name w:val="mb"/>
    <w:basedOn w:val="DefaultParagraphFont"/>
    <w:rsid w:val="00792100"/>
  </w:style>
  <w:style w:type="character" w:customStyle="1" w:styleId="DocumentMapChar">
    <w:name w:val="Document Map Char"/>
    <w:basedOn w:val="DefaultParagraphFont"/>
    <w:link w:val="DocumentMap"/>
    <w:uiPriority w:val="99"/>
    <w:semiHidden/>
    <w:rsid w:val="00792100"/>
    <w:rPr>
      <w:rFonts w:ascii="SimSun" w:eastAsia="SimSun" w:hAnsi="Times New Roman" w:cs="Times New Roman"/>
      <w:kern w:val="0"/>
      <w:sz w:val="18"/>
      <w:szCs w:val="18"/>
    </w:rPr>
  </w:style>
  <w:style w:type="paragraph" w:styleId="DocumentMap">
    <w:name w:val="Document Map"/>
    <w:basedOn w:val="Normal"/>
    <w:link w:val="DocumentMapChar"/>
    <w:uiPriority w:val="99"/>
    <w:semiHidden/>
    <w:unhideWhenUsed/>
    <w:rsid w:val="00792100"/>
    <w:pPr>
      <w:widowControl/>
      <w:jc w:val="left"/>
    </w:pPr>
    <w:rPr>
      <w:rFonts w:ascii="SimSun" w:eastAsia="SimSun" w:hAnsi="Times New Roman" w:cs="Times New Roman"/>
      <w:kern w:val="0"/>
      <w:sz w:val="18"/>
      <w:szCs w:val="18"/>
    </w:rPr>
  </w:style>
  <w:style w:type="paragraph" w:styleId="ListParagraph">
    <w:name w:val="List Paragraph"/>
    <w:basedOn w:val="Normal"/>
    <w:uiPriority w:val="34"/>
    <w:qFormat/>
    <w:rsid w:val="00792100"/>
    <w:pPr>
      <w:ind w:firstLineChars="200" w:firstLine="420"/>
    </w:pPr>
    <w:rPr>
      <w:rFonts w:ascii="Times New Roman" w:eastAsia="SimSun" w:hAnsi="Times New Roman" w:cs="Times New Roman"/>
      <w:sz w:val="21"/>
      <w:szCs w:val="21"/>
    </w:rPr>
  </w:style>
  <w:style w:type="paragraph" w:styleId="CommentText">
    <w:name w:val="annotation text"/>
    <w:basedOn w:val="Normal"/>
    <w:link w:val="CommentTextChar"/>
    <w:uiPriority w:val="99"/>
    <w:unhideWhenUsed/>
    <w:rsid w:val="00792100"/>
    <w:rPr>
      <w:rFonts w:ascii="Verdana" w:hAnsi="Verdana"/>
      <w:color w:val="000000"/>
      <w:shd w:val="clear" w:color="auto" w:fill="FFFFFF"/>
    </w:rPr>
  </w:style>
  <w:style w:type="character" w:customStyle="1" w:styleId="CommentTextChar">
    <w:name w:val="Comment Text Char"/>
    <w:basedOn w:val="DefaultParagraphFont"/>
    <w:link w:val="CommentText"/>
    <w:uiPriority w:val="99"/>
    <w:rsid w:val="00792100"/>
    <w:rPr>
      <w:rFonts w:ascii="Verdana" w:hAnsi="Verdana"/>
      <w:color w:val="000000"/>
    </w:rPr>
  </w:style>
  <w:style w:type="character" w:customStyle="1" w:styleId="CommentSubjectChar">
    <w:name w:val="Comment Subject Char"/>
    <w:basedOn w:val="CommentTextChar"/>
    <w:link w:val="CommentSubject"/>
    <w:uiPriority w:val="99"/>
    <w:semiHidden/>
    <w:rsid w:val="00792100"/>
    <w:rPr>
      <w:rFonts w:ascii="Verdana" w:hAnsi="Verdana"/>
      <w:b/>
      <w:bCs/>
      <w:color w:val="000000"/>
      <w:sz w:val="20"/>
      <w:szCs w:val="20"/>
    </w:rPr>
  </w:style>
  <w:style w:type="paragraph" w:styleId="CommentSubject">
    <w:name w:val="annotation subject"/>
    <w:basedOn w:val="CommentText"/>
    <w:next w:val="CommentText"/>
    <w:link w:val="CommentSubjectChar"/>
    <w:uiPriority w:val="99"/>
    <w:semiHidden/>
    <w:unhideWhenUsed/>
    <w:rsid w:val="00792100"/>
    <w:rPr>
      <w:b/>
      <w:bCs/>
      <w:sz w:val="20"/>
      <w:szCs w:val="20"/>
    </w:rPr>
  </w:style>
  <w:style w:type="character" w:customStyle="1" w:styleId="EndNoteBibliography0">
    <w:name w:val="EndNote Bibliography 字符"/>
    <w:basedOn w:val="DefaultParagraphFont"/>
    <w:rsid w:val="00792100"/>
    <w:rPr>
      <w:rFonts w:ascii="DengXian" w:eastAsia="DengXian" w:hAnsi="DengXian"/>
      <w:noProof/>
      <w:sz w:val="20"/>
    </w:rPr>
  </w:style>
  <w:style w:type="character" w:styleId="CommentReference">
    <w:name w:val="annotation reference"/>
    <w:basedOn w:val="DefaultParagraphFont"/>
    <w:uiPriority w:val="99"/>
    <w:semiHidden/>
    <w:unhideWhenUsed/>
    <w:rsid w:val="00DD58B0"/>
    <w:rPr>
      <w:sz w:val="21"/>
      <w:szCs w:val="21"/>
    </w:rPr>
  </w:style>
  <w:style w:type="paragraph" w:customStyle="1" w:styleId="1">
    <w:name w:val="正文1"/>
    <w:uiPriority w:val="99"/>
    <w:qFormat/>
    <w:rsid w:val="00DD58B0"/>
    <w:pPr>
      <w:spacing w:line="276" w:lineRule="auto"/>
    </w:pPr>
    <w:rPr>
      <w:rFonts w:ascii="Arial" w:eastAsia="SimSun" w:hAnsi="Arial" w:cs="Arial"/>
      <w:color w:val="000000"/>
      <w:kern w:val="0"/>
      <w:sz w:val="22"/>
      <w:szCs w:val="20"/>
      <w:lang w:val="pl-PL" w:eastAsia="pl-PL"/>
    </w:rPr>
  </w:style>
  <w:style w:type="paragraph" w:styleId="Revision">
    <w:name w:val="Revision"/>
    <w:hidden/>
    <w:uiPriority w:val="99"/>
    <w:semiHidden/>
    <w:rsid w:val="00667E52"/>
  </w:style>
  <w:style w:type="character" w:customStyle="1" w:styleId="volume">
    <w:name w:val="volume"/>
    <w:basedOn w:val="DefaultParagraphFont"/>
    <w:rsid w:val="0099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392">
      <w:bodyDiv w:val="1"/>
      <w:marLeft w:val="0"/>
      <w:marRight w:val="0"/>
      <w:marTop w:val="0"/>
      <w:marBottom w:val="0"/>
      <w:divBdr>
        <w:top w:val="none" w:sz="0" w:space="0" w:color="auto"/>
        <w:left w:val="none" w:sz="0" w:space="0" w:color="auto"/>
        <w:bottom w:val="none" w:sz="0" w:space="0" w:color="auto"/>
        <w:right w:val="none" w:sz="0" w:space="0" w:color="auto"/>
      </w:divBdr>
    </w:div>
    <w:div w:id="248346846">
      <w:bodyDiv w:val="1"/>
      <w:marLeft w:val="0"/>
      <w:marRight w:val="0"/>
      <w:marTop w:val="0"/>
      <w:marBottom w:val="0"/>
      <w:divBdr>
        <w:top w:val="none" w:sz="0" w:space="0" w:color="auto"/>
        <w:left w:val="none" w:sz="0" w:space="0" w:color="auto"/>
        <w:bottom w:val="none" w:sz="0" w:space="0" w:color="auto"/>
        <w:right w:val="none" w:sz="0" w:space="0" w:color="auto"/>
      </w:divBdr>
    </w:div>
    <w:div w:id="446235421">
      <w:bodyDiv w:val="1"/>
      <w:marLeft w:val="0"/>
      <w:marRight w:val="0"/>
      <w:marTop w:val="0"/>
      <w:marBottom w:val="0"/>
      <w:divBdr>
        <w:top w:val="none" w:sz="0" w:space="0" w:color="auto"/>
        <w:left w:val="none" w:sz="0" w:space="0" w:color="auto"/>
        <w:bottom w:val="none" w:sz="0" w:space="0" w:color="auto"/>
        <w:right w:val="none" w:sz="0" w:space="0" w:color="auto"/>
      </w:divBdr>
    </w:div>
    <w:div w:id="491066770">
      <w:bodyDiv w:val="1"/>
      <w:marLeft w:val="0"/>
      <w:marRight w:val="0"/>
      <w:marTop w:val="0"/>
      <w:marBottom w:val="0"/>
      <w:divBdr>
        <w:top w:val="none" w:sz="0" w:space="0" w:color="auto"/>
        <w:left w:val="none" w:sz="0" w:space="0" w:color="auto"/>
        <w:bottom w:val="none" w:sz="0" w:space="0" w:color="auto"/>
        <w:right w:val="none" w:sz="0" w:space="0" w:color="auto"/>
      </w:divBdr>
    </w:div>
    <w:div w:id="568734295">
      <w:bodyDiv w:val="1"/>
      <w:marLeft w:val="0"/>
      <w:marRight w:val="0"/>
      <w:marTop w:val="0"/>
      <w:marBottom w:val="0"/>
      <w:divBdr>
        <w:top w:val="none" w:sz="0" w:space="0" w:color="auto"/>
        <w:left w:val="none" w:sz="0" w:space="0" w:color="auto"/>
        <w:bottom w:val="none" w:sz="0" w:space="0" w:color="auto"/>
        <w:right w:val="none" w:sz="0" w:space="0" w:color="auto"/>
      </w:divBdr>
    </w:div>
    <w:div w:id="639264733">
      <w:bodyDiv w:val="1"/>
      <w:marLeft w:val="0"/>
      <w:marRight w:val="0"/>
      <w:marTop w:val="0"/>
      <w:marBottom w:val="0"/>
      <w:divBdr>
        <w:top w:val="none" w:sz="0" w:space="0" w:color="auto"/>
        <w:left w:val="none" w:sz="0" w:space="0" w:color="auto"/>
        <w:bottom w:val="none" w:sz="0" w:space="0" w:color="auto"/>
        <w:right w:val="none" w:sz="0" w:space="0" w:color="auto"/>
      </w:divBdr>
    </w:div>
    <w:div w:id="640771077">
      <w:bodyDiv w:val="1"/>
      <w:marLeft w:val="0"/>
      <w:marRight w:val="0"/>
      <w:marTop w:val="0"/>
      <w:marBottom w:val="0"/>
      <w:divBdr>
        <w:top w:val="none" w:sz="0" w:space="0" w:color="auto"/>
        <w:left w:val="none" w:sz="0" w:space="0" w:color="auto"/>
        <w:bottom w:val="none" w:sz="0" w:space="0" w:color="auto"/>
        <w:right w:val="none" w:sz="0" w:space="0" w:color="auto"/>
      </w:divBdr>
    </w:div>
    <w:div w:id="704017357">
      <w:bodyDiv w:val="1"/>
      <w:marLeft w:val="0"/>
      <w:marRight w:val="0"/>
      <w:marTop w:val="0"/>
      <w:marBottom w:val="0"/>
      <w:divBdr>
        <w:top w:val="none" w:sz="0" w:space="0" w:color="auto"/>
        <w:left w:val="none" w:sz="0" w:space="0" w:color="auto"/>
        <w:bottom w:val="none" w:sz="0" w:space="0" w:color="auto"/>
        <w:right w:val="none" w:sz="0" w:space="0" w:color="auto"/>
      </w:divBdr>
    </w:div>
    <w:div w:id="848105933">
      <w:bodyDiv w:val="1"/>
      <w:marLeft w:val="0"/>
      <w:marRight w:val="0"/>
      <w:marTop w:val="0"/>
      <w:marBottom w:val="0"/>
      <w:divBdr>
        <w:top w:val="none" w:sz="0" w:space="0" w:color="auto"/>
        <w:left w:val="none" w:sz="0" w:space="0" w:color="auto"/>
        <w:bottom w:val="none" w:sz="0" w:space="0" w:color="auto"/>
        <w:right w:val="none" w:sz="0" w:space="0" w:color="auto"/>
      </w:divBdr>
    </w:div>
    <w:div w:id="863905427">
      <w:bodyDiv w:val="1"/>
      <w:marLeft w:val="0"/>
      <w:marRight w:val="0"/>
      <w:marTop w:val="0"/>
      <w:marBottom w:val="0"/>
      <w:divBdr>
        <w:top w:val="none" w:sz="0" w:space="0" w:color="auto"/>
        <w:left w:val="none" w:sz="0" w:space="0" w:color="auto"/>
        <w:bottom w:val="none" w:sz="0" w:space="0" w:color="auto"/>
        <w:right w:val="none" w:sz="0" w:space="0" w:color="auto"/>
      </w:divBdr>
    </w:div>
    <w:div w:id="908920945">
      <w:bodyDiv w:val="1"/>
      <w:marLeft w:val="0"/>
      <w:marRight w:val="0"/>
      <w:marTop w:val="0"/>
      <w:marBottom w:val="0"/>
      <w:divBdr>
        <w:top w:val="none" w:sz="0" w:space="0" w:color="auto"/>
        <w:left w:val="none" w:sz="0" w:space="0" w:color="auto"/>
        <w:bottom w:val="none" w:sz="0" w:space="0" w:color="auto"/>
        <w:right w:val="none" w:sz="0" w:space="0" w:color="auto"/>
      </w:divBdr>
    </w:div>
    <w:div w:id="909460756">
      <w:bodyDiv w:val="1"/>
      <w:marLeft w:val="0"/>
      <w:marRight w:val="0"/>
      <w:marTop w:val="0"/>
      <w:marBottom w:val="0"/>
      <w:divBdr>
        <w:top w:val="none" w:sz="0" w:space="0" w:color="auto"/>
        <w:left w:val="none" w:sz="0" w:space="0" w:color="auto"/>
        <w:bottom w:val="none" w:sz="0" w:space="0" w:color="auto"/>
        <w:right w:val="none" w:sz="0" w:space="0" w:color="auto"/>
      </w:divBdr>
    </w:div>
    <w:div w:id="1095318796">
      <w:bodyDiv w:val="1"/>
      <w:marLeft w:val="0"/>
      <w:marRight w:val="0"/>
      <w:marTop w:val="0"/>
      <w:marBottom w:val="0"/>
      <w:divBdr>
        <w:top w:val="none" w:sz="0" w:space="0" w:color="auto"/>
        <w:left w:val="none" w:sz="0" w:space="0" w:color="auto"/>
        <w:bottom w:val="none" w:sz="0" w:space="0" w:color="auto"/>
        <w:right w:val="none" w:sz="0" w:space="0" w:color="auto"/>
      </w:divBdr>
    </w:div>
    <w:div w:id="1230993456">
      <w:bodyDiv w:val="1"/>
      <w:marLeft w:val="0"/>
      <w:marRight w:val="0"/>
      <w:marTop w:val="0"/>
      <w:marBottom w:val="0"/>
      <w:divBdr>
        <w:top w:val="none" w:sz="0" w:space="0" w:color="auto"/>
        <w:left w:val="none" w:sz="0" w:space="0" w:color="auto"/>
        <w:bottom w:val="none" w:sz="0" w:space="0" w:color="auto"/>
        <w:right w:val="none" w:sz="0" w:space="0" w:color="auto"/>
      </w:divBdr>
    </w:div>
    <w:div w:id="1274945119">
      <w:bodyDiv w:val="1"/>
      <w:marLeft w:val="0"/>
      <w:marRight w:val="0"/>
      <w:marTop w:val="0"/>
      <w:marBottom w:val="0"/>
      <w:divBdr>
        <w:top w:val="none" w:sz="0" w:space="0" w:color="auto"/>
        <w:left w:val="none" w:sz="0" w:space="0" w:color="auto"/>
        <w:bottom w:val="none" w:sz="0" w:space="0" w:color="auto"/>
        <w:right w:val="none" w:sz="0" w:space="0" w:color="auto"/>
      </w:divBdr>
    </w:div>
    <w:div w:id="1300650112">
      <w:bodyDiv w:val="1"/>
      <w:marLeft w:val="0"/>
      <w:marRight w:val="0"/>
      <w:marTop w:val="0"/>
      <w:marBottom w:val="0"/>
      <w:divBdr>
        <w:top w:val="none" w:sz="0" w:space="0" w:color="auto"/>
        <w:left w:val="none" w:sz="0" w:space="0" w:color="auto"/>
        <w:bottom w:val="none" w:sz="0" w:space="0" w:color="auto"/>
        <w:right w:val="none" w:sz="0" w:space="0" w:color="auto"/>
      </w:divBdr>
    </w:div>
    <w:div w:id="1525362719">
      <w:bodyDiv w:val="1"/>
      <w:marLeft w:val="0"/>
      <w:marRight w:val="0"/>
      <w:marTop w:val="0"/>
      <w:marBottom w:val="0"/>
      <w:divBdr>
        <w:top w:val="none" w:sz="0" w:space="0" w:color="auto"/>
        <w:left w:val="none" w:sz="0" w:space="0" w:color="auto"/>
        <w:bottom w:val="none" w:sz="0" w:space="0" w:color="auto"/>
        <w:right w:val="none" w:sz="0" w:space="0" w:color="auto"/>
      </w:divBdr>
    </w:div>
    <w:div w:id="1537039772">
      <w:bodyDiv w:val="1"/>
      <w:marLeft w:val="0"/>
      <w:marRight w:val="0"/>
      <w:marTop w:val="0"/>
      <w:marBottom w:val="0"/>
      <w:divBdr>
        <w:top w:val="none" w:sz="0" w:space="0" w:color="auto"/>
        <w:left w:val="none" w:sz="0" w:space="0" w:color="auto"/>
        <w:bottom w:val="none" w:sz="0" w:space="0" w:color="auto"/>
        <w:right w:val="none" w:sz="0" w:space="0" w:color="auto"/>
      </w:divBdr>
    </w:div>
    <w:div w:id="1682582899">
      <w:bodyDiv w:val="1"/>
      <w:marLeft w:val="0"/>
      <w:marRight w:val="0"/>
      <w:marTop w:val="0"/>
      <w:marBottom w:val="0"/>
      <w:divBdr>
        <w:top w:val="none" w:sz="0" w:space="0" w:color="auto"/>
        <w:left w:val="none" w:sz="0" w:space="0" w:color="auto"/>
        <w:bottom w:val="none" w:sz="0" w:space="0" w:color="auto"/>
        <w:right w:val="none" w:sz="0" w:space="0" w:color="auto"/>
      </w:divBdr>
    </w:div>
    <w:div w:id="1723211721">
      <w:bodyDiv w:val="1"/>
      <w:marLeft w:val="0"/>
      <w:marRight w:val="0"/>
      <w:marTop w:val="0"/>
      <w:marBottom w:val="0"/>
      <w:divBdr>
        <w:top w:val="none" w:sz="0" w:space="0" w:color="auto"/>
        <w:left w:val="none" w:sz="0" w:space="0" w:color="auto"/>
        <w:bottom w:val="none" w:sz="0" w:space="0" w:color="auto"/>
        <w:right w:val="none" w:sz="0" w:space="0" w:color="auto"/>
      </w:divBdr>
    </w:div>
    <w:div w:id="1896768290">
      <w:bodyDiv w:val="1"/>
      <w:marLeft w:val="0"/>
      <w:marRight w:val="0"/>
      <w:marTop w:val="0"/>
      <w:marBottom w:val="0"/>
      <w:divBdr>
        <w:top w:val="none" w:sz="0" w:space="0" w:color="auto"/>
        <w:left w:val="none" w:sz="0" w:space="0" w:color="auto"/>
        <w:bottom w:val="none" w:sz="0" w:space="0" w:color="auto"/>
        <w:right w:val="none" w:sz="0" w:space="0" w:color="auto"/>
      </w:divBdr>
    </w:div>
    <w:div w:id="1919902224">
      <w:bodyDiv w:val="1"/>
      <w:marLeft w:val="0"/>
      <w:marRight w:val="0"/>
      <w:marTop w:val="0"/>
      <w:marBottom w:val="0"/>
      <w:divBdr>
        <w:top w:val="none" w:sz="0" w:space="0" w:color="auto"/>
        <w:left w:val="none" w:sz="0" w:space="0" w:color="auto"/>
        <w:bottom w:val="none" w:sz="0" w:space="0" w:color="auto"/>
        <w:right w:val="none" w:sz="0" w:space="0" w:color="auto"/>
      </w:divBdr>
    </w:div>
    <w:div w:id="1930918643">
      <w:bodyDiv w:val="1"/>
      <w:marLeft w:val="0"/>
      <w:marRight w:val="0"/>
      <w:marTop w:val="0"/>
      <w:marBottom w:val="0"/>
      <w:divBdr>
        <w:top w:val="none" w:sz="0" w:space="0" w:color="auto"/>
        <w:left w:val="none" w:sz="0" w:space="0" w:color="auto"/>
        <w:bottom w:val="none" w:sz="0" w:space="0" w:color="auto"/>
        <w:right w:val="none" w:sz="0" w:space="0" w:color="auto"/>
      </w:divBdr>
    </w:div>
    <w:div w:id="2132549347">
      <w:bodyDiv w:val="1"/>
      <w:marLeft w:val="0"/>
      <w:marRight w:val="0"/>
      <w:marTop w:val="0"/>
      <w:marBottom w:val="0"/>
      <w:divBdr>
        <w:top w:val="none" w:sz="0" w:space="0" w:color="auto"/>
        <w:left w:val="none" w:sz="0" w:space="0" w:color="auto"/>
        <w:bottom w:val="none" w:sz="0" w:space="0" w:color="auto"/>
        <w:right w:val="none" w:sz="0" w:space="0" w:color="auto"/>
      </w:divBdr>
    </w:div>
    <w:div w:id="2145809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ypmu8888@126.com" TargetMode="Externa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reativecommons.org/licenses/by-nc/4.0/"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095A9D56-5FB4-4066-B370-CB15B5F42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7837</Words>
  <Characters>44674</Characters>
  <Application>Microsoft Office Word</Application>
  <DocSecurity>0</DocSecurity>
  <Lines>372</Lines>
  <Paragraphs>104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Lian-Sheng Ma</cp:lastModifiedBy>
  <cp:revision>2</cp:revision>
  <dcterms:created xsi:type="dcterms:W3CDTF">2018-10-27T00:48:00Z</dcterms:created>
  <dcterms:modified xsi:type="dcterms:W3CDTF">2018-10-27T00:48:00Z</dcterms:modified>
</cp:coreProperties>
</file>