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34F" w:rsidRPr="003D034F" w:rsidRDefault="002D134F" w:rsidP="003D034F">
      <w:pPr>
        <w:adjustRightInd w:val="0"/>
        <w:snapToGrid w:val="0"/>
        <w:spacing w:after="0" w:line="360" w:lineRule="auto"/>
        <w:jc w:val="both"/>
        <w:rPr>
          <w:rFonts w:ascii="Book Antiqua" w:eastAsia="Times New Roman" w:hAnsi="Book Antiqua" w:cs="宋体"/>
          <w:i/>
          <w:sz w:val="24"/>
          <w:szCs w:val="24"/>
          <w:lang w:val="en-US"/>
        </w:rPr>
      </w:pPr>
      <w:bookmarkStart w:id="0" w:name="_GoBack"/>
      <w:bookmarkEnd w:id="0"/>
      <w:r w:rsidRPr="003D034F">
        <w:rPr>
          <w:rFonts w:ascii="Book Antiqua" w:eastAsia="Times New Roman" w:hAnsi="Book Antiqua" w:cs="宋体"/>
          <w:b/>
          <w:sz w:val="24"/>
          <w:szCs w:val="24"/>
          <w:lang w:val="en-US"/>
        </w:rPr>
        <w:t xml:space="preserve">Name of Journal: </w:t>
      </w:r>
      <w:r w:rsidR="00561275" w:rsidRPr="003D034F">
        <w:rPr>
          <w:rFonts w:ascii="Book Antiqua" w:hAnsi="Book Antiqua" w:cs="Tahoma"/>
          <w:i/>
          <w:sz w:val="24"/>
          <w:szCs w:val="24"/>
          <w:shd w:val="clear" w:color="auto" w:fill="FFFFFF"/>
          <w:lang w:val="en-US"/>
        </w:rPr>
        <w:t>World Journal of Gastrointestinal Pharmacology and Therapeutics</w:t>
      </w:r>
    </w:p>
    <w:p w:rsidR="002D134F" w:rsidRPr="003D034F" w:rsidRDefault="002D134F" w:rsidP="003D034F">
      <w:pPr>
        <w:adjustRightInd w:val="0"/>
        <w:snapToGrid w:val="0"/>
        <w:spacing w:after="0" w:line="360" w:lineRule="auto"/>
        <w:jc w:val="both"/>
        <w:rPr>
          <w:rFonts w:ascii="Book Antiqua" w:hAnsi="Book Antiqua" w:cs="Arial"/>
          <w:sz w:val="24"/>
          <w:szCs w:val="24"/>
          <w:lang w:val="en" w:eastAsia="zh-CN"/>
        </w:rPr>
      </w:pPr>
      <w:r w:rsidRPr="003D034F">
        <w:rPr>
          <w:rFonts w:ascii="Book Antiqua" w:eastAsia="Times New Roman" w:hAnsi="Book Antiqua"/>
          <w:b/>
          <w:bCs/>
          <w:sz w:val="24"/>
          <w:szCs w:val="24"/>
        </w:rPr>
        <w:t>Manuscript NO</w:t>
      </w:r>
      <w:r w:rsidRPr="003D034F">
        <w:rPr>
          <w:rFonts w:ascii="Book Antiqua" w:hAnsi="Book Antiqua" w:cs="Arial"/>
          <w:b/>
          <w:sz w:val="24"/>
          <w:szCs w:val="24"/>
          <w:lang w:val="en"/>
        </w:rPr>
        <w:t xml:space="preserve">: </w:t>
      </w:r>
      <w:r w:rsidR="00561275" w:rsidRPr="003D034F">
        <w:rPr>
          <w:rFonts w:ascii="Book Antiqua" w:hAnsi="Book Antiqua" w:cs="Arial"/>
          <w:sz w:val="24"/>
          <w:szCs w:val="24"/>
          <w:shd w:val="clear" w:color="auto" w:fill="FFFFFF"/>
        </w:rPr>
        <w:t>42976</w:t>
      </w:r>
    </w:p>
    <w:p w:rsidR="002D134F" w:rsidRPr="003D034F" w:rsidRDefault="002D134F" w:rsidP="003D034F">
      <w:pPr>
        <w:spacing w:after="0" w:line="360" w:lineRule="auto"/>
        <w:jc w:val="both"/>
        <w:rPr>
          <w:rFonts w:ascii="Book Antiqua" w:hAnsi="Book Antiqua"/>
          <w:sz w:val="24"/>
          <w:szCs w:val="24"/>
          <w:lang w:eastAsia="zh-CN"/>
        </w:rPr>
      </w:pPr>
      <w:r w:rsidRPr="003D034F">
        <w:rPr>
          <w:rFonts w:ascii="Book Antiqua" w:hAnsi="Book Antiqua"/>
          <w:b/>
          <w:sz w:val="24"/>
          <w:szCs w:val="24"/>
          <w:shd w:val="clear" w:color="auto" w:fill="FFFFFF"/>
        </w:rPr>
        <w:t>Manuscript Type</w:t>
      </w:r>
      <w:r w:rsidRPr="003D034F">
        <w:rPr>
          <w:rFonts w:ascii="Book Antiqua" w:hAnsi="Book Antiqua"/>
          <w:b/>
          <w:sz w:val="24"/>
          <w:szCs w:val="24"/>
        </w:rPr>
        <w:t>:</w:t>
      </w:r>
      <w:r w:rsidR="00561275" w:rsidRPr="003D034F">
        <w:rPr>
          <w:rFonts w:ascii="Book Antiqua" w:hAnsi="Book Antiqua"/>
          <w:b/>
          <w:sz w:val="24"/>
          <w:szCs w:val="24"/>
        </w:rPr>
        <w:t xml:space="preserve"> </w:t>
      </w:r>
      <w:r w:rsidR="007D16D2" w:rsidRPr="003D034F">
        <w:rPr>
          <w:rFonts w:ascii="Book Antiqua" w:hAnsi="Book Antiqua"/>
          <w:sz w:val="24"/>
          <w:szCs w:val="24"/>
        </w:rPr>
        <w:t>REVIEW</w:t>
      </w:r>
    </w:p>
    <w:p w:rsidR="002D134F" w:rsidRPr="003D034F" w:rsidRDefault="002D134F" w:rsidP="003D034F">
      <w:pPr>
        <w:spacing w:after="0" w:line="360" w:lineRule="auto"/>
        <w:jc w:val="both"/>
        <w:rPr>
          <w:rFonts w:ascii="Book Antiqua" w:hAnsi="Book Antiqua" w:cs="Calibri"/>
          <w:b/>
          <w:sz w:val="24"/>
          <w:szCs w:val="24"/>
          <w:lang w:val="en-US" w:eastAsia="zh-CN"/>
        </w:rPr>
      </w:pPr>
    </w:p>
    <w:p w:rsidR="003832B0" w:rsidRPr="003D034F" w:rsidRDefault="002D134F" w:rsidP="003D034F">
      <w:pPr>
        <w:spacing w:after="0" w:line="360" w:lineRule="auto"/>
        <w:jc w:val="both"/>
        <w:rPr>
          <w:rFonts w:ascii="Book Antiqua" w:hAnsi="Book Antiqua" w:cs="Calibri"/>
          <w:b/>
          <w:sz w:val="24"/>
          <w:szCs w:val="24"/>
          <w:lang w:val="en-US"/>
        </w:rPr>
      </w:pPr>
      <w:bookmarkStart w:id="1" w:name="OLE_LINK403"/>
      <w:bookmarkStart w:id="2" w:name="OLE_LINK404"/>
      <w:r w:rsidRPr="003D034F">
        <w:rPr>
          <w:rFonts w:ascii="Book Antiqua" w:hAnsi="Book Antiqua" w:cs="Calibri"/>
          <w:b/>
          <w:sz w:val="24"/>
          <w:szCs w:val="24"/>
          <w:lang w:val="en-US"/>
        </w:rPr>
        <w:t>Crohn</w:t>
      </w:r>
      <w:r w:rsidR="007D16D2" w:rsidRPr="003D034F">
        <w:rPr>
          <w:rFonts w:ascii="Book Antiqua" w:hAnsi="Book Antiqua" w:cs="Calibri"/>
          <w:b/>
          <w:sz w:val="24"/>
          <w:szCs w:val="24"/>
          <w:lang w:val="en-US" w:eastAsia="zh-CN"/>
        </w:rPr>
        <w:t>’</w:t>
      </w:r>
      <w:r w:rsidRPr="003D034F">
        <w:rPr>
          <w:rFonts w:ascii="Book Antiqua" w:hAnsi="Book Antiqua" w:cs="Calibri"/>
          <w:b/>
          <w:sz w:val="24"/>
          <w:szCs w:val="24"/>
          <w:lang w:val="en-US"/>
        </w:rPr>
        <w:t>s disease of esophagus, stomach and duodenum</w:t>
      </w:r>
    </w:p>
    <w:bookmarkEnd w:id="1"/>
    <w:bookmarkEnd w:id="2"/>
    <w:p w:rsidR="007D16D2" w:rsidRPr="003D034F" w:rsidRDefault="007D16D2" w:rsidP="003D034F">
      <w:pPr>
        <w:spacing w:after="0" w:line="360" w:lineRule="auto"/>
        <w:jc w:val="both"/>
        <w:rPr>
          <w:rFonts w:ascii="Book Antiqua" w:hAnsi="Book Antiqua" w:cs="Garamond-Bold"/>
          <w:b/>
          <w:bCs/>
          <w:sz w:val="24"/>
          <w:szCs w:val="24"/>
          <w:lang w:val="en-US" w:eastAsia="zh-CN"/>
        </w:rPr>
      </w:pPr>
    </w:p>
    <w:p w:rsidR="002D134F" w:rsidRPr="003D034F" w:rsidRDefault="00AD777A" w:rsidP="003D034F">
      <w:pPr>
        <w:spacing w:after="0" w:line="360" w:lineRule="auto"/>
        <w:jc w:val="both"/>
        <w:rPr>
          <w:rFonts w:ascii="Book Antiqua" w:hAnsi="Book Antiqua"/>
          <w:sz w:val="24"/>
          <w:szCs w:val="24"/>
          <w:lang w:val="en-US"/>
        </w:rPr>
      </w:pPr>
      <w:r w:rsidRPr="003D034F">
        <w:rPr>
          <w:rFonts w:ascii="Book Antiqua" w:hAnsi="Book Antiqua" w:cs="Garamond-Bold"/>
          <w:bCs/>
          <w:sz w:val="24"/>
          <w:szCs w:val="24"/>
          <w:lang w:val="en-US" w:eastAsia="zh-CN"/>
        </w:rPr>
        <w:t>Pimentel</w:t>
      </w:r>
      <w:r w:rsidRPr="003D034F">
        <w:rPr>
          <w:rFonts w:ascii="Book Antiqua" w:hAnsi="Book Antiqua" w:cs="Garamond-Bold"/>
          <w:bCs/>
          <w:i/>
          <w:sz w:val="24"/>
          <w:szCs w:val="24"/>
          <w:lang w:val="en-US" w:eastAsia="zh-CN"/>
        </w:rPr>
        <w:t xml:space="preserve"> </w:t>
      </w:r>
      <w:r w:rsidR="007D16D2" w:rsidRPr="003D034F">
        <w:rPr>
          <w:rFonts w:ascii="Book Antiqua" w:hAnsi="Book Antiqua" w:cs="Garamond-Bold"/>
          <w:bCs/>
          <w:sz w:val="24"/>
          <w:szCs w:val="24"/>
          <w:lang w:val="en-US" w:eastAsia="zh-CN"/>
        </w:rPr>
        <w:t>AM</w:t>
      </w:r>
      <w:r w:rsidR="007D16D2" w:rsidRPr="003D034F">
        <w:rPr>
          <w:rFonts w:ascii="Book Antiqua" w:hAnsi="Book Antiqua" w:cs="Garamond-Bold"/>
          <w:bCs/>
          <w:i/>
          <w:sz w:val="24"/>
          <w:szCs w:val="24"/>
          <w:lang w:val="en-US" w:eastAsia="zh-CN"/>
        </w:rPr>
        <w:t xml:space="preserve"> </w:t>
      </w:r>
      <w:r w:rsidRPr="003D034F">
        <w:rPr>
          <w:rFonts w:ascii="Book Antiqua" w:hAnsi="Book Antiqua" w:cs="Garamond-Bold"/>
          <w:bCs/>
          <w:i/>
          <w:sz w:val="24"/>
          <w:szCs w:val="24"/>
          <w:lang w:val="en-US" w:eastAsia="zh-CN"/>
        </w:rPr>
        <w:t>et al.</w:t>
      </w:r>
      <w:r w:rsidRPr="003D034F">
        <w:rPr>
          <w:rFonts w:ascii="Book Antiqua" w:hAnsi="Book Antiqua" w:cs="Garamond-Bold"/>
          <w:b/>
          <w:bCs/>
          <w:sz w:val="24"/>
          <w:szCs w:val="24"/>
          <w:lang w:val="en-US" w:eastAsia="zh-CN"/>
        </w:rPr>
        <w:t xml:space="preserve"> </w:t>
      </w:r>
      <w:r w:rsidRPr="003D034F">
        <w:rPr>
          <w:rFonts w:ascii="Book Antiqua" w:hAnsi="Book Antiqua" w:cs="Garamond-Bold"/>
          <w:bCs/>
          <w:sz w:val="24"/>
          <w:szCs w:val="24"/>
          <w:lang w:val="en-US" w:eastAsia="zh-CN"/>
        </w:rPr>
        <w:t>Crohn</w:t>
      </w:r>
      <w:r w:rsidR="007D16D2" w:rsidRPr="003D034F">
        <w:rPr>
          <w:rFonts w:ascii="Book Antiqua" w:hAnsi="Book Antiqua" w:cs="Garamond-Bold"/>
          <w:bCs/>
          <w:sz w:val="24"/>
          <w:szCs w:val="24"/>
          <w:lang w:val="en-US" w:eastAsia="zh-CN"/>
        </w:rPr>
        <w:t>’</w:t>
      </w:r>
      <w:r w:rsidRPr="003D034F">
        <w:rPr>
          <w:rFonts w:ascii="Book Antiqua" w:hAnsi="Book Antiqua" w:cs="Garamond-Bold"/>
          <w:bCs/>
          <w:sz w:val="24"/>
          <w:szCs w:val="24"/>
          <w:lang w:val="en-US" w:eastAsia="zh-CN"/>
        </w:rPr>
        <w:t>s disease in</w:t>
      </w:r>
      <w:r w:rsidRPr="003D034F">
        <w:rPr>
          <w:rFonts w:ascii="Book Antiqua" w:hAnsi="Book Antiqua" w:cs="Garamond-Bold"/>
          <w:b/>
          <w:bCs/>
          <w:sz w:val="24"/>
          <w:szCs w:val="24"/>
          <w:lang w:val="en-US" w:eastAsia="zh-CN"/>
        </w:rPr>
        <w:t xml:space="preserve"> </w:t>
      </w:r>
      <w:r w:rsidR="007D16D2" w:rsidRPr="003D034F">
        <w:rPr>
          <w:rFonts w:ascii="Book Antiqua" w:hAnsi="Book Antiqua" w:cs="Calibri"/>
          <w:sz w:val="24"/>
          <w:szCs w:val="24"/>
          <w:lang w:val="en-US"/>
        </w:rPr>
        <w:t>upper gastrointestinal tract</w:t>
      </w:r>
    </w:p>
    <w:p w:rsidR="002D134F" w:rsidRPr="003D034F" w:rsidRDefault="002D134F" w:rsidP="003D034F">
      <w:pPr>
        <w:spacing w:after="0" w:line="360" w:lineRule="auto"/>
        <w:jc w:val="both"/>
        <w:rPr>
          <w:rFonts w:ascii="Book Antiqua" w:hAnsi="Book Antiqua" w:cs="Calibri"/>
          <w:b/>
          <w:sz w:val="24"/>
          <w:szCs w:val="24"/>
          <w:lang w:val="en-US" w:eastAsia="zh-CN"/>
        </w:rPr>
      </w:pPr>
    </w:p>
    <w:p w:rsidR="006C2B36" w:rsidRPr="003D034F" w:rsidRDefault="00CD610B" w:rsidP="003D034F">
      <w:pPr>
        <w:spacing w:after="0" w:line="360" w:lineRule="auto"/>
        <w:jc w:val="both"/>
        <w:rPr>
          <w:rFonts w:ascii="Book Antiqua" w:hAnsi="Book Antiqua" w:cs="Calibri"/>
          <w:sz w:val="24"/>
          <w:szCs w:val="24"/>
        </w:rPr>
      </w:pPr>
      <w:r w:rsidRPr="003D034F">
        <w:rPr>
          <w:rFonts w:ascii="Book Antiqua" w:hAnsi="Book Antiqua" w:cs="Calibri"/>
          <w:sz w:val="24"/>
          <w:szCs w:val="24"/>
        </w:rPr>
        <w:t>Andréa M</w:t>
      </w:r>
      <w:r w:rsidR="00D019DF" w:rsidRPr="003D034F">
        <w:rPr>
          <w:rFonts w:ascii="Book Antiqua" w:hAnsi="Book Antiqua" w:cs="Calibri"/>
          <w:sz w:val="24"/>
          <w:szCs w:val="24"/>
        </w:rPr>
        <w:t>aia</w:t>
      </w:r>
      <w:r w:rsidRPr="003D034F">
        <w:rPr>
          <w:rFonts w:ascii="Book Antiqua" w:hAnsi="Book Antiqua" w:cs="Calibri"/>
          <w:sz w:val="24"/>
          <w:szCs w:val="24"/>
        </w:rPr>
        <w:t xml:space="preserve"> Pimentel, </w:t>
      </w:r>
      <w:bookmarkStart w:id="3" w:name="OLE_LINK6"/>
      <w:bookmarkStart w:id="4" w:name="OLE_LINK7"/>
      <w:r w:rsidRPr="003D034F">
        <w:rPr>
          <w:rFonts w:ascii="Book Antiqua" w:hAnsi="Book Antiqua" w:cs="Calibri"/>
          <w:sz w:val="24"/>
          <w:szCs w:val="24"/>
        </w:rPr>
        <w:t xml:space="preserve">Raquel </w:t>
      </w:r>
      <w:r w:rsidR="00706C6D" w:rsidRPr="003D034F">
        <w:rPr>
          <w:rFonts w:ascii="Book Antiqua" w:hAnsi="Book Antiqua"/>
          <w:sz w:val="24"/>
          <w:szCs w:val="24"/>
        </w:rPr>
        <w:t>Rocha Dos Santos</w:t>
      </w:r>
      <w:bookmarkEnd w:id="3"/>
      <w:bookmarkEnd w:id="4"/>
      <w:r w:rsidRPr="003D034F">
        <w:rPr>
          <w:rFonts w:ascii="Book Antiqua" w:hAnsi="Book Antiqua" w:cs="Calibri"/>
          <w:sz w:val="24"/>
          <w:szCs w:val="24"/>
        </w:rPr>
        <w:t>, Genoile Oliveira Santana</w:t>
      </w:r>
    </w:p>
    <w:p w:rsidR="007D16D2" w:rsidRPr="003D034F" w:rsidRDefault="007D16D2" w:rsidP="003D034F">
      <w:pPr>
        <w:spacing w:after="0" w:line="360" w:lineRule="auto"/>
        <w:jc w:val="both"/>
        <w:rPr>
          <w:rFonts w:ascii="Book Antiqua" w:hAnsi="Book Antiqua" w:cs="Calibri"/>
          <w:sz w:val="24"/>
          <w:szCs w:val="24"/>
          <w:lang w:eastAsia="zh-CN"/>
        </w:rPr>
      </w:pPr>
    </w:p>
    <w:p w:rsidR="00CD610B" w:rsidRPr="003D034F" w:rsidRDefault="00CD610B" w:rsidP="003D034F">
      <w:pPr>
        <w:spacing w:after="0" w:line="360" w:lineRule="auto"/>
        <w:jc w:val="both"/>
        <w:rPr>
          <w:rFonts w:ascii="Book Antiqua" w:hAnsi="Book Antiqua" w:cs="Calibri"/>
          <w:sz w:val="24"/>
          <w:szCs w:val="24"/>
        </w:rPr>
      </w:pPr>
      <w:bookmarkStart w:id="5" w:name="OLE_LINK1"/>
      <w:bookmarkStart w:id="6" w:name="OLE_LINK2"/>
      <w:r w:rsidRPr="003D034F">
        <w:rPr>
          <w:rFonts w:ascii="Book Antiqua" w:hAnsi="Book Antiqua" w:cs="Calibri"/>
          <w:b/>
          <w:sz w:val="24"/>
          <w:szCs w:val="24"/>
        </w:rPr>
        <w:t>Andréa</w:t>
      </w:r>
      <w:bookmarkEnd w:id="5"/>
      <w:bookmarkEnd w:id="6"/>
      <w:r w:rsidRPr="003D034F">
        <w:rPr>
          <w:rFonts w:ascii="Book Antiqua" w:hAnsi="Book Antiqua" w:cs="Calibri"/>
          <w:b/>
          <w:sz w:val="24"/>
          <w:szCs w:val="24"/>
        </w:rPr>
        <w:t xml:space="preserve"> Maia Pimentel,</w:t>
      </w:r>
      <w:r w:rsidRPr="003D034F">
        <w:rPr>
          <w:rFonts w:ascii="Book Antiqua" w:hAnsi="Book Antiqua" w:cs="Calibri"/>
          <w:sz w:val="24"/>
          <w:szCs w:val="24"/>
        </w:rPr>
        <w:t xml:space="preserve"> Programa de </w:t>
      </w:r>
      <w:r w:rsidR="00A455DF" w:rsidRPr="003D034F">
        <w:rPr>
          <w:rFonts w:ascii="Book Antiqua" w:hAnsi="Book Antiqua" w:cs="Calibri"/>
          <w:sz w:val="24"/>
          <w:szCs w:val="24"/>
        </w:rPr>
        <w:t>Pós graduação</w:t>
      </w:r>
      <w:r w:rsidRPr="003D034F">
        <w:rPr>
          <w:rFonts w:ascii="Book Antiqua" w:hAnsi="Book Antiqua" w:cs="Calibri"/>
          <w:sz w:val="24"/>
          <w:szCs w:val="24"/>
        </w:rPr>
        <w:t xml:space="preserve"> em Medicina e </w:t>
      </w:r>
      <w:r w:rsidR="00A455DF" w:rsidRPr="003D034F">
        <w:rPr>
          <w:rFonts w:ascii="Book Antiqua" w:hAnsi="Book Antiqua" w:cs="Calibri"/>
          <w:sz w:val="24"/>
          <w:szCs w:val="24"/>
        </w:rPr>
        <w:t>Saúde</w:t>
      </w:r>
      <w:r w:rsidRPr="003D034F">
        <w:rPr>
          <w:rFonts w:ascii="Book Antiqua" w:hAnsi="Book Antiqua" w:cs="Calibri"/>
          <w:sz w:val="24"/>
          <w:szCs w:val="24"/>
        </w:rPr>
        <w:t>, Universidade Federal da Bahia, Salvador</w:t>
      </w:r>
      <w:r w:rsidR="007D16D2" w:rsidRPr="003D034F">
        <w:rPr>
          <w:rFonts w:ascii="Book Antiqua" w:hAnsi="Book Antiqua" w:cs="Calibri"/>
          <w:sz w:val="24"/>
          <w:szCs w:val="24"/>
          <w:lang w:eastAsia="zh-CN"/>
        </w:rPr>
        <w:t xml:space="preserve"> </w:t>
      </w:r>
      <w:r w:rsidR="007D16D2" w:rsidRPr="003D034F">
        <w:rPr>
          <w:rFonts w:ascii="Book Antiqua" w:hAnsi="Book Antiqua" w:cs="Calibri"/>
          <w:sz w:val="24"/>
          <w:szCs w:val="24"/>
        </w:rPr>
        <w:t>40110-060, Bahia,</w:t>
      </w:r>
      <w:r w:rsidRPr="003D034F">
        <w:rPr>
          <w:rFonts w:ascii="Book Antiqua" w:hAnsi="Book Antiqua" w:cs="Calibri"/>
          <w:sz w:val="24"/>
          <w:szCs w:val="24"/>
        </w:rPr>
        <w:t xml:space="preserve"> Bra</w:t>
      </w:r>
      <w:r w:rsidR="007D16D2" w:rsidRPr="003D034F">
        <w:rPr>
          <w:rFonts w:ascii="Book Antiqua" w:hAnsi="Book Antiqua" w:cs="Calibri"/>
          <w:sz w:val="24"/>
          <w:szCs w:val="24"/>
          <w:lang w:eastAsia="zh-CN"/>
        </w:rPr>
        <w:t>z</w:t>
      </w:r>
      <w:r w:rsidRPr="003D034F">
        <w:rPr>
          <w:rFonts w:ascii="Book Antiqua" w:hAnsi="Book Antiqua" w:cs="Calibri"/>
          <w:sz w:val="24"/>
          <w:szCs w:val="24"/>
        </w:rPr>
        <w:t>il</w:t>
      </w:r>
    </w:p>
    <w:p w:rsidR="007D16D2" w:rsidRPr="003D034F" w:rsidRDefault="007D16D2" w:rsidP="003D034F">
      <w:pPr>
        <w:spacing w:after="0" w:line="360" w:lineRule="auto"/>
        <w:jc w:val="both"/>
        <w:rPr>
          <w:rFonts w:ascii="Book Antiqua" w:hAnsi="Book Antiqua" w:cs="Calibri"/>
          <w:sz w:val="24"/>
          <w:szCs w:val="24"/>
          <w:lang w:eastAsia="zh-CN"/>
        </w:rPr>
      </w:pPr>
    </w:p>
    <w:p w:rsidR="00CD610B" w:rsidRPr="003D034F" w:rsidRDefault="00CD610B" w:rsidP="003D034F">
      <w:pPr>
        <w:spacing w:after="0" w:line="360" w:lineRule="auto"/>
        <w:jc w:val="both"/>
        <w:rPr>
          <w:rFonts w:ascii="Book Antiqua" w:hAnsi="Book Antiqua" w:cs="Calibri"/>
          <w:sz w:val="24"/>
          <w:szCs w:val="24"/>
          <w:lang w:eastAsia="zh-CN"/>
        </w:rPr>
      </w:pPr>
      <w:r w:rsidRPr="003D034F">
        <w:rPr>
          <w:rFonts w:ascii="Book Antiqua" w:hAnsi="Book Antiqua" w:cs="Calibri"/>
          <w:b/>
          <w:sz w:val="24"/>
          <w:szCs w:val="24"/>
        </w:rPr>
        <w:t>Genoile Oliveira Santana,</w:t>
      </w:r>
      <w:r w:rsidRPr="003D034F">
        <w:rPr>
          <w:rFonts w:ascii="Book Antiqua" w:hAnsi="Book Antiqua" w:cs="Calibri"/>
          <w:sz w:val="24"/>
          <w:szCs w:val="24"/>
        </w:rPr>
        <w:t xml:space="preserve"> Departamento d</w:t>
      </w:r>
      <w:r w:rsidR="00AD5F24" w:rsidRPr="003D034F">
        <w:rPr>
          <w:rFonts w:ascii="Book Antiqua" w:hAnsi="Book Antiqua" w:cs="Calibri"/>
          <w:sz w:val="24"/>
          <w:szCs w:val="24"/>
        </w:rPr>
        <w:t>e</w:t>
      </w:r>
      <w:r w:rsidRPr="003D034F">
        <w:rPr>
          <w:rFonts w:ascii="Book Antiqua" w:hAnsi="Book Antiqua" w:cs="Calibri"/>
          <w:sz w:val="24"/>
          <w:szCs w:val="24"/>
        </w:rPr>
        <w:t xml:space="preserve"> Pós graduação em Medicina e </w:t>
      </w:r>
      <w:r w:rsidR="00A455DF" w:rsidRPr="003D034F">
        <w:rPr>
          <w:rFonts w:ascii="Book Antiqua" w:hAnsi="Book Antiqua" w:cs="Calibri"/>
          <w:sz w:val="24"/>
          <w:szCs w:val="24"/>
        </w:rPr>
        <w:t>Saúde</w:t>
      </w:r>
      <w:r w:rsidRPr="003D034F">
        <w:rPr>
          <w:rFonts w:ascii="Book Antiqua" w:hAnsi="Book Antiqua" w:cs="Calibri"/>
          <w:sz w:val="24"/>
          <w:szCs w:val="24"/>
        </w:rPr>
        <w:t>, Universidade Federal da Bahia, Salvador</w:t>
      </w:r>
      <w:r w:rsidR="007D16D2" w:rsidRPr="003D034F">
        <w:rPr>
          <w:rFonts w:ascii="Book Antiqua" w:hAnsi="Book Antiqua" w:cs="Calibri"/>
          <w:sz w:val="24"/>
          <w:szCs w:val="24"/>
          <w:lang w:eastAsia="zh-CN"/>
        </w:rPr>
        <w:t xml:space="preserve"> </w:t>
      </w:r>
      <w:r w:rsidR="007D16D2" w:rsidRPr="003D034F">
        <w:rPr>
          <w:rFonts w:ascii="Book Antiqua" w:hAnsi="Book Antiqua" w:cs="Calibri"/>
          <w:sz w:val="24"/>
          <w:szCs w:val="24"/>
        </w:rPr>
        <w:t>40110-060</w:t>
      </w:r>
      <w:r w:rsidR="00DE6A7F" w:rsidRPr="003D034F">
        <w:rPr>
          <w:rFonts w:ascii="Book Antiqua" w:hAnsi="Book Antiqua" w:cs="Calibri"/>
          <w:sz w:val="24"/>
          <w:szCs w:val="24"/>
        </w:rPr>
        <w:t>, Bahia,</w:t>
      </w:r>
      <w:r w:rsidR="00F42B26" w:rsidRPr="003D034F">
        <w:rPr>
          <w:rFonts w:ascii="Book Antiqua" w:hAnsi="Book Antiqua" w:cs="Calibri"/>
          <w:sz w:val="24"/>
          <w:szCs w:val="24"/>
        </w:rPr>
        <w:t xml:space="preserve"> </w:t>
      </w:r>
      <w:r w:rsidR="00A455DF" w:rsidRPr="003D034F">
        <w:rPr>
          <w:rFonts w:ascii="Book Antiqua" w:hAnsi="Book Antiqua" w:cs="Calibri"/>
          <w:sz w:val="24"/>
          <w:szCs w:val="24"/>
        </w:rPr>
        <w:t>Bra</w:t>
      </w:r>
      <w:r w:rsidR="007D16D2" w:rsidRPr="003D034F">
        <w:rPr>
          <w:rFonts w:ascii="Book Antiqua" w:hAnsi="Book Antiqua" w:cs="Calibri"/>
          <w:sz w:val="24"/>
          <w:szCs w:val="24"/>
          <w:lang w:eastAsia="zh-CN"/>
        </w:rPr>
        <w:t>z</w:t>
      </w:r>
      <w:r w:rsidR="00A455DF" w:rsidRPr="003D034F">
        <w:rPr>
          <w:rFonts w:ascii="Book Antiqua" w:hAnsi="Book Antiqua" w:cs="Calibri"/>
          <w:sz w:val="24"/>
          <w:szCs w:val="24"/>
        </w:rPr>
        <w:t>il</w:t>
      </w:r>
    </w:p>
    <w:p w:rsidR="007D16D2" w:rsidRPr="003D034F" w:rsidRDefault="007D16D2" w:rsidP="003D034F">
      <w:pPr>
        <w:spacing w:after="0" w:line="360" w:lineRule="auto"/>
        <w:jc w:val="both"/>
        <w:rPr>
          <w:rFonts w:ascii="Book Antiqua" w:hAnsi="Book Antiqua" w:cs="Calibri"/>
          <w:sz w:val="24"/>
          <w:szCs w:val="24"/>
          <w:lang w:eastAsia="zh-CN"/>
        </w:rPr>
      </w:pPr>
    </w:p>
    <w:p w:rsidR="00CD610B" w:rsidRPr="003D034F" w:rsidRDefault="00706C6D" w:rsidP="003D034F">
      <w:pPr>
        <w:spacing w:after="0" w:line="360" w:lineRule="auto"/>
        <w:jc w:val="both"/>
        <w:rPr>
          <w:rFonts w:ascii="Book Antiqua" w:hAnsi="Book Antiqua" w:cs="Calibri"/>
          <w:sz w:val="24"/>
          <w:szCs w:val="24"/>
          <w:lang w:eastAsia="zh-CN"/>
        </w:rPr>
      </w:pPr>
      <w:r w:rsidRPr="003D034F">
        <w:rPr>
          <w:rFonts w:ascii="Book Antiqua" w:hAnsi="Book Antiqua" w:cs="Calibri"/>
          <w:b/>
          <w:sz w:val="24"/>
          <w:szCs w:val="24"/>
        </w:rPr>
        <w:t xml:space="preserve">Raquel </w:t>
      </w:r>
      <w:r w:rsidRPr="003D034F">
        <w:rPr>
          <w:rFonts w:ascii="Book Antiqua" w:hAnsi="Book Antiqua"/>
          <w:b/>
          <w:sz w:val="24"/>
          <w:szCs w:val="24"/>
        </w:rPr>
        <w:t>Rocha Dos Santos</w:t>
      </w:r>
      <w:r w:rsidRPr="003D034F">
        <w:rPr>
          <w:rFonts w:ascii="Book Antiqua" w:hAnsi="Book Antiqua" w:cs="Calibri"/>
          <w:b/>
          <w:sz w:val="24"/>
          <w:szCs w:val="24"/>
        </w:rPr>
        <w:t>,</w:t>
      </w:r>
      <w:r w:rsidR="00CD610B" w:rsidRPr="003D034F">
        <w:rPr>
          <w:rFonts w:ascii="Book Antiqua" w:hAnsi="Book Antiqua" w:cs="Calibri"/>
          <w:sz w:val="24"/>
          <w:szCs w:val="24"/>
        </w:rPr>
        <w:t xml:space="preserve"> Departamento de Ciências da Nutrição, Universidade Federal da Bahia, Salvador</w:t>
      </w:r>
      <w:r w:rsidR="007D16D2" w:rsidRPr="003D034F">
        <w:rPr>
          <w:rFonts w:ascii="Book Antiqua" w:hAnsi="Book Antiqua" w:cs="Calibri"/>
          <w:sz w:val="24"/>
          <w:szCs w:val="24"/>
          <w:lang w:eastAsia="zh-CN"/>
        </w:rPr>
        <w:t xml:space="preserve"> </w:t>
      </w:r>
      <w:r w:rsidR="007D16D2" w:rsidRPr="003D034F">
        <w:rPr>
          <w:rFonts w:ascii="Book Antiqua" w:hAnsi="Book Antiqua" w:cs="Calibri"/>
          <w:sz w:val="24"/>
          <w:szCs w:val="24"/>
        </w:rPr>
        <w:t>40110-060, Bahia,</w:t>
      </w:r>
      <w:r w:rsidR="00F42B26" w:rsidRPr="003D034F">
        <w:rPr>
          <w:rFonts w:ascii="Book Antiqua" w:hAnsi="Book Antiqua" w:cs="Calibri"/>
          <w:sz w:val="24"/>
          <w:szCs w:val="24"/>
        </w:rPr>
        <w:t xml:space="preserve"> </w:t>
      </w:r>
      <w:r w:rsidR="00A455DF" w:rsidRPr="003D034F">
        <w:rPr>
          <w:rFonts w:ascii="Book Antiqua" w:hAnsi="Book Antiqua" w:cs="Calibri"/>
          <w:sz w:val="24"/>
          <w:szCs w:val="24"/>
        </w:rPr>
        <w:t>Bra</w:t>
      </w:r>
      <w:r w:rsidR="007D16D2" w:rsidRPr="003D034F">
        <w:rPr>
          <w:rFonts w:ascii="Book Antiqua" w:hAnsi="Book Antiqua" w:cs="Calibri"/>
          <w:sz w:val="24"/>
          <w:szCs w:val="24"/>
          <w:lang w:eastAsia="zh-CN"/>
        </w:rPr>
        <w:t>z</w:t>
      </w:r>
      <w:r w:rsidR="00A455DF" w:rsidRPr="003D034F">
        <w:rPr>
          <w:rFonts w:ascii="Book Antiqua" w:hAnsi="Book Antiqua" w:cs="Calibri"/>
          <w:sz w:val="24"/>
          <w:szCs w:val="24"/>
        </w:rPr>
        <w:t>il</w:t>
      </w:r>
    </w:p>
    <w:p w:rsidR="00193995" w:rsidRPr="003D034F" w:rsidRDefault="00193995" w:rsidP="003D034F">
      <w:pPr>
        <w:spacing w:after="0" w:line="360" w:lineRule="auto"/>
        <w:jc w:val="both"/>
        <w:rPr>
          <w:rFonts w:ascii="Book Antiqua" w:hAnsi="Book Antiqua" w:cs="Calibri"/>
          <w:sz w:val="24"/>
          <w:szCs w:val="24"/>
          <w:lang w:eastAsia="zh-CN"/>
        </w:rPr>
      </w:pPr>
    </w:p>
    <w:p w:rsidR="00470436" w:rsidRPr="003D034F" w:rsidRDefault="00706C6D" w:rsidP="003D034F">
      <w:pPr>
        <w:spacing w:after="0" w:line="360" w:lineRule="auto"/>
        <w:jc w:val="both"/>
        <w:rPr>
          <w:rFonts w:ascii="Book Antiqua" w:hAnsi="Book Antiqua"/>
          <w:bCs/>
          <w:sz w:val="24"/>
          <w:szCs w:val="24"/>
          <w:shd w:val="clear" w:color="auto" w:fill="FFFFFF"/>
          <w:lang w:eastAsia="zh-CN"/>
        </w:rPr>
      </w:pPr>
      <w:r w:rsidRPr="003D034F">
        <w:rPr>
          <w:rFonts w:ascii="Book Antiqua" w:hAnsi="Book Antiqua"/>
          <w:b/>
          <w:bCs/>
          <w:sz w:val="24"/>
          <w:szCs w:val="24"/>
          <w:shd w:val="clear" w:color="auto" w:fill="FFFFFF"/>
        </w:rPr>
        <w:t>ORCID number</w:t>
      </w:r>
      <w:r w:rsidRPr="003D034F">
        <w:rPr>
          <w:rFonts w:ascii="Book Antiqua" w:hAnsi="Book Antiqua"/>
          <w:b/>
          <w:sz w:val="24"/>
          <w:szCs w:val="24"/>
          <w:lang w:val="en-GB"/>
        </w:rPr>
        <w:t>:</w:t>
      </w:r>
      <w:r w:rsidR="002D134F" w:rsidRPr="003D034F">
        <w:rPr>
          <w:rFonts w:ascii="Book Antiqua" w:hAnsi="Book Antiqua"/>
          <w:b/>
          <w:bCs/>
          <w:sz w:val="24"/>
          <w:szCs w:val="24"/>
          <w:shd w:val="clear" w:color="auto" w:fill="FFFFFF"/>
          <w:lang w:eastAsia="zh-CN"/>
        </w:rPr>
        <w:t xml:space="preserve"> </w:t>
      </w:r>
      <w:r w:rsidRPr="003D034F">
        <w:rPr>
          <w:rFonts w:ascii="Book Antiqua" w:hAnsi="Book Antiqua" w:cs="Calibri"/>
          <w:sz w:val="24"/>
          <w:szCs w:val="24"/>
        </w:rPr>
        <w:t>Andréa</w:t>
      </w:r>
      <w:r w:rsidR="00470436" w:rsidRPr="003D034F">
        <w:rPr>
          <w:rFonts w:ascii="Book Antiqua" w:hAnsi="Book Antiqua"/>
          <w:bCs/>
          <w:sz w:val="24"/>
          <w:szCs w:val="24"/>
          <w:shd w:val="clear" w:color="auto" w:fill="FFFFFF"/>
          <w:lang w:eastAsia="zh-CN"/>
        </w:rPr>
        <w:t xml:space="preserve"> Maia Pimentel </w:t>
      </w:r>
      <w:r w:rsidRPr="003D034F">
        <w:rPr>
          <w:rFonts w:ascii="Book Antiqua" w:hAnsi="Book Antiqua"/>
          <w:bCs/>
          <w:sz w:val="24"/>
          <w:szCs w:val="24"/>
          <w:shd w:val="clear" w:color="auto" w:fill="FFFFFF"/>
          <w:lang w:eastAsia="zh-CN"/>
        </w:rPr>
        <w:t>(</w:t>
      </w:r>
      <w:r w:rsidR="00470436" w:rsidRPr="003D034F">
        <w:rPr>
          <w:rFonts w:ascii="Book Antiqua" w:hAnsi="Book Antiqua"/>
          <w:bCs/>
          <w:sz w:val="24"/>
          <w:szCs w:val="24"/>
          <w:shd w:val="clear" w:color="auto" w:fill="FFFFFF"/>
          <w:lang w:eastAsia="zh-CN"/>
        </w:rPr>
        <w:t>0000-0001-7959-4689</w:t>
      </w:r>
      <w:r w:rsidRPr="003D034F">
        <w:rPr>
          <w:rFonts w:ascii="Book Antiqua" w:hAnsi="Book Antiqua"/>
          <w:bCs/>
          <w:sz w:val="24"/>
          <w:szCs w:val="24"/>
          <w:shd w:val="clear" w:color="auto" w:fill="FFFFFF"/>
          <w:lang w:eastAsia="zh-CN"/>
        </w:rPr>
        <w:t>);</w:t>
      </w:r>
      <w:r w:rsidR="00345B25" w:rsidRPr="003D034F">
        <w:rPr>
          <w:rFonts w:ascii="Book Antiqua" w:hAnsi="Book Antiqua"/>
          <w:bCs/>
          <w:sz w:val="24"/>
          <w:szCs w:val="24"/>
          <w:shd w:val="clear" w:color="auto" w:fill="FFFFFF"/>
          <w:lang w:eastAsia="zh-CN"/>
        </w:rPr>
        <w:t xml:space="preserve"> </w:t>
      </w:r>
      <w:bookmarkStart w:id="7" w:name="OLE_LINK3"/>
      <w:bookmarkStart w:id="8" w:name="OLE_LINK4"/>
      <w:r w:rsidRPr="003D034F">
        <w:rPr>
          <w:rFonts w:ascii="Book Antiqua" w:hAnsi="Book Antiqua" w:cs="Calibri"/>
          <w:sz w:val="24"/>
          <w:szCs w:val="24"/>
        </w:rPr>
        <w:t xml:space="preserve">Raquel </w:t>
      </w:r>
      <w:r w:rsidRPr="003D034F">
        <w:rPr>
          <w:rFonts w:ascii="Book Antiqua" w:hAnsi="Book Antiqua"/>
          <w:sz w:val="24"/>
          <w:szCs w:val="24"/>
        </w:rPr>
        <w:t>Rocha Dos Santos</w:t>
      </w:r>
      <w:bookmarkEnd w:id="7"/>
      <w:bookmarkEnd w:id="8"/>
      <w:r w:rsidRPr="003D034F">
        <w:rPr>
          <w:rFonts w:ascii="Book Antiqua" w:hAnsi="Book Antiqua" w:cs="Arial"/>
          <w:sz w:val="24"/>
          <w:szCs w:val="24"/>
        </w:rPr>
        <w:t xml:space="preserve"> (0000-0002-2687-2080)</w:t>
      </w:r>
      <w:r w:rsidRPr="003D034F">
        <w:rPr>
          <w:rFonts w:ascii="Book Antiqua" w:hAnsi="Book Antiqua" w:cs="Arial"/>
          <w:sz w:val="24"/>
          <w:szCs w:val="24"/>
          <w:lang w:eastAsia="zh-CN"/>
        </w:rPr>
        <w:t>;</w:t>
      </w:r>
      <w:r w:rsidR="00A96D18" w:rsidRPr="003D034F">
        <w:rPr>
          <w:rFonts w:ascii="Book Antiqua" w:hAnsi="Book Antiqua" w:cs="Arial"/>
          <w:sz w:val="24"/>
          <w:szCs w:val="24"/>
        </w:rPr>
        <w:t xml:space="preserve"> </w:t>
      </w:r>
      <w:r w:rsidRPr="003D034F">
        <w:rPr>
          <w:rFonts w:ascii="Book Antiqua" w:hAnsi="Book Antiqua" w:cs="Calibri"/>
          <w:sz w:val="24"/>
          <w:szCs w:val="24"/>
        </w:rPr>
        <w:t>Genoile Oliveira Santana</w:t>
      </w:r>
      <w:r w:rsidR="00A96D18" w:rsidRPr="003D034F">
        <w:rPr>
          <w:rFonts w:ascii="Book Antiqua" w:hAnsi="Book Antiqua" w:cs="Arial"/>
          <w:sz w:val="24"/>
          <w:szCs w:val="24"/>
        </w:rPr>
        <w:t xml:space="preserve"> (0000-0001-5936-9791)</w:t>
      </w:r>
      <w:r w:rsidRPr="003D034F">
        <w:rPr>
          <w:rFonts w:ascii="Book Antiqua" w:hAnsi="Book Antiqua" w:cs="Arial"/>
          <w:sz w:val="24"/>
          <w:szCs w:val="24"/>
          <w:lang w:eastAsia="zh-CN"/>
        </w:rPr>
        <w:t>.</w:t>
      </w:r>
    </w:p>
    <w:p w:rsidR="002D134F" w:rsidRPr="003D034F" w:rsidRDefault="002D134F" w:rsidP="003D034F">
      <w:pPr>
        <w:spacing w:after="0" w:line="360" w:lineRule="auto"/>
        <w:jc w:val="both"/>
        <w:rPr>
          <w:rFonts w:ascii="Book Antiqua" w:hAnsi="Book Antiqua" w:cs="Calibri"/>
          <w:sz w:val="24"/>
          <w:szCs w:val="24"/>
          <w:lang w:eastAsia="zh-CN"/>
        </w:rPr>
      </w:pPr>
    </w:p>
    <w:p w:rsidR="00CD610B" w:rsidRPr="003D034F" w:rsidRDefault="00EE3537" w:rsidP="003D034F">
      <w:pPr>
        <w:spacing w:after="0" w:line="360" w:lineRule="auto"/>
        <w:jc w:val="both"/>
        <w:rPr>
          <w:rFonts w:ascii="Book Antiqua" w:hAnsi="Book Antiqua" w:cs="Calibri"/>
          <w:sz w:val="24"/>
          <w:szCs w:val="24"/>
          <w:lang w:val="en-US"/>
        </w:rPr>
      </w:pPr>
      <w:r w:rsidRPr="003D034F">
        <w:rPr>
          <w:rFonts w:ascii="Book Antiqua" w:hAnsi="Book Antiqua" w:cs="Calibri"/>
          <w:b/>
          <w:sz w:val="24"/>
          <w:szCs w:val="24"/>
          <w:lang w:val="es-ES_tradnl"/>
        </w:rPr>
        <w:t>Author contributions:</w:t>
      </w:r>
      <w:r w:rsidRPr="003D034F">
        <w:rPr>
          <w:rFonts w:ascii="Book Antiqua" w:hAnsi="Book Antiqua" w:cs="Calibri"/>
          <w:b/>
          <w:sz w:val="24"/>
          <w:szCs w:val="24"/>
          <w:lang w:val="es-ES_tradnl" w:eastAsia="zh-CN"/>
        </w:rPr>
        <w:t xml:space="preserve"> </w:t>
      </w:r>
      <w:r w:rsidR="00FD7FF4" w:rsidRPr="003D034F">
        <w:rPr>
          <w:rFonts w:ascii="Book Antiqua" w:hAnsi="Book Antiqua" w:cs="Calibri"/>
          <w:sz w:val="24"/>
          <w:szCs w:val="24"/>
          <w:lang w:val="en-US"/>
        </w:rPr>
        <w:t xml:space="preserve">Pimentel </w:t>
      </w:r>
      <w:r w:rsidRPr="003D034F">
        <w:rPr>
          <w:rFonts w:ascii="Book Antiqua" w:hAnsi="Book Antiqua" w:cs="Calibri"/>
          <w:sz w:val="24"/>
          <w:szCs w:val="24"/>
          <w:lang w:val="en-US" w:eastAsia="zh-CN"/>
        </w:rPr>
        <w:t xml:space="preserve">AM </w:t>
      </w:r>
      <w:r w:rsidR="00FD7FF4" w:rsidRPr="003D034F">
        <w:rPr>
          <w:rFonts w:ascii="Book Antiqua" w:hAnsi="Book Antiqua" w:cs="Calibri"/>
          <w:sz w:val="24"/>
          <w:szCs w:val="24"/>
          <w:lang w:val="en-US"/>
        </w:rPr>
        <w:t>reviewed the lite</w:t>
      </w:r>
      <w:r w:rsidRPr="003D034F">
        <w:rPr>
          <w:rFonts w:ascii="Book Antiqua" w:hAnsi="Book Antiqua" w:cs="Calibri"/>
          <w:sz w:val="24"/>
          <w:szCs w:val="24"/>
          <w:lang w:val="en-US"/>
        </w:rPr>
        <w:t>rature and wrote the manuscript</w:t>
      </w:r>
      <w:r w:rsidRPr="003D034F">
        <w:rPr>
          <w:rFonts w:ascii="Book Antiqua" w:hAnsi="Book Antiqua" w:cs="Calibri"/>
          <w:sz w:val="24"/>
          <w:szCs w:val="24"/>
          <w:lang w:val="en-US" w:eastAsia="zh-CN"/>
        </w:rPr>
        <w:t>;</w:t>
      </w:r>
      <w:r w:rsidR="00FD7FF4" w:rsidRPr="003D034F">
        <w:rPr>
          <w:rFonts w:ascii="Book Antiqua" w:hAnsi="Book Antiqua" w:cs="Calibri"/>
          <w:sz w:val="24"/>
          <w:szCs w:val="24"/>
          <w:lang w:val="en-US"/>
        </w:rPr>
        <w:t xml:space="preserve"> Santana </w:t>
      </w:r>
      <w:r w:rsidRPr="003D034F">
        <w:rPr>
          <w:rFonts w:ascii="Book Antiqua" w:hAnsi="Book Antiqua" w:cs="Calibri"/>
          <w:sz w:val="24"/>
          <w:szCs w:val="24"/>
          <w:lang w:val="en-US" w:eastAsia="zh-CN"/>
        </w:rPr>
        <w:t xml:space="preserve">GO </w:t>
      </w:r>
      <w:r w:rsidR="00154512" w:rsidRPr="003D034F">
        <w:rPr>
          <w:rFonts w:ascii="Book Antiqua" w:hAnsi="Book Antiqua" w:cs="Calibri"/>
          <w:sz w:val="24"/>
          <w:szCs w:val="24"/>
          <w:lang w:val="en-US"/>
        </w:rPr>
        <w:t xml:space="preserve">oversaw </w:t>
      </w:r>
      <w:r w:rsidR="00FD7FF4" w:rsidRPr="003D034F">
        <w:rPr>
          <w:rFonts w:ascii="Book Antiqua" w:hAnsi="Book Antiqua" w:cs="Calibri"/>
          <w:sz w:val="24"/>
          <w:szCs w:val="24"/>
          <w:lang w:val="en-US"/>
        </w:rPr>
        <w:t>the essay</w:t>
      </w:r>
      <w:r w:rsidR="00154512" w:rsidRPr="003D034F">
        <w:rPr>
          <w:rFonts w:ascii="Book Antiqua" w:hAnsi="Book Antiqua" w:cs="Calibri"/>
          <w:sz w:val="24"/>
          <w:szCs w:val="24"/>
          <w:lang w:val="en-US"/>
        </w:rPr>
        <w:t xml:space="preserve"> writing</w:t>
      </w:r>
      <w:r w:rsidR="00FD7FF4" w:rsidRPr="003D034F">
        <w:rPr>
          <w:rFonts w:ascii="Book Antiqua" w:hAnsi="Book Antiqua" w:cs="Calibri"/>
          <w:sz w:val="24"/>
          <w:szCs w:val="24"/>
          <w:lang w:val="en-US"/>
        </w:rPr>
        <w:t xml:space="preserve"> and critically analyzed the article</w:t>
      </w:r>
      <w:r w:rsidR="00154512" w:rsidRPr="003D034F">
        <w:rPr>
          <w:rFonts w:ascii="Book Antiqua" w:hAnsi="Book Antiqua" w:cs="Calibri"/>
          <w:sz w:val="24"/>
          <w:szCs w:val="24"/>
          <w:lang w:val="en-US"/>
        </w:rPr>
        <w:t>,</w:t>
      </w:r>
      <w:r w:rsidR="00FD7FF4" w:rsidRPr="003D034F">
        <w:rPr>
          <w:rFonts w:ascii="Book Antiqua" w:hAnsi="Book Antiqua" w:cs="Calibri"/>
          <w:sz w:val="24"/>
          <w:szCs w:val="24"/>
          <w:lang w:val="en-US"/>
        </w:rPr>
        <w:t xml:space="preserve"> giving an important intellectual contributio</w:t>
      </w:r>
      <w:r w:rsidRPr="003D034F">
        <w:rPr>
          <w:rFonts w:ascii="Book Antiqua" w:hAnsi="Book Antiqua" w:cs="Calibri"/>
          <w:sz w:val="24"/>
          <w:szCs w:val="24"/>
          <w:lang w:val="en-US"/>
        </w:rPr>
        <w:t>n to the content of the article</w:t>
      </w:r>
      <w:r w:rsidRPr="003D034F">
        <w:rPr>
          <w:rFonts w:ascii="Book Antiqua" w:hAnsi="Book Antiqua" w:cs="Calibri"/>
          <w:sz w:val="24"/>
          <w:szCs w:val="24"/>
          <w:lang w:val="en-US" w:eastAsia="zh-CN"/>
        </w:rPr>
        <w:t>;</w:t>
      </w:r>
      <w:r w:rsidR="00FD7FF4" w:rsidRPr="003D034F">
        <w:rPr>
          <w:rFonts w:ascii="Book Antiqua" w:hAnsi="Book Antiqua" w:cs="Calibri"/>
          <w:sz w:val="24"/>
          <w:szCs w:val="24"/>
          <w:lang w:val="en-US"/>
        </w:rPr>
        <w:t xml:space="preserve"> </w:t>
      </w:r>
      <w:r w:rsidRPr="003D034F">
        <w:rPr>
          <w:rFonts w:ascii="Book Antiqua" w:hAnsi="Book Antiqua"/>
          <w:sz w:val="24"/>
          <w:szCs w:val="24"/>
        </w:rPr>
        <w:t>Santos</w:t>
      </w:r>
      <w:r w:rsidRPr="003D034F">
        <w:rPr>
          <w:rFonts w:ascii="Book Antiqua" w:hAnsi="Book Antiqua" w:cs="Calibri"/>
          <w:sz w:val="24"/>
          <w:szCs w:val="24"/>
          <w:lang w:val="en-US"/>
        </w:rPr>
        <w:t xml:space="preserve"> </w:t>
      </w:r>
      <w:r w:rsidRPr="003D034F">
        <w:rPr>
          <w:rFonts w:ascii="Book Antiqua" w:hAnsi="Book Antiqua" w:cs="Calibri"/>
          <w:sz w:val="24"/>
          <w:szCs w:val="24"/>
          <w:lang w:val="en-US" w:eastAsia="zh-CN"/>
        </w:rPr>
        <w:t xml:space="preserve">RRD </w:t>
      </w:r>
      <w:r w:rsidR="00FD7FF4" w:rsidRPr="003D034F">
        <w:rPr>
          <w:rFonts w:ascii="Book Antiqua" w:hAnsi="Book Antiqua" w:cs="Calibri"/>
          <w:sz w:val="24"/>
          <w:szCs w:val="24"/>
          <w:lang w:val="en-US"/>
        </w:rPr>
        <w:t>reviewed the article</w:t>
      </w:r>
      <w:r w:rsidR="00154512" w:rsidRPr="003D034F">
        <w:rPr>
          <w:rFonts w:ascii="Book Antiqua" w:hAnsi="Book Antiqua" w:cs="Calibri"/>
          <w:sz w:val="24"/>
          <w:szCs w:val="24"/>
          <w:lang w:val="en-US"/>
        </w:rPr>
        <w:t>,</w:t>
      </w:r>
      <w:r w:rsidR="00FD7FF4" w:rsidRPr="003D034F">
        <w:rPr>
          <w:rFonts w:ascii="Book Antiqua" w:hAnsi="Book Antiqua" w:cs="Calibri"/>
          <w:sz w:val="24"/>
          <w:szCs w:val="24"/>
          <w:lang w:val="en-US"/>
        </w:rPr>
        <w:t xml:space="preserve"> contributing to its content</w:t>
      </w:r>
      <w:r w:rsidR="00B02EE7" w:rsidRPr="003D034F">
        <w:rPr>
          <w:rFonts w:ascii="Book Antiqua" w:hAnsi="Book Antiqua" w:cs="Calibri"/>
          <w:sz w:val="24"/>
          <w:szCs w:val="24"/>
          <w:lang w:val="en-US"/>
        </w:rPr>
        <w:t>.</w:t>
      </w:r>
    </w:p>
    <w:p w:rsidR="00EE3537" w:rsidRPr="003D034F" w:rsidRDefault="00EE3537" w:rsidP="003D034F">
      <w:pPr>
        <w:spacing w:after="0" w:line="360" w:lineRule="auto"/>
        <w:jc w:val="both"/>
        <w:rPr>
          <w:rFonts w:ascii="Book Antiqua" w:hAnsi="Book Antiqua" w:cs="Calibri"/>
          <w:b/>
          <w:sz w:val="24"/>
          <w:szCs w:val="24"/>
          <w:lang w:val="en-US" w:eastAsia="zh-CN"/>
        </w:rPr>
      </w:pPr>
    </w:p>
    <w:p w:rsidR="00193995" w:rsidRPr="003D034F" w:rsidRDefault="00960F97" w:rsidP="003D034F">
      <w:pPr>
        <w:spacing w:after="0" w:line="360" w:lineRule="auto"/>
        <w:jc w:val="both"/>
        <w:rPr>
          <w:rFonts w:ascii="Book Antiqua" w:hAnsi="Book Antiqua" w:cs="Calibri"/>
          <w:sz w:val="24"/>
          <w:szCs w:val="24"/>
          <w:lang w:val="en-US"/>
        </w:rPr>
      </w:pPr>
      <w:r w:rsidRPr="003D034F">
        <w:rPr>
          <w:rFonts w:ascii="Book Antiqua" w:hAnsi="Book Antiqua" w:cs="Calibri"/>
          <w:b/>
          <w:sz w:val="24"/>
          <w:szCs w:val="24"/>
          <w:lang w:val="es-ES_tradnl"/>
        </w:rPr>
        <w:t>Conflict-of-interest statement:</w:t>
      </w:r>
      <w:r w:rsidRPr="003D034F">
        <w:rPr>
          <w:rFonts w:ascii="Book Antiqua" w:hAnsi="Book Antiqua" w:cs="Calibri"/>
          <w:b/>
          <w:sz w:val="24"/>
          <w:szCs w:val="24"/>
          <w:lang w:val="es-ES_tradnl" w:eastAsia="zh-CN"/>
        </w:rPr>
        <w:t xml:space="preserve"> </w:t>
      </w:r>
      <w:r w:rsidR="00193995" w:rsidRPr="003D034F">
        <w:rPr>
          <w:rFonts w:ascii="Book Antiqua" w:hAnsi="Book Antiqua" w:cs="Calibri"/>
          <w:sz w:val="24"/>
          <w:szCs w:val="24"/>
          <w:lang w:val="en-US"/>
        </w:rPr>
        <w:t xml:space="preserve">No conflicts of interest associated with any of the authors or </w:t>
      </w:r>
      <w:r w:rsidR="008320D3" w:rsidRPr="003D034F">
        <w:rPr>
          <w:rFonts w:ascii="Book Antiqua" w:hAnsi="Book Antiqua" w:cs="Calibri"/>
          <w:sz w:val="24"/>
          <w:szCs w:val="24"/>
          <w:lang w:val="en-US"/>
        </w:rPr>
        <w:t>coa</w:t>
      </w:r>
      <w:r w:rsidR="00193995" w:rsidRPr="003D034F">
        <w:rPr>
          <w:rFonts w:ascii="Book Antiqua" w:hAnsi="Book Antiqua" w:cs="Calibri"/>
          <w:sz w:val="24"/>
          <w:szCs w:val="24"/>
          <w:lang w:val="en-US"/>
        </w:rPr>
        <w:t>uthors who contributed to the realization of this manuscript.</w:t>
      </w:r>
    </w:p>
    <w:p w:rsidR="00193995" w:rsidRPr="003D034F" w:rsidRDefault="00193995" w:rsidP="003D034F">
      <w:pPr>
        <w:spacing w:after="0" w:line="360" w:lineRule="auto"/>
        <w:jc w:val="both"/>
        <w:rPr>
          <w:rFonts w:ascii="Book Antiqua" w:hAnsi="Book Antiqua" w:cs="Calibri"/>
          <w:sz w:val="24"/>
          <w:szCs w:val="24"/>
          <w:lang w:val="en-US" w:eastAsia="zh-CN"/>
        </w:rPr>
      </w:pPr>
    </w:p>
    <w:p w:rsidR="00960F97" w:rsidRPr="003D034F" w:rsidRDefault="00960F97" w:rsidP="003D034F">
      <w:pPr>
        <w:spacing w:after="0" w:line="360" w:lineRule="auto"/>
        <w:jc w:val="both"/>
        <w:rPr>
          <w:rFonts w:ascii="Book Antiqua" w:hAnsi="Book Antiqua" w:cs="Calibri"/>
          <w:sz w:val="24"/>
          <w:szCs w:val="24"/>
          <w:lang w:val="es-ES_tradnl" w:eastAsia="zh-CN"/>
        </w:rPr>
      </w:pPr>
      <w:bookmarkStart w:id="9" w:name="OLE_LINK507"/>
      <w:bookmarkStart w:id="10" w:name="OLE_LINK506"/>
      <w:bookmarkStart w:id="11" w:name="OLE_LINK496"/>
      <w:bookmarkStart w:id="12" w:name="OLE_LINK479"/>
      <w:bookmarkStart w:id="13" w:name="OLE_LINK388"/>
      <w:bookmarkStart w:id="14" w:name="OLE_LINK389"/>
      <w:r w:rsidRPr="003D034F">
        <w:rPr>
          <w:rFonts w:ascii="Book Antiqua" w:hAnsi="Book Antiqua" w:cs="Calibri"/>
          <w:b/>
          <w:sz w:val="24"/>
          <w:szCs w:val="24"/>
          <w:lang w:val="es-ES_tradnl" w:eastAsia="zh-CN"/>
        </w:rPr>
        <w:lastRenderedPageBreak/>
        <w:t xml:space="preserve">Open-Access: </w:t>
      </w:r>
      <w:r w:rsidRPr="003D034F">
        <w:rPr>
          <w:rFonts w:ascii="Book Antiqua" w:hAnsi="Book Antiqua" w:cs="Calibri"/>
          <w:sz w:val="24"/>
          <w:szCs w:val="24"/>
          <w:lang w:val="es-ES_tradnl" w:eastAsia="zh-CN"/>
        </w:rPr>
        <w:t>This article is an open-access article which was selected byan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9"/>
      <w:bookmarkEnd w:id="10"/>
      <w:bookmarkEnd w:id="11"/>
      <w:bookmarkEnd w:id="12"/>
    </w:p>
    <w:bookmarkEnd w:id="13"/>
    <w:bookmarkEnd w:id="14"/>
    <w:p w:rsidR="00960F97" w:rsidRPr="003D034F" w:rsidRDefault="00960F97" w:rsidP="003D034F">
      <w:pPr>
        <w:spacing w:after="0" w:line="360" w:lineRule="auto"/>
        <w:jc w:val="both"/>
        <w:rPr>
          <w:rFonts w:ascii="Book Antiqua" w:hAnsi="Book Antiqua" w:cs="Calibri"/>
          <w:sz w:val="24"/>
          <w:szCs w:val="24"/>
          <w:lang w:val="es-ES_tradnl" w:eastAsia="zh-CN"/>
        </w:rPr>
      </w:pPr>
    </w:p>
    <w:p w:rsidR="00960F97" w:rsidRPr="003D034F" w:rsidRDefault="00960F97" w:rsidP="003D034F">
      <w:pPr>
        <w:spacing w:after="0" w:line="360" w:lineRule="auto"/>
        <w:jc w:val="both"/>
        <w:rPr>
          <w:rFonts w:ascii="Book Antiqua" w:hAnsi="Book Antiqua" w:cs="Calibri"/>
          <w:sz w:val="24"/>
          <w:szCs w:val="24"/>
          <w:lang w:val="es-ES_tradnl" w:eastAsia="zh-CN"/>
        </w:rPr>
      </w:pPr>
      <w:r w:rsidRPr="003D034F">
        <w:rPr>
          <w:rFonts w:ascii="Book Antiqua" w:hAnsi="Book Antiqua" w:cs="Calibri"/>
          <w:b/>
          <w:sz w:val="24"/>
          <w:szCs w:val="24"/>
          <w:lang w:val="es-ES_tradnl" w:eastAsia="zh-CN"/>
        </w:rPr>
        <w:t>Manuscript source:</w:t>
      </w:r>
      <w:r w:rsidRPr="003D034F">
        <w:rPr>
          <w:rFonts w:ascii="Book Antiqua" w:hAnsi="Book Antiqua" w:cs="Calibri"/>
          <w:sz w:val="24"/>
          <w:szCs w:val="24"/>
          <w:lang w:val="es-ES_tradnl" w:eastAsia="zh-CN"/>
        </w:rPr>
        <w:t xml:space="preserve"> Unsolicited manuscript</w:t>
      </w:r>
    </w:p>
    <w:p w:rsidR="001D3036" w:rsidRPr="003D034F" w:rsidRDefault="001D3036" w:rsidP="003D034F">
      <w:pPr>
        <w:spacing w:after="0" w:line="360" w:lineRule="auto"/>
        <w:jc w:val="both"/>
        <w:rPr>
          <w:rFonts w:ascii="Book Antiqua" w:hAnsi="Book Antiqua" w:cs="Calibri"/>
          <w:b/>
          <w:sz w:val="24"/>
          <w:szCs w:val="24"/>
          <w:lang w:eastAsia="zh-CN"/>
        </w:rPr>
      </w:pPr>
    </w:p>
    <w:p w:rsidR="001D3036" w:rsidRPr="003D034F" w:rsidRDefault="001D3036" w:rsidP="003D034F">
      <w:pPr>
        <w:spacing w:after="0" w:line="360" w:lineRule="auto"/>
        <w:jc w:val="both"/>
        <w:rPr>
          <w:rFonts w:ascii="Book Antiqua" w:hAnsi="Book Antiqua"/>
          <w:sz w:val="24"/>
          <w:szCs w:val="24"/>
          <w:lang w:val="en-US" w:eastAsia="zh-CN"/>
        </w:rPr>
      </w:pPr>
      <w:r w:rsidRPr="003D034F">
        <w:rPr>
          <w:rFonts w:ascii="Book Antiqua" w:hAnsi="Book Antiqua" w:cs="Calibri"/>
          <w:b/>
          <w:sz w:val="24"/>
          <w:szCs w:val="24"/>
        </w:rPr>
        <w:t>Correspond</w:t>
      </w:r>
      <w:r w:rsidRPr="003D034F">
        <w:rPr>
          <w:rFonts w:ascii="Book Antiqua" w:hAnsi="Book Antiqua" w:cs="Calibri"/>
          <w:b/>
          <w:sz w:val="24"/>
          <w:szCs w:val="24"/>
          <w:lang w:eastAsia="zh-CN"/>
        </w:rPr>
        <w:t>ing author</w:t>
      </w:r>
      <w:r w:rsidR="00A26F5C" w:rsidRPr="003D034F">
        <w:rPr>
          <w:rFonts w:ascii="Book Antiqua" w:hAnsi="Book Antiqua" w:cs="Calibri"/>
          <w:b/>
          <w:sz w:val="24"/>
          <w:szCs w:val="24"/>
        </w:rPr>
        <w:t>:</w:t>
      </w:r>
      <w:r w:rsidR="00A26F5C" w:rsidRPr="003D034F">
        <w:rPr>
          <w:rFonts w:ascii="Book Antiqua" w:hAnsi="Book Antiqua" w:cs="Calibri"/>
          <w:sz w:val="24"/>
          <w:szCs w:val="24"/>
        </w:rPr>
        <w:t xml:space="preserve"> </w:t>
      </w:r>
      <w:r w:rsidRPr="003D034F">
        <w:rPr>
          <w:rFonts w:ascii="Book Antiqua" w:hAnsi="Book Antiqua" w:cs="Calibri"/>
          <w:b/>
          <w:sz w:val="24"/>
          <w:szCs w:val="24"/>
        </w:rPr>
        <w:t xml:space="preserve">Raquel </w:t>
      </w:r>
      <w:r w:rsidRPr="003D034F">
        <w:rPr>
          <w:rFonts w:ascii="Book Antiqua" w:hAnsi="Book Antiqua"/>
          <w:b/>
          <w:sz w:val="24"/>
          <w:szCs w:val="24"/>
        </w:rPr>
        <w:t>Rocha Dos Santos</w:t>
      </w:r>
      <w:r w:rsidR="00A26F5C" w:rsidRPr="003D034F">
        <w:rPr>
          <w:rFonts w:ascii="Book Antiqua" w:hAnsi="Book Antiqua" w:cs="Calibri"/>
          <w:b/>
          <w:sz w:val="24"/>
          <w:szCs w:val="24"/>
        </w:rPr>
        <w:t>,</w:t>
      </w:r>
      <w:r w:rsidRPr="003D034F">
        <w:rPr>
          <w:rFonts w:ascii="Book Antiqua" w:hAnsi="Book Antiqua" w:cs="Calibri"/>
          <w:b/>
          <w:sz w:val="24"/>
          <w:szCs w:val="24"/>
          <w:lang w:eastAsia="zh-CN"/>
        </w:rPr>
        <w:t xml:space="preserve"> DSc, MSc, Assistant Professor,</w:t>
      </w:r>
      <w:r w:rsidR="00A26F5C" w:rsidRPr="003D034F">
        <w:rPr>
          <w:rFonts w:ascii="Book Antiqua" w:hAnsi="Book Antiqua" w:cs="Calibri"/>
          <w:sz w:val="24"/>
          <w:szCs w:val="24"/>
        </w:rPr>
        <w:t xml:space="preserve"> </w:t>
      </w:r>
      <w:bookmarkStart w:id="15" w:name="OLE_LINK409"/>
      <w:bookmarkStart w:id="16" w:name="OLE_LINK410"/>
      <w:r w:rsidRPr="003D034F">
        <w:rPr>
          <w:rFonts w:ascii="Book Antiqua" w:hAnsi="Book Antiqua" w:cs="Calibri"/>
          <w:sz w:val="24"/>
          <w:szCs w:val="24"/>
        </w:rPr>
        <w:t>Departamento de Ciências da Nutrição, Universidade Federal da Bahia,</w:t>
      </w:r>
      <w:bookmarkEnd w:id="15"/>
      <w:bookmarkEnd w:id="16"/>
      <w:r w:rsidR="00A26F5C" w:rsidRPr="003D034F">
        <w:rPr>
          <w:rFonts w:ascii="Book Antiqua" w:hAnsi="Book Antiqua" w:cs="Calibri"/>
          <w:sz w:val="24"/>
          <w:szCs w:val="24"/>
        </w:rPr>
        <w:t xml:space="preserve"> </w:t>
      </w:r>
      <w:bookmarkStart w:id="17" w:name="OLE_LINK411"/>
      <w:bookmarkStart w:id="18" w:name="OLE_LINK412"/>
      <w:r w:rsidR="00A26F5C" w:rsidRPr="003D034F">
        <w:rPr>
          <w:rFonts w:ascii="Book Antiqua" w:hAnsi="Book Antiqua" w:cs="Calibri"/>
          <w:sz w:val="24"/>
          <w:szCs w:val="24"/>
        </w:rPr>
        <w:t>Avenida Ara</w:t>
      </w:r>
      <w:r w:rsidR="00437F8B" w:rsidRPr="003D034F">
        <w:rPr>
          <w:rFonts w:ascii="Book Antiqua" w:hAnsi="Book Antiqua" w:cs="Calibri"/>
          <w:sz w:val="24"/>
          <w:szCs w:val="24"/>
        </w:rPr>
        <w:t>ú</w:t>
      </w:r>
      <w:r w:rsidR="00A26F5C" w:rsidRPr="003D034F">
        <w:rPr>
          <w:rFonts w:ascii="Book Antiqua" w:hAnsi="Book Antiqua" w:cs="Calibri"/>
          <w:sz w:val="24"/>
          <w:szCs w:val="24"/>
        </w:rPr>
        <w:t>jo Pinho, número 32</w:t>
      </w:r>
      <w:bookmarkEnd w:id="17"/>
      <w:bookmarkEnd w:id="18"/>
      <w:r w:rsidR="00A26F5C" w:rsidRPr="003D034F">
        <w:rPr>
          <w:rFonts w:ascii="Book Antiqua" w:hAnsi="Book Antiqua" w:cs="Calibri"/>
          <w:sz w:val="24"/>
          <w:szCs w:val="24"/>
        </w:rPr>
        <w:t>, Salvador</w:t>
      </w:r>
      <w:r w:rsidRPr="003D034F">
        <w:rPr>
          <w:rFonts w:ascii="Book Antiqua" w:hAnsi="Book Antiqua" w:cs="Calibri"/>
          <w:sz w:val="24"/>
          <w:szCs w:val="24"/>
          <w:lang w:eastAsia="zh-CN"/>
        </w:rPr>
        <w:t xml:space="preserve"> </w:t>
      </w:r>
      <w:r w:rsidRPr="003D034F">
        <w:rPr>
          <w:rFonts w:ascii="Book Antiqua" w:hAnsi="Book Antiqua" w:cs="Calibri"/>
          <w:sz w:val="24"/>
          <w:szCs w:val="24"/>
        </w:rPr>
        <w:t>40110-060</w:t>
      </w:r>
      <w:r w:rsidR="00A26F5C" w:rsidRPr="003D034F">
        <w:rPr>
          <w:rFonts w:ascii="Book Antiqua" w:hAnsi="Book Antiqua" w:cs="Calibri"/>
          <w:sz w:val="24"/>
          <w:szCs w:val="24"/>
        </w:rPr>
        <w:t xml:space="preserve">, </w:t>
      </w:r>
      <w:bookmarkStart w:id="19" w:name="OLE_LINK413"/>
      <w:bookmarkStart w:id="20" w:name="OLE_LINK414"/>
      <w:r w:rsidR="00A26F5C" w:rsidRPr="003D034F">
        <w:rPr>
          <w:rFonts w:ascii="Book Antiqua" w:hAnsi="Book Antiqua" w:cs="Calibri"/>
          <w:sz w:val="24"/>
          <w:szCs w:val="24"/>
        </w:rPr>
        <w:t>Bahia</w:t>
      </w:r>
      <w:bookmarkEnd w:id="19"/>
      <w:bookmarkEnd w:id="20"/>
      <w:r w:rsidR="00AD5F24" w:rsidRPr="003D034F">
        <w:rPr>
          <w:rFonts w:ascii="Book Antiqua" w:hAnsi="Book Antiqua" w:cs="Calibri"/>
          <w:sz w:val="24"/>
          <w:szCs w:val="24"/>
        </w:rPr>
        <w:t>,</w:t>
      </w:r>
      <w:r w:rsidR="00A26F5C" w:rsidRPr="003D034F">
        <w:rPr>
          <w:rFonts w:ascii="Book Antiqua" w:hAnsi="Book Antiqua" w:cs="Calibri"/>
          <w:sz w:val="24"/>
          <w:szCs w:val="24"/>
        </w:rPr>
        <w:t xml:space="preserve"> </w:t>
      </w:r>
      <w:r w:rsidR="00A455DF" w:rsidRPr="003D034F">
        <w:rPr>
          <w:rFonts w:ascii="Book Antiqua" w:hAnsi="Book Antiqua" w:cs="Calibri"/>
          <w:sz w:val="24"/>
          <w:szCs w:val="24"/>
        </w:rPr>
        <w:t>Bra</w:t>
      </w:r>
      <w:r w:rsidRPr="003D034F">
        <w:rPr>
          <w:rFonts w:ascii="Book Antiqua" w:hAnsi="Book Antiqua" w:cs="Calibri"/>
          <w:sz w:val="24"/>
          <w:szCs w:val="24"/>
          <w:lang w:eastAsia="zh-CN"/>
        </w:rPr>
        <w:t>z</w:t>
      </w:r>
      <w:r w:rsidR="00A455DF" w:rsidRPr="003D034F">
        <w:rPr>
          <w:rFonts w:ascii="Book Antiqua" w:hAnsi="Book Antiqua" w:cs="Calibri"/>
          <w:sz w:val="24"/>
          <w:szCs w:val="24"/>
        </w:rPr>
        <w:t>il</w:t>
      </w:r>
      <w:r w:rsidR="00A26F5C" w:rsidRPr="003D034F">
        <w:rPr>
          <w:rFonts w:ascii="Book Antiqua" w:hAnsi="Book Antiqua" w:cs="Calibri"/>
          <w:sz w:val="24"/>
          <w:szCs w:val="24"/>
        </w:rPr>
        <w:t>.</w:t>
      </w:r>
      <w:r w:rsidRPr="003D034F">
        <w:rPr>
          <w:rFonts w:ascii="Book Antiqua" w:hAnsi="Book Antiqua" w:cs="Calibri"/>
          <w:sz w:val="24"/>
          <w:szCs w:val="24"/>
          <w:lang w:eastAsia="zh-CN"/>
        </w:rPr>
        <w:t xml:space="preserve"> </w:t>
      </w:r>
      <w:hyperlink r:id="rId8" w:history="1">
        <w:r w:rsidRPr="003D034F">
          <w:rPr>
            <w:rStyle w:val="a7"/>
            <w:rFonts w:ascii="Book Antiqua" w:hAnsi="Book Antiqua" w:cs="Calibri"/>
            <w:color w:val="auto"/>
            <w:sz w:val="24"/>
            <w:szCs w:val="24"/>
            <w:u w:val="none"/>
            <w:lang w:val="en-US"/>
          </w:rPr>
          <w:t>raquelrocha@yahoo.com.br</w:t>
        </w:r>
      </w:hyperlink>
      <w:r w:rsidR="00193995" w:rsidRPr="003D034F">
        <w:rPr>
          <w:rFonts w:ascii="Book Antiqua" w:hAnsi="Book Antiqua"/>
          <w:sz w:val="24"/>
          <w:szCs w:val="24"/>
          <w:lang w:val="en-US"/>
        </w:rPr>
        <w:t xml:space="preserve"> </w:t>
      </w:r>
    </w:p>
    <w:p w:rsidR="001D3036" w:rsidRPr="003D034F" w:rsidRDefault="00A26F5C" w:rsidP="003D034F">
      <w:pPr>
        <w:spacing w:after="0" w:line="360" w:lineRule="auto"/>
        <w:jc w:val="both"/>
        <w:rPr>
          <w:rFonts w:ascii="Book Antiqua" w:hAnsi="Book Antiqua" w:cs="Calibri"/>
          <w:sz w:val="24"/>
          <w:szCs w:val="24"/>
          <w:lang w:val="en-US" w:eastAsia="zh-CN"/>
        </w:rPr>
      </w:pPr>
      <w:r w:rsidRPr="003D034F">
        <w:rPr>
          <w:rFonts w:ascii="Book Antiqua" w:hAnsi="Book Antiqua" w:cs="Calibri"/>
          <w:b/>
          <w:sz w:val="24"/>
          <w:szCs w:val="24"/>
          <w:lang w:val="en-US"/>
        </w:rPr>
        <w:t>Tele</w:t>
      </w:r>
      <w:r w:rsidR="00154512" w:rsidRPr="003D034F">
        <w:rPr>
          <w:rFonts w:ascii="Book Antiqua" w:hAnsi="Book Antiqua" w:cs="Calibri"/>
          <w:b/>
          <w:sz w:val="24"/>
          <w:szCs w:val="24"/>
          <w:lang w:val="en-US"/>
        </w:rPr>
        <w:t>ph</w:t>
      </w:r>
      <w:r w:rsidRPr="003D034F">
        <w:rPr>
          <w:rFonts w:ascii="Book Antiqua" w:hAnsi="Book Antiqua" w:cs="Calibri"/>
          <w:b/>
          <w:sz w:val="24"/>
          <w:szCs w:val="24"/>
          <w:lang w:val="en-US"/>
        </w:rPr>
        <w:t>one:</w:t>
      </w:r>
      <w:r w:rsidR="001D3036" w:rsidRPr="003D034F">
        <w:rPr>
          <w:rFonts w:ascii="Book Antiqua" w:hAnsi="Book Antiqua" w:cs="Calibri"/>
          <w:sz w:val="24"/>
          <w:szCs w:val="24"/>
          <w:lang w:val="en-US" w:eastAsia="zh-CN"/>
        </w:rPr>
        <w:t xml:space="preserve"> </w:t>
      </w:r>
      <w:bookmarkStart w:id="21" w:name="OLE_LINK415"/>
      <w:bookmarkStart w:id="22" w:name="OLE_LINK416"/>
      <w:r w:rsidRPr="003D034F">
        <w:rPr>
          <w:rFonts w:ascii="Book Antiqua" w:hAnsi="Book Antiqua" w:cs="Calibri"/>
          <w:sz w:val="24"/>
          <w:szCs w:val="24"/>
          <w:lang w:val="en-US"/>
        </w:rPr>
        <w:t>+55-71-</w:t>
      </w:r>
      <w:r w:rsidR="00882499" w:rsidRPr="003D034F">
        <w:rPr>
          <w:rFonts w:ascii="Book Antiqua" w:hAnsi="Book Antiqua" w:cs="Calibri"/>
          <w:sz w:val="24"/>
          <w:szCs w:val="24"/>
          <w:lang w:val="en-US" w:eastAsia="zh-CN"/>
        </w:rPr>
        <w:t>32837721</w:t>
      </w:r>
      <w:bookmarkEnd w:id="21"/>
      <w:bookmarkEnd w:id="22"/>
    </w:p>
    <w:p w:rsidR="002D134F" w:rsidRPr="003D034F" w:rsidRDefault="002D134F" w:rsidP="003D034F">
      <w:pPr>
        <w:spacing w:after="0" w:line="360" w:lineRule="auto"/>
        <w:jc w:val="both"/>
        <w:rPr>
          <w:rFonts w:ascii="Book Antiqua" w:hAnsi="Book Antiqua" w:cs="Calibri"/>
          <w:sz w:val="24"/>
          <w:szCs w:val="24"/>
          <w:lang w:val="en-US" w:eastAsia="zh-CN"/>
        </w:rPr>
      </w:pPr>
      <w:r w:rsidRPr="003D034F">
        <w:rPr>
          <w:rFonts w:ascii="Book Antiqua" w:hAnsi="Book Antiqua" w:cs="Calibri"/>
          <w:b/>
          <w:sz w:val="24"/>
          <w:szCs w:val="24"/>
          <w:lang w:val="en-US" w:eastAsia="zh-CN"/>
        </w:rPr>
        <w:t>Fax:</w:t>
      </w:r>
      <w:r w:rsidR="00882499" w:rsidRPr="003D034F">
        <w:rPr>
          <w:rFonts w:ascii="Book Antiqua" w:hAnsi="Book Antiqua" w:cs="Calibri"/>
          <w:b/>
          <w:sz w:val="24"/>
          <w:szCs w:val="24"/>
          <w:lang w:val="en-US" w:eastAsia="zh-CN"/>
        </w:rPr>
        <w:t xml:space="preserve"> </w:t>
      </w:r>
      <w:r w:rsidR="00882499" w:rsidRPr="003D034F">
        <w:rPr>
          <w:rFonts w:ascii="Book Antiqua" w:hAnsi="Book Antiqua" w:cs="Calibri"/>
          <w:sz w:val="24"/>
          <w:szCs w:val="24"/>
          <w:lang w:val="en-US" w:eastAsia="zh-CN"/>
        </w:rPr>
        <w:t>+55-71-32837721</w:t>
      </w:r>
    </w:p>
    <w:p w:rsidR="00193995" w:rsidRPr="003D034F" w:rsidRDefault="00193995" w:rsidP="003D034F">
      <w:pPr>
        <w:spacing w:after="0" w:line="360" w:lineRule="auto"/>
        <w:jc w:val="both"/>
        <w:rPr>
          <w:rFonts w:ascii="Book Antiqua" w:hAnsi="Book Antiqua" w:cs="Calibri"/>
          <w:sz w:val="24"/>
          <w:szCs w:val="24"/>
          <w:lang w:val="en-US" w:eastAsia="zh-CN"/>
        </w:rPr>
      </w:pPr>
    </w:p>
    <w:p w:rsidR="001D3036" w:rsidRPr="003D034F" w:rsidRDefault="001D3036" w:rsidP="003D034F">
      <w:pPr>
        <w:spacing w:after="0" w:line="360" w:lineRule="auto"/>
        <w:jc w:val="both"/>
        <w:rPr>
          <w:rFonts w:ascii="Book Antiqua" w:hAnsi="Book Antiqua"/>
          <w:b/>
          <w:sz w:val="24"/>
          <w:szCs w:val="24"/>
          <w:lang w:eastAsia="zh-CN"/>
        </w:rPr>
      </w:pPr>
      <w:bookmarkStart w:id="23" w:name="OLE_LINK75"/>
      <w:bookmarkStart w:id="24" w:name="OLE_LINK76"/>
      <w:bookmarkStart w:id="25" w:name="OLE_LINK269"/>
      <w:bookmarkStart w:id="26" w:name="OLE_LINK239"/>
      <w:r w:rsidRPr="003D034F">
        <w:rPr>
          <w:rFonts w:ascii="Book Antiqua" w:hAnsi="Book Antiqua"/>
          <w:b/>
          <w:sz w:val="24"/>
          <w:szCs w:val="24"/>
        </w:rPr>
        <w:t xml:space="preserve">Received: </w:t>
      </w:r>
      <w:r w:rsidRPr="003D034F">
        <w:rPr>
          <w:rFonts w:ascii="Book Antiqua" w:hAnsi="Book Antiqua"/>
          <w:sz w:val="24"/>
          <w:szCs w:val="24"/>
          <w:lang w:eastAsia="zh-CN"/>
        </w:rPr>
        <w:t xml:space="preserve">October </w:t>
      </w:r>
      <w:r w:rsidRPr="003D034F">
        <w:rPr>
          <w:rFonts w:ascii="Book Antiqua" w:hAnsi="Book Antiqua"/>
          <w:sz w:val="24"/>
          <w:szCs w:val="24"/>
        </w:rPr>
        <w:t>2</w:t>
      </w:r>
      <w:r w:rsidRPr="003D034F">
        <w:rPr>
          <w:rFonts w:ascii="Book Antiqua" w:hAnsi="Book Antiqua"/>
          <w:sz w:val="24"/>
          <w:szCs w:val="24"/>
          <w:lang w:eastAsia="zh-CN"/>
        </w:rPr>
        <w:t>2</w:t>
      </w:r>
      <w:r w:rsidRPr="003D034F">
        <w:rPr>
          <w:rFonts w:ascii="Book Antiqua" w:hAnsi="Book Antiqua"/>
          <w:sz w:val="24"/>
          <w:szCs w:val="24"/>
        </w:rPr>
        <w:t>, 201</w:t>
      </w:r>
      <w:r w:rsidRPr="003D034F">
        <w:rPr>
          <w:rFonts w:ascii="Book Antiqua" w:hAnsi="Book Antiqua"/>
          <w:sz w:val="24"/>
          <w:szCs w:val="24"/>
          <w:lang w:eastAsia="zh-CN"/>
        </w:rPr>
        <w:t>8</w:t>
      </w:r>
    </w:p>
    <w:p w:rsidR="001D3036" w:rsidRPr="003D034F" w:rsidRDefault="001D3036" w:rsidP="003D034F">
      <w:pPr>
        <w:spacing w:after="0" w:line="360" w:lineRule="auto"/>
        <w:jc w:val="both"/>
        <w:rPr>
          <w:rFonts w:ascii="Book Antiqua" w:hAnsi="Book Antiqua"/>
          <w:b/>
          <w:sz w:val="24"/>
          <w:szCs w:val="24"/>
        </w:rPr>
      </w:pPr>
      <w:r w:rsidRPr="003D034F">
        <w:rPr>
          <w:rFonts w:ascii="Book Antiqua" w:hAnsi="Book Antiqua"/>
          <w:b/>
          <w:sz w:val="24"/>
          <w:szCs w:val="24"/>
        </w:rPr>
        <w:t xml:space="preserve">Peer-review started: </w:t>
      </w:r>
      <w:r w:rsidRPr="003D034F">
        <w:rPr>
          <w:rFonts w:ascii="Book Antiqua" w:hAnsi="Book Antiqua"/>
          <w:sz w:val="24"/>
          <w:szCs w:val="24"/>
          <w:lang w:eastAsia="zh-CN"/>
        </w:rPr>
        <w:t xml:space="preserve">October </w:t>
      </w:r>
      <w:r w:rsidRPr="003D034F">
        <w:rPr>
          <w:rFonts w:ascii="Book Antiqua" w:hAnsi="Book Antiqua"/>
          <w:sz w:val="24"/>
          <w:szCs w:val="24"/>
        </w:rPr>
        <w:t>2</w:t>
      </w:r>
      <w:r w:rsidRPr="003D034F">
        <w:rPr>
          <w:rFonts w:ascii="Book Antiqua" w:hAnsi="Book Antiqua"/>
          <w:sz w:val="24"/>
          <w:szCs w:val="24"/>
          <w:lang w:eastAsia="zh-CN"/>
        </w:rPr>
        <w:t>2</w:t>
      </w:r>
      <w:r w:rsidRPr="003D034F">
        <w:rPr>
          <w:rFonts w:ascii="Book Antiqua" w:hAnsi="Book Antiqua"/>
          <w:sz w:val="24"/>
          <w:szCs w:val="24"/>
        </w:rPr>
        <w:t>, 201</w:t>
      </w:r>
      <w:r w:rsidRPr="003D034F">
        <w:rPr>
          <w:rFonts w:ascii="Book Antiqua" w:hAnsi="Book Antiqua"/>
          <w:sz w:val="24"/>
          <w:szCs w:val="24"/>
          <w:lang w:eastAsia="zh-CN"/>
        </w:rPr>
        <w:t>8</w:t>
      </w:r>
    </w:p>
    <w:p w:rsidR="001D3036" w:rsidRPr="003D034F" w:rsidRDefault="001D3036" w:rsidP="003D034F">
      <w:pPr>
        <w:spacing w:after="0" w:line="360" w:lineRule="auto"/>
        <w:jc w:val="both"/>
        <w:rPr>
          <w:rFonts w:ascii="Book Antiqua" w:hAnsi="Book Antiqua"/>
          <w:b/>
          <w:sz w:val="24"/>
          <w:szCs w:val="24"/>
          <w:lang w:eastAsia="zh-CN"/>
        </w:rPr>
      </w:pPr>
      <w:r w:rsidRPr="003D034F">
        <w:rPr>
          <w:rFonts w:ascii="Book Antiqua" w:hAnsi="Book Antiqua"/>
          <w:b/>
          <w:sz w:val="24"/>
          <w:szCs w:val="24"/>
        </w:rPr>
        <w:t xml:space="preserve">First decision: </w:t>
      </w:r>
      <w:r w:rsidRPr="003D034F">
        <w:rPr>
          <w:rFonts w:ascii="Book Antiqua" w:hAnsi="Book Antiqua"/>
          <w:sz w:val="24"/>
          <w:szCs w:val="24"/>
          <w:lang w:eastAsia="zh-CN"/>
        </w:rPr>
        <w:t>November 29</w:t>
      </w:r>
      <w:r w:rsidRPr="003D034F">
        <w:rPr>
          <w:rFonts w:ascii="Book Antiqua" w:hAnsi="Book Antiqua"/>
          <w:sz w:val="24"/>
          <w:szCs w:val="24"/>
        </w:rPr>
        <w:t>, 201</w:t>
      </w:r>
      <w:r w:rsidRPr="003D034F">
        <w:rPr>
          <w:rFonts w:ascii="Book Antiqua" w:hAnsi="Book Antiqua"/>
          <w:sz w:val="24"/>
          <w:szCs w:val="24"/>
          <w:lang w:eastAsia="zh-CN"/>
        </w:rPr>
        <w:t>8</w:t>
      </w:r>
    </w:p>
    <w:p w:rsidR="001D3036" w:rsidRPr="003D034F" w:rsidRDefault="001D3036" w:rsidP="003D034F">
      <w:pPr>
        <w:spacing w:after="0" w:line="360" w:lineRule="auto"/>
        <w:jc w:val="both"/>
        <w:rPr>
          <w:rFonts w:ascii="Book Antiqua" w:hAnsi="Book Antiqua"/>
          <w:b/>
          <w:sz w:val="24"/>
          <w:szCs w:val="24"/>
        </w:rPr>
      </w:pPr>
      <w:r w:rsidRPr="003D034F">
        <w:rPr>
          <w:rFonts w:ascii="Book Antiqua" w:hAnsi="Book Antiqua"/>
          <w:b/>
          <w:sz w:val="24"/>
          <w:szCs w:val="24"/>
        </w:rPr>
        <w:t xml:space="preserve">Revised: </w:t>
      </w:r>
      <w:r w:rsidRPr="003D034F">
        <w:rPr>
          <w:rFonts w:ascii="Book Antiqua" w:hAnsi="Book Antiqua"/>
          <w:sz w:val="24"/>
          <w:szCs w:val="24"/>
          <w:lang w:eastAsia="zh-CN"/>
        </w:rPr>
        <w:t>January 31</w:t>
      </w:r>
      <w:r w:rsidRPr="003D034F">
        <w:rPr>
          <w:rFonts w:ascii="Book Antiqua" w:hAnsi="Book Antiqua"/>
          <w:sz w:val="24"/>
          <w:szCs w:val="24"/>
        </w:rPr>
        <w:t>, 2019</w:t>
      </w:r>
    </w:p>
    <w:p w:rsidR="001D3036" w:rsidRPr="003D034F" w:rsidRDefault="001D3036" w:rsidP="003D034F">
      <w:pPr>
        <w:spacing w:after="0" w:line="360" w:lineRule="auto"/>
        <w:jc w:val="both"/>
        <w:rPr>
          <w:rFonts w:ascii="Book Antiqua" w:hAnsi="Book Antiqua"/>
          <w:sz w:val="24"/>
          <w:szCs w:val="24"/>
        </w:rPr>
      </w:pPr>
      <w:r w:rsidRPr="003D034F">
        <w:rPr>
          <w:rFonts w:ascii="Book Antiqua" w:hAnsi="Book Antiqua"/>
          <w:b/>
          <w:sz w:val="24"/>
          <w:szCs w:val="24"/>
        </w:rPr>
        <w:t xml:space="preserve">Accepted: </w:t>
      </w:r>
      <w:r w:rsidR="00EE2B46" w:rsidRPr="003D034F">
        <w:rPr>
          <w:rFonts w:ascii="Book Antiqua" w:hAnsi="Book Antiqua" w:cs="AppleSystemUIFont"/>
          <w:sz w:val="24"/>
          <w:szCs w:val="24"/>
          <w:lang w:val="en-US" w:eastAsia="zh-CN"/>
        </w:rPr>
        <w:t>February 27, 2019</w:t>
      </w:r>
    </w:p>
    <w:p w:rsidR="001D3036" w:rsidRPr="003D034F" w:rsidRDefault="001D3036" w:rsidP="003D034F">
      <w:pPr>
        <w:spacing w:after="0" w:line="360" w:lineRule="auto"/>
        <w:jc w:val="both"/>
        <w:rPr>
          <w:rFonts w:ascii="Book Antiqua" w:hAnsi="Book Antiqua"/>
          <w:b/>
          <w:sz w:val="24"/>
          <w:szCs w:val="24"/>
          <w:lang w:eastAsia="zh-CN"/>
        </w:rPr>
      </w:pPr>
      <w:r w:rsidRPr="003D034F">
        <w:rPr>
          <w:rFonts w:ascii="Book Antiqua" w:hAnsi="Book Antiqua"/>
          <w:b/>
          <w:sz w:val="24"/>
          <w:szCs w:val="24"/>
        </w:rPr>
        <w:t>Article in press:</w:t>
      </w:r>
      <w:r w:rsidR="003D034F" w:rsidRPr="003D034F">
        <w:rPr>
          <w:rFonts w:ascii="Book Antiqua" w:hAnsi="Book Antiqua"/>
          <w:b/>
          <w:sz w:val="24"/>
          <w:szCs w:val="24"/>
          <w:lang w:eastAsia="zh-CN"/>
        </w:rPr>
        <w:t xml:space="preserve"> </w:t>
      </w:r>
      <w:r w:rsidR="003D034F" w:rsidRPr="003D034F">
        <w:rPr>
          <w:rFonts w:ascii="Book Antiqua" w:hAnsi="Book Antiqua" w:cs="AppleSystemUIFont"/>
          <w:sz w:val="24"/>
          <w:szCs w:val="24"/>
          <w:lang w:val="en-US" w:eastAsia="zh-CN"/>
        </w:rPr>
        <w:t>February 27, 2019</w:t>
      </w:r>
    </w:p>
    <w:p w:rsidR="001D3036" w:rsidRPr="003D034F" w:rsidRDefault="001D3036" w:rsidP="003D034F">
      <w:pPr>
        <w:spacing w:after="0" w:line="360" w:lineRule="auto"/>
        <w:jc w:val="both"/>
        <w:rPr>
          <w:rFonts w:ascii="Book Antiqua" w:hAnsi="Book Antiqua"/>
          <w:b/>
          <w:sz w:val="24"/>
          <w:szCs w:val="24"/>
        </w:rPr>
      </w:pPr>
      <w:r w:rsidRPr="003D034F">
        <w:rPr>
          <w:rFonts w:ascii="Book Antiqua" w:hAnsi="Book Antiqua"/>
          <w:b/>
          <w:sz w:val="24"/>
          <w:szCs w:val="24"/>
        </w:rPr>
        <w:t>Published online:</w:t>
      </w:r>
      <w:r w:rsidR="003D034F" w:rsidRPr="003D034F">
        <w:rPr>
          <w:rFonts w:ascii="Book Antiqua" w:hAnsi="Book Antiqua" w:cs="AppleSystemUIFont"/>
          <w:sz w:val="24"/>
          <w:szCs w:val="24"/>
          <w:lang w:val="en-US" w:eastAsia="zh-CN"/>
        </w:rPr>
        <w:t xml:space="preserve"> March 7, 2019</w:t>
      </w:r>
    </w:p>
    <w:bookmarkEnd w:id="23"/>
    <w:bookmarkEnd w:id="24"/>
    <w:bookmarkEnd w:id="25"/>
    <w:bookmarkEnd w:id="26"/>
    <w:p w:rsidR="00DC13FE" w:rsidRPr="003D034F" w:rsidRDefault="001D3036" w:rsidP="003D034F">
      <w:pPr>
        <w:spacing w:after="0" w:line="360" w:lineRule="auto"/>
        <w:jc w:val="both"/>
        <w:rPr>
          <w:rFonts w:ascii="Book Antiqua" w:hAnsi="Book Antiqua" w:cs="Calibri"/>
          <w:sz w:val="24"/>
          <w:szCs w:val="24"/>
          <w:lang w:val="en-US" w:eastAsia="zh-CN"/>
        </w:rPr>
      </w:pPr>
      <w:r w:rsidRPr="003D034F">
        <w:rPr>
          <w:rFonts w:ascii="Book Antiqua" w:hAnsi="Book Antiqua" w:cs="Calibri"/>
          <w:sz w:val="24"/>
          <w:szCs w:val="24"/>
          <w:lang w:eastAsia="zh-CN"/>
        </w:rPr>
        <w:br w:type="page"/>
      </w:r>
      <w:r w:rsidR="00A839B7" w:rsidRPr="003D034F">
        <w:rPr>
          <w:rFonts w:ascii="Book Antiqua" w:hAnsi="Book Antiqua" w:cs="Calibri"/>
          <w:b/>
          <w:sz w:val="24"/>
          <w:szCs w:val="24"/>
          <w:lang w:val="en-US"/>
        </w:rPr>
        <w:lastRenderedPageBreak/>
        <w:t>Abstract</w:t>
      </w:r>
    </w:p>
    <w:p w:rsidR="00A839B7" w:rsidRPr="003D034F" w:rsidRDefault="00A9755D" w:rsidP="003D034F">
      <w:pPr>
        <w:spacing w:after="0" w:line="360" w:lineRule="auto"/>
        <w:jc w:val="both"/>
        <w:rPr>
          <w:rFonts w:ascii="Book Antiqua" w:hAnsi="Book Antiqua" w:cs="Calibri"/>
          <w:sz w:val="24"/>
          <w:szCs w:val="24"/>
          <w:lang w:val="en-US" w:eastAsia="zh-CN"/>
        </w:rPr>
      </w:pPr>
      <w:r w:rsidRPr="003D034F">
        <w:rPr>
          <w:rFonts w:ascii="Book Antiqua" w:hAnsi="Book Antiqua" w:cs="Calibri"/>
          <w:sz w:val="24"/>
          <w:szCs w:val="24"/>
          <w:lang w:val="en-US"/>
        </w:rPr>
        <w:t>Crohn</w:t>
      </w:r>
      <w:r w:rsidR="003F16F0" w:rsidRPr="003D034F">
        <w:rPr>
          <w:rFonts w:ascii="Book Antiqua" w:hAnsi="Book Antiqua" w:cs="Calibri"/>
          <w:sz w:val="24"/>
          <w:szCs w:val="24"/>
          <w:lang w:val="en-US" w:eastAsia="zh-CN"/>
        </w:rPr>
        <w:t>’</w:t>
      </w:r>
      <w:r w:rsidRPr="003D034F">
        <w:rPr>
          <w:rFonts w:ascii="Book Antiqua" w:hAnsi="Book Antiqua" w:cs="Calibri"/>
          <w:sz w:val="24"/>
          <w:szCs w:val="24"/>
          <w:lang w:val="en-US"/>
        </w:rPr>
        <w:t>s disease with involvement of the esophagus, stomach and duodenum has a prevalence of 0.5% to 4% in symptomatic adult patients, but some studies have shown that these results may be underestimated, since upper gastrointestinal endoscopy is not performed routinely in the initial evaluation of the disease in adult patients, as</w:t>
      </w:r>
      <w:r w:rsidR="00154512" w:rsidRPr="003D034F">
        <w:rPr>
          <w:rFonts w:ascii="Book Antiqua" w:hAnsi="Book Antiqua" w:cs="Calibri"/>
          <w:sz w:val="24"/>
          <w:szCs w:val="24"/>
          <w:lang w:val="en-US"/>
        </w:rPr>
        <w:t xml:space="preserve"> it is</w:t>
      </w:r>
      <w:r w:rsidRPr="003D034F">
        <w:rPr>
          <w:rFonts w:ascii="Book Antiqua" w:hAnsi="Book Antiqua" w:cs="Calibri"/>
          <w:sz w:val="24"/>
          <w:szCs w:val="24"/>
          <w:lang w:val="en-US"/>
        </w:rPr>
        <w:t xml:space="preserve"> in the pediatric population. In general, involvement of the upper gastrointestinal tract </w:t>
      </w:r>
      <w:r w:rsidR="006C7F78" w:rsidRPr="003D034F">
        <w:rPr>
          <w:rFonts w:ascii="Book Antiqua" w:hAnsi="Book Antiqua" w:cs="Calibri"/>
          <w:sz w:val="24"/>
          <w:szCs w:val="24"/>
          <w:lang w:val="en-US"/>
        </w:rPr>
        <w:t xml:space="preserve">in </w:t>
      </w:r>
      <w:r w:rsidRPr="003D034F">
        <w:rPr>
          <w:rFonts w:ascii="Book Antiqua" w:hAnsi="Book Antiqua" w:cs="Calibri"/>
          <w:sz w:val="24"/>
          <w:szCs w:val="24"/>
          <w:lang w:val="en-US"/>
        </w:rPr>
        <w:t>Crohn</w:t>
      </w:r>
      <w:r w:rsidR="003F16F0" w:rsidRPr="003D034F">
        <w:rPr>
          <w:rFonts w:ascii="Book Antiqua" w:hAnsi="Book Antiqua" w:cs="Calibri"/>
          <w:sz w:val="24"/>
          <w:szCs w:val="24"/>
          <w:lang w:val="en-US" w:eastAsia="zh-CN"/>
        </w:rPr>
        <w:t>’</w:t>
      </w:r>
      <w:r w:rsidRPr="003D034F">
        <w:rPr>
          <w:rFonts w:ascii="Book Antiqua" w:hAnsi="Book Antiqua" w:cs="Calibri"/>
          <w:sz w:val="24"/>
          <w:szCs w:val="24"/>
          <w:lang w:val="en-US"/>
        </w:rPr>
        <w:t xml:space="preserve">s disease occurs concomitantly with involvement of the lower gastrointestinal tract. The diagnosis depends on clinical, endoscopic, histological and radiological evaluation. The presence of </w:t>
      </w:r>
      <w:proofErr w:type="spellStart"/>
      <w:r w:rsidRPr="003D034F">
        <w:rPr>
          <w:rFonts w:ascii="Book Antiqua" w:hAnsi="Book Antiqua" w:cs="Calibri"/>
          <w:sz w:val="24"/>
          <w:szCs w:val="24"/>
          <w:lang w:val="en-US"/>
        </w:rPr>
        <w:t>a</w:t>
      </w:r>
      <w:r w:rsidR="00154512" w:rsidRPr="003D034F">
        <w:rPr>
          <w:rFonts w:ascii="Book Antiqua" w:hAnsi="Book Antiqua" w:cs="Calibri"/>
          <w:sz w:val="24"/>
          <w:szCs w:val="24"/>
          <w:lang w:val="en-US"/>
        </w:rPr>
        <w:t>ph</w:t>
      </w:r>
      <w:r w:rsidRPr="003D034F">
        <w:rPr>
          <w:rFonts w:ascii="Book Antiqua" w:hAnsi="Book Antiqua" w:cs="Calibri"/>
          <w:sz w:val="24"/>
          <w:szCs w:val="24"/>
          <w:lang w:val="en-US"/>
        </w:rPr>
        <w:t>t</w:t>
      </w:r>
      <w:r w:rsidR="00154512" w:rsidRPr="003D034F">
        <w:rPr>
          <w:rFonts w:ascii="Book Antiqua" w:hAnsi="Book Antiqua" w:cs="Calibri"/>
          <w:sz w:val="24"/>
          <w:szCs w:val="24"/>
          <w:lang w:val="en-US"/>
        </w:rPr>
        <w:t>h</w:t>
      </w:r>
      <w:r w:rsidRPr="003D034F">
        <w:rPr>
          <w:rFonts w:ascii="Book Antiqua" w:hAnsi="Book Antiqua" w:cs="Calibri"/>
          <w:sz w:val="24"/>
          <w:szCs w:val="24"/>
          <w:lang w:val="en-US"/>
        </w:rPr>
        <w:t>oid</w:t>
      </w:r>
      <w:proofErr w:type="spellEnd"/>
      <w:r w:rsidRPr="003D034F">
        <w:rPr>
          <w:rFonts w:ascii="Book Antiqua" w:hAnsi="Book Antiqua" w:cs="Calibri"/>
          <w:sz w:val="24"/>
          <w:szCs w:val="24"/>
          <w:lang w:val="en-US"/>
        </w:rPr>
        <w:t xml:space="preserve"> ulcers, longitudinal ulcers, bamboo-joint</w:t>
      </w:r>
      <w:r w:rsidR="006C7F78" w:rsidRPr="003D034F">
        <w:rPr>
          <w:rFonts w:ascii="Book Antiqua" w:hAnsi="Book Antiqua" w:cs="Calibri"/>
          <w:sz w:val="24"/>
          <w:szCs w:val="24"/>
          <w:lang w:val="en-US"/>
        </w:rPr>
        <w:t>-</w:t>
      </w:r>
      <w:r w:rsidRPr="003D034F">
        <w:rPr>
          <w:rFonts w:ascii="Book Antiqua" w:hAnsi="Book Antiqua" w:cs="Calibri"/>
          <w:sz w:val="24"/>
          <w:szCs w:val="24"/>
          <w:lang w:val="en-US"/>
        </w:rPr>
        <w:t xml:space="preserve">like appearance, stenoses and fistulas are endoscopic findings suggestive of the disease, and it is important to exclude the presence of </w:t>
      </w:r>
      <w:r w:rsidRPr="003D034F">
        <w:rPr>
          <w:rFonts w:ascii="Book Antiqua" w:hAnsi="Book Antiqua" w:cs="Calibri"/>
          <w:i/>
          <w:sz w:val="24"/>
          <w:szCs w:val="24"/>
          <w:lang w:val="en-US"/>
        </w:rPr>
        <w:t>Helicobacter pylori</w:t>
      </w:r>
      <w:r w:rsidR="005A1C67" w:rsidRPr="003D034F">
        <w:rPr>
          <w:rFonts w:ascii="Book Antiqua" w:hAnsi="Book Antiqua" w:cs="Calibri"/>
          <w:sz w:val="24"/>
          <w:szCs w:val="24"/>
          <w:lang w:val="en-US" w:eastAsia="zh-CN"/>
        </w:rPr>
        <w:t xml:space="preserve"> </w:t>
      </w:r>
      <w:r w:rsidRPr="003D034F">
        <w:rPr>
          <w:rFonts w:ascii="Book Antiqua" w:hAnsi="Book Antiqua" w:cs="Calibri"/>
          <w:sz w:val="24"/>
          <w:szCs w:val="24"/>
          <w:lang w:val="en-US"/>
        </w:rPr>
        <w:t xml:space="preserve">infection. The </w:t>
      </w:r>
      <w:r w:rsidR="00B137FF" w:rsidRPr="003D034F">
        <w:rPr>
          <w:rFonts w:ascii="Book Antiqua" w:hAnsi="Book Antiqua" w:cs="Calibri"/>
          <w:sz w:val="24"/>
          <w:szCs w:val="24"/>
          <w:lang w:val="en-US"/>
        </w:rPr>
        <w:t>pri</w:t>
      </w:r>
      <w:r w:rsidRPr="003D034F">
        <w:rPr>
          <w:rFonts w:ascii="Book Antiqua" w:hAnsi="Book Antiqua" w:cs="Calibri"/>
          <w:sz w:val="24"/>
          <w:szCs w:val="24"/>
          <w:lang w:val="en-US"/>
        </w:rPr>
        <w:t>ma</w:t>
      </w:r>
      <w:r w:rsidR="00B137FF" w:rsidRPr="003D034F">
        <w:rPr>
          <w:rFonts w:ascii="Book Antiqua" w:hAnsi="Book Antiqua" w:cs="Calibri"/>
          <w:sz w:val="24"/>
          <w:szCs w:val="24"/>
          <w:lang w:val="en-US"/>
        </w:rPr>
        <w:t>ry</w:t>
      </w:r>
      <w:r w:rsidRPr="003D034F">
        <w:rPr>
          <w:rFonts w:ascii="Book Antiqua" w:hAnsi="Book Antiqua" w:cs="Calibri"/>
          <w:sz w:val="24"/>
          <w:szCs w:val="24"/>
          <w:lang w:val="en-US"/>
        </w:rPr>
        <w:t xml:space="preserve"> histological findings, which </w:t>
      </w:r>
      <w:r w:rsidR="00B137FF" w:rsidRPr="003D034F">
        <w:rPr>
          <w:rFonts w:ascii="Book Antiqua" w:hAnsi="Book Antiqua" w:cs="Calibri"/>
          <w:sz w:val="24"/>
          <w:szCs w:val="24"/>
          <w:lang w:val="en-US"/>
        </w:rPr>
        <w:t>facilitate</w:t>
      </w:r>
      <w:r w:rsidRPr="003D034F">
        <w:rPr>
          <w:rFonts w:ascii="Book Antiqua" w:hAnsi="Book Antiqua" w:cs="Calibri"/>
          <w:sz w:val="24"/>
          <w:szCs w:val="24"/>
          <w:lang w:val="en-US"/>
        </w:rPr>
        <w:t xml:space="preserve"> the diagnosis, are the presence of a chronic inflammatory process with a predominance of lymphoplasmacytic cells</w:t>
      </w:r>
      <w:r w:rsidR="006C7F78" w:rsidRPr="003D034F">
        <w:rPr>
          <w:rFonts w:ascii="Book Antiqua" w:hAnsi="Book Antiqua" w:cs="Calibri"/>
          <w:sz w:val="24"/>
          <w:szCs w:val="24"/>
          <w:lang w:val="en-US"/>
        </w:rPr>
        <w:t xml:space="preserve"> and</w:t>
      </w:r>
      <w:r w:rsidRPr="003D034F">
        <w:rPr>
          <w:rFonts w:ascii="Book Antiqua" w:hAnsi="Book Antiqua" w:cs="Calibri"/>
          <w:sz w:val="24"/>
          <w:szCs w:val="24"/>
          <w:lang w:val="en-US"/>
        </w:rPr>
        <w:t xml:space="preserve"> active focal gastritis</w:t>
      </w:r>
      <w:r w:rsidR="006C7F78" w:rsidRPr="003D034F">
        <w:rPr>
          <w:rFonts w:ascii="Book Antiqua" w:hAnsi="Book Antiqua" w:cs="Calibri"/>
          <w:sz w:val="24"/>
          <w:szCs w:val="24"/>
          <w:lang w:val="en-US"/>
        </w:rPr>
        <w:t>. T</w:t>
      </w:r>
      <w:r w:rsidRPr="003D034F">
        <w:rPr>
          <w:rFonts w:ascii="Book Antiqua" w:hAnsi="Book Antiqua" w:cs="Calibri"/>
          <w:sz w:val="24"/>
          <w:szCs w:val="24"/>
          <w:lang w:val="en-US"/>
        </w:rPr>
        <w:t>he presence of epithelioid granuloma, although less frequent, is highly suggestive of the disease in the absence of chronic granulomatous disease</w:t>
      </w:r>
      <w:r w:rsidR="0092246F" w:rsidRPr="003D034F">
        <w:rPr>
          <w:rFonts w:ascii="Book Antiqua" w:hAnsi="Book Antiqua" w:cs="Calibri"/>
          <w:sz w:val="24"/>
          <w:szCs w:val="24"/>
          <w:lang w:val="en-US"/>
        </w:rPr>
        <w:t xml:space="preserve">. </w:t>
      </w:r>
      <w:r w:rsidR="006665FA" w:rsidRPr="003D034F">
        <w:rPr>
          <w:rFonts w:ascii="Book Antiqua" w:hAnsi="Book Antiqua" w:cs="Calibri"/>
          <w:sz w:val="24"/>
          <w:szCs w:val="24"/>
          <w:lang w:val="en-US"/>
        </w:rPr>
        <w:t>Treatment should include the use of proton pump inhibitors associated with corticosteroids, immunomodulators and biological therapy according to the severity of the disease</w:t>
      </w:r>
      <w:r w:rsidR="0092246F" w:rsidRPr="003D034F">
        <w:rPr>
          <w:rFonts w:ascii="Book Antiqua" w:hAnsi="Book Antiqua" w:cs="Calibri"/>
          <w:sz w:val="24"/>
          <w:szCs w:val="24"/>
          <w:lang w:val="en-US"/>
        </w:rPr>
        <w:t xml:space="preserve">. </w:t>
      </w:r>
      <w:r w:rsidR="000C2D40" w:rsidRPr="003D034F">
        <w:rPr>
          <w:rFonts w:ascii="Book Antiqua" w:hAnsi="Book Antiqua" w:cs="Calibri"/>
          <w:sz w:val="24"/>
          <w:szCs w:val="24"/>
          <w:lang w:val="en-US"/>
        </w:rPr>
        <w:t xml:space="preserve"> </w:t>
      </w:r>
    </w:p>
    <w:p w:rsidR="002D134F" w:rsidRPr="003D034F" w:rsidRDefault="002D134F" w:rsidP="003D034F">
      <w:pPr>
        <w:spacing w:after="0" w:line="360" w:lineRule="auto"/>
        <w:jc w:val="both"/>
        <w:rPr>
          <w:rFonts w:ascii="Book Antiqua" w:hAnsi="Book Antiqua" w:cs="Calibri"/>
          <w:sz w:val="24"/>
          <w:szCs w:val="24"/>
          <w:lang w:val="en-US" w:eastAsia="zh-CN"/>
        </w:rPr>
      </w:pPr>
    </w:p>
    <w:p w:rsidR="006665FA" w:rsidRPr="003D034F" w:rsidRDefault="00670A85" w:rsidP="003D034F">
      <w:pPr>
        <w:spacing w:after="0" w:line="360" w:lineRule="auto"/>
        <w:jc w:val="both"/>
        <w:rPr>
          <w:rFonts w:ascii="Book Antiqua" w:hAnsi="Book Antiqua" w:cs="Calibri"/>
          <w:sz w:val="24"/>
          <w:szCs w:val="24"/>
          <w:lang w:val="en-US" w:eastAsia="zh-CN"/>
        </w:rPr>
      </w:pPr>
      <w:r w:rsidRPr="003D034F">
        <w:rPr>
          <w:rFonts w:ascii="Book Antiqua" w:hAnsi="Book Antiqua" w:cs="Calibri"/>
          <w:b/>
          <w:iCs/>
          <w:sz w:val="24"/>
          <w:szCs w:val="24"/>
          <w:lang w:val="es-ES_tradnl"/>
        </w:rPr>
        <w:t>Key words:</w:t>
      </w:r>
      <w:r w:rsidRPr="003D034F">
        <w:rPr>
          <w:rFonts w:ascii="Book Antiqua" w:hAnsi="Book Antiqua" w:cs="Calibri"/>
          <w:b/>
          <w:iCs/>
          <w:sz w:val="24"/>
          <w:szCs w:val="24"/>
          <w:lang w:val="es-ES_tradnl" w:eastAsia="zh-CN"/>
        </w:rPr>
        <w:t xml:space="preserve"> </w:t>
      </w:r>
      <w:bookmarkStart w:id="27" w:name="OLE_LINK405"/>
      <w:bookmarkStart w:id="28" w:name="OLE_LINK406"/>
      <w:r w:rsidR="006665FA" w:rsidRPr="003D034F">
        <w:rPr>
          <w:rFonts w:ascii="Book Antiqua" w:hAnsi="Book Antiqua" w:cs="Calibri"/>
          <w:sz w:val="24"/>
          <w:szCs w:val="24"/>
          <w:lang w:val="en-US"/>
        </w:rPr>
        <w:t>Crohn</w:t>
      </w:r>
      <w:r w:rsidRPr="003D034F">
        <w:rPr>
          <w:rFonts w:ascii="Book Antiqua" w:hAnsi="Book Antiqua" w:cs="Calibri"/>
          <w:sz w:val="24"/>
          <w:szCs w:val="24"/>
          <w:lang w:val="en-US" w:eastAsia="zh-CN"/>
        </w:rPr>
        <w:t>’</w:t>
      </w:r>
      <w:r w:rsidR="006665FA" w:rsidRPr="003D034F">
        <w:rPr>
          <w:rFonts w:ascii="Book Antiqua" w:hAnsi="Book Antiqua" w:cs="Calibri"/>
          <w:sz w:val="24"/>
          <w:szCs w:val="24"/>
          <w:lang w:val="en-US"/>
        </w:rPr>
        <w:t xml:space="preserve">s disease; Upper </w:t>
      </w:r>
      <w:r w:rsidRPr="003D034F">
        <w:rPr>
          <w:rFonts w:ascii="Book Antiqua" w:hAnsi="Book Antiqua" w:cs="Calibri"/>
          <w:sz w:val="24"/>
          <w:szCs w:val="24"/>
          <w:lang w:val="en-US"/>
        </w:rPr>
        <w:t>gastrointestinal tract</w:t>
      </w:r>
      <w:r w:rsidR="006665FA" w:rsidRPr="003D034F">
        <w:rPr>
          <w:rFonts w:ascii="Book Antiqua" w:hAnsi="Book Antiqua" w:cs="Calibri"/>
          <w:sz w:val="24"/>
          <w:szCs w:val="24"/>
          <w:lang w:val="en-US"/>
        </w:rPr>
        <w:t>; Upper digestive endoscopy; Esophagus; Stomach; Duodenum; Chronic gastritis; Focal gastritis; Epithelioid granuloma</w:t>
      </w:r>
    </w:p>
    <w:bookmarkEnd w:id="27"/>
    <w:bookmarkEnd w:id="28"/>
    <w:p w:rsidR="00C209ED" w:rsidRPr="003D034F" w:rsidRDefault="00C209ED" w:rsidP="003D034F">
      <w:pPr>
        <w:spacing w:after="0" w:line="360" w:lineRule="auto"/>
        <w:jc w:val="both"/>
        <w:rPr>
          <w:rFonts w:ascii="Book Antiqua" w:hAnsi="Book Antiqua" w:cs="Calibri"/>
          <w:sz w:val="24"/>
          <w:szCs w:val="24"/>
          <w:lang w:val="en-US" w:eastAsia="zh-CN"/>
        </w:rPr>
      </w:pPr>
    </w:p>
    <w:p w:rsidR="00C209ED" w:rsidRPr="003D034F" w:rsidRDefault="00C209ED" w:rsidP="003D034F">
      <w:pPr>
        <w:spacing w:line="360" w:lineRule="auto"/>
        <w:rPr>
          <w:rFonts w:ascii="Book Antiqua" w:hAnsi="Book Antiqua"/>
          <w:i/>
          <w:iCs/>
          <w:sz w:val="24"/>
          <w:szCs w:val="24"/>
          <w:lang w:eastAsia="zh-CN"/>
        </w:rPr>
      </w:pPr>
      <w:bookmarkStart w:id="29" w:name="OLE_LINK163"/>
      <w:bookmarkStart w:id="30" w:name="OLE_LINK168"/>
      <w:bookmarkStart w:id="31" w:name="OLE_LINK267"/>
      <w:bookmarkStart w:id="32" w:name="OLE_LINK263"/>
      <w:bookmarkStart w:id="33" w:name="OLE_LINK275"/>
      <w:bookmarkStart w:id="34" w:name="OLE_LINK407"/>
      <w:bookmarkStart w:id="35" w:name="OLE_LINK408"/>
      <w:r w:rsidRPr="003D034F">
        <w:rPr>
          <w:rFonts w:ascii="Book Antiqua" w:hAnsi="Book Antiqua" w:cs="Tahoma"/>
          <w:b/>
          <w:sz w:val="24"/>
          <w:szCs w:val="24"/>
          <w:lang w:val="en-GB" w:eastAsia="ja-JP"/>
        </w:rPr>
        <w:t xml:space="preserve">© </w:t>
      </w:r>
      <w:r w:rsidRPr="003D034F">
        <w:rPr>
          <w:rFonts w:ascii="Book Antiqua" w:eastAsia="AdvTimes" w:hAnsi="Book Antiqua" w:cs="AdvTimes"/>
          <w:b/>
          <w:sz w:val="24"/>
          <w:szCs w:val="24"/>
          <w:lang w:val="fr-FR" w:eastAsia="ja-JP"/>
        </w:rPr>
        <w:t xml:space="preserve">The Author(s) </w:t>
      </w:r>
      <w:r w:rsidRPr="003D034F">
        <w:rPr>
          <w:rFonts w:ascii="Book Antiqua" w:hAnsi="Book Antiqua" w:cs="AdvTimes"/>
          <w:b/>
          <w:sz w:val="24"/>
          <w:szCs w:val="24"/>
          <w:lang w:val="fr-FR"/>
        </w:rPr>
        <w:t>2019</w:t>
      </w:r>
      <w:r w:rsidRPr="003D034F">
        <w:rPr>
          <w:rFonts w:ascii="Book Antiqua" w:eastAsia="AdvTimes" w:hAnsi="Book Antiqua" w:cs="AdvTimes"/>
          <w:b/>
          <w:sz w:val="24"/>
          <w:szCs w:val="24"/>
          <w:lang w:val="fr-FR" w:eastAsia="ja-JP"/>
        </w:rPr>
        <w:t>.</w:t>
      </w:r>
      <w:r w:rsidRPr="003D034F">
        <w:rPr>
          <w:rFonts w:ascii="Book Antiqua" w:eastAsia="AdvTimes" w:hAnsi="Book Antiqua" w:cs="AdvTimes"/>
          <w:sz w:val="24"/>
          <w:szCs w:val="24"/>
          <w:lang w:val="fr-FR" w:eastAsia="ja-JP"/>
        </w:rPr>
        <w:t xml:space="preserve"> Published by </w:t>
      </w:r>
      <w:proofErr w:type="spellStart"/>
      <w:r w:rsidRPr="003D034F">
        <w:rPr>
          <w:rFonts w:ascii="Book Antiqua" w:hAnsi="Book Antiqua" w:cs="Arial Unicode MS"/>
          <w:sz w:val="24"/>
          <w:szCs w:val="24"/>
          <w:lang w:val="en-GB" w:eastAsia="ja-JP"/>
        </w:rPr>
        <w:t>Baishideng</w:t>
      </w:r>
      <w:proofErr w:type="spellEnd"/>
      <w:r w:rsidRPr="003D034F">
        <w:rPr>
          <w:rFonts w:ascii="Book Antiqua" w:hAnsi="Book Antiqua" w:cs="Arial Unicode MS"/>
          <w:sz w:val="24"/>
          <w:szCs w:val="24"/>
          <w:lang w:val="en-GB" w:eastAsia="ja-JP"/>
        </w:rPr>
        <w:t xml:space="preserve"> Publishing Group Inc. </w:t>
      </w:r>
      <w:r w:rsidRPr="003D034F">
        <w:rPr>
          <w:rFonts w:ascii="Book Antiqua" w:hAnsi="Book Antiqua" w:cs="Arial Unicode MS"/>
          <w:sz w:val="24"/>
          <w:szCs w:val="24"/>
          <w:lang w:val="fr-FR" w:eastAsia="ja-JP"/>
        </w:rPr>
        <w:t>All rights reserved</w:t>
      </w:r>
      <w:r w:rsidRPr="003D034F">
        <w:rPr>
          <w:rFonts w:ascii="Book Antiqua" w:hAnsi="Book Antiqua" w:cs="Arial Unicode MS"/>
          <w:sz w:val="24"/>
          <w:szCs w:val="24"/>
          <w:lang w:val="fr-FR"/>
        </w:rPr>
        <w:t>.</w:t>
      </w:r>
      <w:bookmarkEnd w:id="29"/>
      <w:bookmarkEnd w:id="30"/>
      <w:bookmarkEnd w:id="31"/>
      <w:bookmarkEnd w:id="32"/>
      <w:bookmarkEnd w:id="33"/>
    </w:p>
    <w:bookmarkEnd w:id="34"/>
    <w:bookmarkEnd w:id="35"/>
    <w:p w:rsidR="006665FA" w:rsidRPr="003D034F" w:rsidRDefault="006665FA" w:rsidP="003D034F">
      <w:pPr>
        <w:spacing w:after="0" w:line="360" w:lineRule="auto"/>
        <w:jc w:val="both"/>
        <w:rPr>
          <w:rFonts w:ascii="Book Antiqua" w:hAnsi="Book Antiqua" w:cs="Calibri"/>
          <w:sz w:val="24"/>
          <w:szCs w:val="24"/>
          <w:lang w:val="en-US" w:eastAsia="zh-CN"/>
        </w:rPr>
      </w:pPr>
    </w:p>
    <w:p w:rsidR="002D134F" w:rsidRPr="003D034F" w:rsidRDefault="002D134F" w:rsidP="003D034F">
      <w:pPr>
        <w:shd w:val="clear" w:color="auto" w:fill="FFFFFF"/>
        <w:spacing w:after="0" w:line="360" w:lineRule="auto"/>
        <w:jc w:val="both"/>
        <w:rPr>
          <w:rFonts w:ascii="Book Antiqua" w:hAnsi="Book Antiqua"/>
          <w:sz w:val="24"/>
          <w:szCs w:val="24"/>
          <w:lang w:val="en-US" w:eastAsia="zh-CN"/>
        </w:rPr>
      </w:pPr>
      <w:r w:rsidRPr="003D034F">
        <w:rPr>
          <w:rFonts w:ascii="Book Antiqua" w:eastAsia="Arial Unicode MS" w:hAnsi="Book Antiqua" w:cs="Arial Unicode MS"/>
          <w:b/>
          <w:sz w:val="24"/>
          <w:szCs w:val="24"/>
          <w:lang w:val="en-US"/>
        </w:rPr>
        <w:t>Core tip</w:t>
      </w:r>
      <w:r w:rsidRPr="003D034F">
        <w:rPr>
          <w:rFonts w:ascii="Book Antiqua" w:eastAsia="Arial Unicode MS" w:hAnsi="Book Antiqua" w:cs="Arial Unicode MS"/>
          <w:b/>
          <w:sz w:val="24"/>
          <w:szCs w:val="24"/>
          <w:lang w:val="en-US" w:eastAsia="zh-CN"/>
        </w:rPr>
        <w:t>:</w:t>
      </w:r>
      <w:r w:rsidRPr="003D034F">
        <w:rPr>
          <w:rFonts w:ascii="Book Antiqua" w:eastAsia="Arial Unicode MS" w:hAnsi="Book Antiqua" w:cs="Arial Unicode MS"/>
          <w:b/>
          <w:sz w:val="24"/>
          <w:szCs w:val="24"/>
          <w:lang w:val="en-US"/>
        </w:rPr>
        <w:t xml:space="preserve"> </w:t>
      </w:r>
      <w:r w:rsidR="00C74DB5" w:rsidRPr="003D034F">
        <w:rPr>
          <w:rFonts w:ascii="Book Antiqua" w:eastAsia="Times New Roman" w:hAnsi="Book Antiqua"/>
          <w:sz w:val="24"/>
          <w:szCs w:val="24"/>
          <w:lang w:val="en-US" w:eastAsia="pt-BR"/>
        </w:rPr>
        <w:t>Crohn</w:t>
      </w:r>
      <w:r w:rsidR="00670A85" w:rsidRPr="003D034F">
        <w:rPr>
          <w:rFonts w:ascii="Book Antiqua" w:hAnsi="Book Antiqua"/>
          <w:sz w:val="24"/>
          <w:szCs w:val="24"/>
          <w:lang w:val="en-US" w:eastAsia="zh-CN"/>
        </w:rPr>
        <w:t>’</w:t>
      </w:r>
      <w:r w:rsidR="00C74DB5" w:rsidRPr="003D034F">
        <w:rPr>
          <w:rFonts w:ascii="Book Antiqua" w:eastAsia="Times New Roman" w:hAnsi="Book Antiqua"/>
          <w:sz w:val="24"/>
          <w:szCs w:val="24"/>
          <w:lang w:val="en-US" w:eastAsia="pt-BR"/>
        </w:rPr>
        <w:t xml:space="preserve">s disease is a chronic inflammatory disease, which involves any segment of the mouth to the anus, but the involvement of the upper tract is less known, especially in the adult population, in which routine upper endoscopy is not indicated, as in the pediatric population. It is important to know the aspects </w:t>
      </w:r>
      <w:r w:rsidR="00C74DB5" w:rsidRPr="003D034F">
        <w:rPr>
          <w:rFonts w:ascii="Book Antiqua" w:eastAsia="Times New Roman" w:hAnsi="Book Antiqua"/>
          <w:sz w:val="24"/>
          <w:szCs w:val="24"/>
          <w:lang w:val="en-US" w:eastAsia="pt-BR"/>
        </w:rPr>
        <w:lastRenderedPageBreak/>
        <w:t>related to Crohn</w:t>
      </w:r>
      <w:r w:rsidR="00670A85" w:rsidRPr="003D034F">
        <w:rPr>
          <w:rFonts w:ascii="Book Antiqua" w:hAnsi="Book Antiqua"/>
          <w:sz w:val="24"/>
          <w:szCs w:val="24"/>
          <w:lang w:val="en-US" w:eastAsia="zh-CN"/>
        </w:rPr>
        <w:t>’</w:t>
      </w:r>
      <w:r w:rsidR="00C74DB5" w:rsidRPr="003D034F">
        <w:rPr>
          <w:rFonts w:ascii="Book Antiqua" w:eastAsia="Times New Roman" w:hAnsi="Book Antiqua"/>
          <w:sz w:val="24"/>
          <w:szCs w:val="24"/>
          <w:lang w:val="en-US" w:eastAsia="pt-BR"/>
        </w:rPr>
        <w:t>s disease with involvement of the esophagus, stomach and duodenum, in order to facilitate its diagnosis and treatment.</w:t>
      </w:r>
    </w:p>
    <w:p w:rsidR="00320300" w:rsidRPr="003D034F" w:rsidRDefault="00320300" w:rsidP="003D034F">
      <w:pPr>
        <w:spacing w:after="0" w:line="360" w:lineRule="auto"/>
        <w:jc w:val="both"/>
        <w:rPr>
          <w:rFonts w:ascii="Book Antiqua" w:hAnsi="Book Antiqua" w:cs="Calibri"/>
          <w:b/>
          <w:sz w:val="24"/>
          <w:szCs w:val="24"/>
          <w:lang w:val="en-US" w:eastAsia="zh-CN"/>
        </w:rPr>
      </w:pPr>
    </w:p>
    <w:p w:rsidR="003D034F" w:rsidRPr="003D034F" w:rsidRDefault="003D034F" w:rsidP="003D034F">
      <w:pPr>
        <w:spacing w:after="0" w:line="360" w:lineRule="auto"/>
        <w:jc w:val="both"/>
        <w:rPr>
          <w:rFonts w:ascii="Book Antiqua" w:hAnsi="Book Antiqua"/>
          <w:sz w:val="24"/>
          <w:szCs w:val="24"/>
          <w:lang w:eastAsia="zh-CN"/>
        </w:rPr>
      </w:pPr>
      <w:r w:rsidRPr="003D034F">
        <w:rPr>
          <w:rFonts w:ascii="Book Antiqua" w:hAnsi="Book Antiqua" w:cs="Calibri"/>
          <w:b/>
          <w:sz w:val="24"/>
          <w:szCs w:val="24"/>
          <w:lang w:eastAsia="zh-CN"/>
        </w:rPr>
        <w:t>Citation</w:t>
      </w:r>
      <w:r w:rsidRPr="003D034F">
        <w:rPr>
          <w:rFonts w:ascii="Book Antiqua" w:hAnsi="Book Antiqua" w:cs="Calibri"/>
          <w:sz w:val="24"/>
          <w:szCs w:val="24"/>
          <w:lang w:eastAsia="zh-CN"/>
        </w:rPr>
        <w:t xml:space="preserve">: </w:t>
      </w:r>
      <w:r w:rsidRPr="003D034F">
        <w:rPr>
          <w:rFonts w:ascii="Book Antiqua" w:hAnsi="Book Antiqua" w:cs="Calibri"/>
          <w:sz w:val="24"/>
          <w:szCs w:val="24"/>
        </w:rPr>
        <w:t>Pimentel</w:t>
      </w:r>
      <w:r w:rsidRPr="003D034F">
        <w:rPr>
          <w:rFonts w:ascii="Book Antiqua" w:hAnsi="Book Antiqua" w:cs="Calibri"/>
          <w:sz w:val="24"/>
          <w:szCs w:val="24"/>
          <w:lang w:val="en-US"/>
        </w:rPr>
        <w:t xml:space="preserve"> </w:t>
      </w:r>
      <w:r w:rsidRPr="003D034F">
        <w:rPr>
          <w:rFonts w:ascii="Book Antiqua" w:hAnsi="Book Antiqua" w:cs="Calibri"/>
          <w:sz w:val="24"/>
          <w:szCs w:val="24"/>
          <w:lang w:val="en-US" w:eastAsia="zh-CN"/>
        </w:rPr>
        <w:t xml:space="preserve">AM, </w:t>
      </w:r>
      <w:r w:rsidRPr="003D034F">
        <w:rPr>
          <w:rFonts w:ascii="Book Antiqua" w:hAnsi="Book Antiqua"/>
          <w:sz w:val="24"/>
          <w:szCs w:val="24"/>
        </w:rPr>
        <w:t>Rocha R</w:t>
      </w:r>
      <w:r w:rsidRPr="003D034F">
        <w:rPr>
          <w:rFonts w:ascii="Book Antiqua" w:hAnsi="Book Antiqua" w:cs="Calibri"/>
          <w:sz w:val="24"/>
          <w:szCs w:val="24"/>
          <w:lang w:val="en-US" w:eastAsia="zh-CN"/>
        </w:rPr>
        <w:t xml:space="preserve">, </w:t>
      </w:r>
      <w:r w:rsidRPr="003D034F">
        <w:rPr>
          <w:rFonts w:ascii="Book Antiqua" w:hAnsi="Book Antiqua" w:cs="Calibri"/>
          <w:sz w:val="24"/>
          <w:szCs w:val="24"/>
        </w:rPr>
        <w:t>Santana</w:t>
      </w:r>
      <w:r w:rsidRPr="003D034F">
        <w:rPr>
          <w:rFonts w:ascii="Book Antiqua" w:hAnsi="Book Antiqua" w:cs="Calibri"/>
          <w:sz w:val="24"/>
          <w:szCs w:val="24"/>
          <w:lang w:val="en-US"/>
        </w:rPr>
        <w:t xml:space="preserve"> </w:t>
      </w:r>
      <w:r w:rsidRPr="003D034F">
        <w:rPr>
          <w:rFonts w:ascii="Book Antiqua" w:hAnsi="Book Antiqua" w:cs="Calibri"/>
          <w:sz w:val="24"/>
          <w:szCs w:val="24"/>
          <w:lang w:val="en-US" w:eastAsia="zh-CN"/>
        </w:rPr>
        <w:t xml:space="preserve">GO. </w:t>
      </w:r>
      <w:r w:rsidRPr="003D034F">
        <w:rPr>
          <w:rFonts w:ascii="Book Antiqua" w:hAnsi="Book Antiqua" w:cs="Calibri"/>
          <w:sz w:val="24"/>
          <w:szCs w:val="24"/>
          <w:lang w:val="en-US"/>
        </w:rPr>
        <w:t>Crohn</w:t>
      </w:r>
      <w:r w:rsidRPr="003D034F">
        <w:rPr>
          <w:rFonts w:ascii="Book Antiqua" w:hAnsi="Book Antiqua" w:cs="Calibri"/>
          <w:sz w:val="24"/>
          <w:szCs w:val="24"/>
          <w:lang w:val="en-US" w:eastAsia="zh-CN"/>
        </w:rPr>
        <w:t>’</w:t>
      </w:r>
      <w:r w:rsidRPr="003D034F">
        <w:rPr>
          <w:rFonts w:ascii="Book Antiqua" w:hAnsi="Book Antiqua" w:cs="Calibri"/>
          <w:sz w:val="24"/>
          <w:szCs w:val="24"/>
          <w:lang w:val="en-US"/>
        </w:rPr>
        <w:t>s disease of esophagus, stomach and duodenum</w:t>
      </w:r>
      <w:r w:rsidRPr="003D034F">
        <w:rPr>
          <w:rFonts w:ascii="Book Antiqua" w:hAnsi="Book Antiqua" w:cs="Calibri"/>
          <w:sz w:val="24"/>
          <w:szCs w:val="24"/>
          <w:lang w:val="en-US" w:eastAsia="zh-CN"/>
        </w:rPr>
        <w:t xml:space="preserve">. </w:t>
      </w:r>
      <w:r w:rsidRPr="003D034F">
        <w:rPr>
          <w:rFonts w:ascii="Book Antiqua" w:hAnsi="Book Antiqua"/>
          <w:i/>
          <w:iCs/>
          <w:sz w:val="24"/>
          <w:szCs w:val="24"/>
        </w:rPr>
        <w:t xml:space="preserve">World J Gastrointest Pharmacol Ther </w:t>
      </w:r>
      <w:r w:rsidRPr="003D034F">
        <w:rPr>
          <w:rFonts w:ascii="Book Antiqua" w:hAnsi="Book Antiqua"/>
          <w:sz w:val="24"/>
          <w:szCs w:val="24"/>
        </w:rPr>
        <w:t xml:space="preserve">2019; 10(2): </w:t>
      </w:r>
      <w:r w:rsidRPr="003D034F">
        <w:rPr>
          <w:rFonts w:ascii="Book Antiqua" w:hAnsi="Book Antiqua"/>
          <w:sz w:val="24"/>
          <w:szCs w:val="24"/>
          <w:lang w:eastAsia="zh-CN"/>
        </w:rPr>
        <w:t>35</w:t>
      </w:r>
      <w:r w:rsidRPr="003D034F">
        <w:rPr>
          <w:rFonts w:ascii="Book Antiqua" w:hAnsi="Book Antiqua"/>
          <w:sz w:val="24"/>
          <w:szCs w:val="24"/>
        </w:rPr>
        <w:t>-</w:t>
      </w:r>
      <w:r w:rsidRPr="003D034F">
        <w:rPr>
          <w:rFonts w:ascii="Book Antiqua" w:hAnsi="Book Antiqua"/>
          <w:sz w:val="24"/>
          <w:szCs w:val="24"/>
          <w:lang w:eastAsia="zh-CN"/>
        </w:rPr>
        <w:t>49</w:t>
      </w:r>
      <w:r w:rsidRPr="003D034F">
        <w:rPr>
          <w:rFonts w:ascii="Book Antiqua" w:hAnsi="Book Antiqua"/>
          <w:sz w:val="24"/>
          <w:szCs w:val="24"/>
        </w:rPr>
        <w:t xml:space="preserve">  </w:t>
      </w:r>
    </w:p>
    <w:p w:rsidR="003D034F" w:rsidRPr="003D034F" w:rsidRDefault="003D034F" w:rsidP="003D034F">
      <w:pPr>
        <w:spacing w:after="0" w:line="360" w:lineRule="auto"/>
        <w:jc w:val="both"/>
        <w:rPr>
          <w:rFonts w:ascii="Book Antiqua" w:hAnsi="Book Antiqua"/>
          <w:sz w:val="24"/>
          <w:szCs w:val="24"/>
          <w:lang w:eastAsia="zh-CN"/>
        </w:rPr>
      </w:pPr>
      <w:r w:rsidRPr="003D034F">
        <w:rPr>
          <w:rFonts w:ascii="Book Antiqua" w:hAnsi="Book Antiqua"/>
          <w:b/>
          <w:sz w:val="24"/>
          <w:szCs w:val="24"/>
        </w:rPr>
        <w:t>URL</w:t>
      </w:r>
      <w:r w:rsidRPr="003D034F">
        <w:rPr>
          <w:rFonts w:ascii="Book Antiqua" w:hAnsi="Book Antiqua"/>
          <w:sz w:val="24"/>
          <w:szCs w:val="24"/>
        </w:rPr>
        <w:t>: https://www.wjgnet.com/2150-5349/full/v10/i2/</w:t>
      </w:r>
      <w:r w:rsidRPr="003D034F">
        <w:rPr>
          <w:rFonts w:ascii="Book Antiqua" w:hAnsi="Book Antiqua"/>
          <w:sz w:val="24"/>
          <w:szCs w:val="24"/>
          <w:lang w:eastAsia="zh-CN"/>
        </w:rPr>
        <w:t>35</w:t>
      </w:r>
      <w:r w:rsidRPr="003D034F">
        <w:rPr>
          <w:rFonts w:ascii="Book Antiqua" w:hAnsi="Book Antiqua"/>
          <w:sz w:val="24"/>
          <w:szCs w:val="24"/>
        </w:rPr>
        <w:t xml:space="preserve">.htm  </w:t>
      </w:r>
    </w:p>
    <w:p w:rsidR="003D034F" w:rsidRPr="003D034F" w:rsidRDefault="003D034F" w:rsidP="003D034F">
      <w:pPr>
        <w:spacing w:after="0" w:line="360" w:lineRule="auto"/>
        <w:jc w:val="both"/>
        <w:rPr>
          <w:rFonts w:ascii="Book Antiqua" w:hAnsi="Book Antiqua" w:cs="Calibri"/>
          <w:sz w:val="24"/>
          <w:szCs w:val="24"/>
          <w:lang w:val="en-US" w:eastAsia="zh-CN"/>
        </w:rPr>
      </w:pPr>
      <w:r w:rsidRPr="003D034F">
        <w:rPr>
          <w:rFonts w:ascii="Book Antiqua" w:hAnsi="Book Antiqua"/>
          <w:b/>
          <w:sz w:val="24"/>
          <w:szCs w:val="24"/>
        </w:rPr>
        <w:t>DOI</w:t>
      </w:r>
      <w:r w:rsidRPr="003D034F">
        <w:rPr>
          <w:rFonts w:ascii="Book Antiqua" w:hAnsi="Book Antiqua"/>
          <w:sz w:val="24"/>
          <w:szCs w:val="24"/>
        </w:rPr>
        <w:t>: https://dx.doi.org/10.4292/wjgpt.v10.i2.</w:t>
      </w:r>
      <w:r w:rsidRPr="003D034F">
        <w:rPr>
          <w:rFonts w:ascii="Book Antiqua" w:hAnsi="Book Antiqua"/>
          <w:sz w:val="24"/>
          <w:szCs w:val="24"/>
          <w:lang w:eastAsia="zh-CN"/>
        </w:rPr>
        <w:t>35</w:t>
      </w:r>
    </w:p>
    <w:p w:rsidR="00192E00" w:rsidRPr="003D034F" w:rsidRDefault="002D134F" w:rsidP="003D034F">
      <w:pPr>
        <w:spacing w:after="0" w:line="360" w:lineRule="auto"/>
        <w:jc w:val="both"/>
        <w:rPr>
          <w:rFonts w:ascii="Book Antiqua" w:hAnsi="Book Antiqua" w:cs="Calibri"/>
          <w:b/>
          <w:sz w:val="24"/>
          <w:szCs w:val="24"/>
          <w:lang w:val="en-US" w:eastAsia="zh-CN"/>
        </w:rPr>
      </w:pPr>
      <w:r w:rsidRPr="003D034F">
        <w:rPr>
          <w:rFonts w:ascii="Book Antiqua" w:hAnsi="Book Antiqua" w:cs="Calibri"/>
          <w:sz w:val="24"/>
          <w:szCs w:val="24"/>
          <w:lang w:val="en-US" w:eastAsia="zh-CN"/>
        </w:rPr>
        <w:br w:type="page"/>
      </w:r>
      <w:r w:rsidR="00B97F6C" w:rsidRPr="003D034F">
        <w:rPr>
          <w:rFonts w:ascii="Book Antiqua" w:hAnsi="Book Antiqua" w:cs="Calibri"/>
          <w:b/>
          <w:sz w:val="24"/>
          <w:szCs w:val="24"/>
          <w:lang w:val="en-US"/>
        </w:rPr>
        <w:lastRenderedPageBreak/>
        <w:t>INTRODU</w:t>
      </w:r>
      <w:r w:rsidR="00453E00" w:rsidRPr="003D034F">
        <w:rPr>
          <w:rFonts w:ascii="Book Antiqua" w:hAnsi="Book Antiqua" w:cs="Calibri"/>
          <w:b/>
          <w:sz w:val="24"/>
          <w:szCs w:val="24"/>
          <w:lang w:val="en-US"/>
        </w:rPr>
        <w:t>CTION</w:t>
      </w:r>
    </w:p>
    <w:p w:rsidR="00E91BD5" w:rsidRPr="003D034F" w:rsidRDefault="00453E00" w:rsidP="003D034F">
      <w:pPr>
        <w:spacing w:after="0" w:line="360" w:lineRule="auto"/>
        <w:jc w:val="both"/>
        <w:rPr>
          <w:rFonts w:ascii="Book Antiqua" w:hAnsi="Book Antiqua" w:cs="Calibri"/>
          <w:sz w:val="24"/>
          <w:szCs w:val="24"/>
          <w:lang w:val="en-US"/>
        </w:rPr>
      </w:pPr>
      <w:r w:rsidRPr="003D034F">
        <w:rPr>
          <w:rFonts w:ascii="Book Antiqua" w:hAnsi="Book Antiqua" w:cs="Calibri"/>
          <w:sz w:val="24"/>
          <w:szCs w:val="24"/>
          <w:lang w:val="en-US"/>
        </w:rPr>
        <w:t>Crohn</w:t>
      </w:r>
      <w:r w:rsidR="00B12037" w:rsidRPr="003D034F">
        <w:rPr>
          <w:rFonts w:ascii="Book Antiqua" w:hAnsi="Book Antiqua" w:cs="Calibri"/>
          <w:sz w:val="24"/>
          <w:szCs w:val="24"/>
          <w:lang w:val="en-US" w:eastAsia="zh-CN"/>
        </w:rPr>
        <w:t>’</w:t>
      </w:r>
      <w:r w:rsidRPr="003D034F">
        <w:rPr>
          <w:rFonts w:ascii="Book Antiqua" w:hAnsi="Book Antiqua" w:cs="Calibri"/>
          <w:sz w:val="24"/>
          <w:szCs w:val="24"/>
          <w:lang w:val="en-US"/>
        </w:rPr>
        <w:t>s disease</w:t>
      </w:r>
      <w:r w:rsidR="00456F89" w:rsidRPr="003D034F">
        <w:rPr>
          <w:rFonts w:ascii="Book Antiqua" w:hAnsi="Book Antiqua" w:cs="Calibri"/>
          <w:sz w:val="24"/>
          <w:szCs w:val="24"/>
          <w:lang w:val="en-US"/>
        </w:rPr>
        <w:t xml:space="preserve"> (CD)</w:t>
      </w:r>
      <w:r w:rsidRPr="003D034F">
        <w:rPr>
          <w:rFonts w:ascii="Book Antiqua" w:hAnsi="Book Antiqua" w:cs="Calibri"/>
          <w:sz w:val="24"/>
          <w:szCs w:val="24"/>
          <w:lang w:val="en-US"/>
        </w:rPr>
        <w:t xml:space="preserve"> is a heterogeneous disorder with a multifactorial etiology</w:t>
      </w:r>
      <w:r w:rsidR="00062E57" w:rsidRPr="003D034F">
        <w:rPr>
          <w:rFonts w:ascii="Book Antiqua" w:hAnsi="Book Antiqua" w:cs="Calibri"/>
          <w:sz w:val="24"/>
          <w:szCs w:val="24"/>
          <w:lang w:val="en-US"/>
        </w:rPr>
        <w:t>,</w:t>
      </w:r>
      <w:r w:rsidRPr="003D034F">
        <w:rPr>
          <w:rFonts w:ascii="Book Antiqua" w:hAnsi="Book Antiqua" w:cs="Calibri"/>
          <w:sz w:val="24"/>
          <w:szCs w:val="24"/>
          <w:lang w:val="en-US"/>
        </w:rPr>
        <w:t xml:space="preserve"> including genetic</w:t>
      </w:r>
      <w:r w:rsidR="00003DD7" w:rsidRPr="003D034F">
        <w:rPr>
          <w:rFonts w:ascii="Book Antiqua" w:hAnsi="Book Antiqua" w:cs="Calibri"/>
          <w:sz w:val="24"/>
          <w:szCs w:val="24"/>
          <w:lang w:val="en-US"/>
        </w:rPr>
        <w:t xml:space="preserve"> factors</w:t>
      </w:r>
      <w:r w:rsidRPr="003D034F">
        <w:rPr>
          <w:rFonts w:ascii="Book Antiqua" w:hAnsi="Book Antiqua" w:cs="Calibri"/>
          <w:sz w:val="24"/>
          <w:szCs w:val="24"/>
          <w:lang w:val="en-US"/>
        </w:rPr>
        <w:t xml:space="preserve">, environmental </w:t>
      </w:r>
      <w:r w:rsidR="00003DD7" w:rsidRPr="003D034F">
        <w:rPr>
          <w:rFonts w:ascii="Book Antiqua" w:hAnsi="Book Antiqua" w:cs="Calibri"/>
          <w:sz w:val="24"/>
          <w:szCs w:val="24"/>
          <w:lang w:val="en-US"/>
        </w:rPr>
        <w:t xml:space="preserve">insults </w:t>
      </w:r>
      <w:r w:rsidRPr="003D034F">
        <w:rPr>
          <w:rFonts w:ascii="Book Antiqua" w:hAnsi="Book Antiqua" w:cs="Calibri"/>
          <w:sz w:val="24"/>
          <w:szCs w:val="24"/>
          <w:lang w:val="en-US"/>
        </w:rPr>
        <w:t>and intestinal microbiota</w:t>
      </w:r>
      <w:r w:rsidR="00062E57" w:rsidRPr="003D034F">
        <w:rPr>
          <w:rFonts w:ascii="Book Antiqua" w:hAnsi="Book Antiqua" w:cs="Calibri"/>
          <w:sz w:val="24"/>
          <w:szCs w:val="24"/>
          <w:lang w:val="en-US"/>
        </w:rPr>
        <w:t>,</w:t>
      </w:r>
      <w:r w:rsidRPr="003D034F">
        <w:rPr>
          <w:rFonts w:ascii="Book Antiqua" w:hAnsi="Book Antiqua" w:cs="Calibri"/>
          <w:sz w:val="24"/>
          <w:szCs w:val="24"/>
          <w:lang w:val="en-US"/>
        </w:rPr>
        <w:t xml:space="preserve"> characterized by chronic, segmental and transmural inflammation that affects the gastrointestinal tract and may involve any segment of the oral cavity up to the anus</w:t>
      </w:r>
      <w:r w:rsidR="00056AC0" w:rsidRPr="003D034F">
        <w:rPr>
          <w:rFonts w:ascii="Book Antiqua" w:hAnsi="Book Antiqua" w:cs="Calibri"/>
          <w:sz w:val="24"/>
          <w:szCs w:val="24"/>
        </w:rPr>
        <w:fldChar w:fldCharType="begin" w:fldLock="1"/>
      </w:r>
      <w:r w:rsidR="00BA0167" w:rsidRPr="003D034F">
        <w:rPr>
          <w:rFonts w:ascii="Book Antiqua" w:hAnsi="Book Antiqua" w:cs="Calibri"/>
          <w:sz w:val="24"/>
          <w:szCs w:val="24"/>
          <w:lang w:val="en-US"/>
        </w:rPr>
        <w:instrText>ADDIN CSL_CITATION { "citationItems" : [ { "id" : "ITEM-1", "itemData" : { "DOI" : "10.1016/j.disamonth.2017.07.001", "ISBN" : "1557-8194", "ISSN" : "15578194", "PMID" : "28826742", "abstract" : "The term inflammatory bowel disease (IBD) refers principally to two major categories of chronic relapsing inflammatory intestinal disorders: Crohn's disease (CD) and ulcerative colitis (UC). In the United States, it is currently estimated that about 1.5 million people suffer from IBD, causing considerable suffering, mortality and economic loss every year. Yet the cause of IBD is unknown, and until we understand more, prevention or cure will not be possible. There is a lot of variation in the incidence and prevalence of CD based on geographic region, environment, immigrant population, and ethnic groups. The annual incidence of CD in North America is reported to be 3.1\u201320.2 per 100,000 with a prevalence of 201 per 100,000 population. Based on the epidemiological, genetic and immunological data, CD is considered to be a heterogeneous disorder with multifactorial etiology in which genetics and environment interact to manifest the disease. Several genes have been studied so for with respect to CD, but thus far the strong and replicated associations have been identified with NOD2, IL23R and ATG16L1 genes. The risk factors implicated with CD include smoking, low fiber- high carbohydrate diet, altered microbiome and medications such as non-steroidal anti-inflammatory drugs. CD is typically characterized by transmural inflammation of the intestine and could affect any part of the gastrointestinal tract from mouth to perianal area. In terms of distribution of the disease 25% of the patients have colitis only, 25% is ileitis only and 50% have ileocolitis. The Montreal classification is based on the age at diagnosis (&lt;16, 17\u201340, &gt; 40), disease location (Ileal, colonic, Ileocolonic) and the disease behavior (nonstricturing/nonpenetrating, stricturing, penetrating). The key features for diagnosing CD comprises a combination of radiographic, endoscopic and pathological findings demonstrating focal, asymmetric, transmural or granulomatous features. Abdominal Computed tomography (CT) enterography is the most preferred first-line radiologic study used in the assessment of small bowel CD. The diagnostic accuracy of magnetic resonance enterography/enteroclysis is similar to that of CT scans and also prevents exposure to ionizing radiation. Endoscopic scores are considered to be the gold standard tool to measure the activity of CD and they are used more commonly in the clinical trials to measure the efficacy of various drugs on inducing and maintaining mucosal healing. The \u2026", "author" : [ { "dropping-particle" : "", "family" : "Gajendran", "given" : "Mahesh", "non-dropping-particle" : "", "parse-names" : false, "suffix" : "" }, { "dropping-particle" : "", "family" : "Loganathan", "given" : "Priyadarshini", "non-dropping-particle" : "", "parse-names" : false, "suffix" : "" }, { "dropping-particle" : "", "family" : "Catinella", "given" : "Anthony P.", "non-dropping-particle" : "", "parse-names" : false, "suffix" : "" }, { "dropping-particle" : "", "family" : "Hashash", "given" : "Jana G.", "non-dropping-particle" : "", "parse-names" : false, "suffix" : "" } ], "container-title" : "Disease-a-Month", "id" : "ITEM-1", "issue" : "2", "issued" : { "date-parts" : [ [ "2018" ] ] }, "page" : "20-57", "publisher" : "Elsevier", "title" : "A comprehensive review and update on Crohn's disease", "type" : "article-journal", "volume" : "64" }, "uris" : [ "http://www.mendeley.com/documents/?uuid=0084df90-908c-42d3-985b-f3b89c8aec1a" ] } ], "mendeley" : { "formattedCitation" : "&lt;sup&gt;[1]&lt;/sup&gt;", "plainTextFormattedCitation" : "[1]", "previouslyFormattedCitation" : "&lt;sup&gt;[1]&lt;/sup&gt;"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BA0167" w:rsidRPr="003D034F">
        <w:rPr>
          <w:rFonts w:ascii="Book Antiqua" w:hAnsi="Book Antiqua" w:cs="Calibri"/>
          <w:noProof/>
          <w:sz w:val="24"/>
          <w:szCs w:val="24"/>
          <w:vertAlign w:val="superscript"/>
          <w:lang w:val="en-US"/>
        </w:rPr>
        <w:t>[1</w:t>
      </w:r>
      <w:r w:rsidR="00CA5176" w:rsidRPr="003D034F">
        <w:rPr>
          <w:rFonts w:ascii="Book Antiqua" w:hAnsi="Book Antiqua" w:cs="Calibri"/>
          <w:noProof/>
          <w:sz w:val="24"/>
          <w:szCs w:val="24"/>
          <w:vertAlign w:val="superscript"/>
          <w:lang w:val="en-US" w:eastAsia="zh-CN"/>
        </w:rPr>
        <w:t>,2</w:t>
      </w:r>
      <w:r w:rsidR="00BA0167" w:rsidRPr="003D034F">
        <w:rPr>
          <w:rFonts w:ascii="Book Antiqua" w:hAnsi="Book Antiqua" w:cs="Calibri"/>
          <w:noProof/>
          <w:sz w:val="24"/>
          <w:szCs w:val="24"/>
          <w:vertAlign w:val="superscript"/>
          <w:lang w:val="en-US"/>
        </w:rPr>
        <w:t>]</w:t>
      </w:r>
      <w:r w:rsidR="00056AC0" w:rsidRPr="003D034F">
        <w:rPr>
          <w:rFonts w:ascii="Book Antiqua" w:hAnsi="Book Antiqua" w:cs="Calibri"/>
          <w:sz w:val="24"/>
          <w:szCs w:val="24"/>
        </w:rPr>
        <w:fldChar w:fldCharType="end"/>
      </w:r>
      <w:r w:rsidR="005B43A8" w:rsidRPr="003D034F">
        <w:rPr>
          <w:rFonts w:ascii="Book Antiqua" w:hAnsi="Book Antiqua" w:cs="Calibri"/>
          <w:sz w:val="24"/>
          <w:szCs w:val="24"/>
          <w:lang w:val="en-US"/>
        </w:rPr>
        <w:t>.</w:t>
      </w:r>
      <w:r w:rsidR="00712562" w:rsidRPr="003D034F">
        <w:rPr>
          <w:rFonts w:ascii="Book Antiqua" w:hAnsi="Book Antiqua" w:cs="Calibri"/>
          <w:sz w:val="24"/>
          <w:szCs w:val="24"/>
          <w:lang w:val="en-US"/>
        </w:rPr>
        <w:t xml:space="preserve"> </w:t>
      </w:r>
      <w:r w:rsidR="00E729D4" w:rsidRPr="003D034F">
        <w:rPr>
          <w:rFonts w:ascii="Book Antiqua" w:hAnsi="Book Antiqua" w:cs="Calibri"/>
          <w:sz w:val="24"/>
          <w:szCs w:val="24"/>
          <w:lang w:val="en-US"/>
        </w:rPr>
        <w:t xml:space="preserve">This disease was first described in 1932 by Crohn, Ginzburg and Oppenheimer, initially as a disease involving only the terminal ileum, but two years after its initial publication, Crohn </w:t>
      </w:r>
      <w:r w:rsidR="00CA5176" w:rsidRPr="003D034F">
        <w:rPr>
          <w:rFonts w:ascii="Book Antiqua" w:hAnsi="Book Antiqua" w:cs="Calibri"/>
          <w:i/>
          <w:sz w:val="24"/>
          <w:szCs w:val="24"/>
          <w:lang w:val="en-US" w:eastAsia="zh-CN"/>
        </w:rPr>
        <w:t>et al</w:t>
      </w:r>
      <w:r w:rsidR="00CA5176" w:rsidRPr="003D034F">
        <w:rPr>
          <w:rFonts w:ascii="Book Antiqua" w:hAnsi="Book Antiqua" w:cs="Calibri"/>
          <w:sz w:val="24"/>
          <w:szCs w:val="24"/>
        </w:rPr>
        <w:fldChar w:fldCharType="begin" w:fldLock="1"/>
      </w:r>
      <w:r w:rsidR="00CA5176" w:rsidRPr="003D034F">
        <w:rPr>
          <w:rFonts w:ascii="Book Antiqua" w:hAnsi="Book Antiqua" w:cs="Calibri"/>
          <w:sz w:val="24"/>
          <w:szCs w:val="24"/>
          <w:lang w:val="en-US"/>
        </w:rPr>
        <w:instrText>ADDIN CSL_CITATION { "citationItems" : [ { "id" : "ITEM-1", "itemData" : { "PMID" : "12996536", "author" : [ { "dropping-particle" : "", "family" : "Crohn", "given" : "Burril B", "non-dropping-particle" : "", "parse-names" : false, "suffix" : "" }, { "dropping-particle" : "", "family" : "Ginzburg", "given" : "Leon", "non-dropping-particle" : "", "parse-names" : false, "suffix" : "" }, { "dropping-particle" : "", "family" : "Oppenheimer", "given" : "Gordon D.", "non-dropping-particle" : "", "parse-names" : false, "suffix" : "" } ], "container-title" : "American Journal of Medicine", "id" : "ITEM-1", "issue" : "5", "issued" : { "date-parts" : [ [ "1952" ] ] }, "page" : "583-90", "title" : "Regional Ileitis A Pathologic and Clinical Entity", "type" : "article-journal", "volume" : "13" }, "uris" : [ "http://www.mendeley.com/documents/?uuid=38d8a62e-f6a9-456c-b610-855fc96ada3a" ] } ], "mendeley" : { "formattedCitation" : "&lt;sup&gt;[3]&lt;/sup&gt;", "plainTextFormattedCitation" : "[3]", "previouslyFormattedCitation" : "&lt;sup&gt;[3]&lt;/sup&gt;" }, "properties" : {  }, "schema" : "https://github.com/citation-style-language/schema/raw/master/csl-citation.json" }</w:instrText>
      </w:r>
      <w:r w:rsidR="00CA5176" w:rsidRPr="003D034F">
        <w:rPr>
          <w:rFonts w:ascii="Book Antiqua" w:hAnsi="Book Antiqua" w:cs="Calibri"/>
          <w:sz w:val="24"/>
          <w:szCs w:val="24"/>
        </w:rPr>
        <w:fldChar w:fldCharType="separate"/>
      </w:r>
      <w:r w:rsidR="00CA5176" w:rsidRPr="003D034F">
        <w:rPr>
          <w:rFonts w:ascii="Book Antiqua" w:hAnsi="Book Antiqua" w:cs="Calibri"/>
          <w:noProof/>
          <w:sz w:val="24"/>
          <w:szCs w:val="24"/>
          <w:vertAlign w:val="superscript"/>
          <w:lang w:val="en-US"/>
        </w:rPr>
        <w:t>[3]</w:t>
      </w:r>
      <w:r w:rsidR="00CA5176" w:rsidRPr="003D034F">
        <w:rPr>
          <w:rFonts w:ascii="Book Antiqua" w:hAnsi="Book Antiqua" w:cs="Calibri"/>
          <w:sz w:val="24"/>
          <w:szCs w:val="24"/>
        </w:rPr>
        <w:fldChar w:fldCharType="end"/>
      </w:r>
      <w:r w:rsidR="00CA5176" w:rsidRPr="003D034F">
        <w:rPr>
          <w:rFonts w:ascii="Book Antiqua" w:hAnsi="Book Antiqua" w:cs="Calibri"/>
          <w:sz w:val="24"/>
          <w:szCs w:val="24"/>
          <w:lang w:val="en-US" w:eastAsia="zh-CN"/>
        </w:rPr>
        <w:t xml:space="preserve"> and </w:t>
      </w:r>
      <w:r w:rsidR="00CA5176" w:rsidRPr="003D034F">
        <w:rPr>
          <w:rFonts w:ascii="Book Antiqua" w:hAnsi="Book Antiqua"/>
          <w:sz w:val="24"/>
          <w:szCs w:val="24"/>
          <w:lang w:val="en-US"/>
        </w:rPr>
        <w:t>Davis</w:t>
      </w:r>
      <w:r w:rsidR="00CA5176" w:rsidRPr="003D034F">
        <w:rPr>
          <w:rFonts w:ascii="Book Antiqua" w:hAnsi="Book Antiqua" w:cs="Calibri"/>
          <w:sz w:val="24"/>
          <w:szCs w:val="24"/>
          <w:lang w:val="en-US"/>
        </w:rPr>
        <w:t xml:space="preserve"> </w:t>
      </w:r>
      <w:r w:rsidR="00CA5176" w:rsidRPr="003D034F">
        <w:rPr>
          <w:rFonts w:ascii="Book Antiqua" w:hAnsi="Book Antiqua" w:cs="Calibri"/>
          <w:i/>
          <w:sz w:val="24"/>
          <w:szCs w:val="24"/>
          <w:lang w:val="en-US" w:eastAsia="zh-CN"/>
        </w:rPr>
        <w:t>et al</w:t>
      </w:r>
      <w:r w:rsidR="00CA5176" w:rsidRPr="003D034F">
        <w:rPr>
          <w:rFonts w:ascii="Book Antiqua" w:hAnsi="Book Antiqua" w:cs="Calibri"/>
          <w:sz w:val="24"/>
          <w:szCs w:val="24"/>
        </w:rPr>
        <w:fldChar w:fldCharType="begin" w:fldLock="1"/>
      </w:r>
      <w:r w:rsidR="00CA5176" w:rsidRPr="003D034F">
        <w:rPr>
          <w:rFonts w:ascii="Book Antiqua" w:hAnsi="Book Antiqua" w:cs="Calibri"/>
          <w:sz w:val="24"/>
          <w:szCs w:val="24"/>
          <w:lang w:val="en-US"/>
        </w:rPr>
        <w:instrText>ADDIN CSL_CITATION { "citationItems" : [ { "id" : "ITEM-1", "itemData" : { "PMID" : "12996536", "author" : [ { "dropping-particle" : "", "family" : "Crohn", "given" : "Burril B", "non-dropping-particle" : "", "parse-names" : false, "suffix" : "" }, { "dropping-particle" : "", "family" : "Ginzburg", "given" : "Leon", "non-dropping-particle" : "", "parse-names" : false, "suffix" : "" }, { "dropping-particle" : "", "family" : "Oppenheimer", "given" : "Gordon D.", "non-dropping-particle" : "", "parse-names" : false, "suffix" : "" } ], "container-title" : "American Journal of Medicine", "id" : "ITEM-1", "issue" : "5", "issued" : { "date-parts" : [ [ "1952" ] ] }, "page" : "583-90", "title" : "Regional Ileitis A Pathologic and Clinical Entity", "type" : "article-journal", "volume" : "13" }, "uris" : [ "http://www.mendeley.com/documents/?uuid=38d8a62e-f6a9-456c-b610-855fc96ada3a" ] } ], "mendeley" : { "formattedCitation" : "&lt;sup&gt;[3]&lt;/sup&gt;", "plainTextFormattedCitation" : "[3]", "previouslyFormattedCitation" : "&lt;sup&gt;[3]&lt;/sup&gt;" }, "properties" : {  }, "schema" : "https://github.com/citation-style-language/schema/raw/master/csl-citation.json" }</w:instrText>
      </w:r>
      <w:r w:rsidR="00CA5176" w:rsidRPr="003D034F">
        <w:rPr>
          <w:rFonts w:ascii="Book Antiqua" w:hAnsi="Book Antiqua" w:cs="Calibri"/>
          <w:sz w:val="24"/>
          <w:szCs w:val="24"/>
        </w:rPr>
        <w:fldChar w:fldCharType="separate"/>
      </w:r>
      <w:r w:rsidR="00CA5176" w:rsidRPr="003D034F">
        <w:rPr>
          <w:rFonts w:ascii="Book Antiqua" w:hAnsi="Book Antiqua" w:cs="Calibri"/>
          <w:noProof/>
          <w:sz w:val="24"/>
          <w:szCs w:val="24"/>
          <w:vertAlign w:val="superscript"/>
          <w:lang w:val="en-US"/>
        </w:rPr>
        <w:t>[</w:t>
      </w:r>
      <w:r w:rsidR="00CA5176" w:rsidRPr="003D034F">
        <w:rPr>
          <w:rFonts w:ascii="Book Antiqua" w:hAnsi="Book Antiqua" w:cs="Calibri"/>
          <w:noProof/>
          <w:sz w:val="24"/>
          <w:szCs w:val="24"/>
          <w:vertAlign w:val="superscript"/>
          <w:lang w:val="en-US" w:eastAsia="zh-CN"/>
        </w:rPr>
        <w:t>4</w:t>
      </w:r>
      <w:r w:rsidR="00CA5176" w:rsidRPr="003D034F">
        <w:rPr>
          <w:rFonts w:ascii="Book Antiqua" w:hAnsi="Book Antiqua" w:cs="Calibri"/>
          <w:noProof/>
          <w:sz w:val="24"/>
          <w:szCs w:val="24"/>
          <w:vertAlign w:val="superscript"/>
          <w:lang w:val="en-US"/>
        </w:rPr>
        <w:t>]</w:t>
      </w:r>
      <w:r w:rsidR="00CA5176" w:rsidRPr="003D034F">
        <w:rPr>
          <w:rFonts w:ascii="Book Antiqua" w:hAnsi="Book Antiqua" w:cs="Calibri"/>
          <w:sz w:val="24"/>
          <w:szCs w:val="24"/>
        </w:rPr>
        <w:fldChar w:fldCharType="end"/>
      </w:r>
      <w:r w:rsidR="00CA5176" w:rsidRPr="003D034F">
        <w:rPr>
          <w:rFonts w:ascii="Book Antiqua" w:hAnsi="Book Antiqua" w:cs="Calibri"/>
          <w:sz w:val="24"/>
          <w:szCs w:val="24"/>
          <w:lang w:eastAsia="zh-CN"/>
        </w:rPr>
        <w:t xml:space="preserve"> </w:t>
      </w:r>
      <w:r w:rsidR="00E729D4" w:rsidRPr="003D034F">
        <w:rPr>
          <w:rFonts w:ascii="Book Antiqua" w:hAnsi="Book Antiqua" w:cs="Calibri"/>
          <w:sz w:val="24"/>
          <w:szCs w:val="24"/>
          <w:lang w:val="en-US"/>
        </w:rPr>
        <w:t>described that other segments of the gastrointestinal tract could also be affected</w:t>
      </w:r>
      <w:r w:rsidR="008F46A1" w:rsidRPr="003D034F">
        <w:rPr>
          <w:rFonts w:ascii="Book Antiqua" w:hAnsi="Book Antiqua" w:cs="Calibri"/>
          <w:sz w:val="24"/>
          <w:szCs w:val="24"/>
          <w:lang w:val="en-US"/>
        </w:rPr>
        <w:t>.</w:t>
      </w:r>
      <w:r w:rsidR="00754230" w:rsidRPr="003D034F">
        <w:rPr>
          <w:rFonts w:ascii="Book Antiqua" w:hAnsi="Book Antiqua" w:cs="Calibri"/>
          <w:sz w:val="24"/>
          <w:szCs w:val="24"/>
          <w:lang w:val="en-US"/>
        </w:rPr>
        <w:t xml:space="preserve"> </w:t>
      </w:r>
      <w:r w:rsidR="00E729D4" w:rsidRPr="003D034F">
        <w:rPr>
          <w:rFonts w:ascii="Book Antiqua" w:hAnsi="Book Antiqua" w:cs="Calibri"/>
          <w:sz w:val="24"/>
          <w:szCs w:val="24"/>
          <w:lang w:val="en-US"/>
        </w:rPr>
        <w:t>Changes in the upper gastrointestinal tract</w:t>
      </w:r>
      <w:r w:rsidR="00B9550A" w:rsidRPr="003D034F">
        <w:rPr>
          <w:rFonts w:ascii="Book Antiqua" w:hAnsi="Book Antiqua" w:cs="Calibri"/>
          <w:sz w:val="24"/>
          <w:szCs w:val="24"/>
          <w:lang w:val="en-US"/>
        </w:rPr>
        <w:t xml:space="preserve"> (UGT)</w:t>
      </w:r>
      <w:r w:rsidR="00E729D4" w:rsidRPr="003D034F">
        <w:rPr>
          <w:rFonts w:ascii="Book Antiqua" w:hAnsi="Book Antiqua" w:cs="Calibri"/>
          <w:sz w:val="24"/>
          <w:szCs w:val="24"/>
          <w:lang w:val="en-US"/>
        </w:rPr>
        <w:t xml:space="preserve"> were described by Gottlieb and Alpert in 1937, and since then, recognition of gastroduodenal </w:t>
      </w:r>
      <w:r w:rsidR="00456F89" w:rsidRPr="003D034F">
        <w:rPr>
          <w:rFonts w:ascii="Book Antiqua" w:hAnsi="Book Antiqua" w:cs="Calibri"/>
          <w:sz w:val="24"/>
          <w:szCs w:val="24"/>
          <w:lang w:val="en-US"/>
        </w:rPr>
        <w:t xml:space="preserve">CD </w:t>
      </w:r>
      <w:r w:rsidR="00E729D4" w:rsidRPr="003D034F">
        <w:rPr>
          <w:rFonts w:ascii="Book Antiqua" w:hAnsi="Book Antiqua" w:cs="Calibri"/>
          <w:sz w:val="24"/>
          <w:szCs w:val="24"/>
          <w:lang w:val="en-US"/>
        </w:rPr>
        <w:t>has been increasing</w:t>
      </w:r>
      <w:r w:rsidR="00056AC0" w:rsidRPr="003D034F">
        <w:rPr>
          <w:rFonts w:ascii="Book Antiqua" w:hAnsi="Book Antiqua" w:cs="Calibri"/>
          <w:sz w:val="24"/>
          <w:szCs w:val="24"/>
        </w:rPr>
        <w:fldChar w:fldCharType="begin" w:fldLock="1"/>
      </w:r>
      <w:r w:rsidR="00FA1D23" w:rsidRPr="003D034F">
        <w:rPr>
          <w:rFonts w:ascii="Book Antiqua" w:hAnsi="Book Antiqua" w:cs="Calibri"/>
          <w:sz w:val="24"/>
          <w:szCs w:val="24"/>
          <w:lang w:val="en-US"/>
        </w:rPr>
        <w:instrText>ADDIN CSL_CITATION { "citationItems" : [ { "id" : "ITEM-1", "itemData" : { "DOI" : "10.1111/jgh.13866", "PMID" : "28708248", "author" : [ { "dropping-particle" : "", "family" : "Laube", "given" : "Robyn", "non-dropping-particle" : "", "parse-names" : false, "suffix" : "" }, { "dropping-particle" : "", "family" : "Liu", "given" : "Ken", "non-dropping-particle" : "", "parse-names" : false, "suffix" : "" }, { "dropping-particle" : "", "family" : "Schifter", "given" : "Mark", "non-dropping-particle" : "", "parse-names" : false, "suffix" : "" }, { "dropping-particle" : "", "family" : "Yang", "given" : "Jessica L", "non-dropping-particle" : "", "parse-names" : false, "suffix" : "" }, { "dropping-particle" : "", "family" : "Suen", "given" : "Michael K", "non-dropping-particle" : "", "parse-names" : false, "suffix" : "" }, { "dropping-particle" : "", "family" : "Leong", "given" : "Rupert W", "non-dropping-particle" : "", "parse-names" : false, "suffix" : "" } ], "container-title" : "Journal of Gastroenterology and Hepatology", "id" : "ITEM-1", "issue" : "2", "issued" : { "date-parts" : [ [ "2018" ] ] }, "page" : "355-364", "title" : "Oral and Upper gastrointestinal Crohn's disease.", "type" : "article-journal", "volume" : "33" }, "uris" : [ "http://www.mendeley.com/documents/?uuid=76f489ff-c35f-4e56-be60-9e990ce036a0" ] } ], "mendeley" : { "formattedCitation" : "&lt;sup&gt;[5]&lt;/sup&gt;", "plainTextFormattedCitation" : "[5]", "previouslyFormattedCitation" : "&lt;sup&gt;[5]&lt;/sup&gt;"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FA1D23" w:rsidRPr="003D034F">
        <w:rPr>
          <w:rFonts w:ascii="Book Antiqua" w:hAnsi="Book Antiqua" w:cs="Calibri"/>
          <w:noProof/>
          <w:sz w:val="24"/>
          <w:szCs w:val="24"/>
          <w:vertAlign w:val="superscript"/>
          <w:lang w:val="en-US"/>
        </w:rPr>
        <w:t>[5]</w:t>
      </w:r>
      <w:r w:rsidR="00056AC0" w:rsidRPr="003D034F">
        <w:rPr>
          <w:rFonts w:ascii="Book Antiqua" w:hAnsi="Book Antiqua" w:cs="Calibri"/>
          <w:sz w:val="24"/>
          <w:szCs w:val="24"/>
        </w:rPr>
        <w:fldChar w:fldCharType="end"/>
      </w:r>
      <w:r w:rsidR="00F06454" w:rsidRPr="003D034F">
        <w:rPr>
          <w:rFonts w:ascii="Book Antiqua" w:hAnsi="Book Antiqua" w:cs="Calibri"/>
          <w:sz w:val="24"/>
          <w:szCs w:val="24"/>
          <w:lang w:val="en-US"/>
        </w:rPr>
        <w:t xml:space="preserve">. </w:t>
      </w:r>
      <w:r w:rsidR="00003DD7" w:rsidRPr="003D034F">
        <w:rPr>
          <w:rFonts w:ascii="Book Antiqua" w:hAnsi="Book Antiqua" w:cs="Calibri"/>
          <w:sz w:val="24"/>
          <w:szCs w:val="24"/>
          <w:lang w:val="en-US"/>
        </w:rPr>
        <w:t xml:space="preserve">With </w:t>
      </w:r>
      <w:r w:rsidR="00B46D0C" w:rsidRPr="003D034F">
        <w:rPr>
          <w:rFonts w:ascii="Book Antiqua" w:hAnsi="Book Antiqua" w:cs="Calibri"/>
          <w:sz w:val="24"/>
          <w:szCs w:val="24"/>
          <w:lang w:val="en-US"/>
        </w:rPr>
        <w:t xml:space="preserve">the evolution of the digestive endoscopy in </w:t>
      </w:r>
      <w:r w:rsidR="00003DD7" w:rsidRPr="003D034F">
        <w:rPr>
          <w:rFonts w:ascii="Book Antiqua" w:hAnsi="Book Antiqua" w:cs="Calibri"/>
          <w:sz w:val="24"/>
          <w:szCs w:val="24"/>
          <w:lang w:val="en-US"/>
        </w:rPr>
        <w:t>recent</w:t>
      </w:r>
      <w:r w:rsidR="00B46D0C" w:rsidRPr="003D034F">
        <w:rPr>
          <w:rFonts w:ascii="Book Antiqua" w:hAnsi="Book Antiqua" w:cs="Calibri"/>
          <w:sz w:val="24"/>
          <w:szCs w:val="24"/>
          <w:lang w:val="en-US"/>
        </w:rPr>
        <w:t xml:space="preserve"> decades, it </w:t>
      </w:r>
      <w:r w:rsidR="00003DD7" w:rsidRPr="003D034F">
        <w:rPr>
          <w:rFonts w:ascii="Book Antiqua" w:hAnsi="Book Antiqua" w:cs="Calibri"/>
          <w:sz w:val="24"/>
          <w:szCs w:val="24"/>
          <w:lang w:val="en-US"/>
        </w:rPr>
        <w:t xml:space="preserve">has become </w:t>
      </w:r>
      <w:r w:rsidR="00B46D0C" w:rsidRPr="003D034F">
        <w:rPr>
          <w:rFonts w:ascii="Book Antiqua" w:hAnsi="Book Antiqua" w:cs="Calibri"/>
          <w:sz w:val="24"/>
          <w:szCs w:val="24"/>
          <w:lang w:val="en-US"/>
        </w:rPr>
        <w:t>possible to improve the detection of lesions involving the esophagus, stomach and duodenum</w:t>
      </w:r>
      <w:r w:rsidR="00003DD7" w:rsidRPr="003D034F">
        <w:rPr>
          <w:rFonts w:ascii="Book Antiqua" w:hAnsi="Book Antiqua" w:cs="Calibri"/>
          <w:sz w:val="24"/>
          <w:szCs w:val="24"/>
          <w:lang w:val="en-US"/>
        </w:rPr>
        <w:t>. P</w:t>
      </w:r>
      <w:r w:rsidR="00B46D0C" w:rsidRPr="003D034F">
        <w:rPr>
          <w:rFonts w:ascii="Book Antiqua" w:hAnsi="Book Antiqua" w:cs="Calibri"/>
          <w:sz w:val="24"/>
          <w:szCs w:val="24"/>
          <w:lang w:val="en-US"/>
        </w:rPr>
        <w:t>reviously</w:t>
      </w:r>
      <w:r w:rsidR="00003DD7" w:rsidRPr="003D034F">
        <w:rPr>
          <w:rFonts w:ascii="Book Antiqua" w:hAnsi="Book Antiqua" w:cs="Calibri"/>
          <w:sz w:val="24"/>
          <w:szCs w:val="24"/>
          <w:lang w:val="en-US"/>
        </w:rPr>
        <w:t>,</w:t>
      </w:r>
      <w:r w:rsidR="00B46D0C" w:rsidRPr="003D034F">
        <w:rPr>
          <w:rFonts w:ascii="Book Antiqua" w:hAnsi="Book Antiqua" w:cs="Calibri"/>
          <w:sz w:val="24"/>
          <w:szCs w:val="24"/>
          <w:lang w:val="en-US"/>
        </w:rPr>
        <w:t xml:space="preserve"> this evaluation was performed only through radiological studies or surgical specimens</w:t>
      </w:r>
      <w:r w:rsidR="00226A8B" w:rsidRPr="003D034F">
        <w:rPr>
          <w:rFonts w:ascii="Book Antiqua" w:hAnsi="Book Antiqua" w:cs="Calibri"/>
          <w:sz w:val="24"/>
          <w:szCs w:val="24"/>
          <w:lang w:val="en-US"/>
        </w:rPr>
        <w:t xml:space="preserve">. </w:t>
      </w:r>
      <w:r w:rsidR="00C54DA4" w:rsidRPr="003D034F">
        <w:rPr>
          <w:rFonts w:ascii="Book Antiqua" w:hAnsi="Book Antiqua" w:cs="Calibri"/>
          <w:sz w:val="24"/>
          <w:szCs w:val="24"/>
          <w:lang w:val="en-US"/>
        </w:rPr>
        <w:t xml:space="preserve">Despite the great advances in the knowledge of </w:t>
      </w:r>
      <w:r w:rsidR="00456F89" w:rsidRPr="003D034F">
        <w:rPr>
          <w:rFonts w:ascii="Book Antiqua" w:hAnsi="Book Antiqua" w:cs="Calibri"/>
          <w:sz w:val="24"/>
          <w:szCs w:val="24"/>
          <w:lang w:val="en-US"/>
        </w:rPr>
        <w:t>CD</w:t>
      </w:r>
      <w:r w:rsidR="00C54DA4" w:rsidRPr="003D034F">
        <w:rPr>
          <w:rFonts w:ascii="Book Antiqua" w:hAnsi="Book Antiqua" w:cs="Calibri"/>
          <w:sz w:val="24"/>
          <w:szCs w:val="24"/>
          <w:lang w:val="en-US"/>
        </w:rPr>
        <w:t xml:space="preserve">, the experience with the involvement of the </w:t>
      </w:r>
      <w:r w:rsidR="00B9550A" w:rsidRPr="003D034F">
        <w:rPr>
          <w:rFonts w:ascii="Book Antiqua" w:hAnsi="Book Antiqua" w:cs="Calibri"/>
          <w:sz w:val="24"/>
          <w:szCs w:val="24"/>
          <w:lang w:val="en-US"/>
        </w:rPr>
        <w:t>UGT</w:t>
      </w:r>
      <w:r w:rsidR="00C54DA4" w:rsidRPr="003D034F">
        <w:rPr>
          <w:rFonts w:ascii="Book Antiqua" w:hAnsi="Book Antiqua" w:cs="Calibri"/>
          <w:sz w:val="24"/>
          <w:szCs w:val="24"/>
          <w:lang w:val="en-US"/>
        </w:rPr>
        <w:t xml:space="preserve"> remains limited, even </w:t>
      </w:r>
      <w:r w:rsidR="00003DD7" w:rsidRPr="003D034F">
        <w:rPr>
          <w:rFonts w:ascii="Book Antiqua" w:hAnsi="Book Antiqua" w:cs="Calibri"/>
          <w:sz w:val="24"/>
          <w:szCs w:val="24"/>
          <w:lang w:val="en-US"/>
        </w:rPr>
        <w:t xml:space="preserve">though it is </w:t>
      </w:r>
      <w:r w:rsidR="00C54DA4" w:rsidRPr="003D034F">
        <w:rPr>
          <w:rFonts w:ascii="Book Antiqua" w:hAnsi="Book Antiqua" w:cs="Calibri"/>
          <w:sz w:val="24"/>
          <w:szCs w:val="24"/>
          <w:lang w:val="en-US"/>
        </w:rPr>
        <w:t>a predictor of recurrence and progression to complications</w:t>
      </w:r>
      <w:r w:rsidR="00056AC0" w:rsidRPr="003D034F">
        <w:rPr>
          <w:rFonts w:ascii="Book Antiqua" w:hAnsi="Book Antiqua" w:cs="Calibri"/>
          <w:sz w:val="24"/>
          <w:szCs w:val="24"/>
        </w:rPr>
        <w:fldChar w:fldCharType="begin" w:fldLock="1"/>
      </w:r>
      <w:r w:rsidR="00FA1D23" w:rsidRPr="003D034F">
        <w:rPr>
          <w:rFonts w:ascii="Book Antiqua" w:hAnsi="Book Antiqua" w:cs="Calibri"/>
          <w:sz w:val="24"/>
          <w:szCs w:val="24"/>
          <w:lang w:val="en-US"/>
        </w:rPr>
        <w:instrText>ADDIN CSL_CITATION { "citationItems" : [ { "id" : "ITEM-1", "itemData" : { "DOI" : "10.1038/ajg.2014.97", "ISBN" : "1572-0241 (Electronic)\\r0002-9270 (Linking)", "ISSN" : "15720241", "PMID" : "24796767", "abstract" : "OBJECTIVES: Crohn's disease (CD) induces cumulative structural damage, initially characterized by a non-stenosing non-penetrating behavior (B1) with progression over time to a fibro-stenosing (B2) and/or penetrating phenotype (B3). Our aim was to assess the long-term evolution of disease behavior of CD and determine what factors predict phenotype progression.\\n\\nMETHODS: This was a study based on prospectively collected data from a CD database in an inflammatory bowel disease outpatient clinic. B1 corresponds to a non-stenosing non-penetrating disease, B2 to a stenosing behavior, and B3 to a penetrating one.\\n\\nRESULTS: Seven hundred and thirty-six patients with CD (368 female) were followed up for 12.3 years (\u00b18.4), with 87.0% of them exhibiting B1 phenotype at diagnosis. Of these patients, 28.5% progressed to B2 phenotype and 23.5% to B3. Fifty percent of the patients started azathioprine treatment before phenotype change and 13.9% started anti-tumor necrosis factor-\u03b1 (anti-TNF\u03b1) treatment before phenotype change. Monotherapy with azathioprine before phenotyp</w:instrText>
      </w:r>
      <w:r w:rsidR="00FA1D23" w:rsidRPr="003D034F">
        <w:rPr>
          <w:rFonts w:ascii="Book Antiqua" w:hAnsi="Book Antiqua" w:cs="Calibri"/>
          <w:sz w:val="24"/>
          <w:szCs w:val="24"/>
        </w:rPr>
        <w:instrText>e change as well as combination therapy with azathioprine/anti-TNF\u03b1 before phenotype change delayed disease progression (B1-B2 or B3) in comparison with patients who did not receive treatment (P&lt;0.001). The hazard ratio (HR) for disease progression was lower for both monotherapy with azathioprine (HR: 0.15, P&lt;0.001) or combination therapy with anti-TNF\u03b1 (HR: 0.33, P&lt;0.001). Upper gastrointestinal tract involvement, male gender, and steroid use were associated with an early progression of phenotype from B1 to B2 or B3 (P&lt;0.001). The HR for disease progression was higher in patients who used steroids without criteria of dependence or resistance (HR: 2.67, P&lt;0.001) and was even higher in patients with criteria of dependence or resistance (HR: 6.44, P&lt;0.001). Longer delays between CD diagnosis and beginning of therapy with azathioprine and/or anti-TNF\u03b1 were associated with disease progression. The longer the duration of treatment, the less likely the disease progression.\\n\\nCONCLUSIONS: Monotherapy with azathioprine before behavior change as well as combination therapy with azathioprine and anti-TNF\u03b1 before behavior change delays phenotype progression of CD, whereas upper gastrointestinal tract involvement, male gender, and steroid use with or without criteria of steroid dependence are associated with a higher risk for disease progression.", "author" : [ { "dropping-particle" : "", "family" : "Magro", "given" : "Fernando", "non-dropping-particle" : "", "parse-names" : false, "suffix" : "" }, { "dropping-particle" : "", "family" : "Pinto", "given" : "Eduardo Rodrigues", "non-dropping-particle" : "", "parse-names" : false, "suffix" : "" }, { "dropping-particle" : "", "family" : "Coelho", "given" : "Rosa", "non-dropping-</w:instrText>
      </w:r>
      <w:r w:rsidR="00FA1D23" w:rsidRPr="003D034F">
        <w:rPr>
          <w:rFonts w:ascii="Book Antiqua" w:hAnsi="Book Antiqua" w:cs="Calibri"/>
          <w:sz w:val="24"/>
          <w:szCs w:val="24"/>
          <w:lang w:val="en-US"/>
        </w:rPr>
        <w:instrText>particle" : "", "parse-names" : false, "suffix" : "" }, { "dropping-particle" : "", "family" : "Andrade", "given" : "Patr\u00edcia", "non-dropping-particle" : "", "parse-names" : false, "suffix" : "" }, { "dropping-particle" : "", "family" : "Antunes", "given" : "Jo\u00e3o Santos", "non-dropping-particle" : "", "parse-names" : false, "suffix" : "" }, { "dropping-particle" : "", "family" : "Lopes", "given" : "Susana", "non-dropping-particle" : "", "parse-names" : false, "suffix" : "" }, { "dropping-particle" : "", "family" : "Dias", "given" : "Claudia Camila", "non-dropping-particle" : "", "parse-names" : false, "suffix" : "" }, { "dropping-particle" : "", "family" : "Macedo", "given" : "Guilherme", "non-dropping-particle" : "", "parse-names" : false, "suffix" : "" } ], "container-title" : "American Journal of Gastroenterology", "id" : "ITEM-1", "issue" : "7", "issued" : { "date-parts" : [ [ "2014" ] ] }, "page" : "1026-1036", "title" : "Is it possible to change phenotype progression in Crohn's disease in the era of immunomodulators? Predictive factors of phenotype progression", "type" : "article-journal", "volume" : "109" }, "uris" : [ "http://www.mendeley.com/documents/?uuid=ab986ac7-568f-4c63-a76f-6c104cd59695" ] } ], "mendeley" : { "formattedCitation" : "&lt;sup&gt;[6]&lt;/sup&gt;", "plainTextFormattedCitation" : "[6]", "previouslyFormattedCitation" : "&lt;sup&gt;[6]&lt;/sup&gt;"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FA1D23" w:rsidRPr="003D034F">
        <w:rPr>
          <w:rFonts w:ascii="Book Antiqua" w:hAnsi="Book Antiqua" w:cs="Calibri"/>
          <w:noProof/>
          <w:sz w:val="24"/>
          <w:szCs w:val="24"/>
          <w:vertAlign w:val="superscript"/>
          <w:lang w:val="en-US"/>
        </w:rPr>
        <w:t>[6]</w:t>
      </w:r>
      <w:r w:rsidR="00056AC0" w:rsidRPr="003D034F">
        <w:rPr>
          <w:rFonts w:ascii="Book Antiqua" w:hAnsi="Book Antiqua" w:cs="Calibri"/>
          <w:sz w:val="24"/>
          <w:szCs w:val="24"/>
        </w:rPr>
        <w:fldChar w:fldCharType="end"/>
      </w:r>
      <w:r w:rsidR="003A5DF9" w:rsidRPr="003D034F">
        <w:rPr>
          <w:rFonts w:ascii="Book Antiqua" w:hAnsi="Book Antiqua" w:cs="Calibri"/>
          <w:sz w:val="24"/>
          <w:szCs w:val="24"/>
          <w:lang w:val="en-US"/>
        </w:rPr>
        <w:t xml:space="preserve">. </w:t>
      </w:r>
    </w:p>
    <w:p w:rsidR="003D5014" w:rsidRPr="003D034F" w:rsidRDefault="0047402A" w:rsidP="003D034F">
      <w:pPr>
        <w:spacing w:after="0" w:line="360" w:lineRule="auto"/>
        <w:ind w:firstLineChars="100" w:firstLine="240"/>
        <w:jc w:val="both"/>
        <w:rPr>
          <w:rFonts w:ascii="Book Antiqua" w:hAnsi="Book Antiqua" w:cs="Calibri"/>
          <w:sz w:val="24"/>
          <w:szCs w:val="24"/>
          <w:lang w:val="en-US"/>
        </w:rPr>
      </w:pPr>
      <w:r w:rsidRPr="003D034F">
        <w:rPr>
          <w:rFonts w:ascii="Book Antiqua" w:hAnsi="Book Antiqua" w:cs="Calibri"/>
          <w:sz w:val="24"/>
          <w:szCs w:val="24"/>
          <w:lang w:val="en-US"/>
        </w:rPr>
        <w:t xml:space="preserve">According to the Vienna classification, involvement of the </w:t>
      </w:r>
      <w:r w:rsidR="00B9550A" w:rsidRPr="003D034F">
        <w:rPr>
          <w:rFonts w:ascii="Book Antiqua" w:hAnsi="Book Antiqua" w:cs="Calibri"/>
          <w:sz w:val="24"/>
          <w:szCs w:val="24"/>
          <w:lang w:val="en-US"/>
        </w:rPr>
        <w:t xml:space="preserve">UGT </w:t>
      </w:r>
      <w:r w:rsidRPr="003D034F">
        <w:rPr>
          <w:rFonts w:ascii="Book Antiqua" w:hAnsi="Book Antiqua" w:cs="Calibri"/>
          <w:sz w:val="24"/>
          <w:szCs w:val="24"/>
          <w:lang w:val="en-US"/>
        </w:rPr>
        <w:t>(L4) is characterized by the involvement of any segment proximal</w:t>
      </w:r>
      <w:r w:rsidR="009E61E3" w:rsidRPr="003D034F">
        <w:rPr>
          <w:rFonts w:ascii="Book Antiqua" w:hAnsi="Book Antiqua" w:cs="Calibri"/>
          <w:sz w:val="24"/>
          <w:szCs w:val="24"/>
          <w:lang w:val="en-US"/>
        </w:rPr>
        <w:t xml:space="preserve"> to the lower of the ileum</w:t>
      </w:r>
      <w:r w:rsidR="00056AC0" w:rsidRPr="003D034F">
        <w:rPr>
          <w:rFonts w:ascii="Book Antiqua" w:hAnsi="Book Antiqua" w:cs="Calibri"/>
          <w:sz w:val="24"/>
          <w:szCs w:val="24"/>
        </w:rPr>
        <w:fldChar w:fldCharType="begin" w:fldLock="1"/>
      </w:r>
      <w:r w:rsidR="00FA1D23" w:rsidRPr="003D034F">
        <w:rPr>
          <w:rFonts w:ascii="Book Antiqua" w:hAnsi="Book Antiqua" w:cs="Calibri"/>
          <w:sz w:val="24"/>
          <w:szCs w:val="24"/>
          <w:lang w:val="en-US"/>
        </w:rPr>
        <w:instrText>ADDIN CSL_CITATION { "citationItems" : [ { "id" : "ITEM-1", "itemData" : { "DOI" : "10.1097/MIB.0b013e31828132b4", "PMID" : "10701144", "author" : [ { "dropping-particle" : "", "family" : "Gasche", "given" : "Christoph", "non-dropping-particle" : "", "parse-names" : false, "suffix" : "" }, { "dropping-particle" : "", "family" : "Scholmerich", "given" : "Tjurgen", "non-dropping-particle" : "", "parse-names" : false, "suffix" : "" }, { "dropping-particle" : "", "family" : "Brynskov", "given" : "Jorn", "non-dropping-particle" : "", "parse-names" : false, "suffix" : "" }, { "dropping-particle" : "", "family" : "Haens", "given" : "D", "non-dropping-particle" : "", "parse-names" : false, "suffix" : "" }, { "dropping-particle" : "", "family" : "Hanauer", "given" : "Stephen B", "non-dropping-particle" : "", "parse-names" : false, "suffix" : "" }, { "dropping-particle" : "", "family" : "Irvine", "given" : "E Jan", "non-dropping-particle" : "", "parse-names" : false, "suffix" : "" }, { "dropping-particle" : "", "family" : "Jewell", "given" : "Derek P", "non-dropping-particle" : "", "parse-names" : false, "suffix" : "" }, { "dropping-particle" : "", "family" : "Sachar", "given" : "David B", "non-dropping-particle" : "", "parse-names" : false, "suffix" : "" }, { "dropping-particle" : "", "family" : "Sandborn", "given" : "William J", "non-dropping-particle" : "", "parse-names" : false, "suffix" : "" }, { "dropping-particle" : "", "family" : "Sutherland", "given" : "Lloyd R", "non-dropping-particle" : "", "parse-names" : false, "suffix" : "" } ], "container-title" : "Inflammatory bowel diseases", "id" : "ITEM-1", "issue" : "1", "issued" : { "date-parts" : [ [ "2000" ] ] }, "page" : "8-15", "title" : "A Simple Classification of Crohn \u2019 s Disease : Report of the Working Party for the World Congresses of Gastroenterology, Vienna 1998", "type" : "article-journal", "volume" : "6" }, "uris" : [ "http://www.mendeley.com/documents/?uuid=0522072b-3207-426d-bbe2-c4411b2c64fc" ] } ], "mendeley" : { "formattedCitation" : "&lt;sup&gt;[7]&lt;/sup&gt;", "plainTextFormattedCitation" : "[7]", "previouslyFormattedCitation" : "&lt;sup&gt;[7]&lt;/sup&gt;"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FA1D23" w:rsidRPr="003D034F">
        <w:rPr>
          <w:rFonts w:ascii="Book Antiqua" w:hAnsi="Book Antiqua" w:cs="Calibri"/>
          <w:noProof/>
          <w:sz w:val="24"/>
          <w:szCs w:val="24"/>
          <w:vertAlign w:val="superscript"/>
          <w:lang w:val="en-US"/>
        </w:rPr>
        <w:t>[7]</w:t>
      </w:r>
      <w:r w:rsidR="00056AC0" w:rsidRPr="003D034F">
        <w:rPr>
          <w:rFonts w:ascii="Book Antiqua" w:hAnsi="Book Antiqua" w:cs="Calibri"/>
          <w:sz w:val="24"/>
          <w:szCs w:val="24"/>
        </w:rPr>
        <w:fldChar w:fldCharType="end"/>
      </w:r>
      <w:r w:rsidR="005056FF" w:rsidRPr="003D034F">
        <w:rPr>
          <w:rFonts w:ascii="Book Antiqua" w:hAnsi="Book Antiqua" w:cs="Calibri"/>
          <w:sz w:val="24"/>
          <w:szCs w:val="24"/>
          <w:lang w:val="en-US"/>
        </w:rPr>
        <w:t xml:space="preserve">. </w:t>
      </w:r>
      <w:r w:rsidR="00C74DB5" w:rsidRPr="003D034F">
        <w:rPr>
          <w:rFonts w:ascii="Book Antiqua" w:hAnsi="Book Antiqua" w:cs="Calibri"/>
          <w:sz w:val="24"/>
          <w:szCs w:val="24"/>
          <w:lang w:val="en-US"/>
        </w:rPr>
        <w:t>T</w:t>
      </w:r>
      <w:r w:rsidR="00672BF1" w:rsidRPr="003D034F">
        <w:rPr>
          <w:rFonts w:ascii="Book Antiqua" w:hAnsi="Book Antiqua" w:cs="Calibri"/>
          <w:sz w:val="24"/>
          <w:szCs w:val="24"/>
          <w:lang w:val="en-US"/>
        </w:rPr>
        <w:t>he Montreal classification</w:t>
      </w:r>
      <w:r w:rsidR="00056AC0" w:rsidRPr="003D034F">
        <w:rPr>
          <w:rFonts w:ascii="Book Antiqua" w:hAnsi="Book Antiqua" w:cs="Calibri"/>
          <w:sz w:val="24"/>
          <w:szCs w:val="24"/>
        </w:rPr>
        <w:fldChar w:fldCharType="begin" w:fldLock="1"/>
      </w:r>
      <w:r w:rsidR="00FA1D23" w:rsidRPr="003D034F">
        <w:rPr>
          <w:rFonts w:ascii="Book Antiqua" w:hAnsi="Book Antiqua" w:cs="Calibri"/>
          <w:sz w:val="24"/>
          <w:szCs w:val="24"/>
          <w:lang w:val="en-US"/>
        </w:rPr>
        <w:instrText>ADDIN CSL_CITATION { "citationItems" : [ { "id" : "ITEM-1", "itemData" : { "DOI" : "10.1136/gut.2005.082909", "ISBN" : "0017-5749 (Print)\\n0017-5749 (Linking)", "ISSN" : "00175749", "PMID" : "16698746", "abstract" : "In recent years, investigators have readdressed the complex issues involved in the classification of inflammatory bowel diseases. In 2003, a Working Party of investigators with an interest in the issues involved in disease subclassification was formed with the aim of summarising recent developments in disease classification and establishing an integrated clinical, molecular, and serological classification of inflammatory bowel disease. The results of the Working Party were reported at the 2005 Montreal World Congress of Gastroenterology. Here we highlight the key issues that have emerged from discussions of the Montreal Working Party and the relevance to clinical practice and research activities.", "author" : [ { "dropping-particle" : "", "family" : "Satsangi", "given" : "J.", "non-dropping-particle" : "", "parse-names" : false, "suffix" : "" }, { "dropping-particle" : "", "family" : "Silverberg", "given" : "M. S.", "non-dropping-particle" : "", "parse-names" : false, "suffix" : "" }, { "dropping-particle" : "", "family" : "Vermeire", "given" : "S.", "non-dropping-particle" : "", "parse-names" : false, "suffix" : "" }, { "dropping-particle" : "", "family" : "Colombel", "given" : "J. F.", "non-dropping-particle" : "", "parse-names" : false, "suffix" : "" } ], "container-title" : "Gut", "id" : "ITEM-1", "issue" : "6", "issued" : { "date-parts" : [ [ "2006" ] ] }, "page" : "749-753", "title" : "The Montreal classification of inflammatory bowel disease: Controversies, consensus, and implications", "type" : "article-journal", "volume" : "55" }, "uris" : [ "http://www.mendeley.com/documents/?uuid=1a81bf18-4dac-4571-8c4c-a7875be7f66d" ] } ], "mendeley" : { "formattedCitation" : "&lt;sup&gt;[8]&lt;/sup&gt;", "plainTextFormattedCitation" : "[8]", "previouslyFormattedCitation" : "&lt;sup&gt;[8]&lt;/sup&gt;"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FA1D23" w:rsidRPr="003D034F">
        <w:rPr>
          <w:rFonts w:ascii="Book Antiqua" w:hAnsi="Book Antiqua" w:cs="Calibri"/>
          <w:noProof/>
          <w:sz w:val="24"/>
          <w:szCs w:val="24"/>
          <w:vertAlign w:val="superscript"/>
          <w:lang w:val="en-US"/>
        </w:rPr>
        <w:t>[8]</w:t>
      </w:r>
      <w:r w:rsidR="00056AC0" w:rsidRPr="003D034F">
        <w:rPr>
          <w:rFonts w:ascii="Book Antiqua" w:hAnsi="Book Antiqua" w:cs="Calibri"/>
          <w:sz w:val="24"/>
          <w:szCs w:val="24"/>
        </w:rPr>
        <w:fldChar w:fldCharType="end"/>
      </w:r>
      <w:r w:rsidR="00027206" w:rsidRPr="003D034F">
        <w:rPr>
          <w:rFonts w:ascii="Book Antiqua" w:hAnsi="Book Antiqua" w:cs="Calibri"/>
          <w:sz w:val="24"/>
          <w:szCs w:val="24"/>
          <w:lang w:val="en-US"/>
        </w:rPr>
        <w:t xml:space="preserve">, </w:t>
      </w:r>
      <w:r w:rsidR="00672BF1" w:rsidRPr="003D034F">
        <w:rPr>
          <w:rFonts w:ascii="Book Antiqua" w:hAnsi="Book Antiqua" w:cs="Calibri"/>
          <w:sz w:val="24"/>
          <w:szCs w:val="24"/>
          <w:lang w:val="en-US"/>
        </w:rPr>
        <w:t xml:space="preserve">which was created after the revision of the Vienna classification, the location in the </w:t>
      </w:r>
      <w:r w:rsidR="00256D06" w:rsidRPr="003D034F">
        <w:rPr>
          <w:rFonts w:ascii="Book Antiqua" w:hAnsi="Book Antiqua" w:cs="Calibri"/>
          <w:sz w:val="24"/>
          <w:szCs w:val="24"/>
          <w:lang w:val="en-US"/>
        </w:rPr>
        <w:t>UGT</w:t>
      </w:r>
      <w:r w:rsidR="00672BF1" w:rsidRPr="003D034F">
        <w:rPr>
          <w:rFonts w:ascii="Book Antiqua" w:hAnsi="Book Antiqua" w:cs="Calibri"/>
          <w:sz w:val="24"/>
          <w:szCs w:val="24"/>
          <w:lang w:val="en-US"/>
        </w:rPr>
        <w:t xml:space="preserve"> (L4) was considered a modifier of the disease and may or may not be associated with other locations (L1-L3). Patients with proximal </w:t>
      </w:r>
      <w:r w:rsidR="00456F89" w:rsidRPr="003D034F">
        <w:rPr>
          <w:rFonts w:ascii="Book Antiqua" w:hAnsi="Book Antiqua" w:cs="Calibri"/>
          <w:sz w:val="24"/>
          <w:szCs w:val="24"/>
          <w:lang w:val="en-US"/>
        </w:rPr>
        <w:t>CD</w:t>
      </w:r>
      <w:r w:rsidR="00672BF1" w:rsidRPr="003D034F">
        <w:rPr>
          <w:rFonts w:ascii="Book Antiqua" w:hAnsi="Book Antiqua" w:cs="Calibri"/>
          <w:sz w:val="24"/>
          <w:szCs w:val="24"/>
          <w:lang w:val="en-US"/>
        </w:rPr>
        <w:t xml:space="preserve"> (L4) often present with evidence of colonic disease or distal small intestine</w:t>
      </w:r>
      <w:r w:rsidR="00C20154" w:rsidRPr="003D034F">
        <w:rPr>
          <w:rFonts w:ascii="Book Antiqua" w:hAnsi="Book Antiqua" w:cs="Calibri"/>
          <w:sz w:val="24"/>
          <w:szCs w:val="24"/>
          <w:lang w:val="en-US"/>
        </w:rPr>
        <w:t xml:space="preserve">. </w:t>
      </w:r>
      <w:r w:rsidR="00003DD7" w:rsidRPr="003D034F">
        <w:rPr>
          <w:rFonts w:ascii="Book Antiqua" w:hAnsi="Book Antiqua" w:cs="Calibri"/>
          <w:sz w:val="24"/>
          <w:szCs w:val="24"/>
          <w:lang w:val="en-US"/>
        </w:rPr>
        <w:t>T</w:t>
      </w:r>
      <w:r w:rsidR="00D4205D" w:rsidRPr="003D034F">
        <w:rPr>
          <w:rFonts w:ascii="Book Antiqua" w:hAnsi="Book Antiqua" w:cs="Calibri"/>
          <w:sz w:val="24"/>
          <w:szCs w:val="24"/>
          <w:lang w:val="en-US"/>
        </w:rPr>
        <w:t xml:space="preserve">he involvement of the upper tract in </w:t>
      </w:r>
      <w:r w:rsidR="00456F89" w:rsidRPr="003D034F">
        <w:rPr>
          <w:rFonts w:ascii="Book Antiqua" w:hAnsi="Book Antiqua" w:cs="Calibri"/>
          <w:sz w:val="24"/>
          <w:szCs w:val="24"/>
          <w:lang w:val="en-US"/>
        </w:rPr>
        <w:t>CD</w:t>
      </w:r>
      <w:r w:rsidR="00D4205D" w:rsidRPr="003D034F">
        <w:rPr>
          <w:rFonts w:ascii="Book Antiqua" w:hAnsi="Book Antiqua" w:cs="Calibri"/>
          <w:sz w:val="24"/>
          <w:szCs w:val="24"/>
          <w:lang w:val="en-US"/>
        </w:rPr>
        <w:t xml:space="preserve"> represents a risk for complications and surgery</w:t>
      </w:r>
      <w:r w:rsidR="00056AC0" w:rsidRPr="003D034F">
        <w:rPr>
          <w:rFonts w:ascii="Book Antiqua" w:hAnsi="Book Antiqua" w:cs="Calibri"/>
          <w:sz w:val="24"/>
          <w:szCs w:val="24"/>
        </w:rPr>
        <w:fldChar w:fldCharType="begin" w:fldLock="1"/>
      </w:r>
      <w:r w:rsidR="00FA1D23" w:rsidRPr="003D034F">
        <w:rPr>
          <w:rFonts w:ascii="Book Antiqua" w:hAnsi="Book Antiqua" w:cs="Calibri"/>
          <w:sz w:val="24"/>
          <w:szCs w:val="24"/>
          <w:lang w:val="en-US"/>
        </w:rPr>
        <w:instrText>ADDIN CSL_CITATION { "citationItems" : [ { "id" : "ITEM-1", "itemData" : { "DOI" : "10.1016/j.suc.2015.07.004", "ISBN" : "9780323402729", "ISSN" : "15583171", "PMID" : "26596921", "abstract" : "Proximal intestinal Crohn's disease is likely more common than previously recognized, and the incidence of diagnosis depends on the diligence with which it is sought. The majority of patients with proximal Crohn's disease has concurrent disease distally or will likely develop it in the future. Patients that have demonstrated colonic or ileocolic disease that complain of upper abdominal complaints such as pain, gastric reflux, or dysphagia should be evaluated with an upper endoscopy and biopsy. The most common surgical indication for gastroduodenal disease is for obstructive symptoms. These patents are adequately served with strictureplasty, but have a higher recurrence rate than with intestinal bypass procedures that can safely be performed laparoscopically. There is no definitive benefit to adding vagotomy in these patients. Fistulas most commonly originate in the colon or distal small intestine and are best prevented or treated with resection and duodenal or gastric closure.", "author" : [ { "dropping-particle" : "", "family" : "Davis", "given" : "Kurt G.", "non-dropping-particle" : "", "parse-names" : false, "suffix" : "" } ], "container-title" : "Surgical Clinics of North America", "id" : "ITEM-1", "issue" : "6", "issued" : { "date-parts" : [ [ "2015" ] ] }, "page" : "1183-1193", "publisher" : "Elsevier Inc", "title" : "Crohn's Disease of the Foregut", "type" : "article-journal", "volume" : "95" }, "uris" : [ "http://www.mendeley.com/documents/?uuid=595ad8e1-6cf4-4f0e-a945-d878bff5a16c" ] } ], "mendeley" : { "formattedCitation" : "&lt;sup&gt;[4]&lt;/sup&gt;", "plainTextFormattedCitation" : "[4]", "previouslyFormattedCitation" : "&lt;sup&gt;[4]&lt;/sup&gt;"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FA1D23" w:rsidRPr="003D034F">
        <w:rPr>
          <w:rFonts w:ascii="Book Antiqua" w:hAnsi="Book Antiqua" w:cs="Calibri"/>
          <w:noProof/>
          <w:sz w:val="24"/>
          <w:szCs w:val="24"/>
          <w:vertAlign w:val="superscript"/>
          <w:lang w:val="en-US"/>
        </w:rPr>
        <w:t>[4</w:t>
      </w:r>
      <w:r w:rsidR="00CA5176" w:rsidRPr="003D034F">
        <w:rPr>
          <w:rFonts w:ascii="Book Antiqua" w:hAnsi="Book Antiqua" w:cs="Calibri"/>
          <w:noProof/>
          <w:sz w:val="24"/>
          <w:szCs w:val="24"/>
          <w:vertAlign w:val="superscript"/>
          <w:lang w:val="en-US" w:eastAsia="zh-CN"/>
        </w:rPr>
        <w:t>,9-11</w:t>
      </w:r>
      <w:r w:rsidR="00FA1D23" w:rsidRPr="003D034F">
        <w:rPr>
          <w:rFonts w:ascii="Book Antiqua" w:hAnsi="Book Antiqua" w:cs="Calibri"/>
          <w:noProof/>
          <w:sz w:val="24"/>
          <w:szCs w:val="24"/>
          <w:vertAlign w:val="superscript"/>
          <w:lang w:val="en-US"/>
        </w:rPr>
        <w:t>]</w:t>
      </w:r>
      <w:r w:rsidR="00056AC0" w:rsidRPr="003D034F">
        <w:rPr>
          <w:rFonts w:ascii="Book Antiqua" w:hAnsi="Book Antiqua" w:cs="Calibri"/>
          <w:sz w:val="24"/>
          <w:szCs w:val="24"/>
        </w:rPr>
        <w:fldChar w:fldCharType="end"/>
      </w:r>
      <w:r w:rsidR="00E8267A" w:rsidRPr="003D034F">
        <w:rPr>
          <w:rFonts w:ascii="Book Antiqua" w:hAnsi="Book Antiqua" w:cs="Calibri"/>
          <w:sz w:val="24"/>
          <w:szCs w:val="24"/>
          <w:lang w:val="en-US"/>
        </w:rPr>
        <w:t xml:space="preserve">. </w:t>
      </w:r>
      <w:r w:rsidR="00A30185" w:rsidRPr="003D034F">
        <w:rPr>
          <w:rFonts w:ascii="Book Antiqua" w:hAnsi="Book Antiqua" w:cs="Calibri"/>
          <w:sz w:val="24"/>
          <w:szCs w:val="24"/>
          <w:lang w:val="en-US"/>
        </w:rPr>
        <w:t>It</w:t>
      </w:r>
      <w:r w:rsidR="00CA5176" w:rsidRPr="003D034F">
        <w:rPr>
          <w:rFonts w:ascii="Book Antiqua" w:hAnsi="Book Antiqua" w:cs="Calibri"/>
          <w:sz w:val="24"/>
          <w:szCs w:val="24"/>
          <w:lang w:val="en-US" w:eastAsia="zh-CN"/>
        </w:rPr>
        <w:t>’</w:t>
      </w:r>
      <w:r w:rsidR="00A30185" w:rsidRPr="003D034F">
        <w:rPr>
          <w:rFonts w:ascii="Book Antiqua" w:hAnsi="Book Antiqua" w:cs="Calibri"/>
          <w:sz w:val="24"/>
          <w:szCs w:val="24"/>
          <w:lang w:val="en-US"/>
        </w:rPr>
        <w:t>s worth pointing out that the</w:t>
      </w:r>
      <w:r w:rsidR="00955E44" w:rsidRPr="003D034F">
        <w:rPr>
          <w:rFonts w:ascii="Book Antiqua" w:hAnsi="Book Antiqua" w:cs="Calibri"/>
          <w:sz w:val="24"/>
          <w:szCs w:val="24"/>
          <w:lang w:val="en-US"/>
        </w:rPr>
        <w:t xml:space="preserve"> contribution of </w:t>
      </w:r>
      <w:proofErr w:type="spellStart"/>
      <w:r w:rsidR="00955E44" w:rsidRPr="003D034F">
        <w:rPr>
          <w:rFonts w:ascii="Book Antiqua" w:hAnsi="Book Antiqua" w:cs="Calibri"/>
          <w:sz w:val="24"/>
          <w:szCs w:val="24"/>
          <w:lang w:val="en-US"/>
        </w:rPr>
        <w:t>esophagogastroduodenal</w:t>
      </w:r>
      <w:proofErr w:type="spellEnd"/>
      <w:r w:rsidR="00955E44" w:rsidRPr="003D034F">
        <w:rPr>
          <w:rFonts w:ascii="Book Antiqua" w:hAnsi="Book Antiqua" w:cs="Calibri"/>
          <w:sz w:val="24"/>
          <w:szCs w:val="24"/>
          <w:lang w:val="en-US"/>
        </w:rPr>
        <w:t xml:space="preserve"> </w:t>
      </w:r>
      <w:r w:rsidR="00955E44" w:rsidRPr="003D034F">
        <w:rPr>
          <w:rFonts w:ascii="Book Antiqua" w:hAnsi="Book Antiqua" w:cs="Calibri"/>
          <w:i/>
          <w:sz w:val="24"/>
          <w:szCs w:val="24"/>
          <w:lang w:val="en-US"/>
        </w:rPr>
        <w:t>vs</w:t>
      </w:r>
      <w:r w:rsidR="00955E44" w:rsidRPr="003D034F">
        <w:rPr>
          <w:rFonts w:ascii="Book Antiqua" w:hAnsi="Book Antiqua" w:cs="Calibri"/>
          <w:sz w:val="24"/>
          <w:szCs w:val="24"/>
          <w:lang w:val="en-US"/>
        </w:rPr>
        <w:t xml:space="preserve"> jejunal involvement among patients with proximal disease has not been evaluated</w:t>
      </w:r>
      <w:r w:rsidR="00056AC0" w:rsidRPr="003D034F">
        <w:rPr>
          <w:rFonts w:ascii="Book Antiqua" w:hAnsi="Book Antiqua" w:cs="Calibri"/>
          <w:sz w:val="24"/>
          <w:szCs w:val="24"/>
        </w:rPr>
        <w:fldChar w:fldCharType="begin" w:fldLock="1"/>
      </w:r>
      <w:r w:rsidR="00FA1D23" w:rsidRPr="003D034F">
        <w:rPr>
          <w:rFonts w:ascii="Book Antiqua" w:hAnsi="Book Antiqua" w:cs="Calibri"/>
          <w:sz w:val="24"/>
          <w:szCs w:val="24"/>
          <w:lang w:val="en-US"/>
        </w:rPr>
        <w:instrText>ADDIN CSL_CITATION { "citationItems" : [ { "id" : "ITEM-1", "itemData" : { "DOI" : "10.1038/ajg.2012.389.", "PMID" : "23229423", "author" : [ { "dropping-particle" : "", "family" : "Lazarev", "given" : "Mark", "non-dropping-particle" : "", "parse-names" : false, "suffix" : "" }, { "dropping-particle" : "", "family" : "Huang", "given" : "Chengrui", "non-dropping-particle" : "", "parse-names" : false, "suffix" : "" }, { "dropping-particle" : "", "family" : "Bitton", "given" : "Alain", "non-dropping-particle" : "", "parse-names" : false, "suffix" : "" }, { "dropping-particle" : "", "family" : "Cho", "given" : "Judy H", "non-dropping-particle" : "", "parse-names" : false, "suffix" : "" }, { "dropping-particle" : "", "family" : "Duerr", "given" : "Richard H", "non-dropping-particle" : "", "parse-names" : false, "suffix" : "" }, { "dropping-particle" : "", "family" : "McGovern", "given" : "Dermot P", "non-dropping-particle" : "", "parse-names" : false, "suffix" : "" }, { "dropping-particle" : "", "family" : "Proctor", "given" : "Deborah D", "non-dropping-particle" : "", "parse-names" : false, "suffix" : "" }, { "dropping-particle" : "", "family" : "Regueiro", "given" : "Miguel", "non-dropping-particle" : "", "parse-names" : false, "suffix" : "" }, { "dropping-particle" : "", "family" : "Rioux", "given" : "John D", "non-dropping-particle" : "", "parse-nam</w:instrText>
      </w:r>
      <w:r w:rsidR="00FA1D23" w:rsidRPr="003D034F">
        <w:rPr>
          <w:rFonts w:ascii="Book Antiqua" w:hAnsi="Book Antiqua" w:cs="Calibri"/>
          <w:sz w:val="24"/>
          <w:szCs w:val="24"/>
        </w:rPr>
        <w:instrText>es" : false, "suffix" : "" }, { "dropping-</w:instrText>
      </w:r>
      <w:r w:rsidR="00FA1D23" w:rsidRPr="003D034F">
        <w:rPr>
          <w:rFonts w:ascii="Book Antiqua" w:hAnsi="Book Antiqua" w:cs="Calibri"/>
          <w:sz w:val="24"/>
          <w:szCs w:val="24"/>
          <w:lang w:val="en-US"/>
        </w:rPr>
        <w:instrText>particle" : "", "family" : "Schumm", "given" : "Phillip P", "non-dropping-particle" : "", "parse-names" : false, "suffix" : "" }, { "dropping-particle" : "", "family" : "Taylor", "given" : "Kent D", "non-dropping-particle" : "", "parse-names" : false, "suffix" : "" }, { "dropping-particle" : "", "family" : "Silveberg", "given" : "Mark S", "non-dropping-particle" : "", "parse-names" : false, "suffix" : "" }, { "dropping-particle" : "", "family" : "Steinhart", "given" : "Hillary A", "non-dropping-particle" : "", "parse-names" : false, "suffix" : "" }, { "dropping-particle" : "", "family" : "Hutfless", "given" : "Susan", "non-dropping-particle" : "", "parse-names" : false, "suffix" : "" }, { "dropping-particle" : "", "family" : "Brant", "given" : "Steven R", "non-dropping-particle" : "", "parse-names" : false, "suffix" : "" } ], "id" : "ITEM-1", "issue" : "1", "issued" : { "date-parts" : [ [ "2014" ] ] }, "page" : "106-112", "title" : "Relationship between proximal Crohn's disease location and disease behavior and surgery: A cross-sectional study of the IBD Genetics Consortiom.", "type" : "article-journal", "volume" : "2012" }, "uris" : [ "http://www.mendeley.com/documents/?uuid=51252c48-c801-4126-afb4-f40b7b05f5bd" ] } ], "mendeley" : { "formattedCitation" : "&lt;sup&gt;[9]&lt;/sup&gt;", "plainTextFormattedCitation" : "[9]", "previouslyFormattedCitation" : "&lt;sup&gt;[9]&lt;/sup&gt;"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FA1D23" w:rsidRPr="003D034F">
        <w:rPr>
          <w:rFonts w:ascii="Book Antiqua" w:hAnsi="Book Antiqua" w:cs="Calibri"/>
          <w:noProof/>
          <w:sz w:val="24"/>
          <w:szCs w:val="24"/>
          <w:vertAlign w:val="superscript"/>
          <w:lang w:val="en-US"/>
        </w:rPr>
        <w:t>[9]</w:t>
      </w:r>
      <w:r w:rsidR="00056AC0" w:rsidRPr="003D034F">
        <w:rPr>
          <w:rFonts w:ascii="Book Antiqua" w:hAnsi="Book Antiqua" w:cs="Calibri"/>
          <w:sz w:val="24"/>
          <w:szCs w:val="24"/>
        </w:rPr>
        <w:fldChar w:fldCharType="end"/>
      </w:r>
      <w:r w:rsidR="00E8267A" w:rsidRPr="003D034F">
        <w:rPr>
          <w:rFonts w:ascii="Book Antiqua" w:hAnsi="Book Antiqua" w:cs="Calibri"/>
          <w:sz w:val="24"/>
          <w:szCs w:val="24"/>
          <w:lang w:val="en-US"/>
        </w:rPr>
        <w:t xml:space="preserve">. </w:t>
      </w:r>
    </w:p>
    <w:p w:rsidR="00E8267A" w:rsidRPr="003D034F" w:rsidRDefault="007F2D53" w:rsidP="003D034F">
      <w:pPr>
        <w:spacing w:after="0" w:line="360" w:lineRule="auto"/>
        <w:ind w:firstLineChars="100" w:firstLine="240"/>
        <w:jc w:val="both"/>
        <w:rPr>
          <w:rFonts w:ascii="Book Antiqua" w:hAnsi="Book Antiqua" w:cs="Calibri"/>
          <w:sz w:val="24"/>
          <w:szCs w:val="24"/>
          <w:lang w:val="en-US"/>
        </w:rPr>
      </w:pPr>
      <w:r w:rsidRPr="003D034F">
        <w:rPr>
          <w:rFonts w:ascii="Book Antiqua" w:hAnsi="Book Antiqua" w:cs="Calibri"/>
          <w:sz w:val="24"/>
          <w:szCs w:val="24"/>
          <w:lang w:val="en-US"/>
        </w:rPr>
        <w:t xml:space="preserve">A cross-sectional study has demonstrated that proximal </w:t>
      </w:r>
      <w:r w:rsidR="00456F89" w:rsidRPr="003D034F">
        <w:rPr>
          <w:rFonts w:ascii="Book Antiqua" w:hAnsi="Book Antiqua" w:cs="Calibri"/>
          <w:sz w:val="24"/>
          <w:szCs w:val="24"/>
          <w:lang w:val="en-US"/>
        </w:rPr>
        <w:t xml:space="preserve">CD </w:t>
      </w:r>
      <w:r w:rsidRPr="003D034F">
        <w:rPr>
          <w:rFonts w:ascii="Book Antiqua" w:hAnsi="Book Antiqua" w:cs="Calibri"/>
          <w:sz w:val="24"/>
          <w:szCs w:val="24"/>
          <w:lang w:val="en-US"/>
        </w:rPr>
        <w:t>(L4) affects younger, nonsmoking patients,</w:t>
      </w:r>
      <w:r w:rsidR="00003DD7" w:rsidRPr="003D034F">
        <w:rPr>
          <w:rFonts w:ascii="Book Antiqua" w:hAnsi="Book Antiqua" w:cs="Calibri"/>
          <w:sz w:val="24"/>
          <w:szCs w:val="24"/>
          <w:lang w:val="en-US"/>
        </w:rPr>
        <w:t xml:space="preserve"> is</w:t>
      </w:r>
      <w:r w:rsidRPr="003D034F">
        <w:rPr>
          <w:rFonts w:ascii="Book Antiqua" w:hAnsi="Book Antiqua" w:cs="Calibri"/>
          <w:sz w:val="24"/>
          <w:szCs w:val="24"/>
          <w:lang w:val="en-US"/>
        </w:rPr>
        <w:t xml:space="preserve"> less likely to involve the colon (L2), </w:t>
      </w:r>
      <w:r w:rsidR="00003DD7" w:rsidRPr="003D034F">
        <w:rPr>
          <w:rFonts w:ascii="Book Antiqua" w:hAnsi="Book Antiqua" w:cs="Calibri"/>
          <w:sz w:val="24"/>
          <w:szCs w:val="24"/>
          <w:lang w:val="en-US"/>
        </w:rPr>
        <w:t xml:space="preserve">is </w:t>
      </w:r>
      <w:r w:rsidRPr="003D034F">
        <w:rPr>
          <w:rFonts w:ascii="Book Antiqua" w:hAnsi="Book Antiqua" w:cs="Calibri"/>
          <w:sz w:val="24"/>
          <w:szCs w:val="24"/>
          <w:lang w:val="en-US"/>
        </w:rPr>
        <w:t xml:space="preserve">more frequently present </w:t>
      </w:r>
      <w:r w:rsidR="00003DD7" w:rsidRPr="003D034F">
        <w:rPr>
          <w:rFonts w:ascii="Book Antiqua" w:hAnsi="Book Antiqua" w:cs="Calibri"/>
          <w:sz w:val="24"/>
          <w:szCs w:val="24"/>
          <w:lang w:val="en-US"/>
        </w:rPr>
        <w:t xml:space="preserve">with </w:t>
      </w:r>
      <w:r w:rsidRPr="003D034F">
        <w:rPr>
          <w:rFonts w:ascii="Book Antiqua" w:hAnsi="Book Antiqua" w:cs="Calibri"/>
          <w:sz w:val="24"/>
          <w:szCs w:val="24"/>
          <w:lang w:val="en-US"/>
        </w:rPr>
        <w:t xml:space="preserve">concomitant ileal involvement and stenosing behavior, </w:t>
      </w:r>
      <w:r w:rsidRPr="003D034F">
        <w:rPr>
          <w:rFonts w:ascii="Book Antiqua" w:hAnsi="Book Antiqua" w:cs="Calibri"/>
          <w:sz w:val="24"/>
          <w:szCs w:val="24"/>
          <w:lang w:val="en-US"/>
        </w:rPr>
        <w:lastRenderedPageBreak/>
        <w:t xml:space="preserve">and </w:t>
      </w:r>
      <w:r w:rsidR="00003DD7" w:rsidRPr="003D034F">
        <w:rPr>
          <w:rFonts w:ascii="Book Antiqua" w:hAnsi="Book Antiqua" w:cs="Calibri"/>
          <w:sz w:val="24"/>
          <w:szCs w:val="24"/>
          <w:lang w:val="en-US"/>
        </w:rPr>
        <w:t xml:space="preserve">has </w:t>
      </w:r>
      <w:r w:rsidRPr="003D034F">
        <w:rPr>
          <w:rFonts w:ascii="Book Antiqua" w:hAnsi="Book Antiqua" w:cs="Calibri"/>
          <w:sz w:val="24"/>
          <w:szCs w:val="24"/>
          <w:lang w:val="en-US"/>
        </w:rPr>
        <w:t xml:space="preserve">a higher probability of having one or more </w:t>
      </w:r>
      <w:r w:rsidR="00003DD7" w:rsidRPr="003D034F">
        <w:rPr>
          <w:rFonts w:ascii="Book Antiqua" w:hAnsi="Book Antiqua" w:cs="Calibri"/>
          <w:sz w:val="24"/>
          <w:szCs w:val="24"/>
          <w:lang w:val="en-US"/>
        </w:rPr>
        <w:t xml:space="preserve">abdominal </w:t>
      </w:r>
      <w:r w:rsidRPr="003D034F">
        <w:rPr>
          <w:rFonts w:ascii="Book Antiqua" w:hAnsi="Book Antiqua" w:cs="Calibri"/>
          <w:sz w:val="24"/>
          <w:szCs w:val="24"/>
          <w:lang w:val="en-US"/>
        </w:rPr>
        <w:t>surgeries</w:t>
      </w:r>
      <w:r w:rsidR="00003DD7" w:rsidRPr="003D034F">
        <w:rPr>
          <w:rFonts w:ascii="Book Antiqua" w:hAnsi="Book Antiqua" w:cs="Calibri"/>
          <w:sz w:val="24"/>
          <w:szCs w:val="24"/>
          <w:lang w:val="en-US"/>
        </w:rPr>
        <w:t>.</w:t>
      </w:r>
      <w:r w:rsidRPr="003D034F">
        <w:rPr>
          <w:rFonts w:ascii="Book Antiqua" w:hAnsi="Book Antiqua" w:cs="Calibri"/>
          <w:sz w:val="24"/>
          <w:szCs w:val="24"/>
          <w:lang w:val="en-US"/>
        </w:rPr>
        <w:t xml:space="preserve"> When L4 (with jejunal involvement) and L4 </w:t>
      </w:r>
      <w:r w:rsidR="00CA5176" w:rsidRPr="003D034F">
        <w:rPr>
          <w:rFonts w:ascii="Book Antiqua" w:hAnsi="Book Antiqua" w:cs="Calibri"/>
          <w:sz w:val="24"/>
          <w:szCs w:val="24"/>
        </w:rPr>
        <w:t>esophagogastroduodenoscopy</w:t>
      </w:r>
      <w:r w:rsidR="00CA5176" w:rsidRPr="003D034F">
        <w:rPr>
          <w:rFonts w:ascii="Book Antiqua" w:hAnsi="Book Antiqua" w:cs="Calibri"/>
          <w:sz w:val="24"/>
          <w:szCs w:val="24"/>
          <w:lang w:val="en-US"/>
        </w:rPr>
        <w:t xml:space="preserve"> </w:t>
      </w:r>
      <w:r w:rsidRPr="003D034F">
        <w:rPr>
          <w:rFonts w:ascii="Book Antiqua" w:hAnsi="Book Antiqua" w:cs="Calibri"/>
          <w:sz w:val="24"/>
          <w:szCs w:val="24"/>
          <w:lang w:val="en-US"/>
        </w:rPr>
        <w:t xml:space="preserve">(esophageal </w:t>
      </w:r>
      <w:r w:rsidR="00B43067" w:rsidRPr="003D034F">
        <w:rPr>
          <w:rFonts w:ascii="Book Antiqua" w:hAnsi="Book Antiqua" w:cs="Calibri"/>
          <w:sz w:val="24"/>
          <w:szCs w:val="24"/>
          <w:lang w:val="en-US"/>
        </w:rPr>
        <w:t xml:space="preserve">and gastroduodenal </w:t>
      </w:r>
      <w:r w:rsidRPr="003D034F">
        <w:rPr>
          <w:rFonts w:ascii="Book Antiqua" w:hAnsi="Book Antiqua" w:cs="Calibri"/>
          <w:sz w:val="24"/>
          <w:szCs w:val="24"/>
          <w:lang w:val="en-US"/>
        </w:rPr>
        <w:t xml:space="preserve">involvement) are compared, the former are twice as likely to present </w:t>
      </w:r>
      <w:proofErr w:type="spellStart"/>
      <w:r w:rsidRPr="003D034F">
        <w:rPr>
          <w:rFonts w:ascii="Book Antiqua" w:hAnsi="Book Antiqua" w:cs="Calibri"/>
          <w:sz w:val="24"/>
          <w:szCs w:val="24"/>
          <w:lang w:val="en-US"/>
        </w:rPr>
        <w:t>ileal</w:t>
      </w:r>
      <w:proofErr w:type="spellEnd"/>
      <w:r w:rsidRPr="003D034F">
        <w:rPr>
          <w:rFonts w:ascii="Book Antiqua" w:hAnsi="Book Antiqua" w:cs="Calibri"/>
          <w:sz w:val="24"/>
          <w:szCs w:val="24"/>
          <w:lang w:val="en-US"/>
        </w:rPr>
        <w:t xml:space="preserve"> disease, </w:t>
      </w:r>
      <w:proofErr w:type="spellStart"/>
      <w:r w:rsidRPr="003D034F">
        <w:rPr>
          <w:rFonts w:ascii="Book Antiqua" w:hAnsi="Book Antiqua" w:cs="Calibri"/>
          <w:sz w:val="24"/>
          <w:szCs w:val="24"/>
          <w:lang w:val="en-US"/>
        </w:rPr>
        <w:t>stenosing</w:t>
      </w:r>
      <w:proofErr w:type="spellEnd"/>
      <w:r w:rsidRPr="003D034F">
        <w:rPr>
          <w:rFonts w:ascii="Book Antiqua" w:hAnsi="Book Antiqua" w:cs="Calibri"/>
          <w:sz w:val="24"/>
          <w:szCs w:val="24"/>
          <w:lang w:val="en-US"/>
        </w:rPr>
        <w:t xml:space="preserve"> behavior and one or </w:t>
      </w:r>
      <w:r w:rsidR="00003DD7" w:rsidRPr="003D034F">
        <w:rPr>
          <w:rFonts w:ascii="Book Antiqua" w:hAnsi="Book Antiqua" w:cs="Calibri"/>
          <w:sz w:val="24"/>
          <w:szCs w:val="24"/>
          <w:lang w:val="en-US"/>
        </w:rPr>
        <w:t xml:space="preserve">more </w:t>
      </w:r>
      <w:r w:rsidRPr="003D034F">
        <w:rPr>
          <w:rFonts w:ascii="Book Antiqua" w:hAnsi="Book Antiqua" w:cs="Calibri"/>
          <w:sz w:val="24"/>
          <w:szCs w:val="24"/>
          <w:lang w:val="en-US"/>
        </w:rPr>
        <w:t xml:space="preserve">abdominal surgeries. </w:t>
      </w:r>
      <w:r w:rsidR="00456F89" w:rsidRPr="003D034F">
        <w:rPr>
          <w:rFonts w:ascii="Book Antiqua" w:hAnsi="Book Antiqua" w:cs="Calibri"/>
          <w:sz w:val="24"/>
          <w:szCs w:val="24"/>
          <w:lang w:val="en-US"/>
        </w:rPr>
        <w:t>CD</w:t>
      </w:r>
      <w:r w:rsidRPr="003D034F">
        <w:rPr>
          <w:rFonts w:ascii="Book Antiqua" w:hAnsi="Book Antiqua" w:cs="Calibri"/>
          <w:sz w:val="24"/>
          <w:szCs w:val="24"/>
          <w:lang w:val="en-US"/>
        </w:rPr>
        <w:t xml:space="preserve"> with involvement of the esophagus, stomach and duodenum is diagnosed at an earlier age and has a lower number of abdominal surgeries</w:t>
      </w:r>
      <w:r w:rsidR="00E8267A" w:rsidRPr="003D034F">
        <w:rPr>
          <w:rFonts w:ascii="Book Antiqua" w:hAnsi="Book Antiqua" w:cs="Calibri"/>
          <w:sz w:val="24"/>
          <w:szCs w:val="24"/>
          <w:lang w:val="en-US"/>
        </w:rPr>
        <w:t xml:space="preserve">. </w:t>
      </w:r>
      <w:r w:rsidR="009F5F95" w:rsidRPr="003D034F">
        <w:rPr>
          <w:rFonts w:ascii="Book Antiqua" w:hAnsi="Book Antiqua" w:cs="Calibri"/>
          <w:sz w:val="24"/>
          <w:szCs w:val="24"/>
          <w:lang w:val="en-US"/>
        </w:rPr>
        <w:t>In view of these differences, the authors suggest a review of the Montreal classification in order to reclassify the L4 location in L4a (upper tract proximal to the Treitz ligament) and L4b (below the Treitz ligament until proximal to the distal third of the ileum) in adult patie</w:t>
      </w:r>
      <w:r w:rsidR="00B9550A" w:rsidRPr="003D034F">
        <w:rPr>
          <w:rFonts w:ascii="Book Antiqua" w:hAnsi="Book Antiqua" w:cs="Calibri"/>
          <w:sz w:val="24"/>
          <w:szCs w:val="24"/>
          <w:lang w:val="en-US"/>
        </w:rPr>
        <w:t>nts</w:t>
      </w:r>
      <w:r w:rsidR="009F5F95" w:rsidRPr="003D034F">
        <w:rPr>
          <w:rFonts w:ascii="Book Antiqua" w:hAnsi="Book Antiqua" w:cs="Calibri"/>
          <w:sz w:val="24"/>
          <w:szCs w:val="24"/>
          <w:lang w:val="en-US"/>
        </w:rPr>
        <w:t>, as is done in the pediatric population</w:t>
      </w:r>
      <w:r w:rsidR="00056AC0" w:rsidRPr="003D034F">
        <w:rPr>
          <w:rFonts w:ascii="Book Antiqua" w:hAnsi="Book Antiqua" w:cs="Calibri"/>
          <w:sz w:val="24"/>
          <w:szCs w:val="24"/>
        </w:rPr>
        <w:fldChar w:fldCharType="begin" w:fldLock="1"/>
      </w:r>
      <w:r w:rsidR="00FA1D23" w:rsidRPr="003D034F">
        <w:rPr>
          <w:rFonts w:ascii="Book Antiqua" w:hAnsi="Book Antiqua" w:cs="Calibri"/>
          <w:sz w:val="24"/>
          <w:szCs w:val="24"/>
          <w:lang w:val="en-US"/>
        </w:rPr>
        <w:instrText>ADDIN CSL_CITATION { "citationItems" : [ { "id" : "ITEM-1", "itemData" : { "DOI" : "10.1038/ajg.2012.389.", "PMID" : "23229423", "author" : [ { "dropping-particle" : "", "family" : "Lazarev", "given" : "Mark", "non-dropping-particle" : "", "parse-names" : false, "suffix" : "" }, { "dropping-particle" : "", "family" : "Huang", "given" : "Chengrui", "non-dropping-particle" : "", "parse-names" : false, "suffix" : "" }, { "dropping-particle" : "", "family" : "Bitton", "given" : "Alain", "non-dropping-particle" : "", "parse-names" : false, "suffix" : "" }, { "dropping-particle" : "", "family" : "Cho", "given" : "Judy H", "non-dropping-particle" : "", "parse-names" : false, "suffix" : "" }, { "dropping-particle" : "", "family" : "Duerr", "given" : "Richard H", "non-dropping-particle" : "", "parse-names" : false, "suffix" : "" }, { "dropping-particle" : "", "family" : "McGovern", "given" : "Dermot P", "non-dropping-particle" : "", "parse-names" : false, "suffix" : "" }, { "dropping-particle" : "", "family" : "Proctor", "given" : "Deborah D", "non-dropping-particle" : "", "parse-names" : false, "suffix" : "" }, { "dropping-particle" : "", "family" : "Regueiro", "given" : "Miguel", "non-dropping-particle" : "", "parse-names" : false, "suffix" : "" }, { "dropping-particle" : "", "family" : "Rioux", "given" : "John D", "non-dropping-particle" : "", "parse-names" : false, "suffix" : "" }, { "dropping-particle" : "", "family" : "Schumm", "given" : "Phillip P", "non-dropping-particle" : "", "parse-names" : false, "suffix" : "" }, { "dropping-particle" : "", "family" : "Taylor", "given" : "Kent D", "non-dropping-particle" : "", "parse-names" : false, "suffix" : "" }, { "dropping-particle" : "", "family" : "Silveberg", "given" : "Mark S", "non-dropping-particle" : "", "parse-names" : false, "suffix" : "" }, { "dropping-particle" : "", "family" : "Steinhart", "given" : "Hillary A", "non-dropping-particle" : "", "parse-names" : false, "suffix" : "" }, { "dropping-particle" : "", "family" : "Hutfless", "given" : "Susan"</w:instrText>
      </w:r>
      <w:r w:rsidR="00FA1D23" w:rsidRPr="003D034F">
        <w:rPr>
          <w:rFonts w:ascii="Book Antiqua" w:hAnsi="Book Antiqua" w:cs="Calibri"/>
          <w:sz w:val="24"/>
          <w:szCs w:val="24"/>
        </w:rPr>
        <w:instrText>, "non-dropping-particle" : "", "parse-names" : false, "suffix" : "" }, { "dropping-particle" : "", "family" : "Brant", "given" : "Steven R", "non-dropping-particle" : "", "parse-names" : false, "suffix" : "" } ], "id" : "ITEM-1", "issue" : "1", "issued" : { "date-parts" : [ [ "2014" ] ] }, "page" : "106-112", "title" : "Relationship between proximal Crohn's disease location and disease behavior and surgery: A cross-sectional study of the IBD Genetics Consortiom.", "type" : "article-journal", "volume" : "2012" }, "uris" : [ "http://www.mendeley.com/documents/?uuid=51252c48-c801-4126-afb4-f40b7b05f5bd" ] } ], "mendeley" : { "formattedCitation" : "&lt;sup&gt;[9]&lt;/sup&gt;", "plainTextFormattedCitation" : "[9]", "previouslyFormattedCitation" : "&lt;sup&gt;[9]&lt;/sup&gt;"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FA1D23" w:rsidRPr="003D034F">
        <w:rPr>
          <w:rFonts w:ascii="Book Antiqua" w:hAnsi="Book Antiqua" w:cs="Calibri"/>
          <w:noProof/>
          <w:sz w:val="24"/>
          <w:szCs w:val="24"/>
          <w:vertAlign w:val="superscript"/>
        </w:rPr>
        <w:t>[9</w:t>
      </w:r>
      <w:r w:rsidR="00FD4A3F" w:rsidRPr="003D034F">
        <w:rPr>
          <w:rFonts w:ascii="Book Antiqua" w:hAnsi="Book Antiqua" w:cs="Calibri"/>
          <w:noProof/>
          <w:sz w:val="24"/>
          <w:szCs w:val="24"/>
          <w:vertAlign w:val="superscript"/>
          <w:lang w:eastAsia="zh-CN"/>
        </w:rPr>
        <w:t>,12</w:t>
      </w:r>
      <w:r w:rsidR="00FA1D23" w:rsidRPr="003D034F">
        <w:rPr>
          <w:rFonts w:ascii="Book Antiqua" w:hAnsi="Book Antiqua" w:cs="Calibri"/>
          <w:noProof/>
          <w:sz w:val="24"/>
          <w:szCs w:val="24"/>
          <w:vertAlign w:val="superscript"/>
        </w:rPr>
        <w:t>]</w:t>
      </w:r>
      <w:r w:rsidR="00056AC0" w:rsidRPr="003D034F">
        <w:rPr>
          <w:rFonts w:ascii="Book Antiqua" w:hAnsi="Book Antiqua" w:cs="Calibri"/>
          <w:sz w:val="24"/>
          <w:szCs w:val="24"/>
        </w:rPr>
        <w:fldChar w:fldCharType="end"/>
      </w:r>
      <w:r w:rsidR="00E8267A" w:rsidRPr="003D034F">
        <w:rPr>
          <w:rFonts w:ascii="Book Antiqua" w:hAnsi="Book Antiqua" w:cs="Calibri"/>
          <w:sz w:val="24"/>
          <w:szCs w:val="24"/>
          <w:lang w:val="en-US"/>
        </w:rPr>
        <w:t>.</w:t>
      </w:r>
      <w:r w:rsidR="00B31116" w:rsidRPr="003D034F">
        <w:rPr>
          <w:rFonts w:ascii="Book Antiqua" w:hAnsi="Book Antiqua" w:cs="Calibri"/>
          <w:sz w:val="24"/>
          <w:szCs w:val="24"/>
          <w:lang w:val="en-US"/>
        </w:rPr>
        <w:t xml:space="preserve"> </w:t>
      </w:r>
    </w:p>
    <w:p w:rsidR="00EB2719" w:rsidRPr="003D034F" w:rsidRDefault="00606B1C" w:rsidP="003D034F">
      <w:pPr>
        <w:autoSpaceDE w:val="0"/>
        <w:autoSpaceDN w:val="0"/>
        <w:adjustRightInd w:val="0"/>
        <w:spacing w:after="0" w:line="360" w:lineRule="auto"/>
        <w:ind w:firstLineChars="100" w:firstLine="240"/>
        <w:jc w:val="both"/>
        <w:rPr>
          <w:rFonts w:ascii="Book Antiqua" w:hAnsi="Book Antiqua" w:cs="Calibri"/>
          <w:sz w:val="24"/>
          <w:szCs w:val="24"/>
          <w:lang w:val="en-US"/>
        </w:rPr>
      </w:pPr>
      <w:r w:rsidRPr="003D034F">
        <w:rPr>
          <w:rFonts w:ascii="Book Antiqua" w:hAnsi="Book Antiqua" w:cs="Calibri"/>
          <w:sz w:val="24"/>
          <w:szCs w:val="24"/>
          <w:lang w:val="en-US"/>
        </w:rPr>
        <w:t xml:space="preserve">The prevalence of lesions in the </w:t>
      </w:r>
      <w:r w:rsidR="00B9550A" w:rsidRPr="003D034F">
        <w:rPr>
          <w:rFonts w:ascii="Book Antiqua" w:hAnsi="Book Antiqua" w:cs="Calibri"/>
          <w:sz w:val="24"/>
          <w:szCs w:val="24"/>
          <w:lang w:val="en-US"/>
        </w:rPr>
        <w:t>UGT</w:t>
      </w:r>
      <w:r w:rsidRPr="003D034F">
        <w:rPr>
          <w:rFonts w:ascii="Book Antiqua" w:hAnsi="Book Antiqua" w:cs="Calibri"/>
          <w:sz w:val="24"/>
          <w:szCs w:val="24"/>
          <w:lang w:val="en-US"/>
        </w:rPr>
        <w:t xml:space="preserve"> in symptomatic patients varies from 0.5% to 5%, but more recent observational studies show a higher frequency of endoscopic and histological alterations when upper digestive endoscopy </w:t>
      </w:r>
      <w:r w:rsidR="00FD4A3F" w:rsidRPr="003D034F">
        <w:rPr>
          <w:rFonts w:ascii="Book Antiqua" w:hAnsi="Book Antiqua" w:cs="Calibri"/>
          <w:sz w:val="24"/>
          <w:szCs w:val="24"/>
          <w:lang w:val="en-US" w:eastAsia="zh-CN"/>
        </w:rPr>
        <w:t xml:space="preserve">(UDE) </w:t>
      </w:r>
      <w:r w:rsidRPr="003D034F">
        <w:rPr>
          <w:rFonts w:ascii="Book Antiqua" w:hAnsi="Book Antiqua" w:cs="Calibri"/>
          <w:sz w:val="24"/>
          <w:szCs w:val="24"/>
          <w:lang w:val="en-US"/>
        </w:rPr>
        <w:t>is performed routinely as part of the evaluation of the disease, regardless of the presence of gastrointestinal symptoms</w:t>
      </w:r>
      <w:r w:rsidR="00056AC0" w:rsidRPr="003D034F">
        <w:rPr>
          <w:rFonts w:ascii="Book Antiqua" w:hAnsi="Book Antiqua" w:cs="Calibri"/>
          <w:sz w:val="24"/>
          <w:szCs w:val="24"/>
        </w:rPr>
        <w:fldChar w:fldCharType="begin" w:fldLock="1"/>
      </w:r>
      <w:r w:rsidR="0025673C" w:rsidRPr="003D034F">
        <w:rPr>
          <w:rFonts w:ascii="Book Antiqua" w:hAnsi="Book Antiqua" w:cs="Calibri"/>
          <w:sz w:val="24"/>
          <w:szCs w:val="24"/>
          <w:lang w:val="en-US"/>
        </w:rPr>
        <w:instrText>ADDIN CSL_CITATION { "citationItems" : [ { "id" : "ITEM-1", "itemData" : { "ISBN" : "0017-5749", "ISSN" : "0017-5749", "PMID" : "8675090", "abstract" : "The frequency of gastric Crohn's disease has been considered low. This study was undertaken to determine the prevalence of chronic gastritis and Helicobacter pylori infection in patients with Crohn's disease. Oesophagogastroduodenoscopy was performed on 62 consecutive patients suffering from ileocolonic Crohn's disease. Biopsy specimens from the antrum and corpus were processed for both histological and bacteriological examinations. H pylori antibodies of IgG and IgA classes were measured in serum samples by enzyme immunoassay. Six patients (9.7%) were infected with H pylori, as shown by histology, and in five of them the infection was also verified by serology. Twenty one patients (32%) had chronic H pylori negative gastritis (negative by both histology and serology) and one of them also had atrophy in the antrum and corpus. Granulomas were found in four patients. The characteristic appearance of H pylori negative gastritis was focal and mostly mild inflammation resembling the inflammatory changes seen in the gut in Crohn's disease. Patients with H pylori negative chronic gastritis had a significantly more active disease in their gut than those with normal gastric mucosa (p &lt; 0.01). It is concluded that H pylori positive gastritis is rare, while H pylori negative gastritis is relatively common in patients with Crohn's disease. H pylori negative 'Crohn's gastritis' seems to be associated with active Crohn's disease.", "author" : [ { "dropping-particle" : "", "family" : "Halme", "given" : "L", "non-dropping-particle" : "", "parse-names" : false, "suffix" : "" }, { "dropping-particle" : "", "family" : "Karkkainen", "given" : "P", "non-dropping-particle" : "", "parse-names" : false, "suffix" : "" }, { "dropping-particle" : "", "family" : "Rautelin", "given" : "H", "non-dropping-particle" : "", "parse-names" : false, "suffix" : "" }, { "dropping-particle" : "", "family" : "Kosunen", "given" : "T U", "non-dropping-particle" : "", "parse-names" : false, "suffix" : "" }, { "dropping-particle" : "", "family" : "Sipponen", "given" : "P", "non-dropping-particle" : "", "parse-names" : false, "suffix" : "" } ], "container-title" : "Gut", "id" : "ITEM-1", "issue" : "3", "issued" : { "date-parts" : [ [ "1996" ] ] }, "page" : "379-383", "title" : "High frequency of helicobacter negative gastritis in patients with Crohn's disease", "type" : "article-journal", "volume" : "38" }, "uris" : [ "http://www.mendeley.com/documents/?uuid=f2f8457f-4ead-4cc0-9b91-b1ea2df08e42" ] }</w:instrText>
      </w:r>
      <w:r w:rsidR="0025673C" w:rsidRPr="003D034F">
        <w:rPr>
          <w:rFonts w:ascii="Book Antiqua" w:hAnsi="Book Antiqua" w:cs="Calibri"/>
          <w:sz w:val="24"/>
          <w:szCs w:val="24"/>
        </w:rPr>
        <w:instrText xml:space="preserve"> ], "mendeley" : { "formattedCitation" : "&lt;sup&gt;[13]&lt;/sup&gt;", "plainTextFormattedCitation" : "[13]", "previouslyFormattedCitation" : "&lt;sup&gt;[13]&lt;/sup&gt;"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25673C" w:rsidRPr="003D034F">
        <w:rPr>
          <w:rFonts w:ascii="Book Antiqua" w:hAnsi="Book Antiqua" w:cs="Calibri"/>
          <w:noProof/>
          <w:sz w:val="24"/>
          <w:szCs w:val="24"/>
          <w:vertAlign w:val="superscript"/>
        </w:rPr>
        <w:t>[13</w:t>
      </w:r>
      <w:r w:rsidR="00FD4A3F" w:rsidRPr="003D034F">
        <w:rPr>
          <w:rFonts w:ascii="Book Antiqua" w:hAnsi="Book Antiqua" w:cs="Calibri"/>
          <w:noProof/>
          <w:sz w:val="24"/>
          <w:szCs w:val="24"/>
          <w:vertAlign w:val="superscript"/>
          <w:lang w:eastAsia="zh-CN"/>
        </w:rPr>
        <w:t>-16</w:t>
      </w:r>
      <w:r w:rsidR="0025673C" w:rsidRPr="003D034F">
        <w:rPr>
          <w:rFonts w:ascii="Book Antiqua" w:hAnsi="Book Antiqua" w:cs="Calibri"/>
          <w:noProof/>
          <w:sz w:val="24"/>
          <w:szCs w:val="24"/>
          <w:vertAlign w:val="superscript"/>
        </w:rPr>
        <w:t>]</w:t>
      </w:r>
      <w:r w:rsidR="00056AC0" w:rsidRPr="003D034F">
        <w:rPr>
          <w:rFonts w:ascii="Book Antiqua" w:hAnsi="Book Antiqua" w:cs="Calibri"/>
          <w:sz w:val="24"/>
          <w:szCs w:val="24"/>
        </w:rPr>
        <w:fldChar w:fldCharType="end"/>
      </w:r>
      <w:r w:rsidR="00EB2719" w:rsidRPr="003D034F">
        <w:rPr>
          <w:rFonts w:ascii="Book Antiqua" w:hAnsi="Book Antiqua" w:cs="Calibri"/>
          <w:sz w:val="24"/>
          <w:szCs w:val="24"/>
          <w:lang w:val="en-US"/>
        </w:rPr>
        <w:t xml:space="preserve">. </w:t>
      </w:r>
      <w:r w:rsidR="006177C1" w:rsidRPr="003D034F">
        <w:rPr>
          <w:rFonts w:ascii="Book Antiqua" w:hAnsi="Book Antiqua" w:cs="Calibri"/>
          <w:sz w:val="24"/>
          <w:szCs w:val="24"/>
          <w:lang w:val="en-US"/>
        </w:rPr>
        <w:t xml:space="preserve">Studies performed in the pediatric population demonstrate that the involvement of the </w:t>
      </w:r>
      <w:r w:rsidR="00B9550A" w:rsidRPr="003D034F">
        <w:rPr>
          <w:rFonts w:ascii="Book Antiqua" w:hAnsi="Book Antiqua" w:cs="Calibri"/>
          <w:sz w:val="24"/>
          <w:szCs w:val="24"/>
          <w:lang w:val="en-US"/>
        </w:rPr>
        <w:t>UGT</w:t>
      </w:r>
      <w:r w:rsidR="006177C1" w:rsidRPr="003D034F">
        <w:rPr>
          <w:rFonts w:ascii="Book Antiqua" w:hAnsi="Book Antiqua" w:cs="Calibri"/>
          <w:sz w:val="24"/>
          <w:szCs w:val="24"/>
          <w:lang w:val="en-US"/>
        </w:rPr>
        <w:t xml:space="preserve"> has a higher prevalence, since it is recommended to perform</w:t>
      </w:r>
      <w:r w:rsidR="00F246C2" w:rsidRPr="003D034F">
        <w:rPr>
          <w:rFonts w:ascii="Book Antiqua" w:hAnsi="Book Antiqua" w:cs="Calibri"/>
          <w:sz w:val="24"/>
          <w:szCs w:val="24"/>
          <w:lang w:val="en-US"/>
        </w:rPr>
        <w:t xml:space="preserve"> </w:t>
      </w:r>
      <w:r w:rsidR="00AC3EF2" w:rsidRPr="003D034F">
        <w:rPr>
          <w:rFonts w:ascii="Book Antiqua" w:hAnsi="Book Antiqua" w:cs="Calibri"/>
          <w:sz w:val="24"/>
          <w:szCs w:val="24"/>
          <w:lang w:val="en-US"/>
        </w:rPr>
        <w:t>U</w:t>
      </w:r>
      <w:r w:rsidR="00F246C2" w:rsidRPr="003D034F">
        <w:rPr>
          <w:rFonts w:ascii="Book Antiqua" w:hAnsi="Book Antiqua" w:cs="Calibri"/>
          <w:sz w:val="24"/>
          <w:szCs w:val="24"/>
          <w:lang w:val="en-US"/>
        </w:rPr>
        <w:t>D</w:t>
      </w:r>
      <w:r w:rsidR="00FD4A3F" w:rsidRPr="003D034F">
        <w:rPr>
          <w:rFonts w:ascii="Book Antiqua" w:hAnsi="Book Antiqua" w:cs="Calibri"/>
          <w:sz w:val="24"/>
          <w:szCs w:val="24"/>
          <w:lang w:val="en-US"/>
        </w:rPr>
        <w:t>E</w:t>
      </w:r>
      <w:r w:rsidR="00F246C2" w:rsidRPr="003D034F">
        <w:rPr>
          <w:rFonts w:ascii="Book Antiqua" w:hAnsi="Book Antiqua" w:cs="Calibri"/>
          <w:sz w:val="24"/>
          <w:szCs w:val="24"/>
          <w:lang w:val="en-US"/>
        </w:rPr>
        <w:t xml:space="preserve"> </w:t>
      </w:r>
      <w:r w:rsidR="006177C1" w:rsidRPr="003D034F">
        <w:rPr>
          <w:rFonts w:ascii="Book Antiqua" w:hAnsi="Book Antiqua" w:cs="Calibri"/>
          <w:sz w:val="24"/>
          <w:szCs w:val="24"/>
          <w:lang w:val="en-US"/>
        </w:rPr>
        <w:t xml:space="preserve">with biopsies of the </w:t>
      </w:r>
      <w:r w:rsidR="00CA5176" w:rsidRPr="003D034F">
        <w:rPr>
          <w:rFonts w:ascii="Book Antiqua" w:hAnsi="Book Antiqua" w:cs="Calibri"/>
          <w:sz w:val="24"/>
          <w:szCs w:val="24"/>
          <w:lang w:val="en-US"/>
        </w:rPr>
        <w:t>UGT</w:t>
      </w:r>
      <w:r w:rsidR="006177C1" w:rsidRPr="003D034F">
        <w:rPr>
          <w:rFonts w:ascii="Book Antiqua" w:hAnsi="Book Antiqua" w:cs="Calibri"/>
          <w:sz w:val="24"/>
          <w:szCs w:val="24"/>
          <w:lang w:val="en-US"/>
        </w:rPr>
        <w:t xml:space="preserve"> routinely </w:t>
      </w:r>
      <w:r w:rsidR="00003DD7" w:rsidRPr="003D034F">
        <w:rPr>
          <w:rFonts w:ascii="Book Antiqua" w:hAnsi="Book Antiqua" w:cs="Calibri"/>
          <w:sz w:val="24"/>
          <w:szCs w:val="24"/>
          <w:lang w:val="en-US"/>
        </w:rPr>
        <w:t xml:space="preserve">upon </w:t>
      </w:r>
      <w:r w:rsidR="006177C1" w:rsidRPr="003D034F">
        <w:rPr>
          <w:rFonts w:ascii="Book Antiqua" w:hAnsi="Book Antiqua" w:cs="Calibri"/>
          <w:sz w:val="24"/>
          <w:szCs w:val="24"/>
          <w:lang w:val="en-US"/>
        </w:rPr>
        <w:t>the initial presentation of inflammatory bowel disease</w:t>
      </w:r>
      <w:r w:rsidR="00ED0A6A" w:rsidRPr="003D034F">
        <w:rPr>
          <w:rFonts w:ascii="Book Antiqua" w:hAnsi="Book Antiqua" w:cs="Calibri"/>
          <w:sz w:val="24"/>
          <w:szCs w:val="24"/>
          <w:lang w:val="en-US"/>
        </w:rPr>
        <w:t xml:space="preserve"> (IBD)</w:t>
      </w:r>
      <w:r w:rsidR="006177C1" w:rsidRPr="003D034F">
        <w:rPr>
          <w:rFonts w:ascii="Book Antiqua" w:hAnsi="Book Antiqua" w:cs="Calibri"/>
          <w:sz w:val="24"/>
          <w:szCs w:val="24"/>
          <w:lang w:val="en-US"/>
        </w:rPr>
        <w:t xml:space="preserve"> in this patient group</w:t>
      </w:r>
      <w:r w:rsidR="00056AC0" w:rsidRPr="003D034F">
        <w:rPr>
          <w:rFonts w:ascii="Book Antiqua" w:hAnsi="Book Antiqua" w:cs="Calibri"/>
          <w:sz w:val="24"/>
          <w:szCs w:val="24"/>
        </w:rPr>
        <w:fldChar w:fldCharType="begin" w:fldLock="1"/>
      </w:r>
      <w:r w:rsidR="00D652FA" w:rsidRPr="003D034F">
        <w:rPr>
          <w:rFonts w:ascii="Book Antiqua" w:hAnsi="Book Antiqua" w:cs="Calibri"/>
          <w:sz w:val="24"/>
          <w:szCs w:val="24"/>
          <w:lang w:val="en-US"/>
        </w:rPr>
        <w:instrText>ADDIN CSL_CITATION { "citationItems" : [ { "id" : "ITEM-1", "itemData" : { "DOI" : "10.1097/00005176-200211000-00009", "ISBN" : "0277-2116", "ISSN" : "02772116", "PMID" : "12454578", "abstract" : "OBJECTIVES: To assess the role of esophagogastroduodenoscopy in the evaluation of children with suspected inflammatory bowel disease. METHODS: All children with inflammatory bowel disease who underwent esophagogastroduodenoscopy during their initial evaluation at our institution during a 7-year period (December 1993 to November 2000) were included in the study. RESULTS: The study included 115 patients: 81 with Crohn disease (mean age, 11.34 years; 42 males) and 34 with ulcerative colitis (mean age, 11.79 years; 20 males). Abnormal findings on esophagogastroduodenoscopy were noted in 64% of patients with Crohn disease and 50% of children with ulcerative colitis; histologic abnormalities were found in 81.6% and 70.6% of the patients, respectively. Granulomas were found in the upper gastrointestinal tracts of 23 of 81 patients (28.4%), with the most common site being the gastric mucosa. Nine of these 23 patients had granulomas solely in the upper gastrointestinal tract. Additional unsuspected pathology noted included: candidiasis, hiatal hernia, Helicobacter pylori infection, and giardiasis. CONCLUSIONS: Endoscopic and histologic abnormalities were found in the upper gastrointestinal tracts of a significant number of children with inflammatory bowel disease. While the mechanism(s) underlying these abnormalities in patients with ulcerative colitis is unclear, the pathology can contribute to the patient's clinical condition. Pathology in the upper gastrointestinal tract should not exclude a diagnosis of ulcerative colitis. Granulomas, confirming the diagnosis of Crohn disease, were found in the upper gastrointestinal tracts of 28% of our patients with Crohn disease. In some cases, granulomas were found solely in the upper gastrointestinal tracts. Based on our data, esophagogastroduodenoscopy with biopsy should be performed in all pediatric patients with suspected inflammatory bowel disease.", "author" : [ { "dropping-particle" : "", "family" : "Abdullah", "given" : "Bisher A.", "non-dropping-particle" : "", "parse-names" : false, "suffix" : "" }, { "dropping-particle" : "", "family" : "Gupta", "given" : "Sandeep K.", "non-dropping-particle" : "", "parse-names" : false, "suffix" : "" }, { "dropping-particle" : "", "family" : "Croffie", "given" : "Joseph M.", "non-dropping-particle" : "", "parse-names" : false, "suffix" : "" }, { "dropping-particle" : "", "family" : "Pfefferkorn", "given" : "Marian D.", "non-dropping-particle" : "", "parse-names" : false, "suffix" : "</w:instrText>
      </w:r>
      <w:r w:rsidR="00D652FA" w:rsidRPr="003D034F">
        <w:rPr>
          <w:rFonts w:ascii="Book Antiqua" w:hAnsi="Book Antiqua" w:cs="Calibri"/>
          <w:sz w:val="24"/>
          <w:szCs w:val="24"/>
        </w:rPr>
        <w:instrText>" }, { "dropping-particle" : "", "family" : "Molleston", "given" : "Jean Pappas", "non-dropping-particle" : "", "parse-names" : false, "suffix" : "" }, { "dropping-particle" : "", "family" : "Corkins", "given" : "Mark R.", "non-dropping-particle" : "", "parse-names" : false, "suffix" : "" }, { "dropping-particle" : "", "family" : "Fitzgerald", "given" : "Joseph F.", "non-dropping-particle" : "", "parse-names" : false, "suffix" : "" } ], "container-title" : "Journal of Pediatric Gastroenterology and Nutrition", "id" : "ITEM-1", "issue" : "5", "issued" : { "date-parts" : [ [ "2002" ] ] }, "page" : "636-640", "title" : "The role of esophagogastroduodenoscopy in the initial evaluation of childhood inflammatory bowel disease: A 7-year study", "type" : "article-journal", "volume" : "35" }, "uris" : [ "http://www.mendeley.com/documents/?uuid=9e088f2d-48bd-42cc-bed5-6f1cf6542e77" ] } ], "mendeley" : { "formattedCitation" : "&lt;sup&gt;[17]&lt;/sup&gt;", "plainTextFormattedCitation" : "[17]", "previouslyFormattedCitation" : "&lt;sup&gt;[17]&lt;/sup&gt;"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D652FA" w:rsidRPr="003D034F">
        <w:rPr>
          <w:rFonts w:ascii="Book Antiqua" w:hAnsi="Book Antiqua" w:cs="Calibri"/>
          <w:noProof/>
          <w:sz w:val="24"/>
          <w:szCs w:val="24"/>
          <w:vertAlign w:val="superscript"/>
        </w:rPr>
        <w:t>[17</w:t>
      </w:r>
      <w:r w:rsidR="00FD4A3F" w:rsidRPr="003D034F">
        <w:rPr>
          <w:rFonts w:ascii="Book Antiqua" w:hAnsi="Book Antiqua" w:cs="Calibri"/>
          <w:noProof/>
          <w:sz w:val="24"/>
          <w:szCs w:val="24"/>
          <w:vertAlign w:val="superscript"/>
          <w:lang w:eastAsia="zh-CN"/>
        </w:rPr>
        <w:t>-21</w:t>
      </w:r>
      <w:r w:rsidR="00D652FA" w:rsidRPr="003D034F">
        <w:rPr>
          <w:rFonts w:ascii="Book Antiqua" w:hAnsi="Book Antiqua" w:cs="Calibri"/>
          <w:noProof/>
          <w:sz w:val="24"/>
          <w:szCs w:val="24"/>
          <w:vertAlign w:val="superscript"/>
        </w:rPr>
        <w:t>]</w:t>
      </w:r>
      <w:r w:rsidR="00056AC0" w:rsidRPr="003D034F">
        <w:rPr>
          <w:rFonts w:ascii="Book Antiqua" w:hAnsi="Book Antiqua" w:cs="Calibri"/>
          <w:sz w:val="24"/>
          <w:szCs w:val="24"/>
        </w:rPr>
        <w:fldChar w:fldCharType="end"/>
      </w:r>
      <w:r w:rsidR="00E564A9" w:rsidRPr="003D034F">
        <w:rPr>
          <w:rFonts w:ascii="Book Antiqua" w:hAnsi="Book Antiqua" w:cs="Calibri"/>
          <w:sz w:val="24"/>
          <w:szCs w:val="24"/>
        </w:rPr>
        <w:t xml:space="preserve">. </w:t>
      </w:r>
      <w:r w:rsidR="000B210F" w:rsidRPr="003D034F">
        <w:rPr>
          <w:rFonts w:ascii="Book Antiqua" w:hAnsi="Book Antiqua" w:cs="Calibri"/>
          <w:sz w:val="24"/>
          <w:szCs w:val="24"/>
          <w:lang w:val="en-US"/>
        </w:rPr>
        <w:t xml:space="preserve">In a prospective cohort of 1015 adult patients with </w:t>
      </w:r>
      <w:r w:rsidR="00456F89" w:rsidRPr="003D034F">
        <w:rPr>
          <w:rFonts w:ascii="Book Antiqua" w:hAnsi="Book Antiqua" w:cs="Calibri"/>
          <w:sz w:val="24"/>
          <w:szCs w:val="24"/>
          <w:lang w:val="en-US"/>
        </w:rPr>
        <w:t>CD</w:t>
      </w:r>
      <w:r w:rsidR="000B210F" w:rsidRPr="003D034F">
        <w:rPr>
          <w:rFonts w:ascii="Book Antiqua" w:hAnsi="Book Antiqua" w:cs="Calibri"/>
          <w:sz w:val="24"/>
          <w:szCs w:val="24"/>
          <w:lang w:val="en-US"/>
        </w:rPr>
        <w:t>, upper tract involvement occurred in 11.7%, and 60% of them also had concomitant involvement of the ileocolonic region</w:t>
      </w:r>
      <w:r w:rsidR="00056AC0" w:rsidRPr="003D034F">
        <w:rPr>
          <w:rFonts w:ascii="Book Antiqua" w:hAnsi="Book Antiqua" w:cs="Calibri"/>
          <w:sz w:val="24"/>
          <w:szCs w:val="24"/>
        </w:rPr>
        <w:fldChar w:fldCharType="begin" w:fldLock="1"/>
      </w:r>
      <w:r w:rsidR="00EE109A" w:rsidRPr="003D034F">
        <w:rPr>
          <w:rFonts w:ascii="Book Antiqua" w:hAnsi="Book Antiqua" w:cs="Calibri"/>
          <w:sz w:val="24"/>
          <w:szCs w:val="24"/>
          <w:lang w:val="en-US"/>
        </w:rPr>
        <w:instrText>ADDIN CSL_CITATION { "citationItems" : [ { "id" : "ITEM-1", "itemData" : { "DOI" : "10.1155/2007/917649", "ISSN" : "08357900", "PMID" : "17853953", "abstract" : "BACKGROUND: The epithelioid granuloma is a characteristic histological feature of Crohn's disease. In some pathological classification schemes, the criteria for a definite, probable or possible diagnosis have been listed, with the epithelioid granuloma indicating definite Crohn's disease.\\n\\nMETHODS: In the present evaluation, 247 prospectively evaluated Crohn's disease patients (24.3%), from a consecutively accumulated population database of 1015 patients, were found to have an epithelioid granuloma. The recently devised Montreal classification for Crohn's disease was then applied to this granuloma-positive cohort of Crohn's disease patients to define age at diagnosis for men and women, disease site and disease behaviour.\\n\\nRESULTS: The investigation showed that patients with Crohn's disease and granulomas were most often diagnosed early in the course of their disease, particularly women. Their disease was often extensive, with ileocolonic and upper gastrointestinal tract involvement. Finally, disease behaviour was most often complex, especially with penetrating disease complications.\\n\\nCONCLUSION: Using homogeneous (ie, 'reagent-grade') patient cohorts defined by a recently devised classification method for Crohn's disease, the study demonstrated that an epithelioid granuloma may represent a histopathological marker for an early biological event in the etiopathogenesis of Crohn's disease, and this may have predictive significance with respect to the location and clinical behaviour of Crohn's disease.", "author" : [ { "dropping-particle" : "", "family" : "Freeman", "given" : "Hugh J.", "non-dropping-particle" : "", "parse-names" : false, "suffix" : "" } ], "container-title" : "Canadian Journal of Gastroenterology", "id" : "ITEM-1", "issue" : "9", "issued" : { "date-parts" : [ [ "2007" ] ] }, "page" : "583-587", "title" : "Granuloma-positive Crohn's disease", "type" : "article-journal", "volume" : "21" }, "uris" : [ "http://www.mendeley.com/documents/?uuid=51a7db0e-9d82-493d-967d-e5877f4c0713" ] } ], "mendeley" : { "formattedCitation" : "&lt;sup&gt;[22]&lt;/sup&gt;", "plainTextFormattedCitation" : "[22]", "previouslyFormattedCitation" : "&lt;sup&gt;[22]&lt;/sup&gt;"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EE109A" w:rsidRPr="003D034F">
        <w:rPr>
          <w:rFonts w:ascii="Book Antiqua" w:hAnsi="Book Antiqua" w:cs="Calibri"/>
          <w:noProof/>
          <w:sz w:val="24"/>
          <w:szCs w:val="24"/>
          <w:vertAlign w:val="superscript"/>
          <w:lang w:val="en-US"/>
        </w:rPr>
        <w:t>[22]</w:t>
      </w:r>
      <w:r w:rsidR="00056AC0" w:rsidRPr="003D034F">
        <w:rPr>
          <w:rFonts w:ascii="Book Antiqua" w:hAnsi="Book Antiqua" w:cs="Calibri"/>
          <w:sz w:val="24"/>
          <w:szCs w:val="24"/>
        </w:rPr>
        <w:fldChar w:fldCharType="end"/>
      </w:r>
      <w:r w:rsidR="00B30E91" w:rsidRPr="003D034F">
        <w:rPr>
          <w:rFonts w:ascii="Book Antiqua" w:hAnsi="Book Antiqua" w:cs="Calibri"/>
          <w:sz w:val="24"/>
          <w:szCs w:val="24"/>
          <w:lang w:val="en-US"/>
        </w:rPr>
        <w:t xml:space="preserve">. </w:t>
      </w:r>
      <w:r w:rsidR="00C34487" w:rsidRPr="003D034F">
        <w:rPr>
          <w:rFonts w:ascii="Book Antiqua" w:hAnsi="Book Antiqua" w:cs="Calibri"/>
          <w:sz w:val="24"/>
          <w:szCs w:val="24"/>
          <w:lang w:val="en-US"/>
        </w:rPr>
        <w:t xml:space="preserve">Despite the high prevalence of macroscopic and microscopic findings with the most frequent endoscopy of the </w:t>
      </w:r>
      <w:r w:rsidR="00B9550A" w:rsidRPr="003D034F">
        <w:rPr>
          <w:rFonts w:ascii="Book Antiqua" w:hAnsi="Book Antiqua" w:cs="Calibri"/>
          <w:sz w:val="24"/>
          <w:szCs w:val="24"/>
          <w:lang w:val="en-US"/>
        </w:rPr>
        <w:t>UGT</w:t>
      </w:r>
      <w:r w:rsidR="00C34487" w:rsidRPr="003D034F">
        <w:rPr>
          <w:rFonts w:ascii="Book Antiqua" w:hAnsi="Book Antiqua" w:cs="Calibri"/>
          <w:sz w:val="24"/>
          <w:szCs w:val="24"/>
          <w:lang w:val="en-US"/>
        </w:rPr>
        <w:t>, many of them are not specific and present uncertain relevance in clinical practice</w:t>
      </w:r>
      <w:r w:rsidR="00056AC0" w:rsidRPr="003D034F">
        <w:rPr>
          <w:rFonts w:ascii="Book Antiqua" w:hAnsi="Book Antiqua" w:cs="Calibri"/>
          <w:sz w:val="24"/>
          <w:szCs w:val="24"/>
        </w:rPr>
        <w:fldChar w:fldCharType="begin" w:fldLock="1"/>
      </w:r>
      <w:r w:rsidR="00EE109A" w:rsidRPr="003D034F">
        <w:rPr>
          <w:rFonts w:ascii="Book Antiqua" w:hAnsi="Book Antiqua" w:cs="Calibri"/>
          <w:sz w:val="24"/>
          <w:szCs w:val="24"/>
          <w:lang w:val="en-US"/>
        </w:rPr>
        <w:instrText>ADDIN CSL_CITATION { "citationItems" : [ { "id" : "ITEM-1", "itemData" : { "DOI" : "10.1007/s11894-009-0036-0", "ISBN" : "1522-8037", "ISSN" : "15228037", "PMID" : "18377798", "abstract" : "Upper gastrointestinal (GI) tract inflammation in inflammatory bowel disease has become increasingly recognized, even in the absence of specific localizing symptoms, as patients more frequently undergo upper endoscopy. Although the recent Montreal classification system allowed classification of upper GI involvement in Crohn's disease (CD), independent of other locations, a consensus regarding the definition of what qualifies as significant \"involvement\" is still lacking. Reported incidence data vary considerably depending on the definitions used and the selected target population. Pediatric data suggest that upper endoscopy is useful in differentiating CD from ulcerative colitis, when inflammation is otherwise predominantly confined to the colon; however, this question has yet to be studied in adults. Infliximab therapy for upper GI-CD seems as effective as that seen for more distal GI inflammation.", "author" : [ { "dropping-particle" : "", "family" : "Turner", "given" : "Dan", "non-dropping-particle" : "", "parse-names" : false, "suffix" : "" }, { "dropping-particle" : "", "family" : "Griffiths", "given" : "Anne M.", "non-dropping-particle" : "", "parse-names" : false, "suffix" : "" } ], "container-title" : "Current Gastroenterology Reports", "id" : "ITEM-1", "issue" : "3", "issued" : { "date-parts" : [ [ "2009" ] ] }, "page" : "234-237", "title" : "Esophageal, gastric, and duodenal manifestations of IBD and the role of upper endoscopy in IBD diagnosis", "type" : "article-journal", "volume" : "11" }, "uris" : [ "http://www.mendeley.com/documents/?uuid=a5f92569-1729-4200-a363-9c253bf91e88" ] } ], "mendeley" : { "formattedCitation" : "&lt;sup&gt;[23]&lt;/sup&gt;", "plainTextFormattedCitation" : "[23]", "previouslyFormattedCitation" : "&lt;sup&gt;[23]&lt;/sup&gt;"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EE109A" w:rsidRPr="003D034F">
        <w:rPr>
          <w:rFonts w:ascii="Book Antiqua" w:hAnsi="Book Antiqua" w:cs="Calibri"/>
          <w:noProof/>
          <w:sz w:val="24"/>
          <w:szCs w:val="24"/>
          <w:vertAlign w:val="superscript"/>
          <w:lang w:val="en-US"/>
        </w:rPr>
        <w:t>[23]</w:t>
      </w:r>
      <w:r w:rsidR="00056AC0" w:rsidRPr="003D034F">
        <w:rPr>
          <w:rFonts w:ascii="Book Antiqua" w:hAnsi="Book Antiqua" w:cs="Calibri"/>
          <w:sz w:val="24"/>
          <w:szCs w:val="24"/>
        </w:rPr>
        <w:fldChar w:fldCharType="end"/>
      </w:r>
      <w:r w:rsidR="00870561" w:rsidRPr="003D034F">
        <w:rPr>
          <w:rFonts w:ascii="Book Antiqua" w:hAnsi="Book Antiqua" w:cs="Calibri"/>
          <w:sz w:val="24"/>
          <w:szCs w:val="24"/>
          <w:lang w:val="en-US"/>
        </w:rPr>
        <w:t xml:space="preserve">. </w:t>
      </w:r>
    </w:p>
    <w:p w:rsidR="006F7A54" w:rsidRPr="003D034F" w:rsidRDefault="00CB11F0" w:rsidP="003D034F">
      <w:pPr>
        <w:autoSpaceDE w:val="0"/>
        <w:autoSpaceDN w:val="0"/>
        <w:adjustRightInd w:val="0"/>
        <w:spacing w:after="0" w:line="360" w:lineRule="auto"/>
        <w:ind w:firstLineChars="100" w:firstLine="240"/>
        <w:jc w:val="both"/>
        <w:rPr>
          <w:rFonts w:ascii="Book Antiqua" w:hAnsi="Book Antiqua" w:cs="Calibri"/>
          <w:sz w:val="24"/>
          <w:szCs w:val="24"/>
          <w:lang w:val="en-US"/>
        </w:rPr>
      </w:pPr>
      <w:r w:rsidRPr="003D034F">
        <w:rPr>
          <w:rFonts w:ascii="Book Antiqua" w:hAnsi="Book Antiqua" w:cs="Calibri"/>
          <w:sz w:val="24"/>
          <w:szCs w:val="24"/>
          <w:lang w:val="en-US"/>
        </w:rPr>
        <w:t xml:space="preserve">The European consensus on the diagnosis and management of </w:t>
      </w:r>
      <w:r w:rsidR="00B12037" w:rsidRPr="003D034F">
        <w:rPr>
          <w:rFonts w:ascii="Book Antiqua" w:hAnsi="Book Antiqua" w:cs="Calibri"/>
          <w:sz w:val="24"/>
          <w:szCs w:val="24"/>
          <w:lang w:val="en-US"/>
        </w:rPr>
        <w:t>CD</w:t>
      </w:r>
      <w:r w:rsidRPr="003D034F">
        <w:rPr>
          <w:rFonts w:ascii="Book Antiqua" w:hAnsi="Book Antiqua" w:cs="Calibri"/>
          <w:sz w:val="24"/>
          <w:szCs w:val="24"/>
          <w:lang w:val="en-US"/>
        </w:rPr>
        <w:t xml:space="preserve"> </w:t>
      </w:r>
      <w:r w:rsidR="00FD4A3F" w:rsidRPr="003D034F">
        <w:rPr>
          <w:rFonts w:ascii="Book Antiqua" w:hAnsi="Book Antiqua" w:cs="Calibri"/>
          <w:sz w:val="24"/>
          <w:szCs w:val="24"/>
          <w:lang w:val="en-US" w:eastAsia="zh-CN"/>
        </w:rPr>
        <w:t>[</w:t>
      </w:r>
      <w:r w:rsidR="00FD4A3F" w:rsidRPr="003D034F">
        <w:rPr>
          <w:rFonts w:ascii="Book Antiqua" w:hAnsi="Book Antiqua" w:cs="Calibri"/>
          <w:sz w:val="24"/>
          <w:szCs w:val="24"/>
          <w:lang w:val="en-US"/>
        </w:rPr>
        <w:t>European Crohn’s and Colitis Organization</w:t>
      </w:r>
      <w:r w:rsidR="00FD4A3F" w:rsidRPr="003D034F">
        <w:rPr>
          <w:rFonts w:ascii="Book Antiqua" w:hAnsi="Book Antiqua" w:cs="Calibri"/>
          <w:sz w:val="24"/>
          <w:szCs w:val="24"/>
          <w:lang w:val="en-US" w:eastAsia="zh-CN"/>
        </w:rPr>
        <w:t>,</w:t>
      </w:r>
      <w:r w:rsidR="00FD4A3F" w:rsidRPr="003D034F">
        <w:rPr>
          <w:rFonts w:ascii="Book Antiqua" w:hAnsi="Book Antiqua" w:cs="Calibri"/>
          <w:sz w:val="24"/>
          <w:szCs w:val="24"/>
          <w:lang w:val="en-US"/>
        </w:rPr>
        <w:t xml:space="preserve"> </w:t>
      </w:r>
      <w:r w:rsidR="00FD4A3F" w:rsidRPr="003D034F">
        <w:rPr>
          <w:rFonts w:ascii="Book Antiqua" w:hAnsi="Book Antiqua" w:cs="Calibri"/>
          <w:sz w:val="24"/>
          <w:szCs w:val="24"/>
          <w:lang w:val="en-US" w:eastAsia="zh-CN"/>
        </w:rPr>
        <w:t>(</w:t>
      </w:r>
      <w:r w:rsidRPr="003D034F">
        <w:rPr>
          <w:rFonts w:ascii="Book Antiqua" w:hAnsi="Book Antiqua" w:cs="Calibri"/>
          <w:sz w:val="24"/>
          <w:szCs w:val="24"/>
          <w:lang w:val="en-US"/>
        </w:rPr>
        <w:t>ECCO)</w:t>
      </w:r>
      <w:r w:rsidR="00FD4A3F" w:rsidRPr="003D034F">
        <w:rPr>
          <w:rFonts w:ascii="Book Antiqua" w:hAnsi="Book Antiqua" w:cs="Calibri"/>
          <w:sz w:val="24"/>
          <w:szCs w:val="24"/>
          <w:lang w:val="en-US" w:eastAsia="zh-CN"/>
        </w:rPr>
        <w:t>]</w:t>
      </w:r>
      <w:r w:rsidRPr="003D034F">
        <w:rPr>
          <w:rFonts w:ascii="Book Antiqua" w:hAnsi="Book Antiqua" w:cs="Calibri"/>
          <w:sz w:val="24"/>
          <w:szCs w:val="24"/>
          <w:lang w:val="en-US"/>
        </w:rPr>
        <w:t xml:space="preserve"> published in 2017 recommends that, irrespective of colonoscopy findings, additional research should be performed to define the location and extent of </w:t>
      </w:r>
      <w:r w:rsidR="00392983" w:rsidRPr="003D034F">
        <w:rPr>
          <w:rFonts w:ascii="Book Antiqua" w:hAnsi="Book Antiqua" w:cs="Calibri"/>
          <w:sz w:val="24"/>
          <w:szCs w:val="24"/>
          <w:lang w:val="en-US"/>
        </w:rPr>
        <w:t>CD</w:t>
      </w:r>
      <w:r w:rsidRPr="003D034F">
        <w:rPr>
          <w:rFonts w:ascii="Book Antiqua" w:hAnsi="Book Antiqua" w:cs="Calibri"/>
          <w:sz w:val="24"/>
          <w:szCs w:val="24"/>
          <w:lang w:val="en-US"/>
        </w:rPr>
        <w:t xml:space="preserve"> in the small intestine. However, performing routine </w:t>
      </w:r>
      <w:bookmarkStart w:id="36" w:name="OLE_LINK8"/>
      <w:bookmarkStart w:id="37" w:name="OLE_LINK9"/>
      <w:r w:rsidRPr="003D034F">
        <w:rPr>
          <w:rFonts w:ascii="Book Antiqua" w:hAnsi="Book Antiqua" w:cs="Calibri"/>
          <w:sz w:val="24"/>
          <w:szCs w:val="24"/>
          <w:lang w:val="en-US"/>
        </w:rPr>
        <w:t>EDA</w:t>
      </w:r>
      <w:bookmarkEnd w:id="36"/>
      <w:bookmarkEnd w:id="37"/>
      <w:r w:rsidRPr="003D034F">
        <w:rPr>
          <w:rFonts w:ascii="Book Antiqua" w:hAnsi="Book Antiqua" w:cs="Calibri"/>
          <w:sz w:val="24"/>
          <w:szCs w:val="24"/>
          <w:lang w:val="en-US"/>
        </w:rPr>
        <w:t xml:space="preserve"> in adult patients with asymptomatic </w:t>
      </w:r>
      <w:r w:rsidR="00392983" w:rsidRPr="003D034F">
        <w:rPr>
          <w:rFonts w:ascii="Book Antiqua" w:hAnsi="Book Antiqua" w:cs="Calibri"/>
          <w:sz w:val="24"/>
          <w:szCs w:val="24"/>
          <w:lang w:val="en-US"/>
        </w:rPr>
        <w:t>CD</w:t>
      </w:r>
      <w:r w:rsidRPr="003D034F">
        <w:rPr>
          <w:rFonts w:ascii="Book Antiqua" w:hAnsi="Book Antiqua" w:cs="Calibri"/>
          <w:sz w:val="24"/>
          <w:szCs w:val="24"/>
          <w:lang w:val="en-US"/>
        </w:rPr>
        <w:t xml:space="preserve"> remains </w:t>
      </w:r>
      <w:r w:rsidRPr="003D034F">
        <w:rPr>
          <w:rFonts w:ascii="Book Antiqua" w:hAnsi="Book Antiqua" w:cs="Calibri"/>
          <w:sz w:val="24"/>
          <w:szCs w:val="24"/>
          <w:lang w:val="en-US"/>
        </w:rPr>
        <w:lastRenderedPageBreak/>
        <w:t>controversial</w:t>
      </w:r>
      <w:r w:rsidR="00056AC0" w:rsidRPr="003D034F">
        <w:rPr>
          <w:rFonts w:ascii="Book Antiqua" w:hAnsi="Book Antiqua" w:cs="Calibri"/>
          <w:sz w:val="24"/>
          <w:szCs w:val="24"/>
        </w:rPr>
        <w:fldChar w:fldCharType="begin" w:fldLock="1"/>
      </w:r>
      <w:r w:rsidR="00FA1D23" w:rsidRPr="003D034F">
        <w:rPr>
          <w:rFonts w:ascii="Book Antiqua" w:hAnsi="Book Antiqua" w:cs="Calibri"/>
          <w:sz w:val="24"/>
          <w:szCs w:val="24"/>
          <w:lang w:val="en-US"/>
        </w:rPr>
        <w:instrText>ADDIN CSL_CITATION { "citationItems" : [ { "id" : "ITEM-1", "itemData" : { "DOI" : "10.1093/ecco-jcc/jjw168", "ISBN" : "3905772434", "ISSN" : "18764479", "PMID" : "27660341", "abstract" : "This paper is the first in a series of two publications relating to the European Crohn's and Colitis Organisation [ECCO] evidence-based consensus on the diagnosis and management of Crohn's disease and concerns the methodology of the consensus process, and the classification, diagnosis and medical management of active and quiescent Crohn's disease. Surgical management as well as special situations including management of perianal Crohn's disease of this ECCO Consensus are covered in a subsequent second paper [Gionchetti et al JCC 2016].", "author" : [ { "dropping-particle" : "", "family" : "Gomoll\u00f3n", "given" : "Fernando", "non-dropping-particle" : "", "parse-names" : false, "suffix" : "" }, { "dropping-particle" : "", "family" : "Dignass", "given" : "Axel", "non-dropping-particle" : "", "parse-names" : false, "suffix" : "" }, { "dropping-particle" : "", "family" : "Annese", "given" : "Vito", "non-dropping-particle" : "", "parse-names" : false, "suffix" : "" }, { "dropping-particle" : "", "family" : "Tilg", "given" : "Herbert", "non-dropping-particle" : "", "parse-names" : false, "suffix" : "" }, { "dropping-particle" : "", "family" : "Assche", "given" : "Gert", "non-dropping-particle" : "Van", "parse-names" : false, "suffix" : "" }, { "dropping-particle" : "", "family" : "Lindsay", "given" : "James O.", "non-dropping-particle" : "", "parse-names" : false, "suffix" : "" }, { "dropping-particle" : "", "family" : "Peyrin-Biroulet", "given" : "Laurent", "non-dropping-particle" : "", "parse-names" : false, "suffix" : "" }, { "dropping-particle" : "", "family" : "Cullen", "given" : "Garret J.", "non-dropping-particle" : "", "parse-names" : false, "suffix" : "" }, { "dropping-particle" : "", "family" : "Daperno", "given" : "Marco", "non-dropping-particle" : "", "parse-names" : false, "suffix" : "" }, { "dropping-particle" : "", "family" : "Kucharzik", "given" : "Torsten", "non-dropping-particle" : "", "parse-names" : false, "suffix" : "" }, { "dropping-particle" : "", "family" : "Rieder", "given" : "Florian", "non-dropping-particle" : "", "parse-names" : false, "suffix" : "" }, { "dropping-particle" : "", "family" : "Almer", "given" : "Sven", "non-dropping-particle" : "", "parse-names" : false, "suffix" : "" }, { "dropping-particle" : "", "family" : "Armuzzi", "given" : "Alessandro", "non-dropping-particle" : "", "parse-names" : false, "suffix" : "" }, { "dropping-particle" : "", "family" : "Harbord", "given" : "Marcus</w:instrText>
      </w:r>
      <w:r w:rsidR="00FA1D23" w:rsidRPr="003D034F">
        <w:rPr>
          <w:rFonts w:ascii="Book Antiqua" w:hAnsi="Book Antiqua" w:cs="Calibri"/>
          <w:sz w:val="24"/>
          <w:szCs w:val="24"/>
        </w:rPr>
        <w:instrText>", "non-dropping-particle" : "", "parse-names" : false, "suffix" : "" }, { "dropping-particle" : "", "family" : "Langhorst", "given" : "Jost", "non-dropping-particle" : "", "parse-names" : false, "suffix" : "" }, { "dropping-particle" : "", "family" : "Sans", "given" : "Miquel", "non-dropping-particle" : "", "parse-names" : false, "suffix" : "" }, { "dropping-particle" : "", "family" : "Chowers", "given" : "Yehuda", "non-dropping-particle" : "", "parse-names" : false, "suffix" : "" }, { "dropping-particle" : "", "family" : "Fiorino", "given" : "Gionata", "non-dropping-particle" : "", "parse-names" : false, "suffix" : "" }, { "dropping-particle" : "", "family" : "Juillerat", "given" : "Pascal", "non-dropping-particle" : "", "parse-names" : false, "suffix" : "" }, { "dropping-particle" : "", "family" : "Mantzaris", "given" : "Gerassimos J.", "non-dropping-particle" : "", "parse-names" : false, "suffix" : "" }, { "dropping-particle" : "", "family" : "Rizzello", "given" : "Fernando", "non-dropping-particle" : "", "parse-names" : false, "suffix" : "" }, { "dropping-particle" : "", "family" : "Vavricka", "given" : "Stephan", "non-dropping-particle" : "", "parse-names" : false, "suffix" : "" }, { "dropping-particle" : "", "family" : "Gionchetti", "given" : "Paolo", "non-dropping-particle" : "", "parse-names" : false, "suffix" : "" }, { "dropping-particle" : "", "family" : "Bossuyt", "given" : "Peter", "non-dropping-particle" : "", "parse-names" : false, "suffix" : "" }, { "dropping-particle" : "", "family" : "Mijandrusic-Sincic", "given" : "Brankica", "non-dropping-particle" : "", "parse-names" : false, "suffix" : "" }, { "dropping-particle" : "", "family" : "Douda", "given" : "Thomas", "non-dropping-particle" : "", "parse-names" : false, "suffix" : "" }, { "dropping-particle" : "", "family" : "Brynskov", "given" : "J\u00f8rn", "non-dropping-particle" : "", "parse-names" : false, "suffix" : "" }, { "dropping-particle" : "", "family" : "Knudsen", "given" : "Torben", "non-dropping-particle" : "", "parse-names" : false, "suffix" : "" }, { "dropping-particle" : "", "family" : "Manninen", "given" : "Pia", "non-dropping-particle" : "", "parse-names" : false, "suffix" : "" }, { "dropping-particle" : "", "family" : "Carbonnel", "given" : "Franck", "non-dropping-particle" : "", "parse-names" : false, "suffix" : "" }, { "dropping-particle" : "", "family" : "Sturm", "given" : "Andreas", "non-dropping-particle" : "", "parse-names" : false, "suffix" : "" }, { "dropping-particle" : "", "family" : "Koutroubakis", "given" : "Ioannis", "non-dropping-particle" : "", "parse-names" : false, "suffix" : "" }, { "dropping-particle" : "", "family" : "O'Morain", "given" : "Colm", "non-dropping-particle" : "", "parse-names" : false, "suffix" : "" }, { "dropping-particle" : "", "family" : "Kohn", "given" : "Anna", "non-dropping-particle" : "", "parse-names" : false, "suffix" : "" }, { "dropping-particle" : "", "family" : "Berset", "given" : "Ingrid Prytz", "non-dropping-particle" : "", "parse-names" : false, "suffix" : "" }, { "dropping-particle" : "", "family" : "Kierkus", "given" : "Jaroslaw", "non-dropping-particle" : "", "parse-names" : false, "suffix" : "" }, { "dropping-particle" : "", "family" : "Zagorowicz", "given" : "Edyta", "non-dropping-particle" : "", "parse-names" : false, "suffix" : "" }, { "dropping-particle" : "", "family" : "Diculescu", "given" : "Mihai</w:instrText>
      </w:r>
      <w:r w:rsidR="00FA1D23" w:rsidRPr="003D034F">
        <w:rPr>
          <w:rFonts w:ascii="Book Antiqua" w:hAnsi="Book Antiqua" w:cs="Calibri"/>
          <w:sz w:val="24"/>
          <w:szCs w:val="24"/>
          <w:lang w:val="en-US"/>
        </w:rPr>
        <w:instrText xml:space="preserve"> Mircea", "non-dropping-particle" : "", "parse-names" : false, "suffix" : "" }, { "dropping-particle" : "", "family" : "Goldis", "given" : "Adrian", "non-dropping-particle" : "", "parse-names" : false, "suffix" : "" }, { "dropping-particle" : "", "family" : "Potapov", "given" : "Alexander", "non-dropping-particle" : "", "parse-names" : false, "suffix" : "" }, { "dropping-particle" : "", "family" : "Jorda", "given" : "Francesc Casellas", "non-dropping-particle" : "", "parse-names" : false, "suffix" : "" }, { "dropping-particle" : "", "family" : "Celik", "given" : "Aykut Ferhat", "non-dropping-particle" : "", "parse-names" : false, "suffix" : "" }, { "dropping-particle" : "", "family" : "Irving", "given" : "Peter", "non-dropping-particle" : "", "parse-names" : false, "suffix" : "" } ], "container-title" : "Journal of Crohn's and Colitis", "id" : "ITEM-1", "issue" : "1", "issued" : { "date-parts" : [ [ "2017" ] ] }, "page" : "3-25", "title" : "3rd European evidence-based consensus on the diagnosis and management of Crohn's disease 2016: Part 1: Diagnosis and medical management", "type" : "article-journal", "volume" : "11" }, "uris" : [ "http://www.mendeley.com/documents/?uuid=6c3b46c0-21fd-45aa-b435-9256ec654a8a" ] } ], "mendeley" : { "formattedCitation" : "&lt;sup&gt;[11]&lt;/sup&gt;", "plainTextFormattedCitation" : "[11]", "previouslyFormattedCitation" : "&lt;sup&gt;[11]&lt;/sup&gt;"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FA1D23" w:rsidRPr="003D034F">
        <w:rPr>
          <w:rFonts w:ascii="Book Antiqua" w:hAnsi="Book Antiqua" w:cs="Calibri"/>
          <w:noProof/>
          <w:sz w:val="24"/>
          <w:szCs w:val="24"/>
          <w:vertAlign w:val="superscript"/>
          <w:lang w:val="en-US"/>
        </w:rPr>
        <w:t>[11]</w:t>
      </w:r>
      <w:r w:rsidR="00056AC0" w:rsidRPr="003D034F">
        <w:rPr>
          <w:rFonts w:ascii="Book Antiqua" w:hAnsi="Book Antiqua" w:cs="Calibri"/>
          <w:sz w:val="24"/>
          <w:szCs w:val="24"/>
        </w:rPr>
        <w:fldChar w:fldCharType="end"/>
      </w:r>
      <w:r w:rsidR="009F6404" w:rsidRPr="003D034F">
        <w:rPr>
          <w:rFonts w:ascii="Book Antiqua" w:hAnsi="Book Antiqua" w:cs="Calibri"/>
          <w:sz w:val="24"/>
          <w:szCs w:val="24"/>
          <w:lang w:val="en-US"/>
        </w:rPr>
        <w:t xml:space="preserve">. </w:t>
      </w:r>
      <w:r w:rsidR="00C4421C" w:rsidRPr="003D034F">
        <w:rPr>
          <w:rFonts w:ascii="Book Antiqua" w:hAnsi="Book Antiqua" w:cs="Calibri"/>
          <w:sz w:val="24"/>
          <w:szCs w:val="24"/>
          <w:lang w:val="en-US"/>
        </w:rPr>
        <w:t xml:space="preserve">In patients with unclassified </w:t>
      </w:r>
      <w:r w:rsidR="00ED0A6A" w:rsidRPr="003D034F">
        <w:rPr>
          <w:rFonts w:ascii="Book Antiqua" w:hAnsi="Book Antiqua" w:cs="Calibri"/>
          <w:sz w:val="24"/>
          <w:szCs w:val="24"/>
          <w:lang w:val="en-US"/>
        </w:rPr>
        <w:t>IBD</w:t>
      </w:r>
      <w:r w:rsidR="00C4421C" w:rsidRPr="003D034F">
        <w:rPr>
          <w:rFonts w:ascii="Book Antiqua" w:hAnsi="Book Antiqua" w:cs="Calibri"/>
          <w:sz w:val="24"/>
          <w:szCs w:val="24"/>
          <w:lang w:val="en-US"/>
        </w:rPr>
        <w:t xml:space="preserve"> (10% to 15%), </w:t>
      </w:r>
      <w:r w:rsidR="00F246C2" w:rsidRPr="003D034F">
        <w:rPr>
          <w:rFonts w:ascii="Book Antiqua" w:hAnsi="Book Antiqua" w:cs="Calibri"/>
          <w:sz w:val="24"/>
          <w:szCs w:val="24"/>
          <w:lang w:val="en-US"/>
        </w:rPr>
        <w:t xml:space="preserve">HDE </w:t>
      </w:r>
      <w:r w:rsidR="00C4421C" w:rsidRPr="003D034F">
        <w:rPr>
          <w:rFonts w:ascii="Book Antiqua" w:hAnsi="Book Antiqua" w:cs="Calibri"/>
          <w:sz w:val="24"/>
          <w:szCs w:val="24"/>
          <w:lang w:val="en-US"/>
        </w:rPr>
        <w:t xml:space="preserve">may contribute to the differentiation between </w:t>
      </w:r>
      <w:r w:rsidR="00F3417B" w:rsidRPr="003D034F">
        <w:rPr>
          <w:rFonts w:ascii="Book Antiqua" w:hAnsi="Book Antiqua" w:cs="Calibri"/>
          <w:sz w:val="24"/>
          <w:szCs w:val="24"/>
          <w:lang w:val="en-US"/>
        </w:rPr>
        <w:t>CD</w:t>
      </w:r>
      <w:r w:rsidR="00C4421C" w:rsidRPr="003D034F">
        <w:rPr>
          <w:rFonts w:ascii="Book Antiqua" w:hAnsi="Book Antiqua" w:cs="Calibri"/>
          <w:sz w:val="24"/>
          <w:szCs w:val="24"/>
          <w:lang w:val="en-US"/>
        </w:rPr>
        <w:t xml:space="preserve"> and </w:t>
      </w:r>
      <w:r w:rsidR="00392983" w:rsidRPr="003D034F">
        <w:rPr>
          <w:rFonts w:ascii="Book Antiqua" w:hAnsi="Book Antiqua" w:cs="Calibri"/>
          <w:sz w:val="24"/>
          <w:szCs w:val="24"/>
          <w:lang w:val="en-US"/>
        </w:rPr>
        <w:t>ulcerative colitis (</w:t>
      </w:r>
      <w:r w:rsidR="00F3417B" w:rsidRPr="003D034F">
        <w:rPr>
          <w:rFonts w:ascii="Book Antiqua" w:hAnsi="Book Antiqua" w:cs="Calibri"/>
          <w:sz w:val="24"/>
          <w:szCs w:val="24"/>
          <w:lang w:val="en-US"/>
        </w:rPr>
        <w:t>UC</w:t>
      </w:r>
      <w:r w:rsidR="00392983" w:rsidRPr="003D034F">
        <w:rPr>
          <w:rFonts w:ascii="Book Antiqua" w:hAnsi="Book Antiqua" w:cs="Calibri"/>
          <w:sz w:val="24"/>
          <w:szCs w:val="24"/>
          <w:lang w:val="en-US"/>
        </w:rPr>
        <w:t>)</w:t>
      </w:r>
      <w:r w:rsidR="00056AC0" w:rsidRPr="003D034F">
        <w:rPr>
          <w:rFonts w:ascii="Book Antiqua" w:hAnsi="Book Antiqua" w:cs="Calibri"/>
          <w:sz w:val="24"/>
          <w:szCs w:val="24"/>
        </w:rPr>
        <w:fldChar w:fldCharType="begin" w:fldLock="1"/>
      </w:r>
      <w:r w:rsidR="00EE109A" w:rsidRPr="003D034F">
        <w:rPr>
          <w:rFonts w:ascii="Book Antiqua" w:hAnsi="Book Antiqua" w:cs="Calibri"/>
          <w:sz w:val="24"/>
          <w:szCs w:val="24"/>
          <w:lang w:val="en-US"/>
        </w:rPr>
        <w:instrText>ADDIN CSL_CITATION { "citationItems" : [ { "id" : "ITEM-1", "itemData" : { "DOI" : "10.1111/his.12263", "ISSN" : "03090167", "PMID" : "24266813", "abstract" : "The interpretation of colorectal biopsies taken for the initial diagnosis of chronic idiopathic inflammatory bowel disease (IBD) is challenging. Subclassification of IBD as ulcerative colitis (UC) or Crohn's disease, which may be particularly difficult, is the subject of this review. Biopsies taken at first presentation are emphasised, partly because their features have not been modified by time or treatment. Aspects of longstanding disease and of resections are also mentioned. The first part of the review comprises background considerations and a summary of histological features that are discriminant, according to published evidence, between UC and Crohn's disease in initial biopsies. Pitfalls and problems associated with making the distinction between UC and Crohn's disease are then discussed. These include: mimics of IBD; inadequate clinical details; unreliable microscopic features; absence of histological changes in early IBD; discontinuity in UC; cryptolytic granulomas; differences between paediatric and adult UC; reliance on ileal and oesophagogastroduodenal histology; and atypical features in IBD resections. Avoidance by pathologists of known pitfalls should increase the likelihood of accurate and confident subclassification of IBD, which is important for optimum medical and surgical management.", "author" : [ { "dropping-particle" : "", "family" : "Feakins", "given" : "Roger M.", "non-dropping-particle" : "", "parse-names" : false, "suffix" : "" } ], "container-title" : "Histopathology", "id" : "ITEM-1", "issue" : "3", "issued" : { "date-parts" : [ [ "2014" ] ] }, "page" : "317-335", "title" : "Ulcerative colitis or crohn's disease? Pitfalls and problems", "type" : "article-journal", "volume" : "64" }, "uris" : [ "http://www.mendeley.com/documents/?uuid=62b3f352-809b-4a53-b4e7-3c2538d9f477" ] } ], "mendeley" : { "formattedCitation" : "&lt;sup&gt;[24]&lt;/sup&gt;", "plainTextFormattedCitation" : "[24]", "previouslyFormattedCitation" : "&lt;sup&gt;[24]&lt;/sup&gt;"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EE109A" w:rsidRPr="003D034F">
        <w:rPr>
          <w:rFonts w:ascii="Book Antiqua" w:hAnsi="Book Antiqua" w:cs="Calibri"/>
          <w:noProof/>
          <w:sz w:val="24"/>
          <w:szCs w:val="24"/>
          <w:vertAlign w:val="superscript"/>
          <w:lang w:val="en-US"/>
        </w:rPr>
        <w:t>[24]</w:t>
      </w:r>
      <w:r w:rsidR="00056AC0" w:rsidRPr="003D034F">
        <w:rPr>
          <w:rFonts w:ascii="Book Antiqua" w:hAnsi="Book Antiqua" w:cs="Calibri"/>
          <w:sz w:val="24"/>
          <w:szCs w:val="24"/>
        </w:rPr>
        <w:fldChar w:fldCharType="end"/>
      </w:r>
      <w:r w:rsidR="00984CDA" w:rsidRPr="003D034F">
        <w:rPr>
          <w:rFonts w:ascii="Book Antiqua" w:hAnsi="Book Antiqua" w:cs="Calibri"/>
          <w:sz w:val="24"/>
          <w:szCs w:val="24"/>
          <w:lang w:val="en-US"/>
        </w:rPr>
        <w:t>.</w:t>
      </w:r>
      <w:r w:rsidR="00BD6FD1" w:rsidRPr="003D034F">
        <w:rPr>
          <w:rFonts w:ascii="Book Antiqua" w:hAnsi="Book Antiqua" w:cs="Calibri"/>
          <w:sz w:val="24"/>
          <w:szCs w:val="24"/>
          <w:lang w:val="en-US"/>
        </w:rPr>
        <w:t xml:space="preserve"> </w:t>
      </w:r>
    </w:p>
    <w:p w:rsidR="00904E45" w:rsidRPr="003D034F" w:rsidRDefault="00331AE4" w:rsidP="003D034F">
      <w:pPr>
        <w:autoSpaceDE w:val="0"/>
        <w:autoSpaceDN w:val="0"/>
        <w:adjustRightInd w:val="0"/>
        <w:spacing w:after="0" w:line="360" w:lineRule="auto"/>
        <w:ind w:firstLineChars="100" w:firstLine="240"/>
        <w:jc w:val="both"/>
        <w:rPr>
          <w:rFonts w:ascii="Book Antiqua" w:hAnsi="Book Antiqua" w:cs="Calibri"/>
          <w:sz w:val="24"/>
          <w:szCs w:val="24"/>
          <w:lang w:val="en-US" w:eastAsia="zh-CN"/>
        </w:rPr>
      </w:pPr>
      <w:r w:rsidRPr="003D034F">
        <w:rPr>
          <w:rFonts w:ascii="Book Antiqua" w:hAnsi="Book Antiqua" w:cs="Calibri"/>
          <w:sz w:val="24"/>
          <w:szCs w:val="24"/>
          <w:lang w:val="en-US"/>
        </w:rPr>
        <w:t xml:space="preserve">Despite the inclusion of </w:t>
      </w:r>
      <w:r w:rsidR="00B9550A" w:rsidRPr="003D034F">
        <w:rPr>
          <w:rFonts w:ascii="Book Antiqua" w:hAnsi="Book Antiqua" w:cs="Calibri"/>
          <w:sz w:val="24"/>
          <w:szCs w:val="24"/>
          <w:lang w:val="en-US"/>
        </w:rPr>
        <w:t>UGT</w:t>
      </w:r>
      <w:r w:rsidRPr="003D034F">
        <w:rPr>
          <w:rFonts w:ascii="Book Antiqua" w:hAnsi="Book Antiqua" w:cs="Calibri"/>
          <w:sz w:val="24"/>
          <w:szCs w:val="24"/>
          <w:lang w:val="en-US"/>
        </w:rPr>
        <w:t xml:space="preserve"> as a disease modifier, there is no objective definition of the endoscopic and histological criteria needed to adequately characterize the involvement of these segments in CD</w:t>
      </w:r>
      <w:r w:rsidR="00056AC0" w:rsidRPr="003D034F">
        <w:rPr>
          <w:rFonts w:ascii="Book Antiqua" w:hAnsi="Book Antiqua" w:cs="Calibri"/>
          <w:sz w:val="24"/>
          <w:szCs w:val="24"/>
        </w:rPr>
        <w:fldChar w:fldCharType="begin" w:fldLock="1"/>
      </w:r>
      <w:r w:rsidR="0025673C" w:rsidRPr="003D034F">
        <w:rPr>
          <w:rFonts w:ascii="Book Antiqua" w:hAnsi="Book Antiqua" w:cs="Calibri"/>
          <w:sz w:val="24"/>
          <w:szCs w:val="24"/>
          <w:lang w:val="en-US"/>
        </w:rPr>
        <w:instrText>ADDIN CSL_CITATION { "citationItems" : [ { "id" : "ITEM-1", "itemData" : { "DOI" : "10.1097/MIB.0000000000000786", "ISBN" : "1536-4844 (Electronic)\\r1078-0998 (Linking)", "ISSN" : "1078-0998", "PMID" : "27057685", "abstract" : "BACKGROUND The prevalence of upper gastrointestinal (GI) involvement in adult inflammatory bowel disease has mostly been studied in patients with long-standing disease. The aim of this study was to prospectively evaluate the prevalence of upper GI involvement in a consecutive series of newly diagnosed, treatment-naive adult patients with inflammatory bowel disease, irrespective of upper GI tract symptoms. METHODS Consecutive patients with suspected inflammatory bowel disease underwent combined ileocolonoscopy and upper endoscopy with biopsies. Patients diagnosed with either Crohn's disease (CD) or ulcerative colitis (UC), denying use of nonsteroidal anti-inflammatory drug, were included in the study. Helicobacter pylori infection was diagnosed histologically and positive patients were excluded from the analysis. Endoscopic and histologic lesions in the stomach and duodenum were recorded. Upper GI location (+L4) was defined as a combination of endoscopic and histological lesions. RESULTS A total of 152 patients (108 CD and 44 UC) were analyzed. Endoscopic lesions were only seen in patients with CD (60 of 108, 55%). Histological lesions were present in both patients with CD and patients with UC: focally enhanced gastritis in 58 CD (54%) and 10 UC (23%), granulomas in 30 CD (28%). Upper GI disease location was diagnosed in 44 patients with CD (41%) and no patients with UC. Upper GI tract symptoms were reported in 14 of 44 patients (32%) with upper GI location. CONCLUSIONS A high prevalence of upper GI involvement was observed in newly diagnosed patients with CD, with a majority of the patients being asymptomatic. Focally enhanced gastritis was common in both patients with CD and patients with UC, whereas granulomatous inflammation was restricted to patients with CD.", "author" : [ { "dropping-particle" : "", "family" : "Horje", "given" : "Carmen S. Horjus", "non-dropping-particle" : "", "parse-names" : false, "suffix" : "" }, { "dropping-particle" : "", "family" : "Meijer", "given" : "Jos", "non-dropping-particle" : "", "parse-names" : false, "suffix" : "" }, { "dropping-particle" : "", "family" : "Rovers", "given" : "Lian", "non-dropping-particle" : "", "parse-names" : false, "suffix" : "" }, { "dropping-particle" : "", "family" : "Lochem", "given" : "Ellen G.", "non-dropping-particle" : "", "parse-names" : false, "suffix" : "" }, { "dropping-particle" : "", "family" : "Groenen", "given" : "Marcel J. M.", "non-dropping-particle" : "", "parse-names" : false, "suffix" : "" }, { "dropping-particle" : "", "family" : "Wahab", "given" : "Peter J.", "non-dropping-particle" : "", "parse-names" : false, "suffix" : "" } ], "container-title" : "Inflammatory Bowel Diseases", "id" : "ITEM-1", "issue" : "8", "issued" : { "date-parts" : [ [ "2016" ] ] }, "page" : "1896-1901", "title" : "Prevalence of Upper Gastrointestinal Lesions at Primary Diagnosis in Adults with Inflammatory Bowel Disease", "type" : "article-journal", "volume" : "22" }, "uris" : [ "http://www.mendeley.com/documents/?uuid=b5557c13-5e62-45a2-8681-d89819b0c745" ] } ], "mendeley" : { "formattedCitation" : "&lt;sup&gt;[16]&lt;/sup&gt;", "plainTextFormattedCitation" : "[16]", "previouslyFormattedCitation" : "&lt;sup&gt;[16]&lt;/sup&gt;"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25673C" w:rsidRPr="003D034F">
        <w:rPr>
          <w:rFonts w:ascii="Book Antiqua" w:hAnsi="Book Antiqua" w:cs="Calibri"/>
          <w:noProof/>
          <w:sz w:val="24"/>
          <w:szCs w:val="24"/>
          <w:vertAlign w:val="superscript"/>
          <w:lang w:val="en-US"/>
        </w:rPr>
        <w:t>[16]</w:t>
      </w:r>
      <w:r w:rsidR="00056AC0" w:rsidRPr="003D034F">
        <w:rPr>
          <w:rFonts w:ascii="Book Antiqua" w:hAnsi="Book Antiqua" w:cs="Calibri"/>
          <w:sz w:val="24"/>
          <w:szCs w:val="24"/>
        </w:rPr>
        <w:fldChar w:fldCharType="end"/>
      </w:r>
      <w:r w:rsidR="00D97320" w:rsidRPr="003D034F">
        <w:rPr>
          <w:rFonts w:ascii="Book Antiqua" w:hAnsi="Book Antiqua" w:cs="Calibri"/>
          <w:sz w:val="24"/>
          <w:szCs w:val="24"/>
          <w:lang w:val="en-US"/>
        </w:rPr>
        <w:t xml:space="preserve">. </w:t>
      </w:r>
      <w:r w:rsidR="00AC0CB3" w:rsidRPr="003D034F">
        <w:rPr>
          <w:rFonts w:ascii="Book Antiqua" w:hAnsi="Book Antiqua" w:cs="Calibri"/>
          <w:sz w:val="24"/>
          <w:szCs w:val="24"/>
          <w:lang w:val="en-US"/>
        </w:rPr>
        <w:t xml:space="preserve">Nugent </w:t>
      </w:r>
      <w:r w:rsidR="00AC0CB3" w:rsidRPr="003D034F">
        <w:rPr>
          <w:rFonts w:ascii="Book Antiqua" w:hAnsi="Book Antiqua" w:cs="Calibri"/>
          <w:i/>
          <w:sz w:val="24"/>
          <w:szCs w:val="24"/>
          <w:lang w:val="en-US"/>
        </w:rPr>
        <w:t>et al</w:t>
      </w:r>
      <w:r w:rsidR="00AC0CB3" w:rsidRPr="003D034F">
        <w:rPr>
          <w:rFonts w:ascii="Book Antiqua" w:hAnsi="Book Antiqua" w:cs="Calibri"/>
          <w:sz w:val="24"/>
          <w:szCs w:val="24"/>
        </w:rPr>
        <w:fldChar w:fldCharType="begin" w:fldLock="1"/>
      </w:r>
      <w:r w:rsidR="00AC0CB3" w:rsidRPr="003D034F">
        <w:rPr>
          <w:rFonts w:ascii="Book Antiqua" w:hAnsi="Book Antiqua" w:cs="Calibri"/>
          <w:sz w:val="24"/>
          <w:szCs w:val="24"/>
          <w:lang w:val="en-US"/>
        </w:rPr>
        <w:instrText>ADDIN CSL_CITATION { "citationItems" : [ { "id" : "ITEM-1", "itemData" : { "PMID" : "856671", "author" : [ { "dropping-particle" : "", "family" : "Nugent", "given" : "F Warren", "non-dropping-particle" : "", "parse-names" : false, "suffix" : "" }, { "dropping-particle" : "", "family" : "Richmond", "given" : "M", "non-dropping-particle" : "", "parse-names" : false, "suffix" : "" }, { "dropping-particle" : "", "family" : "Park", "given" : "S K", "non-dropping-particle" : "", "parse-names" : false, "suffix" : "" } ], "container-title" : "Gut", "id" : "ITEM-1", "issue" : "August 1976", "issued" : { "date-parts" : [ [ "1977" ] ] }, "page" : "115-120", "title" : "Crohn's disease of the duodenum", "type" : "article-journal", "volume" : "18" }, "uris" : [ "http://www.mendeley.com/documents/?uuid=75ac6c48-5321-4150-bc39-3ca57955936d" ] } ], "mendeley" : { "formattedCitation" : "&lt;sup&gt;[25]&lt;/sup&gt;", "plainTextFormattedCitation" : "[25]", "previouslyFormattedCitation" : "&lt;sup&gt;[25]&lt;/sup&gt;" }, "properties" : {  }, "schema" : "https://github.com/citation-style-language/schema/raw/master/csl-citation.json" }</w:instrText>
      </w:r>
      <w:r w:rsidR="00AC0CB3" w:rsidRPr="003D034F">
        <w:rPr>
          <w:rFonts w:ascii="Book Antiqua" w:hAnsi="Book Antiqua" w:cs="Calibri"/>
          <w:sz w:val="24"/>
          <w:szCs w:val="24"/>
        </w:rPr>
        <w:fldChar w:fldCharType="separate"/>
      </w:r>
      <w:r w:rsidR="00AC0CB3" w:rsidRPr="003D034F">
        <w:rPr>
          <w:rFonts w:ascii="Book Antiqua" w:hAnsi="Book Antiqua" w:cs="Calibri"/>
          <w:noProof/>
          <w:sz w:val="24"/>
          <w:szCs w:val="24"/>
          <w:vertAlign w:val="superscript"/>
          <w:lang w:val="en-US"/>
        </w:rPr>
        <w:t>[25]</w:t>
      </w:r>
      <w:r w:rsidR="00AC0CB3" w:rsidRPr="003D034F">
        <w:rPr>
          <w:rFonts w:ascii="Book Antiqua" w:hAnsi="Book Antiqua" w:cs="Calibri"/>
          <w:sz w:val="24"/>
          <w:szCs w:val="24"/>
        </w:rPr>
        <w:fldChar w:fldCharType="end"/>
      </w:r>
      <w:r w:rsidR="00AC0CB3" w:rsidRPr="003D034F">
        <w:rPr>
          <w:rFonts w:ascii="Book Antiqua" w:hAnsi="Book Antiqua" w:cs="Calibri"/>
          <w:sz w:val="24"/>
          <w:szCs w:val="24"/>
          <w:lang w:eastAsia="zh-CN"/>
        </w:rPr>
        <w:t>,</w:t>
      </w:r>
      <w:r w:rsidRPr="003D034F">
        <w:rPr>
          <w:rFonts w:ascii="Book Antiqua" w:hAnsi="Book Antiqua" w:cs="Calibri"/>
          <w:sz w:val="24"/>
          <w:szCs w:val="24"/>
          <w:lang w:val="en-US"/>
        </w:rPr>
        <w:t xml:space="preserve"> in their series of patients with duodenal CD</w:t>
      </w:r>
      <w:r w:rsidR="00AF373E" w:rsidRPr="003D034F">
        <w:rPr>
          <w:rFonts w:ascii="Book Antiqua" w:hAnsi="Book Antiqua" w:cs="Calibri"/>
          <w:sz w:val="24"/>
          <w:szCs w:val="24"/>
          <w:lang w:val="en-US" w:eastAsia="zh-CN"/>
        </w:rPr>
        <w:t xml:space="preserve"> (Figure </w:t>
      </w:r>
      <w:r w:rsidR="006642C3" w:rsidRPr="003D034F">
        <w:rPr>
          <w:rFonts w:ascii="Book Antiqua" w:hAnsi="Book Antiqua" w:cs="Calibri"/>
          <w:sz w:val="24"/>
          <w:szCs w:val="24"/>
          <w:lang w:val="en-US" w:eastAsia="zh-CN"/>
        </w:rPr>
        <w:t>1</w:t>
      </w:r>
      <w:r w:rsidR="00AF373E" w:rsidRPr="003D034F">
        <w:rPr>
          <w:rFonts w:ascii="Book Antiqua" w:hAnsi="Book Antiqua" w:cs="Calibri"/>
          <w:sz w:val="24"/>
          <w:szCs w:val="24"/>
          <w:lang w:val="en-US" w:eastAsia="zh-CN"/>
        </w:rPr>
        <w:t>)</w:t>
      </w:r>
      <w:r w:rsidRPr="003D034F">
        <w:rPr>
          <w:rFonts w:ascii="Book Antiqua" w:hAnsi="Book Antiqua" w:cs="Calibri"/>
          <w:sz w:val="24"/>
          <w:szCs w:val="24"/>
          <w:lang w:val="en-US"/>
        </w:rPr>
        <w:t xml:space="preserve">, defined </w:t>
      </w:r>
      <w:r w:rsidR="00003DD7" w:rsidRPr="003D034F">
        <w:rPr>
          <w:rFonts w:ascii="Book Antiqua" w:hAnsi="Book Antiqua" w:cs="Calibri"/>
          <w:sz w:val="24"/>
          <w:szCs w:val="24"/>
          <w:lang w:val="en-US"/>
        </w:rPr>
        <w:t>the following</w:t>
      </w:r>
      <w:r w:rsidRPr="003D034F">
        <w:rPr>
          <w:rFonts w:ascii="Book Antiqua" w:hAnsi="Book Antiqua" w:cs="Calibri"/>
          <w:sz w:val="24"/>
          <w:szCs w:val="24"/>
          <w:lang w:val="en-US"/>
        </w:rPr>
        <w:t xml:space="preserve"> criteria for the diagnosis: the presence of </w:t>
      </w:r>
      <w:r w:rsidR="008320D3" w:rsidRPr="003D034F">
        <w:rPr>
          <w:rFonts w:ascii="Book Antiqua" w:hAnsi="Book Antiqua" w:cs="Calibri"/>
          <w:sz w:val="24"/>
          <w:szCs w:val="24"/>
          <w:lang w:val="en-US"/>
        </w:rPr>
        <w:t>nonc</w:t>
      </w:r>
      <w:r w:rsidRPr="003D034F">
        <w:rPr>
          <w:rFonts w:ascii="Book Antiqua" w:hAnsi="Book Antiqua" w:cs="Calibri"/>
          <w:sz w:val="24"/>
          <w:szCs w:val="24"/>
          <w:lang w:val="en-US"/>
        </w:rPr>
        <w:t>aseous granuloma in the duodenum with or without involvement of the lower intestinal tract in the absence of any granulomatous disease or the presence of CD associated with duodenal inflammation consistent with CD</w:t>
      </w:r>
      <w:r w:rsidR="00BD6FD1" w:rsidRPr="003D034F">
        <w:rPr>
          <w:rFonts w:ascii="Book Antiqua" w:hAnsi="Book Antiqua" w:cs="Calibri"/>
          <w:sz w:val="24"/>
          <w:szCs w:val="24"/>
          <w:lang w:val="en-US"/>
        </w:rPr>
        <w:t>.</w:t>
      </w:r>
      <w:r w:rsidR="008B0C42" w:rsidRPr="003D034F">
        <w:rPr>
          <w:rFonts w:ascii="Book Antiqua" w:hAnsi="Book Antiqua" w:cs="Calibri"/>
          <w:sz w:val="24"/>
          <w:szCs w:val="24"/>
          <w:lang w:val="en-US"/>
        </w:rPr>
        <w:t xml:space="preserve"> </w:t>
      </w:r>
      <w:r w:rsidR="00CC15C8" w:rsidRPr="003D034F">
        <w:rPr>
          <w:rFonts w:ascii="Book Antiqua" w:hAnsi="Book Antiqua" w:cs="Calibri"/>
          <w:sz w:val="24"/>
          <w:szCs w:val="24"/>
          <w:lang w:val="en-US"/>
        </w:rPr>
        <w:t>Although this definition does not consider other histological aspects, it can also be applied to the esophagus, stomach and jejunum</w:t>
      </w:r>
      <w:r w:rsidR="00056AC0" w:rsidRPr="003D034F">
        <w:rPr>
          <w:rFonts w:ascii="Book Antiqua" w:hAnsi="Book Antiqua" w:cs="Calibri"/>
          <w:sz w:val="24"/>
          <w:szCs w:val="24"/>
        </w:rPr>
        <w:fldChar w:fldCharType="begin" w:fldLock="1"/>
      </w:r>
      <w:r w:rsidR="00EE109A" w:rsidRPr="003D034F">
        <w:rPr>
          <w:rFonts w:ascii="Book Antiqua" w:hAnsi="Book Antiqua" w:cs="Calibri"/>
          <w:sz w:val="24"/>
          <w:szCs w:val="24"/>
          <w:lang w:val="en-US"/>
        </w:rPr>
        <w:instrText>ADDIN CSL_CITATION { "citationItems" : [ { "id" : "ITEM-1", "itemData" : { "DOI" : "10.1097/00054725-200111000-00010", "ISBN" : "1078-0998 (Print)\\r1078-0998 (Linking)", "ISSN" : "1078-0998", "PMID" : "11720325", "abstract" : "Crohn's disease in the proximal region of the digestive tract is uncommon. Better diagnostically procedures and more careful histologic examination has led to a higher detection of proximal Crohn's disease. The diagnosis is based on symptoms, endoscopy with serial sections, or double contrast radiography. The most common histologic finding for this diagnosis are granulomas in the mucosa in Helicobacter pylori-negative patients, but the granulomas are not always frequently detected. Endoscopic lesions in the proximal regions look like the lesions that could be found in the distal regions. Notching in the duodenal folds could be a strong indication for Crohn's desease. Radiological lesions are not always characteristic, but should be used in combination with endoscopy. Stenosis is an important complication, but fistula formation and pseudodiverticular formation is possible. There is no uniform medical therapy, but the regular anti-inflammatory management for Crohn's disease is most often used. Sometimes surgery is needed.", "author" : [ { "dropping-particle" : "van", "family" : "Hogezand", "given" : "Ruud A.", "non-dropping-particle" : "", "parse-names" : false, "suffix" : "" }, { "dropping-particle" : "", "family" : "Witte", "given" : "Anne Martin C", "non-dropping-particle" : "", "parse-names" : false, "suffix" : "" }, { "dropping-particle" : "", "family" : "Veenendaal", "given" : "Roeland A", "non-dropping-particle" : "", "parse-names" : false, "suffix" : "" }, { "dropping-particle" : "", "family" : "Wagtmans", "given" : "Martin J", "non-dropping-particle" : "", "parse-names" : false, "suffix" : "" }, { "dropping-particle" : "", "family" : "Lamers", "given" : "Cornelis B H", "non-dropping-particle" : "", "parse-names" : false, "suffix" : "" } ], "container-title" : "Inflamm Bowel Dis", "id" : "ITEM-1", "issue" : "4", "issued" : { "date-parts" : [ [ "2001" ] ] }, "page" : "328-337", "title" : "Proximal Crohn's disease: review of the clinicopathologic features and therapy", "type" : "article-journal", "volume" : "7" }, "uris" : [ "http://www.mendeley.com/documents/?uuid=93df4dd2-dd6f-4cd5-ab52-6265de6411bd" ] } ], "mendeley" : { "formattedCitation" : "&lt;sup&gt;[26]&lt;/sup&gt;", "plainTextFormattedCitation" : "[26]", "previouslyFormattedCitation" : "&lt;sup&gt;[26]&lt;/sup&gt;"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EE109A" w:rsidRPr="003D034F">
        <w:rPr>
          <w:rFonts w:ascii="Book Antiqua" w:hAnsi="Book Antiqua" w:cs="Calibri"/>
          <w:noProof/>
          <w:sz w:val="24"/>
          <w:szCs w:val="24"/>
          <w:vertAlign w:val="superscript"/>
          <w:lang w:val="en-US"/>
        </w:rPr>
        <w:t>[26]</w:t>
      </w:r>
      <w:r w:rsidR="00056AC0" w:rsidRPr="003D034F">
        <w:rPr>
          <w:rFonts w:ascii="Book Antiqua" w:hAnsi="Book Antiqua" w:cs="Calibri"/>
          <w:sz w:val="24"/>
          <w:szCs w:val="24"/>
        </w:rPr>
        <w:fldChar w:fldCharType="end"/>
      </w:r>
      <w:r w:rsidR="008320D3" w:rsidRPr="003D034F">
        <w:rPr>
          <w:rFonts w:ascii="Book Antiqua" w:hAnsi="Book Antiqua" w:cs="Calibri"/>
          <w:sz w:val="24"/>
          <w:szCs w:val="24"/>
          <w:lang w:val="en-US"/>
        </w:rPr>
        <w:t>. T</w:t>
      </w:r>
      <w:r w:rsidR="00CC15C8" w:rsidRPr="003D034F">
        <w:rPr>
          <w:rFonts w:ascii="Book Antiqua" w:hAnsi="Book Antiqua" w:cs="Calibri"/>
          <w:sz w:val="24"/>
          <w:szCs w:val="24"/>
          <w:lang w:val="en-US"/>
        </w:rPr>
        <w:t>he ECCO guideline recommends that the diagnosis be confirmed by integrating clinical, endoscopic, histological, radiological and/or biochemical findings</w:t>
      </w:r>
      <w:r w:rsidR="00056AC0" w:rsidRPr="003D034F">
        <w:rPr>
          <w:rFonts w:ascii="Book Antiqua" w:hAnsi="Book Antiqua" w:cs="Calibri"/>
          <w:sz w:val="24"/>
          <w:szCs w:val="24"/>
        </w:rPr>
        <w:fldChar w:fldCharType="begin" w:fldLock="1"/>
      </w:r>
      <w:r w:rsidR="00FA1D23" w:rsidRPr="003D034F">
        <w:rPr>
          <w:rFonts w:ascii="Book Antiqua" w:hAnsi="Book Antiqua" w:cs="Calibri"/>
          <w:sz w:val="24"/>
          <w:szCs w:val="24"/>
          <w:lang w:val="en-US"/>
        </w:rPr>
        <w:instrText xml:space="preserve">ADDIN CSL_CITATION { "citationItems" : [ { "id" : "ITEM-1", "itemData" : { "DOI" : "10.1093/ecco-jcc/jjw168", "ISBN" : "3905772434", "ISSN" : "18764479", "PMID" : "27660341", "abstract" : "This paper is the first in a series of two publications relating to the European Crohn's and Colitis Organisation [ECCO] evidence-based consensus on the diagnosis and management of Crohn's disease and concerns the methodology of the consensus process, and the classification, diagnosis and medical management of active and quiescent Crohn's disease. Surgical management as well as special situations including management of perianal Crohn's disease of this ECCO Consensus are covered in a subsequent second paper [Gionchetti et al JCC 2016].", "author" : [ { "dropping-particle" : "", "family" : "Gomoll\u00f3n", "given" : "Fernando", "non-dropping-particle" : "", "parse-names" : false, "suffix" : "" }, { "dropping-particle" : "", "family" : "Dignass", "given" : "Axel", "non-dropping-particle" : "", "parse-names" : false, "suffix" : "" }, { "dropping-particle" : "", "family" : "Annese", "given" : "Vito", "non-dropping-particle" : "", "parse-names" : false, "suffix" : "" }, { "dropping-particle" : "", "family" : "Tilg", "given" : "Herbert", "non-dropping-particle" : "", "parse-names" : false, "suffix" : "" }, { "dropping-particle" : "", "family" : </w:instrText>
      </w:r>
      <w:r w:rsidR="00FA1D23" w:rsidRPr="003D034F">
        <w:rPr>
          <w:rFonts w:ascii="Book Antiqua" w:hAnsi="Book Antiqua" w:cs="Calibri"/>
          <w:sz w:val="24"/>
          <w:szCs w:val="24"/>
        </w:rPr>
        <w:instrText>"Assche", "given" : "Gert", "non-dropping-particle" : "Van", "parse-names" : false, "suffix" : "" }, { "dropping-particle" : "", "family" : "Lindsay", "given" : "James O.", "non-dropping-particle" : "", "parse-names" : false, "suffix" : "" }, { "dropping-particle" : "", "family" : "Peyrin-Biroulet", "given" : "Laurent", "non-dropping-particle" : "", "parse-names" : false, "suffix" : "" }, { "dropping-particle" : "", "family" : "Cullen", "given" : "Garret J.", "non-dropping-particle" : "", "parse-names" : false, "suffix" : "" }, { "dropping-particle" : "", "family" : "Daperno", "given" : "Marco", "non-dropping-particle" : "", "parse-names" : false, "suffix" : "" }, { "dropping-particle" : "", "family" : "Kucharzik", "given" : "Torsten", "non-dropping-particle" : "", "parse-names" : false, "suffix" : "" }, { "dropping-particle" : "", "family" : "Rieder", "given" : "Florian", "non-dropping-particle" : "", "parse-names" : false, "suffix" : "" }, { "dropping-particle" : "", "family" : "Almer", "given" : "Sven", "non-dropping-particle" : "", "parse-names" : false, "suffix" : "" }, { "dropping-particle" : "", "family" : "Armuzzi", "given" : "Alessandro", "non-dropping-particle" : "", "parse-names" : false, "suffix" : "" }, { "dropping-particle" : "", "family" : "Harbord", "given" : "Marcus", "non-dropping-particle" : "", "parse-names" : false, "suffix" : "" }, { "dropping-particle" : "", "family" : "Langhorst", "given" : "Jost", "non-dropping-particle" : "", "parse-names" : false, "suffix" : "" }, { "dropping-particle" : "", "family" : "Sans", "given" : "Miquel", "non-dropping-particle" : "", "parse-names" : false, "suffix" : "" }, { "dropping-particle" : "", "family" : "Chowers", "given" : "Yehuda", "non-dropping-particle" : "", "parse-names" : false, "suffix" : "" }, { "dropping-particle" : "", "family" : "Fiorino", "given" : "Gionata", "non-dropping-particle" : "", "parse-names" : false, "suffix" : "" }, { "dropping-particle" : "", "family" : "Juillerat", "given" : "Pascal", "non-dropping-particle" : "", "parse-names" : false, "suffix" : "" }, { "dropping-particle" : "", "family" : "Mantzaris", "given" : "Gerassimos J.", "non-dropping-particle" : "", "parse-names" : false, "suffix" : "" }, { "dropping-particle" : "", "family" : "Rizzello", "given" : "Fernando", "non-dropping-particle" : "", "parse-names" : false, "suffix" : "" }, { "dropping-particle" : "", "family" : "Vavricka", "given" : "Stephan", "non-dropping-particle" : "", "parse-names" : false, "suffix" : "" }, { "dropping-particle" : "", "family" : "Gionchetti", "given" : "Paolo", "non-dropping-particle" : "", "parse-names" : false, "suffix" : "" }, { "dropping-particle" : "", "family" : "Bossuyt", "given" : "Peter", "non-dropping-particle" : "", "parse-names" : false, "suffix" : "" }, { "dropping-particle" : "", "family" : "Mijandrusic-Sincic", "given" : "Brankica", "non-dropping-particle" : "", "parse-names" : false, "suffix" : "" }, { "dropping-particle" : "", "family" : "Douda", "given" : "Thomas", "non-dropping-particle" : "", "parse-names" : false, "suffix" : "" }, { "dropping-particle" : "", "family" : "Brynskov", "given" : "J\u00f8rn", "non-dropping-particle" : "", "parse-names" : false, "suffix" : "" }, { "dropping-particle" : "", "family" : "Knudsen", "given" : "Torben", "non-dropping-particle" : "", "parse-names" : false, "suffix" : "" }, { "dropping-particle" : "", "family" : "Manninen", "given" : "Pia", "non-dropping-particle" : "", "parse-names" : false, "suffix" : "" }, { "dropping-particle" : "", "family" : "Carbonnel", "given" : "Franck", "non-dropping-particle" : "", "parse-names" : false, "suffix" : "" }, { "dropping-particle" : "", "family" : "Sturm", "given" : "Andreas", "non-dropping-particle" : "", "parse-names" : false, "suffix" : "" }, { "dropping-particle" : "", "family" : "Koutroubakis", "given" : "Ioannis", "non-dropping-particle" : "", "parse-names" : false, "suffix" : "" }, { "dropping-particle" : "", "family" : "O'Morain", "given" : "Colm", "non-dropping-particle" : "", "parse-names" : false, "suffix" : "" }, { "dropping-particle" : "", "family" : "Kohn", "given" : "Anna", "non-dropping-particle" : "", "parse-names" : false, "suffix" : "" }, { "dropping-particle" : "", "family" : "Berset", "given" : "Ingrid Prytz", "non-dropping-particle" : "", "parse-names" : false, "suffix" : "" }, { "dropping-particle" : "", "family" : "Kierkus", "given" : "Jaroslaw", "non-dropping-particle" : "", "parse-names" : false, "suffix" : "" }, { "dropping-particle" : "", "family" : "Zagorowicz", "given" : "Edyta", "non-dropping-particle" : "", "parse-names" : false, "suffix" : "" }, { "dropping-particle" : "", "family" : "Diculescu", "given" : "Mihai</w:instrText>
      </w:r>
      <w:r w:rsidR="00FA1D23" w:rsidRPr="003D034F">
        <w:rPr>
          <w:rFonts w:ascii="Book Antiqua" w:hAnsi="Book Antiqua" w:cs="Calibri"/>
          <w:sz w:val="24"/>
          <w:szCs w:val="24"/>
          <w:lang w:val="en-US"/>
        </w:rPr>
        <w:instrText xml:space="preserve"> Mircea", "non-dropping-particle" : "", "parse-names" : false, "suffix" : "" }, { "dropping-particle" : "", "family" : "Goldis", "given" : "Adrian", "non-dropping-particle" : "", "parse-names" : false, "suffix" : "" }, { "dropping-particle" : "", "family" : "Potapov", "given" : "Alexander", "non-dropping-particle" : "", "parse-names" : false, "suffix" : "" }, { "dropping-particle" : "", "family" : "Jorda", "given" : "Francesc Casellas", "non-dropping-particle" : "", "parse-names" : false, "suffix" : "" }, { "dropping-particle" : "", "family" : "Celik", "given" : "Aykut Ferhat", "non-dropping-particle" : "", "parse-names" : false, "suffix" : "" }, { "dropping-particle" : "", "family" : "Irving", "given" : "Peter", "non-dropping-particle" : "", "parse-names" : false, "suffix" : "" } ], "container-title" : "Journal of Crohn's and Colitis", "id" : "ITEM-1", "issue" : "1", "issued" : { "date-parts" : [ [ "2017" ] ] }, "page" : "3-25", "title" : "3rd European evidence-based consensus on the diagnosis and management of Crohn's disease 2016: Part 1: Diagnosis and medical management", "type" : "article-journal", "volume" : "11" }, "uris" : [ "http://www.mendeley.com/documents/?uuid=6c3b46c0-21fd-45aa-b435-9256ec654a8a" ] } ], "mendeley" : { "formattedCitation" : "&lt;sup&gt;[11]&lt;/sup&gt;", "plainTextFormattedCitation" : "[11]", "previouslyFormattedCitation" : "&lt;sup&gt;[11]&lt;/sup&gt;" }, "properties" : {  }, "schema" : "https://github.com/citation-style-language/schema/raw/master/csl-citation.json" }</w:instrText>
      </w:r>
      <w:r w:rsidR="00056AC0" w:rsidRPr="003D034F">
        <w:rPr>
          <w:rFonts w:ascii="Book Antiqua" w:hAnsi="Book Antiqua" w:cs="Calibri"/>
          <w:sz w:val="24"/>
          <w:szCs w:val="24"/>
        </w:rPr>
        <w:fldChar w:fldCharType="separate"/>
      </w:r>
      <w:r w:rsidR="00FA1D23" w:rsidRPr="003D034F">
        <w:rPr>
          <w:rFonts w:ascii="Book Antiqua" w:hAnsi="Book Antiqua" w:cs="Calibri"/>
          <w:noProof/>
          <w:sz w:val="24"/>
          <w:szCs w:val="24"/>
          <w:vertAlign w:val="superscript"/>
          <w:lang w:val="en-US"/>
        </w:rPr>
        <w:t>[11]</w:t>
      </w:r>
      <w:r w:rsidR="00056AC0" w:rsidRPr="003D034F">
        <w:rPr>
          <w:rFonts w:ascii="Book Antiqua" w:hAnsi="Book Antiqua" w:cs="Calibri"/>
          <w:sz w:val="24"/>
          <w:szCs w:val="24"/>
        </w:rPr>
        <w:fldChar w:fldCharType="end"/>
      </w:r>
      <w:r w:rsidR="00AC0CB3" w:rsidRPr="003D034F">
        <w:rPr>
          <w:rFonts w:ascii="Book Antiqua" w:hAnsi="Book Antiqua" w:cs="Calibri"/>
          <w:sz w:val="24"/>
          <w:szCs w:val="24"/>
          <w:lang w:val="en-US"/>
        </w:rPr>
        <w:t>.</w:t>
      </w:r>
    </w:p>
    <w:p w:rsidR="00B30E91" w:rsidRPr="003D034F" w:rsidRDefault="00B30E91" w:rsidP="003D034F">
      <w:pPr>
        <w:autoSpaceDE w:val="0"/>
        <w:autoSpaceDN w:val="0"/>
        <w:adjustRightInd w:val="0"/>
        <w:spacing w:after="0" w:line="360" w:lineRule="auto"/>
        <w:jc w:val="both"/>
        <w:rPr>
          <w:rFonts w:ascii="Book Antiqua" w:hAnsi="Book Antiqua" w:cs="Calibri"/>
          <w:sz w:val="24"/>
          <w:szCs w:val="24"/>
          <w:lang w:val="en-US"/>
        </w:rPr>
      </w:pPr>
    </w:p>
    <w:p w:rsidR="009801AF" w:rsidRPr="003D034F" w:rsidRDefault="009801AF" w:rsidP="003D034F">
      <w:pPr>
        <w:spacing w:after="0" w:line="360" w:lineRule="auto"/>
        <w:jc w:val="both"/>
        <w:rPr>
          <w:rFonts w:ascii="Book Antiqua" w:hAnsi="Book Antiqua" w:cs="Calibri"/>
          <w:b/>
          <w:sz w:val="24"/>
          <w:szCs w:val="24"/>
          <w:lang w:val="en-US"/>
        </w:rPr>
      </w:pPr>
      <w:r w:rsidRPr="003D034F">
        <w:rPr>
          <w:rFonts w:ascii="Book Antiqua" w:hAnsi="Book Antiqua" w:cs="Calibri"/>
          <w:b/>
          <w:sz w:val="24"/>
          <w:szCs w:val="24"/>
          <w:lang w:val="en-US"/>
        </w:rPr>
        <w:t>ESOPHAGEAL</w:t>
      </w:r>
      <w:r w:rsidR="00185FAC" w:rsidRPr="003D034F">
        <w:rPr>
          <w:rFonts w:ascii="Book Antiqua" w:hAnsi="Book Antiqua" w:cs="Calibri"/>
          <w:b/>
          <w:sz w:val="24"/>
          <w:szCs w:val="24"/>
          <w:lang w:val="en-US"/>
        </w:rPr>
        <w:t xml:space="preserve"> CROHN</w:t>
      </w:r>
      <w:r w:rsidR="00AC0CB3" w:rsidRPr="003D034F">
        <w:rPr>
          <w:rFonts w:ascii="Book Antiqua" w:hAnsi="Book Antiqua" w:cs="Calibri"/>
          <w:b/>
          <w:sz w:val="24"/>
          <w:szCs w:val="24"/>
          <w:lang w:val="en-US" w:eastAsia="zh-CN"/>
        </w:rPr>
        <w:t>’</w:t>
      </w:r>
      <w:r w:rsidR="00185FAC" w:rsidRPr="003D034F">
        <w:rPr>
          <w:rFonts w:ascii="Book Antiqua" w:hAnsi="Book Antiqua" w:cs="Calibri"/>
          <w:b/>
          <w:sz w:val="24"/>
          <w:szCs w:val="24"/>
          <w:lang w:val="en-US"/>
        </w:rPr>
        <w:t>S</w:t>
      </w:r>
      <w:r w:rsidRPr="003D034F">
        <w:rPr>
          <w:rFonts w:ascii="Book Antiqua" w:hAnsi="Book Antiqua" w:cs="Calibri"/>
          <w:b/>
          <w:sz w:val="24"/>
          <w:szCs w:val="24"/>
          <w:lang w:val="en-US"/>
        </w:rPr>
        <w:t xml:space="preserve"> DISEASE</w:t>
      </w:r>
    </w:p>
    <w:p w:rsidR="00C366CB" w:rsidRPr="003D034F" w:rsidRDefault="00353DDB" w:rsidP="003D034F">
      <w:pPr>
        <w:spacing w:after="0" w:line="360" w:lineRule="auto"/>
        <w:jc w:val="both"/>
        <w:rPr>
          <w:rFonts w:ascii="Book Antiqua" w:hAnsi="Book Antiqua" w:cs="Calibri"/>
          <w:sz w:val="24"/>
          <w:szCs w:val="24"/>
          <w:lang w:val="en-US"/>
        </w:rPr>
      </w:pPr>
      <w:r w:rsidRPr="003D034F">
        <w:rPr>
          <w:rFonts w:ascii="Book Antiqua" w:hAnsi="Book Antiqua" w:cs="Calibri"/>
          <w:sz w:val="24"/>
          <w:szCs w:val="24"/>
          <w:lang w:val="en-US"/>
        </w:rPr>
        <w:t xml:space="preserve">Esophageal </w:t>
      </w:r>
      <w:r w:rsidR="00B12037" w:rsidRPr="003D034F">
        <w:rPr>
          <w:rFonts w:ascii="Book Antiqua" w:hAnsi="Book Antiqua" w:cs="Calibri"/>
          <w:sz w:val="24"/>
          <w:szCs w:val="24"/>
          <w:lang w:val="en-US"/>
        </w:rPr>
        <w:t>CD</w:t>
      </w:r>
      <w:r w:rsidRPr="003D034F">
        <w:rPr>
          <w:rFonts w:ascii="Book Antiqua" w:hAnsi="Book Antiqua" w:cs="Calibri"/>
          <w:sz w:val="24"/>
          <w:szCs w:val="24"/>
          <w:lang w:val="en-US"/>
        </w:rPr>
        <w:t xml:space="preserve"> is rare and was described in 1950 by Frankly and Taylor</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"15405558", "author" : [ { "dropping-particle" : "", "family" : "Frankly", "given" : "RH", "non-dropping-particle" : "", "parse-names" : false, "suffix" : "" }, { "dropping-particle" : "", "family" : "Taylor", "given" : "S", "non-dropping-particle" : "", "parse-names" : false, "suffix" : "" } ], "container-title" : "Journal Thoracic Surgical", "id" : "ITEM-1", "issued" : { "date-parts" : [ [ "1950" ] ] }, "page" : "292-297", "title" : "Nonspecific granulomatous (regional) esophagitis.", "type" : "article-journal", "volume" : "19" }, "uris" : [ "http://www.mendeley.com/documents/?uuid=18024e2f-f414-4c73-adf9-4ad2731038ae" ] } ], "mendeley" : { "formattedCitation" : "&lt;sup&gt;[27]&lt;/sup&gt;", "plainTextFormattedCitation" : "[27]", "previouslyFormattedCitation" : "&lt;sup&gt;[27]&lt;/sup&gt;"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[27</w:t>
      </w:r>
      <w:r w:rsidR="00AC0CB3" w:rsidRPr="003D034F">
        <w:rPr>
          <w:rFonts w:ascii="Book Antiqua" w:hAnsi="Book Antiqua" w:cs="Calibri"/>
          <w:sz w:val="24"/>
          <w:szCs w:val="24"/>
          <w:vertAlign w:val="superscript"/>
          <w:lang w:val="en-US" w:eastAsia="zh-CN"/>
        </w:rPr>
        <w:t>,28</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8320D3" w:rsidRPr="003D034F">
        <w:rPr>
          <w:rFonts w:ascii="Book Antiqua" w:hAnsi="Book Antiqua" w:cs="Calibri"/>
          <w:sz w:val="24"/>
          <w:szCs w:val="24"/>
          <w:lang w:val="en-US"/>
        </w:rPr>
        <w:t>. T</w:t>
      </w:r>
      <w:r w:rsidRPr="003D034F">
        <w:rPr>
          <w:rFonts w:ascii="Book Antiqua" w:hAnsi="Book Antiqua" w:cs="Calibri"/>
          <w:sz w:val="24"/>
          <w:szCs w:val="24"/>
          <w:lang w:val="en-US"/>
        </w:rPr>
        <w:t xml:space="preserve">he prevalence of esophageal </w:t>
      </w:r>
      <w:r w:rsidR="00B12037" w:rsidRPr="003D034F">
        <w:rPr>
          <w:rFonts w:ascii="Book Antiqua" w:hAnsi="Book Antiqua" w:cs="Calibri"/>
          <w:sz w:val="24"/>
          <w:szCs w:val="24"/>
          <w:lang w:val="en-US"/>
        </w:rPr>
        <w:t>CD</w:t>
      </w:r>
      <w:r w:rsidRPr="003D034F">
        <w:rPr>
          <w:rFonts w:ascii="Book Antiqua" w:hAnsi="Book Antiqua" w:cs="Calibri"/>
          <w:sz w:val="24"/>
          <w:szCs w:val="24"/>
          <w:lang w:val="en-US"/>
        </w:rPr>
        <w:t xml:space="preserve"> ranges from 3.3% to 6.8% in the adult population and from 7.6% to 17.6% in pediatric patients, but these data may be underestimated in adults due to the failure to perform </w:t>
      </w:r>
      <w:r w:rsidR="00CA5DC3" w:rsidRPr="003D034F">
        <w:rPr>
          <w:rFonts w:ascii="Book Antiqua" w:hAnsi="Book Antiqua" w:cs="Calibri"/>
          <w:sz w:val="24"/>
          <w:szCs w:val="24"/>
          <w:lang w:val="en-US"/>
        </w:rPr>
        <w:t>H</w:t>
      </w:r>
      <w:r w:rsidRPr="003D034F">
        <w:rPr>
          <w:rFonts w:ascii="Book Antiqua" w:hAnsi="Book Antiqua" w:cs="Calibri"/>
          <w:sz w:val="24"/>
          <w:szCs w:val="24"/>
          <w:lang w:val="en-US"/>
        </w:rPr>
        <w:t>DE in asymptomatic patients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"10.1097/MIB.0000000000000469", "ISBN" : "1078-0998", "ISSN" : "15364844", "PMID" : "26083616", "abstract" : "Background: Esophageal Crohn's disease (CD) is challenging and often a disabling phenotype of disease. We aimed to report the clinical, endoscopic, histologic features, and treatment outcomes of esophageal patients with CD. Methods: Esophageal patients with CD evaluated at the Mayo Clinic in Rochester, MN, between January, 1998, and December, 2012, were identified. Results: Twenty-four cases of esophageal CD were identified. The median age of diagnosis was 23 years (range, 12-60). Twenty-one patients (88%) had extraesophageal CD and 8 patients (33%) had oral ulcers at the time of esophageal CD symptom onset. The majority of patients had esophageal-specific symptoms. Mid (29%) or distal (29%) esophagus was the most common site of involvement. Inflammatory esophageal CD (75%) was marked by superficial ulcerations (58%), erythema and/or erosions (50%), deep ulcerations (13%), and pseudopolyps (4%) on endoscopy. Four patients (17%) were found to have esophageal strictures and 2 patients (8%) had fistulizing disease. Chronic inflammation (83%) was seen on biopsy in the majority of cases with 5 patients having associated granulomas. In our series, inflammatory esophageal CD responded to prednisone, topical budesonide, or biologics. Stricturing esophageal CD was successfully treated with a combination of biologic therapy, immunomodulators, and serial dilations with/without steroid injections. Aggressive medical therapy with biologics and endoscopic therapy was used for fistulizing esophageal CD, however, was not universally effective. Conclusions: Esophageal CD should be considered in all patients with CD with upper gastrointestinal symptoms. Early recognition, diagnosis, and aggressive medical and/or endoscopic treatment are needed for successful outcomes. Copyright Ac 2015 Crohn's &amp; Colitis Foundation of America, Inc", "author" : [ { "dropping-particle" : "", "family" : "Felice", "given" : "Kara M.", "non-dropping-particle" : "De", "parse-names" : false, "suffix" : "" }, { "dropping-particle" : "", "family" : "Katzka", "given" : "David A.", "non-dropping-particle" : "", "parse-names" : false, "suffix" : "" }, { "dropping-particle" : "", "family" : "Raffals", "given" : "Laura E.", "non-dropping-particle" : "", "parse-names" : false, "suffix" : "" } ], "container-title" : "Inflammatory Bowel Diseases", "id" : "ITEM-1", "issue" : "9", "issued" : { "date-parts" : [ [ "2015" ] ] }, "page" : "2106-2113", "title" : "Crohn's disease of the esophagus: Clinical features and treatment outcomes in the biologic era", "type" : "article-journal", "volume" : "21" }, "uris" : [ "http://www.mendeley.com/documents/?uuid=722c966f-57c3-45c1-a9f3-5c4adfb8739e" ] } ], "mendeley" : { "formattedCitation" : "&lt;sup&gt;[29]&lt;/sup&gt;", "plainTextFormattedCitation" : "[29]", "previouslyFormattedCitation" : "&lt;sup&gt;[29]&lt;/sup&gt;"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[29]</w:t>
      </w:r>
      <w:r w:rsidR="00056AC0" w:rsidRPr="003D034F">
        <w:rPr>
          <w:rFonts w:ascii="Book Antiqua" w:hAnsi="Book Antiqua" w:cs="Calibri"/>
          <w:sz w:val="24"/>
          <w:szCs w:val="24"/>
          <w:lang w:val="en-US"/>
        </w:rPr>
        <w:fldChar w:fldCharType="end"/>
      </w:r>
      <w:r w:rsidR="00610EB5" w:rsidRPr="003D034F">
        <w:rPr>
          <w:rFonts w:ascii="Book Antiqua" w:hAnsi="Book Antiqua" w:cs="Calibri"/>
          <w:sz w:val="24"/>
          <w:szCs w:val="24"/>
          <w:lang w:val="en-US"/>
        </w:rPr>
        <w:t>.</w:t>
      </w:r>
      <w:r w:rsidR="009D664D" w:rsidRPr="003D034F">
        <w:rPr>
          <w:rFonts w:ascii="Book Antiqua" w:hAnsi="Book Antiqua" w:cs="Calibri"/>
          <w:sz w:val="24"/>
          <w:szCs w:val="24"/>
          <w:lang w:val="en-US"/>
        </w:rPr>
        <w:t xml:space="preserve"> </w:t>
      </w:r>
      <w:r w:rsidR="00A10820" w:rsidRPr="003D034F">
        <w:rPr>
          <w:rFonts w:ascii="Book Antiqua" w:hAnsi="Book Antiqua" w:cs="Calibri"/>
          <w:sz w:val="24"/>
          <w:szCs w:val="24"/>
          <w:lang w:val="en-US"/>
        </w:rPr>
        <w:t xml:space="preserve">Decker </w:t>
      </w:r>
      <w:r w:rsidR="00A10820" w:rsidRPr="003D034F">
        <w:rPr>
          <w:rFonts w:ascii="Book Antiqua" w:hAnsi="Book Antiqua" w:cs="Calibri"/>
          <w:i/>
          <w:sz w:val="24"/>
          <w:szCs w:val="24"/>
          <w:lang w:val="en-US"/>
        </w:rPr>
        <w:t>et al</w:t>
      </w:r>
      <w:r w:rsidR="00AC0CB3" w:rsidRPr="003D034F">
        <w:rPr>
          <w:rFonts w:ascii="Book Antiqua" w:hAnsi="Book Antiqua" w:cs="Calibri"/>
          <w:sz w:val="24"/>
          <w:szCs w:val="24"/>
          <w:lang w:val="en-US"/>
        </w:rPr>
        <w:fldChar w:fldCharType="begin" w:fldLock="1"/>
      </w:r>
      <w:r w:rsidR="00AC0CB3" w:rsidRPr="003D034F">
        <w:rPr>
          <w:rFonts w:ascii="Book Antiqua" w:hAnsi="Book Antiqua" w:cs="Calibri"/>
          <w:sz w:val="24"/>
          <w:szCs w:val="24"/>
          <w:lang w:val="en-US"/>
        </w:rPr>
        <w:instrText>ADDIN CSL_CITATION { "citationItems" : [ { "id" : "ITEM-1", "itemData" : { "DOI" : "10.1097/00054725-200105000-00006", "ISBN" : "1078-0998 (Print)\\r1078-0998", "ISSN" : "1078-0998", "PMID" : "11383583", "abstract" : "OBJECTIVES: Crohn's disease of the esophagus is rare. We sought to determine the clinical features and outcome of patients with esophageal Crohn's disease seen at our institution. METHODS: Patients with esophageal Crohn's disease evaluated at Mayo Clinic Rochester between 1976 and 1998 were identified. RESULTS: Twenty patients (0.2%) with esophageal involvement were identified. Median age at diagnosis was 31 years (range, 7-77 years). Eleven patients (55%) were female. Extraesophageal Crohn's disease preceded or was found at the same time as the diagnosis of esophageal Crohn's in all cases. Sixteen patients (80%) had symptoms referable to the esophagus. Endoscopic findings included ulcers in 17 (85%), erythema or erosions in 8 (40%), and strictures in 4 patients (20%). One patient had a fistula. The most common histological findings were active chronic inflammation (75%) and ulcer (30%). No granulomata were identified. Approximately one-half of our patients improved with first-line therapy. Eleven patients (55%) received immune modifier therapy. Six showed significant improvement on azathioprine, 6-mercaptopurine, or cyclosporine. Esophageal dilatation was required in six patients, and three patients required surgery. CONCLUSION: Esophageal Crohn's disease may be underdiagnosed. Patients with Crohn's disease complaining of esophageal symptoms should undergo upper endoscopy with biopsies, and the diagnosis of esophageal Crohn's disease should be entertained if aphthous or deep ulcers or strictures are present. Immune modifier therapy should be considered for steroid-dependent and steroid-resistant cases.", "author" : [ { "dropping-particle" : "", "family" : "Decker", "given" : "G. Antom G", "non-dropping-particle" : "", "parse-names" : false, "suffix" : "" }, { "dropping-particle" : "V", "family" : "Loftus", "given" : "Edward", "non-dropping-particle" : "", "parse-names" : false, "suffix" : "" }, { "dropping-particle" : "", "family" : "Pasha", "given" : "Tousif M", "non-dropping-particle" : "", "parse-names" : false, "suffix" : "" }, { "dropping-particle" : "", "family" : "Tremaine", "given" : "William J", "non-dropping-particle" : "", "parse-names" : false, "suffix" : "" }, { "dropping-particle" : "", "family" : "Sandborn", "given" : "Willian J", "non-dropping-particle" : "", "parse-names" : false, "suffix" : "" } ], "container-title" : "Inflammatory bowel diseases", "id" : "ITEM-1", "issue" : "2", "issued" : { "date-parts" : [ [ "2001" ] ] }, "page" : "113-119", "title" : "Crohn's disease of the esophagus: clinical features and outcomes.", "type" : "article-journal", "volume" : "7" }, "uris" : [ "http://www.mendeley.com/documents/?uuid=52a431b2-26c5-49eb-aa57-f5d19178f466" ] } ], "mendeley" : { "formattedCitation" : "&lt;sup&gt;[30]&lt;/sup&gt;", "plainTextFormattedCitation" : "[30]", "previouslyFormattedCitation" : "&lt;sup&gt;[30]&lt;/sup&gt;" }, "properties" : {  }, "schema" : "https://github.com/citation-style-language/schema/raw/master/csl-citation.json" }</w:instrText>
      </w:r>
      <w:r w:rsidR="00AC0CB3" w:rsidRPr="003D034F">
        <w:rPr>
          <w:rFonts w:ascii="Book Antiqua" w:hAnsi="Book Antiqua" w:cs="Calibri"/>
          <w:sz w:val="24"/>
          <w:szCs w:val="24"/>
          <w:lang w:val="en-US"/>
        </w:rPr>
        <w:fldChar w:fldCharType="separate"/>
      </w:r>
      <w:r w:rsidR="00AC0CB3" w:rsidRPr="003D034F">
        <w:rPr>
          <w:rFonts w:ascii="Book Antiqua" w:hAnsi="Book Antiqua" w:cs="Calibri"/>
          <w:sz w:val="24"/>
          <w:szCs w:val="24"/>
          <w:vertAlign w:val="superscript"/>
          <w:lang w:val="en-US"/>
        </w:rPr>
        <w:t>[30]</w:t>
      </w:r>
      <w:r w:rsidR="00AC0CB3" w:rsidRPr="003D034F">
        <w:rPr>
          <w:rFonts w:ascii="Book Antiqua" w:hAnsi="Book Antiqua" w:cs="Calibri"/>
          <w:sz w:val="24"/>
          <w:szCs w:val="24"/>
          <w:lang w:val="en-US"/>
        </w:rPr>
        <w:fldChar w:fldCharType="end"/>
      </w:r>
      <w:r w:rsidR="00A10820" w:rsidRPr="003D034F">
        <w:rPr>
          <w:rFonts w:ascii="Book Antiqua" w:hAnsi="Book Antiqua" w:cs="Calibri"/>
          <w:sz w:val="24"/>
          <w:szCs w:val="24"/>
          <w:lang w:val="en-US"/>
        </w:rPr>
        <w:t xml:space="preserve"> reported 20 cases of esophageal involvement (0.2%) among 9900 CD patients, evaluated between 1976 and 1998, of whom 19 (95%) also had active bowel disease. The diagnosis was based on the endoscopic, histological, radiological and clinical impressions of the gastroenterologist. The mean age at diagnosis was 31 years</w:t>
      </w:r>
      <w:r w:rsidR="00003DD7" w:rsidRPr="003D034F">
        <w:rPr>
          <w:rFonts w:ascii="Book Antiqua" w:hAnsi="Book Antiqua" w:cs="Calibri"/>
          <w:sz w:val="24"/>
          <w:szCs w:val="24"/>
          <w:lang w:val="en-US"/>
        </w:rPr>
        <w:t>,</w:t>
      </w:r>
      <w:r w:rsidR="00A10820" w:rsidRPr="003D034F">
        <w:rPr>
          <w:rFonts w:ascii="Book Antiqua" w:hAnsi="Book Antiqua" w:cs="Calibri"/>
          <w:sz w:val="24"/>
          <w:szCs w:val="24"/>
          <w:lang w:val="en-US"/>
        </w:rPr>
        <w:t xml:space="preserve"> and the mean interval between the diagnosis of </w:t>
      </w:r>
      <w:r w:rsidR="00E54C3D" w:rsidRPr="003D034F">
        <w:rPr>
          <w:rFonts w:ascii="Book Antiqua" w:hAnsi="Book Antiqua" w:cs="Calibri"/>
          <w:sz w:val="24"/>
          <w:szCs w:val="24"/>
          <w:lang w:val="en-US"/>
        </w:rPr>
        <w:t>CD</w:t>
      </w:r>
      <w:r w:rsidR="00A10820" w:rsidRPr="003D034F">
        <w:rPr>
          <w:rFonts w:ascii="Book Antiqua" w:hAnsi="Book Antiqua" w:cs="Calibri"/>
          <w:sz w:val="24"/>
          <w:szCs w:val="24"/>
          <w:lang w:val="en-US"/>
        </w:rPr>
        <w:t xml:space="preserve"> and involving the esophagus was 1 year</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"10.1097/00054725-200105000-00006", "ISBN" : "1078-0998 (Print)\\r1078-0998", "ISSN" : "1078-0998", "PMID" : "11383583", "abstract" : "OBJECTIVES: Crohn's disease of the esophagus is rare. We sought to determine the clinical features and outcome of patients with esophageal Crohn's disease seen at our institution. METHODS: Patients with esophageal Crohn's disease evaluated at Mayo Clinic Rochester between 1976 and 1998 were identified. RESULTS: Twenty patients (0.2%) with esophageal involvement were identified. Median age at diagnosis was 31 years (range, 7-77 years). Eleven patients (55%) were female. Extraesophageal Crohn's disease preceded or was found at the same time as the diagnosis of esophageal Crohn's in all cases. Sixteen patients (80%) had symptoms referable to the esophagus. Endoscopic findings included ulcers in 17 (85%), erythema or erosions in 8 (40%), and strictures in 4 patients (20%). One patient had a fistula. The most common histological findings were active chronic inflammation (75%) and ulcer (30%). No granulomata were identified. Approximately one-half of our patients improved with first-line therapy. Eleven patients (55%) received immune modifier therapy. Six showed significant improvement on azathioprine, 6-mercaptopurine, or cyclosporine. Esophageal dilatation was required in six patients, and three patients required surgery. CONCLUSION: Esophageal Crohn's disease may be underdiagnosed. Patients with Crohn's disease complaining of esophageal symptoms should undergo upper endoscopy with biopsies, and the diagnosis of esophageal Crohn's disease should be entertained if aphthous or deep ulcers or strictures are present. Immune modifier therapy should be considered for steroid-dependent and steroid-resistant cases.", "author" : [ { "dropping-particle" : "", "family" : "Decker", "given" : "G. Antom G", "non-dropping-particle" : "", "parse-names" : false, "suffix" : "" }, { "dropping-particle" : "V", "family" : "Loftus", "given" : "Edward", "non-dropping-particle" : "", "parse-names" : false, "suffix" : "" }, { "dropping-particle" : "", "family" : "Pasha", "given" : "Tousif M", "non-dropping-particle" : "", "parse-names" : false, "suffix" : "" }, { "dropping-particle" : "", "family" : "Tremaine", "given" : "William J", "non-dropping-particle" : "", "parse-names" : false, "suffix" : "" }, { "dropping-particle" : "", "family" : "Sandborn", "given" : "Willian J", "non-dropping-particle" : "", "parse-names" : false, "suffix" : "" } ], "container-title" : "Inflammatory bowel diseases", "id" : "ITEM-1", "issue" : "2", "issued" : { "date-parts" : [ [ "2001" ] ] }, "page" : "113-119", "title" : "Crohn's disease of the esophagus: clinical features and outcomes.", "type" : "article-journal", "volume" : "7" }, "uris" : [ "http://www.mendeley.com/documents/?uuid=52a431b2-26c5-49eb-aa57-f5d19178f466" ] } ], "mendeley" : { "formattedCitation" : "&lt;sup&gt;[30]&lt;/sup&gt;", "plainTextFormattedCitation" : "[30]", "previouslyFormattedCitation" : "&lt;sup&gt;[30]&lt;/sup&gt;"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[30]</w:t>
      </w:r>
      <w:r w:rsidR="00056AC0" w:rsidRPr="003D034F">
        <w:rPr>
          <w:rFonts w:ascii="Book Antiqua" w:hAnsi="Book Antiqua" w:cs="Calibri"/>
          <w:sz w:val="24"/>
          <w:szCs w:val="24"/>
          <w:lang w:val="en-US"/>
        </w:rPr>
        <w:fldChar w:fldCharType="end"/>
      </w:r>
      <w:r w:rsidR="00AA5202" w:rsidRPr="003D034F">
        <w:rPr>
          <w:rFonts w:ascii="Book Antiqua" w:hAnsi="Book Antiqua" w:cs="Calibri"/>
          <w:sz w:val="24"/>
          <w:szCs w:val="24"/>
          <w:lang w:val="en-US"/>
        </w:rPr>
        <w:t>.</w:t>
      </w:r>
      <w:r w:rsidR="007E1C49" w:rsidRPr="003D034F">
        <w:rPr>
          <w:rFonts w:ascii="Book Antiqua" w:hAnsi="Book Antiqua" w:cs="Calibri"/>
          <w:sz w:val="24"/>
          <w:szCs w:val="24"/>
          <w:lang w:val="en-US"/>
        </w:rPr>
        <w:t xml:space="preserve"> </w:t>
      </w:r>
      <w:r w:rsidR="00A10820" w:rsidRPr="003D034F">
        <w:rPr>
          <w:rFonts w:ascii="Book Antiqua" w:hAnsi="Book Antiqua" w:cs="Calibri"/>
          <w:sz w:val="24"/>
          <w:szCs w:val="24"/>
          <w:lang w:val="en-US"/>
        </w:rPr>
        <w:t>A retrospective observational study conducted at the Mayo Clinic between 1998 and 2012 identified 12367 patients with CD, and 57 of them were submitted to HDE to evaluate UGT symptoms, of which 24 presented esophageal involvement. The mean age at diagnosis was 16 years</w:t>
      </w:r>
      <w:r w:rsidR="00003DD7" w:rsidRPr="003D034F">
        <w:rPr>
          <w:rFonts w:ascii="Book Antiqua" w:hAnsi="Book Antiqua" w:cs="Calibri"/>
          <w:sz w:val="24"/>
          <w:szCs w:val="24"/>
          <w:lang w:val="en-US"/>
        </w:rPr>
        <w:t>,</w:t>
      </w:r>
      <w:r w:rsidR="00A10820" w:rsidRPr="003D034F">
        <w:rPr>
          <w:rFonts w:ascii="Book Antiqua" w:hAnsi="Book Antiqua" w:cs="Calibri"/>
          <w:sz w:val="24"/>
          <w:szCs w:val="24"/>
          <w:lang w:val="en-US"/>
        </w:rPr>
        <w:t xml:space="preserve"> and the mean time between diagnosis of CD and esophageal involvement </w:t>
      </w:r>
      <w:r w:rsidR="00003DD7" w:rsidRPr="003D034F">
        <w:rPr>
          <w:rFonts w:ascii="Book Antiqua" w:hAnsi="Book Antiqua" w:cs="Calibri"/>
          <w:sz w:val="24"/>
          <w:szCs w:val="24"/>
          <w:lang w:val="en-US"/>
        </w:rPr>
        <w:t xml:space="preserve">was </w:t>
      </w:r>
      <w:r w:rsidR="00A10820" w:rsidRPr="003D034F">
        <w:rPr>
          <w:rFonts w:ascii="Book Antiqua" w:hAnsi="Book Antiqua" w:cs="Calibri"/>
          <w:sz w:val="24"/>
          <w:szCs w:val="24"/>
          <w:lang w:val="en-US"/>
        </w:rPr>
        <w:t xml:space="preserve">3 years. The authors demonstrated that </w:t>
      </w:r>
      <w:r w:rsidR="00A10820" w:rsidRPr="003D034F">
        <w:rPr>
          <w:rFonts w:ascii="Book Antiqua" w:hAnsi="Book Antiqua" w:cs="Calibri"/>
          <w:sz w:val="24"/>
          <w:szCs w:val="24"/>
          <w:lang w:val="en-US"/>
        </w:rPr>
        <w:lastRenderedPageBreak/>
        <w:t>most of the patients were diagnosed with extraesophageal CD before the diagnosis of esophageal involvement. Only 3 cases were limited to the esophagus, and two of them developed extraesophageal CD in the follow-up</w:t>
      </w:r>
      <w:r w:rsidR="00AF373E" w:rsidRPr="003D034F">
        <w:rPr>
          <w:rFonts w:ascii="Book Antiqua" w:hAnsi="Book Antiqua" w:cs="Calibri"/>
          <w:sz w:val="24"/>
          <w:szCs w:val="24"/>
          <w:lang w:val="en-US" w:eastAsia="zh-CN"/>
        </w:rPr>
        <w:t xml:space="preserve"> (Figure </w:t>
      </w:r>
      <w:r w:rsidR="006642C3" w:rsidRPr="003D034F">
        <w:rPr>
          <w:rFonts w:ascii="Book Antiqua" w:hAnsi="Book Antiqua" w:cs="Calibri"/>
          <w:sz w:val="24"/>
          <w:szCs w:val="24"/>
          <w:lang w:val="en-US" w:eastAsia="zh-CN"/>
        </w:rPr>
        <w:t>2</w:t>
      </w:r>
      <w:r w:rsidR="00AF373E" w:rsidRPr="003D034F">
        <w:rPr>
          <w:rFonts w:ascii="Book Antiqua" w:hAnsi="Book Antiqua" w:cs="Calibri"/>
          <w:sz w:val="24"/>
          <w:szCs w:val="24"/>
          <w:lang w:val="en-US" w:eastAsia="zh-CN"/>
        </w:rPr>
        <w:t>)</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"10.1097/MIB.0000000000000469", "ISBN" : "1078-0998", "ISSN" : "15364844", "PMID" : "26083616", "abstract" : "Background: Esophageal Crohn's disease (CD) is challenging and often a disabling phenotype of disease. We aimed to report the clinical, endoscopic, histologic features, and treatment outcomes of esophageal patients with CD. Methods: Esophageal patients with CD evaluated at the Mayo Clinic in Rochester, MN, between January, 1998, and December, 2012, were identified. Results: Twenty-four cases of esophageal CD were identified. The median age of diagnosis was 23 years (range, 12-60). Twenty-one patients (88%) had extraesophageal CD and 8 patients (33%) had oral ulcers at the time of esophageal CD symptom onset. The majority of patients had esophageal-specific symptoms. Mid (29%) or distal (29%) esophagus was the most common site of involvement. Inflammatory esophageal CD (75%) was marked by superficial ulcerations (58%), erythema and/or erosions (50%), deep ulcerations (13%), and pseudopolyps (4%) on endoscopy. Four patients (17%) were found to have esophageal strictures and 2 patients (8%) had fistulizing disease. Chronic inflammation (83%) was seen on biopsy in the majority of cases with 5 patients having associated granulomas. In our series, inflammatory esophageal CD responded to prednisone, topical budesonide, or biologics. Stricturing esophageal CD was successfully treated with a combination of biologic therapy, immunomodulators, and serial dilations with/without steroid injections. Aggressive medical therapy with biologics and endoscopic therapy was used for fistulizing esophageal CD, however, was not universally effective. Conclusions: Esophageal CD should be considered in all patients with CD with upper gastrointestinal symptoms. Early recognition, diagnosis, and aggressive medical and/or endoscopic treatment are needed for successful outcomes. Copyright Ac 2015 Crohn's &amp; Colitis Foundation of America, Inc", "author" : [ { "dropping-particle" : "", "family" : "Felice", "given" : "Kara M.", "non-dropping-particle" : "De", "parse-names" : false, "suffix" : "" }, { "dropping-particle" : "", "family" : "Katzka", "given" : "David A.", "non-dropping-particle" : "", "parse-names" : false, "suffix" : "" }, { "dropping-particle" : "", "family" : "Raffals", "given" : "Laura E.", "non-dropping-particle" : "", "parse-names" : false, "suffix" : "" } ], "container-title" : "Inflammatory Bowel Diseases", "id" : "ITEM-1", "issue" : "9", "issued" : { "date-parts" : [ [ "2015" ] ] }, "page" : "2106-2113", "title" : "Crohn's disease of the esophagus: Clinical features and treatment outcomes in the biologic era", "type" : "article-journal", "volume" : "21" }, "uris" : [ "http://www.mendeley.com/documents/?uuid=722c966f-57c3-45c1-a9f3-5c4adfb8739e" ] } ], "mendeley" : { "formattedCitation" : "&lt;sup&gt;[29]&lt;/sup&gt;", "plainTextFormattedCitation" : "[29]", "previouslyFormattedCitation" : "&lt;sup&gt;[29]&lt;/sup&gt;"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[29]</w:t>
      </w:r>
      <w:r w:rsidR="00056AC0" w:rsidRPr="003D034F">
        <w:rPr>
          <w:rFonts w:ascii="Book Antiqua" w:hAnsi="Book Antiqua" w:cs="Calibri"/>
          <w:sz w:val="24"/>
          <w:szCs w:val="24"/>
          <w:lang w:val="en-US"/>
        </w:rPr>
        <w:fldChar w:fldCharType="end"/>
      </w:r>
      <w:r w:rsidR="00356E5C" w:rsidRPr="003D034F">
        <w:rPr>
          <w:rFonts w:ascii="Book Antiqua" w:hAnsi="Book Antiqua" w:cs="Calibri"/>
          <w:sz w:val="24"/>
          <w:szCs w:val="24"/>
          <w:lang w:val="en-US"/>
        </w:rPr>
        <w:t xml:space="preserve">.  </w:t>
      </w:r>
    </w:p>
    <w:p w:rsidR="009F207C" w:rsidRPr="003D034F" w:rsidRDefault="009F207C" w:rsidP="003D034F">
      <w:pPr>
        <w:spacing w:after="0" w:line="360" w:lineRule="auto"/>
        <w:jc w:val="both"/>
        <w:rPr>
          <w:rFonts w:ascii="Book Antiqua" w:hAnsi="Book Antiqua" w:cs="Calibri"/>
          <w:b/>
          <w:sz w:val="24"/>
          <w:szCs w:val="24"/>
          <w:u w:val="single"/>
          <w:lang w:val="en-US"/>
        </w:rPr>
      </w:pPr>
    </w:p>
    <w:p w:rsidR="00C93E9B" w:rsidRPr="003D034F" w:rsidRDefault="00C93E9B" w:rsidP="003D034F">
      <w:pPr>
        <w:spacing w:after="0" w:line="360" w:lineRule="auto"/>
        <w:jc w:val="both"/>
        <w:rPr>
          <w:rFonts w:ascii="Book Antiqua" w:hAnsi="Book Antiqua" w:cs="Calibri"/>
          <w:b/>
          <w:sz w:val="24"/>
          <w:szCs w:val="24"/>
          <w:lang w:val="en-US"/>
        </w:rPr>
      </w:pPr>
      <w:r w:rsidRPr="003D034F">
        <w:rPr>
          <w:rFonts w:ascii="Book Antiqua" w:hAnsi="Book Antiqua" w:cs="Calibri"/>
          <w:b/>
          <w:sz w:val="24"/>
          <w:szCs w:val="24"/>
          <w:lang w:val="en-US"/>
        </w:rPr>
        <w:t>DIAGNOSIS</w:t>
      </w:r>
    </w:p>
    <w:p w:rsidR="00C93E9B" w:rsidRPr="003D034F" w:rsidRDefault="00AC0CB3" w:rsidP="003D034F">
      <w:pPr>
        <w:spacing w:after="0" w:line="360" w:lineRule="auto"/>
        <w:jc w:val="both"/>
        <w:rPr>
          <w:rFonts w:ascii="Book Antiqua" w:hAnsi="Book Antiqua" w:cs="Calibri"/>
          <w:b/>
          <w:i/>
          <w:sz w:val="24"/>
          <w:szCs w:val="24"/>
          <w:lang w:val="en-US"/>
        </w:rPr>
      </w:pPr>
      <w:r w:rsidRPr="003D034F">
        <w:rPr>
          <w:rFonts w:ascii="Book Antiqua" w:hAnsi="Book Antiqua" w:cs="Calibri"/>
          <w:b/>
          <w:i/>
          <w:sz w:val="24"/>
          <w:szCs w:val="24"/>
          <w:lang w:val="en-US"/>
        </w:rPr>
        <w:t>Clinical condition</w:t>
      </w:r>
    </w:p>
    <w:p w:rsidR="001D5A52" w:rsidRPr="003D034F" w:rsidRDefault="000560FA" w:rsidP="003D034F">
      <w:pPr>
        <w:spacing w:after="0" w:line="360" w:lineRule="auto"/>
        <w:jc w:val="both"/>
        <w:rPr>
          <w:rFonts w:ascii="Book Antiqua" w:hAnsi="Book Antiqua" w:cs="Calibri"/>
          <w:sz w:val="24"/>
          <w:szCs w:val="24"/>
          <w:lang w:val="en-US"/>
        </w:rPr>
      </w:pPr>
      <w:r w:rsidRPr="003D034F">
        <w:rPr>
          <w:rFonts w:ascii="Book Antiqua" w:hAnsi="Book Antiqua" w:cs="Calibri"/>
          <w:sz w:val="24"/>
          <w:szCs w:val="24"/>
          <w:lang w:val="en-US"/>
        </w:rPr>
        <w:t xml:space="preserve">Patients with esophageal involvement may present with symptoms such as heartburn, regurgitation and chest pain, similar to gastroesophageal reflux disease (GERD), and in more advanced cases, dysphagia, odynophagia, vomiting and weight loss. Less frequent symptoms such as </w:t>
      </w:r>
      <w:bookmarkStart w:id="38" w:name="OLE_LINK10"/>
      <w:bookmarkStart w:id="39" w:name="OLE_LINK11"/>
      <w:r w:rsidR="006F0830" w:rsidRPr="003D034F">
        <w:rPr>
          <w:rFonts w:ascii="Book Antiqua" w:hAnsi="Book Antiqua" w:cs="Calibri"/>
          <w:sz w:val="24"/>
          <w:szCs w:val="24"/>
          <w:lang w:val="en-US"/>
        </w:rPr>
        <w:t>hyp</w:t>
      </w:r>
      <w:r w:rsidR="006F0830" w:rsidRPr="003D034F">
        <w:rPr>
          <w:rFonts w:ascii="Book Antiqua" w:hAnsi="Book Antiqua" w:cs="Calibri"/>
          <w:sz w:val="24"/>
          <w:szCs w:val="24"/>
          <w:lang w:val="en-US" w:eastAsia="zh-CN"/>
        </w:rPr>
        <w:t>e</w:t>
      </w:r>
      <w:r w:rsidR="006F0830" w:rsidRPr="003D034F">
        <w:rPr>
          <w:rFonts w:ascii="Book Antiqua" w:hAnsi="Book Antiqua" w:cs="Calibri"/>
          <w:sz w:val="24"/>
          <w:szCs w:val="24"/>
          <w:lang w:val="en-US"/>
        </w:rPr>
        <w:t>r</w:t>
      </w:r>
      <w:r w:rsidR="006F0830" w:rsidRPr="003D034F">
        <w:rPr>
          <w:rFonts w:ascii="Book Antiqua" w:hAnsi="Book Antiqua" w:cs="Calibri"/>
          <w:sz w:val="24"/>
          <w:szCs w:val="24"/>
          <w:lang w:val="en-US" w:eastAsia="zh-CN"/>
        </w:rPr>
        <w:t>o</w:t>
      </w:r>
      <w:r w:rsidRPr="003D034F">
        <w:rPr>
          <w:rFonts w:ascii="Book Antiqua" w:hAnsi="Book Antiqua" w:cs="Calibri"/>
          <w:sz w:val="24"/>
          <w:szCs w:val="24"/>
          <w:lang w:val="en-US"/>
        </w:rPr>
        <w:t>xia</w:t>
      </w:r>
      <w:bookmarkEnd w:id="38"/>
      <w:bookmarkEnd w:id="39"/>
      <w:r w:rsidRPr="003D034F">
        <w:rPr>
          <w:rFonts w:ascii="Book Antiqua" w:hAnsi="Book Antiqua" w:cs="Calibri"/>
          <w:sz w:val="24"/>
          <w:szCs w:val="24"/>
          <w:lang w:val="en-US"/>
        </w:rPr>
        <w:t xml:space="preserve"> and growth retardation may be present</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"10.1097/SMJ.0b013e31818047be", "ISBN" : "1541-8243 (Electronic)\\r0038-4348 (Linking)", "ISSN" : "00384348", "PMID" : "18708983", "abstract" : "Esophageal Crohn disease is a difficult disease both to diagnose and treat. The diagnosis is made in patients with other extraintestinal manifestations of Crohn disease in whom other esophageal pathology has been ruled out. This often requires integration of clinical, endoscopic, radiographic, and histologic findings. Despite its relative rarity, it does cause severe symptoms that are difficult to treat. Treatment requires careful integration of medical, endoscopic, and surgical techniques. This review aims to discuss the significant literature regarding diagnosis and treatment of this important manifestation of inflammatory bowel disease. There is additional discussion of the literature regarding the efficacy of newer medical and endoscopic therapies, including biologic agents and removable polymer stents.", "author" : [ { "dropping-particle" : "", "family" : "Feagans", "given" : "Jacob", "non-dropping-particle" : "", "parse-names" : false, "suffix" : "" }, { "dropping-particle" : "", "family" : "Victor", "given" : "David", "non-dropping-particle" : "", "parse-names" : false, "suffix" : "" }, { "dropping-particle" : "", "family" : "Joshi", "given" : "Virendra", "non-dropping-particle" : "", "parse-names" : false, "suffix" : "" } ], "container-title" : "Southern Medical Journal", "id" : "ITEM-1", "issue" : "9", "issued" : { "date-parts" : [ [ "2008" ] ] }, "page" : "927-930", "title" : "Crohn disease of the esophagus: A review of the literature", "type" : "article-journal", "volume" : "101" }, "uris" : [ "http://www.mendeley.com/documents/?uuid=9f0cd970-3ed1-462b-9711-175cb27ec53c" ] } ], "mendeley" : { "formattedCitation" : "&lt;sup&gt;[28]&lt;/sup&gt;", "plainTextFormattedCitation" : "[28]", "previouslyFormattedCitation" : "&lt;sup&gt;[28]&lt;/sup&gt;"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[28</w:t>
      </w:r>
      <w:r w:rsidR="006F0830" w:rsidRPr="003D034F">
        <w:rPr>
          <w:rFonts w:ascii="Book Antiqua" w:hAnsi="Book Antiqua" w:cs="Calibri"/>
          <w:sz w:val="24"/>
          <w:szCs w:val="24"/>
          <w:vertAlign w:val="superscript"/>
          <w:lang w:val="en-US" w:eastAsia="zh-CN"/>
        </w:rPr>
        <w:t>-30</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9D664D" w:rsidRPr="003D034F">
        <w:rPr>
          <w:rFonts w:ascii="Book Antiqua" w:hAnsi="Book Antiqua" w:cs="Calibri"/>
          <w:sz w:val="24"/>
          <w:szCs w:val="24"/>
          <w:lang w:val="en-US"/>
        </w:rPr>
        <w:t xml:space="preserve">. </w:t>
      </w:r>
      <w:r w:rsidRPr="003D034F">
        <w:rPr>
          <w:rFonts w:ascii="Book Antiqua" w:hAnsi="Book Antiqua" w:cs="Calibri"/>
          <w:sz w:val="24"/>
          <w:szCs w:val="24"/>
          <w:lang w:val="en-US"/>
        </w:rPr>
        <w:t xml:space="preserve">In general, other segments of the gastrointestinal tract are affected, </w:t>
      </w:r>
      <w:r w:rsidR="00003DD7" w:rsidRPr="003D034F">
        <w:rPr>
          <w:rFonts w:ascii="Book Antiqua" w:hAnsi="Book Antiqua" w:cs="Calibri"/>
          <w:sz w:val="24"/>
          <w:szCs w:val="24"/>
          <w:lang w:val="en-US"/>
        </w:rPr>
        <w:t xml:space="preserve">but </w:t>
      </w:r>
      <w:r w:rsidRPr="003D034F">
        <w:rPr>
          <w:rFonts w:ascii="Book Antiqua" w:hAnsi="Book Antiqua" w:cs="Calibri"/>
          <w:sz w:val="24"/>
          <w:szCs w:val="24"/>
          <w:lang w:val="en-US"/>
        </w:rPr>
        <w:t>some cases of isolated esophageal involvement</w:t>
      </w:r>
      <w:r w:rsidR="006F0830" w:rsidRPr="003D034F">
        <w:rPr>
          <w:rFonts w:ascii="Book Antiqua" w:hAnsi="Book Antiqua" w:cs="Calibri"/>
          <w:sz w:val="24"/>
          <w:szCs w:val="24"/>
          <w:lang w:val="en-US"/>
        </w:rPr>
        <w:t xml:space="preserve"> are reported in the literature</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"14501622", "author" : [ { "dropping-particle" : "", "family" : "Naranjo-Rodriguez A, Solorzano-Peck G, Lopez-Rubio F", "given" : "et al.", "non-dropping-particle" : "", "parse-names" : false, "suffix" : "" } ], "container-title" : "Eur J Gastroenterol Hepatol", "id" : "ITEM-1", "issued" : { "date-parts" : [ [ "2003" ] ] }, "page" : "1123-1126.", "title" : "Isolated oesophageal involvement of Crohn\u2019s disease.", "type" : "article-journal", "volume" : "15" }, "uris" : [ "http://www.mendeley.com/documents/?uuid=e21b6594-3b5e-4952-8979-a8c169d9acc6" ] } ], "mendeley" : { "formattedCitation" : "&lt;sup&gt;[31]&lt;/sup&gt;", "plainTextFormattedCitation" : "[31]", "previouslyFormattedCitation" : "&lt;sup&gt;[31]&lt;/sup&gt;"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[31</w:t>
      </w:r>
      <w:r w:rsidR="006F0830" w:rsidRPr="003D034F">
        <w:rPr>
          <w:rFonts w:ascii="Book Antiqua" w:hAnsi="Book Antiqua" w:cs="Calibri"/>
          <w:sz w:val="24"/>
          <w:szCs w:val="24"/>
          <w:vertAlign w:val="superscript"/>
          <w:lang w:val="en-US" w:eastAsia="zh-CN"/>
        </w:rPr>
        <w:t>-33</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E44431" w:rsidRPr="003D034F">
        <w:rPr>
          <w:rFonts w:ascii="Book Antiqua" w:hAnsi="Book Antiqua" w:cs="Calibri"/>
          <w:sz w:val="24"/>
          <w:szCs w:val="24"/>
          <w:lang w:val="en-US"/>
        </w:rPr>
        <w:t>.</w:t>
      </w:r>
      <w:r w:rsidR="00F65AF7" w:rsidRPr="003D034F">
        <w:rPr>
          <w:rFonts w:ascii="Book Antiqua" w:hAnsi="Book Antiqua" w:cs="Calibri"/>
          <w:sz w:val="24"/>
          <w:szCs w:val="24"/>
          <w:lang w:val="en-US"/>
        </w:rPr>
        <w:t xml:space="preserve"> </w:t>
      </w:r>
      <w:r w:rsidR="00D00266" w:rsidRPr="003D034F">
        <w:rPr>
          <w:rFonts w:ascii="Book Antiqua" w:hAnsi="Book Antiqua" w:cs="Calibri"/>
          <w:sz w:val="24"/>
          <w:szCs w:val="24"/>
          <w:lang w:val="en-US"/>
        </w:rPr>
        <w:t xml:space="preserve">The main complications associated with the disease are stenosis with or without obstruction, fistulas and perforation. Rarely, patients present </w:t>
      </w:r>
      <w:proofErr w:type="spellStart"/>
      <w:r w:rsidR="00D00266" w:rsidRPr="003D034F">
        <w:rPr>
          <w:rFonts w:ascii="Book Antiqua" w:hAnsi="Book Antiqua" w:cs="Calibri"/>
          <w:sz w:val="24"/>
          <w:szCs w:val="24"/>
          <w:lang w:val="en-US"/>
        </w:rPr>
        <w:t>fistulization</w:t>
      </w:r>
      <w:proofErr w:type="spellEnd"/>
      <w:r w:rsidR="00D00266" w:rsidRPr="003D034F">
        <w:rPr>
          <w:rFonts w:ascii="Book Antiqua" w:hAnsi="Book Antiqua" w:cs="Calibri"/>
          <w:sz w:val="24"/>
          <w:szCs w:val="24"/>
          <w:lang w:val="en-US"/>
        </w:rPr>
        <w:t xml:space="preserve"> to the bronchus, pleura, lungs, stomach and mediastinum, as well as abscess formation to adjacent organs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"10.1016/j.gie.2009.06.012", "ISSN" : "00165107", "PMID" : "19846083", "author" : [ { "dropping-particle" : "", "family" : "Clarke", "given" : "Bridger W.", "non-dropping-particle" : "", "parse-names" : false, "suffix" : "" }, { "dropping-particle" : "", "family" : "Cassara", "given" : "Joseph E.", "non-dropping-particle" : "", "parse-names" : false, "suffix" : "" }, { "dropping-particle" : "", "family" : "Morgan", "given" : "Douglas R.", "non-dropping-particle" : "", "parse-names" : false, "suffix" : "" } ], "container-title" : "Gastrointestinal Endoscopy", "id" : "ITEM-1", "issue" : "1", "issued" : { "date-parts" : [ [ "2010" ] ] }, "page" : "207-209", "publisher" : "American Society for Gastrointestinal Endoscopy", "title" : "Crohn's disease of the esophagus with esophagobronchial fistula formation: a case report and review of the literature", "type" : "article-journal", "volume" : "71" }, "uris" : [ "http://www.mendeley.com/documents/?uuid=a74b1a57-1320-454f-91e2-f8af958e0771" ] } ], "mendeley" : { "formattedCitation" : "&lt;sup&gt;[34]&lt;/sup&gt;", "plainTextFormattedCitation" : "[34]", "previouslyFormattedCitation" : "&lt;sup&gt;[34]&lt;/sup&gt;"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[34</w:t>
      </w:r>
      <w:r w:rsidR="006F0830" w:rsidRPr="003D034F">
        <w:rPr>
          <w:rFonts w:ascii="Book Antiqua" w:hAnsi="Book Antiqua" w:cs="Calibri"/>
          <w:sz w:val="24"/>
          <w:szCs w:val="24"/>
          <w:vertAlign w:val="superscript"/>
          <w:lang w:val="en-US" w:eastAsia="zh-CN"/>
        </w:rPr>
        <w:t>-37</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8320D3" w:rsidRPr="003D034F">
        <w:rPr>
          <w:rFonts w:ascii="Book Antiqua" w:hAnsi="Book Antiqua" w:cs="Calibri"/>
          <w:sz w:val="24"/>
          <w:szCs w:val="24"/>
          <w:lang w:val="en-US"/>
        </w:rPr>
        <w:t>. D</w:t>
      </w:r>
      <w:r w:rsidR="00D00266" w:rsidRPr="003D034F">
        <w:rPr>
          <w:rFonts w:ascii="Book Antiqua" w:hAnsi="Book Antiqua" w:cs="Calibri"/>
          <w:sz w:val="24"/>
          <w:szCs w:val="24"/>
          <w:lang w:val="en-US"/>
        </w:rPr>
        <w:t xml:space="preserve">e Felice </w:t>
      </w:r>
      <w:r w:rsidR="00D00266" w:rsidRPr="003D034F">
        <w:rPr>
          <w:rFonts w:ascii="Book Antiqua" w:hAnsi="Book Antiqua" w:cs="Calibri"/>
          <w:i/>
          <w:sz w:val="24"/>
          <w:szCs w:val="24"/>
          <w:lang w:val="en-US"/>
        </w:rPr>
        <w:t>et al</w:t>
      </w:r>
      <w:r w:rsidR="00AE6216" w:rsidRPr="003D034F">
        <w:rPr>
          <w:rFonts w:ascii="Book Antiqua" w:hAnsi="Book Antiqua" w:cs="Calibri"/>
          <w:sz w:val="24"/>
          <w:szCs w:val="24"/>
          <w:lang w:val="en-US"/>
        </w:rPr>
        <w:fldChar w:fldCharType="begin" w:fldLock="1"/>
      </w:r>
      <w:r w:rsidR="00AE6216" w:rsidRPr="003D034F">
        <w:rPr>
          <w:rFonts w:ascii="Book Antiqua" w:hAnsi="Book Antiqua" w:cs="Calibri"/>
          <w:sz w:val="24"/>
          <w:szCs w:val="24"/>
          <w:lang w:val="en-US"/>
        </w:rPr>
        <w:instrText>ADDIN CSL_CITATION { "citationItems" : [ { "id" : "ITEM-1", "itemData" : { "DOI" : "10.1097/MIB.0000000000000469", "ISBN" : "1078-0998", "ISSN" : "15364844", "PMID" : "26083616", "abstract" : "Background: Esophageal Crohn's disease (CD) is challenging and often a disabling phenotype of disease. We aimed to report the clinical, endoscopic, histologic features, and treatment outcomes of esophageal patients with CD. Methods: Esophageal patients with CD evaluated at the Mayo Clinic in Rochester, MN, between January, 1998, and December, 2012, were identified. Results: Twenty-four cases of esophageal CD were identified. The median age of diagnosis was 23 years (range, 12-60). Twenty-one patients (88%) had extraesophageal CD and 8 patients (33%) had oral ulcers at the time of esophageal CD symptom onset. The majority of patients had esophageal-specific symptoms. Mid (29%) or distal (29%) esophagus was the most common site of involvement. Inflammatory esophageal CD (75%) was marked by superficial ulcerations (58%), erythema and/or erosions (50%), deep ulcerations (13%), and pseudopolyps (4%) on endoscopy. Four patients (17%) were found to have esophageal strictures and 2 patients (8%) had fistulizing disease. Chronic inflammation (83%) was seen on biopsy in the majority of cases with 5 patients having associated granulomas. In our series, inflammatory esophageal CD responded to prednisone, topical budesonide, or biologics. Stricturing esophageal CD was successfully treated with a combination of biologic therapy, immunomodulators, and serial dilations with/without steroid injections. Aggressive medical therapy with biologics and endoscopic therapy was used for fistulizing esophageal CD, however, was not universally effective. Conclusions: Esophageal CD should be considered in all patients with CD with upper gastrointestinal symptoms. Early recognition, diagnosis, and aggressive medical and/or endoscopic treatment are needed for successful outcomes. Copyright Ac 2015 Crohn's &amp; Colitis Foundation of America, Inc", "author" : [ { "dropping-particle" : "", "family" : "Felice", "given" : "Kara M.", "non-dropping-particle" : "De", "parse-names" : false, "suffix" : "" }, { "dropping-particle" : "", "family" : "Katzka", "given" : "David A.", "non-dropping-particle" : "", "parse-names" : false, "suffix" : "" }, { "dropping-particle" : "", "family" : "Raffals", "given" : "Laura E.", "non-dropping-particle" : "", "parse-names" : false, "suffix" : "" } ], "container-title" : "Inflammatory Bowel Diseases", "id" : "ITEM-1", "issue" : "9", "issued" : { "date-parts" : [ [ "2015" ] ] }, "page" : "2106-2113", "title" : "Crohn's disease of the esophagus: Clinical features and treatment outcomes in the biologic era", "type" : "article-journal", "volume" : "21" }, "uris" : [ "http://www.mendeley.com/documents/?uuid=722c966f-57c3-45c1-a9f3-5c4adfb8739e" ] } ], "mendeley" : { "formattedCitation" : "&lt;sup&gt;[29]&lt;/sup&gt;", "plainTextFormattedCitation" : "[29]", "previouslyFormattedCitation" : "&lt;sup&gt;[29]&lt;/sup&gt;" }, "properties" : {  }, "schema" : "https://github.com/citation-style-language/schema/raw/master/csl-citation.json" }</w:instrText>
      </w:r>
      <w:r w:rsidR="00AE6216" w:rsidRPr="003D034F">
        <w:rPr>
          <w:rFonts w:ascii="Book Antiqua" w:hAnsi="Book Antiqua" w:cs="Calibri"/>
          <w:sz w:val="24"/>
          <w:szCs w:val="24"/>
          <w:lang w:val="en-US"/>
        </w:rPr>
        <w:fldChar w:fldCharType="separate"/>
      </w:r>
      <w:r w:rsidR="00AE6216" w:rsidRPr="003D034F">
        <w:rPr>
          <w:rFonts w:ascii="Book Antiqua" w:hAnsi="Book Antiqua" w:cs="Calibri"/>
          <w:sz w:val="24"/>
          <w:szCs w:val="24"/>
          <w:vertAlign w:val="superscript"/>
          <w:lang w:val="en-US"/>
        </w:rPr>
        <w:t>[29]</w:t>
      </w:r>
      <w:r w:rsidR="00AE6216" w:rsidRPr="003D034F">
        <w:rPr>
          <w:rFonts w:ascii="Book Antiqua" w:hAnsi="Book Antiqua" w:cs="Calibri"/>
          <w:sz w:val="24"/>
          <w:szCs w:val="24"/>
          <w:lang w:val="en-US"/>
        </w:rPr>
        <w:fldChar w:fldCharType="end"/>
      </w:r>
      <w:r w:rsidR="00D00266" w:rsidRPr="003D034F">
        <w:rPr>
          <w:rFonts w:ascii="Book Antiqua" w:hAnsi="Book Antiqua" w:cs="Calibri"/>
          <w:sz w:val="24"/>
          <w:szCs w:val="24"/>
          <w:lang w:val="en-US"/>
        </w:rPr>
        <w:t xml:space="preserve"> demonstrated that 86% of patients with esophageal CD showed symptoms, the main ones being dysphagia (54%), odynophagia (33%)</w:t>
      </w:r>
      <w:r w:rsidR="00F87CCF" w:rsidRPr="003D034F">
        <w:rPr>
          <w:rFonts w:ascii="Book Antiqua" w:hAnsi="Book Antiqua" w:cs="Calibri"/>
          <w:sz w:val="24"/>
          <w:szCs w:val="24"/>
          <w:lang w:val="en-US"/>
        </w:rPr>
        <w:t xml:space="preserve"> and</w:t>
      </w:r>
      <w:r w:rsidR="00D00266" w:rsidRPr="003D034F">
        <w:rPr>
          <w:rFonts w:ascii="Book Antiqua" w:hAnsi="Book Antiqua" w:cs="Calibri"/>
          <w:sz w:val="24"/>
          <w:szCs w:val="24"/>
          <w:lang w:val="en-US"/>
        </w:rPr>
        <w:t xml:space="preserve"> epigastric pain (33%). Oral ulcers were present concomitant to esophageal involvement in 33% and gastroduodenal involvement in 21%</w:t>
      </w:r>
      <w:r w:rsidR="007018A0" w:rsidRPr="003D034F">
        <w:rPr>
          <w:rFonts w:ascii="Book Antiqua" w:hAnsi="Book Antiqua" w:cs="Calibri"/>
          <w:sz w:val="24"/>
          <w:szCs w:val="24"/>
          <w:lang w:val="en-US"/>
        </w:rPr>
        <w:t>.</w:t>
      </w:r>
      <w:r w:rsidR="00701689" w:rsidRPr="003D034F">
        <w:rPr>
          <w:rFonts w:ascii="Book Antiqua" w:hAnsi="Book Antiqua" w:cs="Calibri"/>
          <w:sz w:val="24"/>
          <w:szCs w:val="24"/>
          <w:lang w:val="en-US"/>
        </w:rPr>
        <w:t xml:space="preserve"> </w:t>
      </w:r>
      <w:r w:rsidR="00D00266" w:rsidRPr="003D034F">
        <w:rPr>
          <w:rFonts w:ascii="Book Antiqua" w:hAnsi="Book Antiqua" w:cs="Calibri"/>
          <w:sz w:val="24"/>
          <w:szCs w:val="24"/>
          <w:lang w:val="en-US"/>
        </w:rPr>
        <w:t xml:space="preserve">Similar findings were reported by Decker </w:t>
      </w:r>
      <w:r w:rsidR="00AC0CB3" w:rsidRPr="003D034F">
        <w:rPr>
          <w:rFonts w:ascii="Book Antiqua" w:hAnsi="Book Antiqua" w:cs="Calibri"/>
          <w:i/>
          <w:sz w:val="24"/>
          <w:szCs w:val="24"/>
          <w:lang w:val="en-US"/>
        </w:rPr>
        <w:t>et al</w:t>
      </w:r>
      <w:r w:rsidR="00AC0CB3" w:rsidRPr="003D034F">
        <w:rPr>
          <w:rFonts w:ascii="Book Antiqua" w:hAnsi="Book Antiqua" w:cs="Calibri"/>
          <w:sz w:val="24"/>
          <w:szCs w:val="24"/>
          <w:lang w:val="en-US"/>
        </w:rPr>
        <w:fldChar w:fldCharType="begin" w:fldLock="1"/>
      </w:r>
      <w:r w:rsidR="00AC0CB3" w:rsidRPr="003D034F">
        <w:rPr>
          <w:rFonts w:ascii="Book Antiqua" w:hAnsi="Book Antiqua" w:cs="Calibri"/>
          <w:sz w:val="24"/>
          <w:szCs w:val="24"/>
          <w:lang w:val="en-US"/>
        </w:rPr>
        <w:instrText>ADDIN CSL_CITATION { "citationItems" : [ { "id" : "ITEM-1", "itemData" : { "DOI" : "10.1097/00054725-200105000-00006", "ISBN" : "1078-0998 (Print)\\r1078-0998", "ISSN" : "1078-0998", "PMID" : "11383583", "abstract" : "OBJECTIVES: Crohn's disease of the esophagus is rare. We sought to determine the clinical features and outcome of patients with esophageal Crohn's disease seen at our institution. METHODS: Patients with esophageal Crohn's disease evaluated at Mayo Clinic Rochester between 1976 and 1998 were identified. RESULTS: Twenty patients (0.2%) with esophageal involvement were identified. Median age at diagnosis was 31 years (range, 7-77 years). Eleven patients (55%) were female. Extraesophageal Crohn's disease preceded or was found at the same time as the diagnosis of esophageal Crohn's in all cases. Sixteen patients (80%) had symptoms referable to the esophagus. Endoscopic findings included ulcers in 17 (85%), erythema or erosions in 8 (40%), and strictures in 4 patients (20%). One patient had a fistula. The most common histological findings were active chronic inflammation (75%) and ulcer (30%). No granulomata were identified. Approximately one-half of our patients improved with first-line therapy. Eleven patients (55%) received immune modifier therapy. Six showed significant improvement on azathioprine, 6-mercaptopurine, or cyclosporine. Esophageal dilatation was required in six patients, and three patients required surgery. CONCLUSION: Esophageal Crohn's disease may be underdiagnosed. Patients with Crohn's disease complaining of esophageal symptoms should undergo upper endoscopy with biopsies, and the diagnosis of esophageal Crohn's disease should be entertained if aphthous or deep ulcers or strictures are present. Immune modifier therapy should be considered for steroid-dependent and steroid-resistant cases.", "author" : [ { "dropping-particle" : "", "family" : "Decker", "given" : "G. Antom G", "non-dropping-particle" : "", "parse-names" : false, "suffix" : "" }, { "dropping-particle" : "V", "family" : "Loftus", "given" : "Edward", "non-dropping-particle" : "", "parse-names" : false, "suffix" : "" }, { "dropping-particle" : "", "family" : "Pasha", "given" : "Tousif M", "non-dropping-particle" : "", "parse-names" : false, "suffix" : "" }, { "dropping-particle" : "", "family" : "Tremaine", "given" : "William J", "non-dropping-particle" : "", "parse-names" : false, "suffix" : "" }, { "dropping-particle" : "", "family" : "Sandborn", "given" : "Willian J", "non-dropping-particle" : "", "parse-names" : false, "suffix" : "" } ], "container-title" : "Inflammatory bowel diseases", "id" : "ITEM-1", "issue" : "2", "issued" : { "date-parts" : [ [ "2001" ] ] }, "page" : "113-119", "title" : "Crohn's disease of the esophagus: clinical features and outcomes.", "type" : "article-journal", "volume" : "7" }, "uris" : [ "http://www.mendeley.com/documents/?uuid=52a431b2-26c5-49eb-aa57-f5d19178f466" ] } ], "mendeley" : { "formattedCitation" : "&lt;sup&gt;[30]&lt;/sup&gt;", "plainTextFormattedCitation" : "[30]", "previouslyFormattedCitation" : "&lt;sup&gt;[30]&lt;/sup&gt;" }, "properties" : {  }, "schema" : "https://github.com/citation-style-language/schema/raw/master/csl-citation.json" }</w:instrText>
      </w:r>
      <w:r w:rsidR="00AC0CB3" w:rsidRPr="003D034F">
        <w:rPr>
          <w:rFonts w:ascii="Book Antiqua" w:hAnsi="Book Antiqua" w:cs="Calibri"/>
          <w:sz w:val="24"/>
          <w:szCs w:val="24"/>
          <w:lang w:val="en-US"/>
        </w:rPr>
        <w:fldChar w:fldCharType="separate"/>
      </w:r>
      <w:r w:rsidR="00AC0CB3" w:rsidRPr="003D034F">
        <w:rPr>
          <w:rFonts w:ascii="Book Antiqua" w:hAnsi="Book Antiqua" w:cs="Calibri"/>
          <w:sz w:val="24"/>
          <w:szCs w:val="24"/>
          <w:vertAlign w:val="superscript"/>
          <w:lang w:val="en-US"/>
        </w:rPr>
        <w:t>[30]</w:t>
      </w:r>
      <w:r w:rsidR="00AC0CB3" w:rsidRPr="003D034F">
        <w:rPr>
          <w:rFonts w:ascii="Book Antiqua" w:hAnsi="Book Antiqua" w:cs="Calibri"/>
          <w:sz w:val="24"/>
          <w:szCs w:val="24"/>
          <w:lang w:val="en-US"/>
        </w:rPr>
        <w:fldChar w:fldCharType="end"/>
      </w:r>
      <w:r w:rsidR="00701689" w:rsidRPr="003D034F">
        <w:rPr>
          <w:rFonts w:ascii="Book Antiqua" w:hAnsi="Book Antiqua" w:cs="Calibri"/>
          <w:sz w:val="24"/>
          <w:szCs w:val="24"/>
          <w:lang w:val="en-US"/>
        </w:rPr>
        <w:t>.</w:t>
      </w:r>
    </w:p>
    <w:p w:rsidR="0021020A" w:rsidRPr="003D034F" w:rsidRDefault="0021020A" w:rsidP="003D034F">
      <w:pPr>
        <w:spacing w:after="0" w:line="360" w:lineRule="auto"/>
        <w:jc w:val="both"/>
        <w:rPr>
          <w:rFonts w:ascii="Book Antiqua" w:hAnsi="Book Antiqua" w:cs="Calibri"/>
          <w:i/>
          <w:sz w:val="24"/>
          <w:szCs w:val="24"/>
          <w:lang w:val="en-US"/>
        </w:rPr>
      </w:pPr>
    </w:p>
    <w:p w:rsidR="00D00266" w:rsidRPr="003D034F" w:rsidRDefault="00AE6216" w:rsidP="003D034F">
      <w:pPr>
        <w:spacing w:after="0" w:line="360" w:lineRule="auto"/>
        <w:jc w:val="both"/>
        <w:rPr>
          <w:rFonts w:ascii="Book Antiqua" w:hAnsi="Book Antiqua" w:cs="Calibri"/>
          <w:b/>
          <w:i/>
          <w:sz w:val="24"/>
          <w:szCs w:val="24"/>
          <w:lang w:val="en-US"/>
        </w:rPr>
      </w:pPr>
      <w:r w:rsidRPr="003D034F">
        <w:rPr>
          <w:rFonts w:ascii="Book Antiqua" w:hAnsi="Book Antiqua" w:cs="Calibri"/>
          <w:b/>
          <w:i/>
          <w:sz w:val="24"/>
          <w:szCs w:val="24"/>
          <w:lang w:val="en-US"/>
        </w:rPr>
        <w:t>Radiology</w:t>
      </w:r>
    </w:p>
    <w:p w:rsidR="001E1465" w:rsidRPr="003D034F" w:rsidRDefault="00297005" w:rsidP="003D034F">
      <w:pPr>
        <w:spacing w:after="0" w:line="360" w:lineRule="auto"/>
        <w:jc w:val="both"/>
        <w:rPr>
          <w:rFonts w:ascii="Book Antiqua" w:hAnsi="Book Antiqua" w:cs="Calibri"/>
          <w:sz w:val="24"/>
          <w:szCs w:val="24"/>
          <w:lang w:val="en-US"/>
        </w:rPr>
      </w:pPr>
      <w:r w:rsidRPr="003D034F">
        <w:rPr>
          <w:rFonts w:ascii="Book Antiqua" w:hAnsi="Book Antiqua" w:cs="Calibri"/>
          <w:sz w:val="24"/>
          <w:szCs w:val="24"/>
          <w:lang w:val="en-US"/>
        </w:rPr>
        <w:t xml:space="preserve">The radiological study of the esophagus may show mucosal irregularities, ulcers, </w:t>
      </w:r>
      <w:r w:rsidR="00B868CE" w:rsidRPr="003D034F">
        <w:rPr>
          <w:rFonts w:ascii="Book Antiqua" w:hAnsi="Book Antiqua" w:cs="Calibri"/>
          <w:sz w:val="24"/>
          <w:szCs w:val="24"/>
          <w:lang w:val="en-US"/>
        </w:rPr>
        <w:t xml:space="preserve">and </w:t>
      </w:r>
      <w:r w:rsidRPr="003D034F">
        <w:rPr>
          <w:rFonts w:ascii="Book Antiqua" w:hAnsi="Book Antiqua" w:cs="Calibri"/>
          <w:sz w:val="24"/>
          <w:szCs w:val="24"/>
          <w:lang w:val="en-US"/>
        </w:rPr>
        <w:t xml:space="preserve">polyps, but it is currently more commonly used to evaluate stenoses and fistulas. The most commonly described radiological findings are aphthous ulcers that appear as small particles of barium retained with a halo </w:t>
      </w:r>
      <w:r w:rsidR="00B868CE" w:rsidRPr="003D034F">
        <w:rPr>
          <w:rFonts w:ascii="Book Antiqua" w:hAnsi="Book Antiqua" w:cs="Calibri"/>
          <w:sz w:val="24"/>
          <w:szCs w:val="24"/>
          <w:lang w:val="en-US"/>
        </w:rPr>
        <w:t xml:space="preserve">of </w:t>
      </w:r>
      <w:r w:rsidRPr="003D034F">
        <w:rPr>
          <w:rFonts w:ascii="Book Antiqua" w:hAnsi="Book Antiqua" w:cs="Calibri"/>
          <w:sz w:val="24"/>
          <w:szCs w:val="24"/>
          <w:lang w:val="en-US"/>
        </w:rPr>
        <w:t>translucent mucosal edema</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"10.1097/SMJ.0b013e31818047be", "ISBN" : "1541-8243 (Electronic)\\r0038-4348 (Linking)", "ISSN" : "00384348", "PMID" : "18708983", "abstract" : "Esophageal Crohn disease is a difficult disease both to diagnose and treat. The diagnosis is made in patients with other extraintestinal manifestations of Crohn disease in whom other esophageal pathology has been ruled out. This often requires integration of clinical, endoscopic, radiographic, and histologic findings. Despite its relative rarity, it does cause severe symptoms that are difficult to treat. Treatment requires careful integration of medical, endoscopic, and surgical techniques. This review aims to discuss the significant literature regarding diagnosis and treatment of this important manifestation of inflammatory bowel disease. There is additional discussion of the literature regarding the efficacy of newer medical and endoscopic therapies, including biologic agents and removable polymer stents.", "author" : [ { "dropping-particle" : "", "family" : "Feagans", "given" : "Jacob", "non-dropping-particle" : "", "parse-names" : false, "suffix" : "" }, { "dropping-particle" : "", "family" : "Victor", "given" : "David", "non-dropping-particle" : "", "parse-names" : false, "suffix" : "" }, { "dropping-particle" : "", "family" : "Joshi", "given" : "Virendra", "non-dropping-particle" : "", "parse-names" : false, "suffix" : "" } ], "container-title" : "Southern Medical Journal", "id" : "ITEM-1", "issue" : "9", "issued" : { "date-parts" : [ [ "2008" ] ] }, "page" : "927-930", "title" : "Crohn disease of the esophagus: A review of the literature", "type" : "article-journal", "volume" : "101" }, "uris" : [ "http://www.mendeley.com/documents/?uuid=9f0cd970-3ed1-462b-9711-175cb27ec53c" ] } ], "mendeley" : { "formattedCitation" : "&lt;sup&gt;[28]&lt;/sup&gt;", "plainTextFormattedCitation" : "[28]", "previouslyFormattedCitation" : "&lt;sup&gt;[28]&lt;/sup&gt;"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[28]</w:t>
      </w:r>
      <w:r w:rsidR="00056AC0" w:rsidRPr="003D034F">
        <w:rPr>
          <w:rFonts w:ascii="Book Antiqua" w:hAnsi="Book Antiqua" w:cs="Calibri"/>
          <w:sz w:val="24"/>
          <w:szCs w:val="24"/>
          <w:lang w:val="en-US"/>
        </w:rPr>
        <w:fldChar w:fldCharType="end"/>
      </w:r>
      <w:r w:rsidR="001E1465" w:rsidRPr="003D034F">
        <w:rPr>
          <w:rFonts w:ascii="Book Antiqua" w:hAnsi="Book Antiqua" w:cs="Calibri"/>
          <w:sz w:val="24"/>
          <w:szCs w:val="24"/>
          <w:lang w:val="en-US"/>
        </w:rPr>
        <w:t xml:space="preserve">. </w:t>
      </w:r>
      <w:r w:rsidR="00513DFE" w:rsidRPr="003D034F">
        <w:rPr>
          <w:rFonts w:ascii="Book Antiqua" w:hAnsi="Book Antiqua" w:cs="Calibri"/>
          <w:sz w:val="24"/>
          <w:szCs w:val="24"/>
          <w:lang w:val="en-US"/>
        </w:rPr>
        <w:t xml:space="preserve">Esophageal </w:t>
      </w:r>
      <w:bookmarkStart w:id="40" w:name="OLE_LINK12"/>
      <w:bookmarkStart w:id="41" w:name="OLE_LINK13"/>
      <w:proofErr w:type="spellStart"/>
      <w:r w:rsidR="00513DFE" w:rsidRPr="003D034F">
        <w:rPr>
          <w:rFonts w:ascii="Book Antiqua" w:hAnsi="Book Antiqua" w:cs="Calibri"/>
          <w:sz w:val="24"/>
          <w:szCs w:val="24"/>
          <w:lang w:val="en-US"/>
        </w:rPr>
        <w:t>echoendoscopy</w:t>
      </w:r>
      <w:bookmarkEnd w:id="40"/>
      <w:bookmarkEnd w:id="41"/>
      <w:proofErr w:type="spellEnd"/>
      <w:r w:rsidR="00513DFE" w:rsidRPr="003D034F">
        <w:rPr>
          <w:rFonts w:ascii="Book Antiqua" w:hAnsi="Book Antiqua" w:cs="Calibri"/>
          <w:sz w:val="24"/>
          <w:szCs w:val="24"/>
          <w:lang w:val="en-US"/>
        </w:rPr>
        <w:t xml:space="preserve"> may contribute to cases of difficult diagnosis, since it demonstrates the transmural character of the inflammatory process, characteristic of CD</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"10.1097/SMJ.0b013e31818047be", "ISBN" : "1541-8243 (Electronic)\\r0038-4348 (Linking)", "ISSN" : "00384348", "PMID" : "18708983", "abstract" : "Esophageal Crohn disease is a difficult disease both to diagnose and treat. The diagnosis is made in patients with other extraintestinal manifestations of Crohn disease in whom other esophageal pathology has been ruled out. This often requires integration of clinical, endoscopic, radiographic, and histologic findings. Despite its relative rarity, it does cause severe symptoms that are difficult to treat. Treatment requires careful integration of medical, endoscopic, and surgical techniques. This review aims to discuss the significant literature regarding diagnosis and treatment of this important manifestation of inflammatory bowel disease. There is additional discussion of the literature regarding the efficacy of newer medical and endoscopic therapies, including biologic agents and removable polymer stents.", "author" : [ { "dropping-particle" : "", "family" : "Feagans", "given" : "Jacob", "non-dropping-particle" : "", "parse-names" : false, "suffix" : "" }, { "dropping-particle" : "", "family" : "Victor", "given" : "David", "non-dropping-particle" : "", "parse-names" : false, "suffix" : "" }, { "dropping-particle" : "", "family" : "Joshi", "given" : "Virendra", "non-dropping-particle" : "", "parse-names" : false, "suffix" : "" } ], "container-title" : "Southern Medical Journal", "id" : "ITEM-1", "issue" : "9", "issued" : { "date-parts" : [ [ "2008" ] ] }, "page" : "927-930", "title" : "Crohn disease of the esophagus: A review of the literature", "type" : "article-journal", "volume" : "101" }, "uris" : [ "http://www.mendeley.com/documents/?uuid=9f0cd970-3ed1-462b-9711-175cb27ec53c" ] } ], "mendeley" : { "formattedCitation" : "&lt;sup&gt;[28]&lt;/sup&gt;", "plainTextFormattedCitation" : "[28]", "previouslyFormattedCitation" : "&lt;sup&gt;[28]&lt;/sup&gt;"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[28]</w:t>
      </w:r>
      <w:r w:rsidR="00056AC0" w:rsidRPr="003D034F">
        <w:rPr>
          <w:rFonts w:ascii="Book Antiqua" w:hAnsi="Book Antiqua" w:cs="Calibri"/>
          <w:sz w:val="24"/>
          <w:szCs w:val="24"/>
          <w:lang w:val="en-US"/>
        </w:rPr>
        <w:fldChar w:fldCharType="end"/>
      </w:r>
      <w:r w:rsidR="001E1465" w:rsidRPr="003D034F">
        <w:rPr>
          <w:rFonts w:ascii="Book Antiqua" w:hAnsi="Book Antiqua" w:cs="Calibri"/>
          <w:sz w:val="24"/>
          <w:szCs w:val="24"/>
          <w:lang w:val="en-US"/>
        </w:rPr>
        <w:t>.</w:t>
      </w:r>
    </w:p>
    <w:p w:rsidR="0021020A" w:rsidRPr="003D034F" w:rsidRDefault="0021020A" w:rsidP="003D034F">
      <w:pPr>
        <w:spacing w:after="0" w:line="360" w:lineRule="auto"/>
        <w:jc w:val="both"/>
        <w:rPr>
          <w:rFonts w:ascii="Book Antiqua" w:hAnsi="Book Antiqua" w:cs="Calibri"/>
          <w:i/>
          <w:sz w:val="24"/>
          <w:szCs w:val="24"/>
          <w:lang w:val="en-US"/>
        </w:rPr>
      </w:pPr>
    </w:p>
    <w:p w:rsidR="004F43CD" w:rsidRPr="003D034F" w:rsidRDefault="00AE6216" w:rsidP="003D034F">
      <w:pPr>
        <w:spacing w:after="0" w:line="360" w:lineRule="auto"/>
        <w:jc w:val="both"/>
        <w:rPr>
          <w:rFonts w:ascii="Book Antiqua" w:hAnsi="Book Antiqua" w:cs="Calibri"/>
          <w:b/>
          <w:i/>
          <w:sz w:val="24"/>
          <w:szCs w:val="24"/>
          <w:lang w:val="en-US"/>
        </w:rPr>
      </w:pPr>
      <w:r w:rsidRPr="003D034F">
        <w:rPr>
          <w:rFonts w:ascii="Book Antiqua" w:hAnsi="Book Antiqua" w:cs="Calibri"/>
          <w:b/>
          <w:i/>
          <w:sz w:val="24"/>
          <w:szCs w:val="24"/>
          <w:lang w:val="en-US"/>
        </w:rPr>
        <w:t>Digestive endoscopy</w:t>
      </w:r>
    </w:p>
    <w:p w:rsidR="00483EBC" w:rsidRPr="003D034F" w:rsidRDefault="00483EBC" w:rsidP="003D034F">
      <w:pPr>
        <w:spacing w:after="0" w:line="360" w:lineRule="auto"/>
        <w:jc w:val="both"/>
        <w:rPr>
          <w:rFonts w:ascii="Book Antiqua" w:hAnsi="Book Antiqua" w:cs="Calibri"/>
          <w:sz w:val="24"/>
          <w:szCs w:val="24"/>
          <w:lang w:val="en-US"/>
        </w:rPr>
      </w:pPr>
      <w:r w:rsidRPr="003D034F">
        <w:rPr>
          <w:rFonts w:ascii="Book Antiqua" w:hAnsi="Book Antiqua" w:cs="Calibri"/>
          <w:sz w:val="24"/>
          <w:szCs w:val="24"/>
          <w:lang w:val="en-US"/>
        </w:rPr>
        <w:t xml:space="preserve">The endoscopic findings are not specific, being described </w:t>
      </w:r>
      <w:r w:rsidR="00B868CE" w:rsidRPr="003D034F">
        <w:rPr>
          <w:rFonts w:ascii="Book Antiqua" w:hAnsi="Book Antiqua" w:cs="Calibri"/>
          <w:sz w:val="24"/>
          <w:szCs w:val="24"/>
          <w:lang w:val="en-US"/>
        </w:rPr>
        <w:t xml:space="preserve">as </w:t>
      </w:r>
      <w:r w:rsidRPr="003D034F">
        <w:rPr>
          <w:rFonts w:ascii="Book Antiqua" w:hAnsi="Book Antiqua" w:cs="Calibri"/>
          <w:sz w:val="24"/>
          <w:szCs w:val="24"/>
          <w:lang w:val="en-US"/>
        </w:rPr>
        <w:t xml:space="preserve">friability, erosions, </w:t>
      </w:r>
      <w:proofErr w:type="spellStart"/>
      <w:r w:rsidRPr="003D034F">
        <w:rPr>
          <w:rFonts w:ascii="Book Antiqua" w:hAnsi="Book Antiqua" w:cs="Calibri"/>
          <w:sz w:val="24"/>
          <w:szCs w:val="24"/>
          <w:lang w:val="en-US"/>
        </w:rPr>
        <w:t>a</w:t>
      </w:r>
      <w:r w:rsidR="00F41837" w:rsidRPr="003D034F">
        <w:rPr>
          <w:rFonts w:ascii="Book Antiqua" w:hAnsi="Book Antiqua" w:cs="Calibri"/>
          <w:sz w:val="24"/>
          <w:szCs w:val="24"/>
          <w:lang w:val="en-US"/>
        </w:rPr>
        <w:t>ph</w:t>
      </w:r>
      <w:r w:rsidRPr="003D034F">
        <w:rPr>
          <w:rFonts w:ascii="Book Antiqua" w:hAnsi="Book Antiqua" w:cs="Calibri"/>
          <w:sz w:val="24"/>
          <w:szCs w:val="24"/>
          <w:lang w:val="en-US"/>
        </w:rPr>
        <w:t>t</w:t>
      </w:r>
      <w:r w:rsidR="00F41837" w:rsidRPr="003D034F">
        <w:rPr>
          <w:rFonts w:ascii="Book Antiqua" w:hAnsi="Book Antiqua" w:cs="Calibri"/>
          <w:sz w:val="24"/>
          <w:szCs w:val="24"/>
          <w:lang w:val="en-US"/>
        </w:rPr>
        <w:t>h</w:t>
      </w:r>
      <w:r w:rsidRPr="003D034F">
        <w:rPr>
          <w:rFonts w:ascii="Book Antiqua" w:hAnsi="Book Antiqua" w:cs="Calibri"/>
          <w:sz w:val="24"/>
          <w:szCs w:val="24"/>
          <w:lang w:val="en-US"/>
        </w:rPr>
        <w:t>oid</w:t>
      </w:r>
      <w:proofErr w:type="spellEnd"/>
      <w:r w:rsidRPr="003D034F">
        <w:rPr>
          <w:rFonts w:ascii="Book Antiqua" w:hAnsi="Book Antiqua" w:cs="Calibri"/>
          <w:sz w:val="24"/>
          <w:szCs w:val="24"/>
          <w:lang w:val="en-US"/>
        </w:rPr>
        <w:t xml:space="preserve"> ulcers, superficial or deep ulcerations, nodularity and stiffness of the mucosa, cobblestone appearance, inflammat</w:t>
      </w:r>
      <w:r w:rsidR="00B868CE" w:rsidRPr="003D034F">
        <w:rPr>
          <w:rFonts w:ascii="Book Antiqua" w:hAnsi="Book Antiqua" w:cs="Calibri"/>
          <w:sz w:val="24"/>
          <w:szCs w:val="24"/>
          <w:lang w:val="en-US"/>
        </w:rPr>
        <w:t>ion</w:t>
      </w:r>
      <w:r w:rsidRPr="003D034F">
        <w:rPr>
          <w:rFonts w:ascii="Book Antiqua" w:hAnsi="Book Antiqua" w:cs="Calibri"/>
          <w:sz w:val="24"/>
          <w:szCs w:val="24"/>
          <w:lang w:val="en-US"/>
        </w:rPr>
        <w:t xml:space="preserve"> and</w:t>
      </w:r>
      <w:r w:rsidR="00B868CE" w:rsidRPr="003D034F">
        <w:rPr>
          <w:rFonts w:ascii="Book Antiqua" w:hAnsi="Book Antiqua" w:cs="Calibri"/>
          <w:sz w:val="24"/>
          <w:szCs w:val="24"/>
          <w:lang w:val="en-US"/>
        </w:rPr>
        <w:t>,</w:t>
      </w:r>
      <w:r w:rsidRPr="003D034F">
        <w:rPr>
          <w:rFonts w:ascii="Book Antiqua" w:hAnsi="Book Antiqua" w:cs="Calibri"/>
          <w:sz w:val="24"/>
          <w:szCs w:val="24"/>
          <w:lang w:val="en-US"/>
        </w:rPr>
        <w:t xml:space="preserve"> less frequent</w:t>
      </w:r>
      <w:r w:rsidR="00B868CE" w:rsidRPr="003D034F">
        <w:rPr>
          <w:rFonts w:ascii="Book Antiqua" w:hAnsi="Book Antiqua" w:cs="Calibri"/>
          <w:sz w:val="24"/>
          <w:szCs w:val="24"/>
          <w:lang w:val="en-US"/>
        </w:rPr>
        <w:t>ly,</w:t>
      </w:r>
      <w:r w:rsidRPr="003D034F">
        <w:rPr>
          <w:rFonts w:ascii="Book Antiqua" w:hAnsi="Book Antiqua" w:cs="Calibri"/>
          <w:sz w:val="24"/>
          <w:szCs w:val="24"/>
          <w:lang w:val="en-US"/>
        </w:rPr>
        <w:t xml:space="preserve"> masses, </w:t>
      </w:r>
      <w:proofErr w:type="spellStart"/>
      <w:r w:rsidRPr="003D034F">
        <w:rPr>
          <w:rFonts w:ascii="Book Antiqua" w:hAnsi="Book Antiqua" w:cs="Calibri"/>
          <w:sz w:val="24"/>
          <w:szCs w:val="24"/>
          <w:lang w:val="en-US"/>
        </w:rPr>
        <w:t>stenoses</w:t>
      </w:r>
      <w:proofErr w:type="spellEnd"/>
      <w:r w:rsidRPr="003D034F">
        <w:rPr>
          <w:rFonts w:ascii="Book Antiqua" w:hAnsi="Book Antiqua" w:cs="Calibri"/>
          <w:sz w:val="24"/>
          <w:szCs w:val="24"/>
          <w:lang w:val="en-US"/>
        </w:rPr>
        <w:t xml:space="preserve"> and fistulas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"10.1097/SMJ.0b013e31818047be", "ISBN" : "1541-8243 (Electronic)\\r0038-4348 (Linking)", "ISSN" : "00384348", "PMID" : "18708983", "abstract" : "Esophageal Crohn disease is a difficult disease both to diagnose and treat. The diagnosis is made in patients with other extraintestinal manifestations of Crohn disease in whom other esophageal pathology has been ruled out. This often requires integration of clinical, endoscopic, radiographic, and histologic findings. Despite its relative rarity, it does cause severe symptoms that are difficult to treat. Treatment requires careful integration of medical, endoscopic, and surgical techniques. This review aims to discuss the significant literature regarding diagnosis and treatment of this important manifestation of inflammatory bowel disease. There is additional discussion of the literature regarding the efficacy of newer medical and endoscopic therapies, including biologic agents and removable polymer stents.", "author" : [ { "dropping-particle" : "", "family" : "Feagans", "given" : "Jacob", "non-dropping-particle" : "", "parse-names" : false, "suffix" : "" }, { "dropping-particle" : "", "family" : "Victor", "given" : "David", "non-dropping-particle" : "", "parse-names" : false, "suffix" : "" }, { "dropping-particle" : "", "family" : "Joshi", "given" : "Virendra", "non-dropping-particle" : "", "parse-names" : false, "suffix" : "" } ], "container-title" : "Southern Medical Journal", "id" : "ITEM-1", "issue" : "9", "issued" : { "date-parts" : [ [ "2008" ] ] }, "page" : "927-930", "title" : "Crohn disease of the esophagus: A review of the literature", "type" : "article-journal", "volume" : "101" }, "uris" : [ "http://www.mendeley.com/documents/?uuid=9f0cd970-3ed1-462b-9711-175cb27ec53c" ] } ], "mendeley" : { "formattedCitation" : "&lt;sup&gt;[28]&lt;/sup&gt;", "plainTextFormattedCitation" : "[28]", "previouslyFormattedCitation" : "&lt;sup&gt;[28]&lt;/sup&gt;"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[28</w:t>
      </w:r>
      <w:r w:rsidR="00AE6216" w:rsidRPr="003D034F">
        <w:rPr>
          <w:rFonts w:ascii="Book Antiqua" w:hAnsi="Book Antiqua" w:cs="Calibri"/>
          <w:sz w:val="24"/>
          <w:szCs w:val="24"/>
          <w:vertAlign w:val="superscript"/>
          <w:lang w:val="en-US" w:eastAsia="zh-CN"/>
        </w:rPr>
        <w:t>,38,39</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237889" w:rsidRPr="003D034F">
        <w:rPr>
          <w:rFonts w:ascii="Book Antiqua" w:hAnsi="Book Antiqua" w:cs="Calibri"/>
          <w:sz w:val="24"/>
          <w:szCs w:val="24"/>
          <w:lang w:val="en-US"/>
        </w:rPr>
        <w:t>.</w:t>
      </w:r>
      <w:r w:rsidR="00D75A08" w:rsidRPr="003D034F">
        <w:rPr>
          <w:rFonts w:ascii="Book Antiqua" w:hAnsi="Book Antiqua" w:cs="Calibri"/>
          <w:sz w:val="24"/>
          <w:szCs w:val="24"/>
          <w:lang w:val="en-US"/>
        </w:rPr>
        <w:t xml:space="preserve"> </w:t>
      </w:r>
      <w:r w:rsidR="00A4496A" w:rsidRPr="003D034F">
        <w:rPr>
          <w:rFonts w:ascii="Book Antiqua" w:hAnsi="Book Antiqua" w:cs="Calibri"/>
          <w:sz w:val="24"/>
          <w:szCs w:val="24"/>
          <w:lang w:val="en-US"/>
        </w:rPr>
        <w:t xml:space="preserve">Some reports and a series of cases demonstrate that ulcers may have a characteristic appearance called punched-out ulcers, which are larger and deeper than </w:t>
      </w:r>
      <w:proofErr w:type="spellStart"/>
      <w:r w:rsidR="00A4496A" w:rsidRPr="003D034F">
        <w:rPr>
          <w:rFonts w:ascii="Book Antiqua" w:hAnsi="Book Antiqua" w:cs="Calibri"/>
          <w:sz w:val="24"/>
          <w:szCs w:val="24"/>
          <w:lang w:val="en-US"/>
        </w:rPr>
        <w:t>aph</w:t>
      </w:r>
      <w:r w:rsidR="00F41837" w:rsidRPr="003D034F">
        <w:rPr>
          <w:rFonts w:ascii="Book Antiqua" w:hAnsi="Book Antiqua" w:cs="Calibri"/>
          <w:sz w:val="24"/>
          <w:szCs w:val="24"/>
          <w:lang w:val="en-US"/>
        </w:rPr>
        <w:t>th</w:t>
      </w:r>
      <w:r w:rsidR="00A4496A" w:rsidRPr="003D034F">
        <w:rPr>
          <w:rFonts w:ascii="Book Antiqua" w:hAnsi="Book Antiqua" w:cs="Calibri"/>
          <w:sz w:val="24"/>
          <w:szCs w:val="24"/>
          <w:lang w:val="en-US"/>
        </w:rPr>
        <w:t>oid</w:t>
      </w:r>
      <w:proofErr w:type="spellEnd"/>
      <w:r w:rsidR="00A4496A" w:rsidRPr="003D034F">
        <w:rPr>
          <w:rFonts w:ascii="Book Antiqua" w:hAnsi="Book Antiqua" w:cs="Calibri"/>
          <w:sz w:val="24"/>
          <w:szCs w:val="24"/>
          <w:lang w:val="en-US"/>
        </w:rPr>
        <w:t xml:space="preserve"> ulcers and resemble ulcers caused by herpesviruses and cytomegalovirus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"10.1016/j.gie.2006.01.036", "ISSN" : "00165107", "PMID" : "16813817", "author" : [ { "dropping-particle" : "", "family" : "Szal\u00f3ki", "given" : "Tibor", "non-dropping-particle" : "", "parse-names" : false, "suffix" : "" }, { "dropping-particle" : "", "family" : "T\u00f3th", "given" : "Veronika", "non-dropping-particle" : "", "parse-names" : false, "suffix" : "" }, { "dropping-particle" : "", "family" : "Czak\u00f3", "given" : "L\u00e1szl\u00f3", "non-dropping-particle" : "", "parse-names" : false, "suffix" : "" } ], "container-title" : "Gastrointestinal Endoscopy", "id" : "ITEM-1", "issue" : "1", "issued" : { "date-parts" : [ [ "2006" ] ] }, "page" : "121", "title" : "Unusual esophageal manifestations of Crohn's disease", "type" : "article-journal", "volume" : "64" }, "uris" : [ "http://www.mendeley.com/documents/?uuid=3bcae1eb-715a-4bed-b4fb-9d261628456a" ] } ], "mendeley" : { "formattedCitation" : "&lt;sup&gt;[40]&lt;/sup&gt;", "plainTextFormattedCitation" : "[40]", "previouslyFormattedCitation" : "&lt;sup&gt;[40]&lt;/sup&gt;"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[40</w:t>
      </w:r>
      <w:r w:rsidR="00AE6216" w:rsidRPr="003D034F">
        <w:rPr>
          <w:rFonts w:ascii="Book Antiqua" w:hAnsi="Book Antiqua" w:cs="Calibri"/>
          <w:sz w:val="24"/>
          <w:szCs w:val="24"/>
          <w:vertAlign w:val="superscript"/>
          <w:lang w:val="en-US" w:eastAsia="zh-CN"/>
        </w:rPr>
        <w:t>-42</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D659BE" w:rsidRPr="003D034F">
        <w:rPr>
          <w:rFonts w:ascii="Book Antiqua" w:hAnsi="Book Antiqua" w:cs="Calibri"/>
          <w:sz w:val="24"/>
          <w:szCs w:val="24"/>
          <w:lang w:val="en-US"/>
        </w:rPr>
        <w:t xml:space="preserve">. </w:t>
      </w:r>
    </w:p>
    <w:p w:rsidR="003F41A8" w:rsidRPr="003D034F" w:rsidRDefault="009F20D7" w:rsidP="003D034F">
      <w:pPr>
        <w:spacing w:after="0" w:line="360" w:lineRule="auto"/>
        <w:ind w:firstLineChars="100" w:firstLine="240"/>
        <w:jc w:val="both"/>
        <w:rPr>
          <w:rFonts w:ascii="Book Antiqua" w:hAnsi="Book Antiqua" w:cs="Calibri"/>
          <w:b/>
          <w:sz w:val="24"/>
          <w:szCs w:val="24"/>
          <w:u w:val="single"/>
          <w:lang w:val="en-US"/>
        </w:rPr>
      </w:pPr>
      <w:proofErr w:type="spellStart"/>
      <w:r w:rsidRPr="003D034F">
        <w:rPr>
          <w:rFonts w:ascii="Book Antiqua" w:hAnsi="Book Antiqua" w:cs="Calibri"/>
          <w:sz w:val="24"/>
          <w:szCs w:val="24"/>
          <w:lang w:val="en-US"/>
        </w:rPr>
        <w:t>A</w:t>
      </w:r>
      <w:r w:rsidR="00B868CE" w:rsidRPr="003D034F">
        <w:rPr>
          <w:rFonts w:ascii="Book Antiqua" w:hAnsi="Book Antiqua" w:cs="Calibri"/>
          <w:sz w:val="24"/>
          <w:szCs w:val="24"/>
          <w:lang w:val="en-US"/>
        </w:rPr>
        <w:t>ph</w:t>
      </w:r>
      <w:r w:rsidRPr="003D034F">
        <w:rPr>
          <w:rFonts w:ascii="Book Antiqua" w:hAnsi="Book Antiqua" w:cs="Calibri"/>
          <w:sz w:val="24"/>
          <w:szCs w:val="24"/>
          <w:lang w:val="en-US"/>
        </w:rPr>
        <w:t>t</w:t>
      </w:r>
      <w:r w:rsidR="00B868CE" w:rsidRPr="003D034F">
        <w:rPr>
          <w:rFonts w:ascii="Book Antiqua" w:hAnsi="Book Antiqua" w:cs="Calibri"/>
          <w:sz w:val="24"/>
          <w:szCs w:val="24"/>
          <w:lang w:val="en-US"/>
        </w:rPr>
        <w:t>h</w:t>
      </w:r>
      <w:r w:rsidRPr="003D034F">
        <w:rPr>
          <w:rFonts w:ascii="Book Antiqua" w:hAnsi="Book Antiqua" w:cs="Calibri"/>
          <w:sz w:val="24"/>
          <w:szCs w:val="24"/>
          <w:lang w:val="en-US"/>
        </w:rPr>
        <w:t>oid</w:t>
      </w:r>
      <w:proofErr w:type="spellEnd"/>
      <w:r w:rsidRPr="003D034F">
        <w:rPr>
          <w:rFonts w:ascii="Book Antiqua" w:hAnsi="Book Antiqua" w:cs="Calibri"/>
          <w:sz w:val="24"/>
          <w:szCs w:val="24"/>
          <w:lang w:val="en-US"/>
        </w:rPr>
        <w:t xml:space="preserve"> ulcers</w:t>
      </w:r>
      <w:r w:rsidR="00B868CE" w:rsidRPr="003D034F">
        <w:rPr>
          <w:rFonts w:ascii="Book Antiqua" w:hAnsi="Book Antiqua" w:cs="Calibri"/>
          <w:sz w:val="24"/>
          <w:szCs w:val="24"/>
          <w:lang w:val="en-US"/>
        </w:rPr>
        <w:t>,</w:t>
      </w:r>
      <w:r w:rsidRPr="003D034F">
        <w:rPr>
          <w:rFonts w:ascii="Book Antiqua" w:hAnsi="Book Antiqua" w:cs="Calibri"/>
          <w:sz w:val="24"/>
          <w:szCs w:val="24"/>
          <w:lang w:val="en-US"/>
        </w:rPr>
        <w:t xml:space="preserve"> followed by “punc</w:t>
      </w:r>
      <w:r w:rsidR="00224374" w:rsidRPr="003D034F">
        <w:rPr>
          <w:rFonts w:ascii="Book Antiqua" w:hAnsi="Book Antiqua" w:cs="Calibri"/>
          <w:sz w:val="24"/>
          <w:szCs w:val="24"/>
          <w:lang w:val="en-US"/>
        </w:rPr>
        <w:t>hed</w:t>
      </w:r>
      <w:r w:rsidRPr="003D034F">
        <w:rPr>
          <w:rFonts w:ascii="Book Antiqua" w:hAnsi="Book Antiqua" w:cs="Calibri"/>
          <w:sz w:val="24"/>
          <w:szCs w:val="24"/>
          <w:lang w:val="en-US"/>
        </w:rPr>
        <w:t>-out” ulcers and linear erosions</w:t>
      </w:r>
      <w:r w:rsidR="00B868CE" w:rsidRPr="003D034F">
        <w:rPr>
          <w:rFonts w:ascii="Book Antiqua" w:hAnsi="Book Antiqua" w:cs="Calibri"/>
          <w:sz w:val="24"/>
          <w:szCs w:val="24"/>
          <w:lang w:val="en-US"/>
        </w:rPr>
        <w:t>,</w:t>
      </w:r>
      <w:r w:rsidRPr="003D034F">
        <w:rPr>
          <w:rFonts w:ascii="Book Antiqua" w:hAnsi="Book Antiqua" w:cs="Calibri"/>
          <w:sz w:val="24"/>
          <w:szCs w:val="24"/>
          <w:lang w:val="en-US"/>
        </w:rPr>
        <w:t xml:space="preserve"> were the main endoscopic findings identified </w:t>
      </w:r>
      <w:r w:rsidR="00B868CE" w:rsidRPr="003D034F">
        <w:rPr>
          <w:rFonts w:ascii="Book Antiqua" w:hAnsi="Book Antiqua" w:cs="Calibri"/>
          <w:sz w:val="24"/>
          <w:szCs w:val="24"/>
          <w:lang w:val="en-US"/>
        </w:rPr>
        <w:t>by</w:t>
      </w:r>
      <w:r w:rsidRPr="003D034F">
        <w:rPr>
          <w:rFonts w:ascii="Book Antiqua" w:hAnsi="Book Antiqua" w:cs="Calibri"/>
          <w:sz w:val="24"/>
          <w:szCs w:val="24"/>
          <w:lang w:val="en-US"/>
        </w:rPr>
        <w:t xml:space="preserve"> </w:t>
      </w:r>
      <w:proofErr w:type="spellStart"/>
      <w:r w:rsidRPr="003D034F">
        <w:rPr>
          <w:rFonts w:ascii="Book Antiqua" w:hAnsi="Book Antiqua" w:cs="Calibri"/>
          <w:sz w:val="24"/>
          <w:szCs w:val="24"/>
          <w:lang w:val="en-US"/>
        </w:rPr>
        <w:t>D</w:t>
      </w:r>
      <w:r w:rsidR="00AE6216" w:rsidRPr="003D034F">
        <w:rPr>
          <w:rFonts w:ascii="Book Antiqua" w:hAnsi="Book Antiqua" w:cs="Calibri"/>
          <w:sz w:val="24"/>
          <w:szCs w:val="24"/>
          <w:lang w:val="en-US" w:eastAsia="zh-CN"/>
        </w:rPr>
        <w:t>’</w:t>
      </w:r>
      <w:r w:rsidR="00AE6216" w:rsidRPr="003D034F">
        <w:rPr>
          <w:rFonts w:ascii="Book Antiqua" w:hAnsi="Book Antiqua" w:cs="Calibri"/>
          <w:sz w:val="24"/>
          <w:szCs w:val="24"/>
          <w:lang w:val="en-US"/>
        </w:rPr>
        <w:t>Haens</w:t>
      </w:r>
      <w:proofErr w:type="spellEnd"/>
      <w:r w:rsidR="00AE6216" w:rsidRPr="003D034F">
        <w:rPr>
          <w:rFonts w:ascii="Book Antiqua" w:hAnsi="Book Antiqua" w:cs="Calibri"/>
          <w:sz w:val="24"/>
          <w:szCs w:val="24"/>
          <w:lang w:val="en-US"/>
        </w:rPr>
        <w:t xml:space="preserve"> </w:t>
      </w:r>
      <w:r w:rsidR="00AE6216" w:rsidRPr="003D034F">
        <w:rPr>
          <w:rFonts w:ascii="Book Antiqua" w:hAnsi="Book Antiqua" w:cs="Calibri"/>
          <w:i/>
          <w:sz w:val="24"/>
          <w:szCs w:val="24"/>
          <w:lang w:val="en-US"/>
        </w:rPr>
        <w:t>et al</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"10.1016/S0016-5107(94)70059-1", "ISSN" : "0016-5107", "PMID" : "8056231", "abstract" : "We carried out a clinical and endoscopic follow-up study of 14 patients with Crohn's disease of the esophagus. The diagnosis was based on the combination of endoscopic and histologic examinations with exclusion of all other possible causes. All patients had other gastrointestinal localizations of Crohn's disease, including oral and anal disease, and the majority also had serious extra-intestinal manifestations. Complete healing of the lesions was accomplished with corticosteroids in 9/14 patients after 2 to 4 weeks. During a total follow-up of 83 years for the 14 patients, 26 \"flare-ups\" of intestinal and systemic symptoms having a Crohn's disease activity index greater than 200 were diagnosed, on which occasions UGI endoscopy was performed before adjusting therapy. Three patterns of evolution could be distinguished: (1) in eight patients (total 17 flare-ups), neither endoscopic esophageal lesions nor UGI symptoms were apparent during follow-up. (2) Three patients (1 flare-up each) had persistent lesions despite corticosteroid therapy. (3) Three patients (6 flare-ups, 2 each) had relapse of both symptoms and esophageal lesions on each endoscopy, although these lesions had completely disappeared initially.", "author" : [ { "dropping-particle" : "", "family" : "D'Haens", "given" : "G.", "non-dropping-particle" : "", "parse-names" : false, "suffix" : "" }, { "dropping-particle" : "", "family" : "Rutgeerts", "given" : "P.", "non-dropping-particle" : "", "parse-names" : false, "suffix" : "" }, { "dropping-particle" : "", "family" : "Geboes", "given" : "K.", "non-dropping-particle" : "", "parse-names" : false, "suffix" : "" }, { "dropping-particle" : "", "family" : "Vantrappen", "given" : "G.", "non-dropping-particle" : "", "parse-names" : false, "suffix" : "" } ], "container-title" : "Gastrointestinal Endoscopy", "id" : "ITEM-1", "issue" : "3", "issued" : { "date-parts" : [ [ "1994" ] ] }, "page" : "296-300", "title" : "The natural history of esophageal Crohn's disease: three patterns of evolution", "type" : "article-journal", "volume" : "40" }, "uris" : [ "http://www.mendeley.com/documents/?uuid=fe1c378f-7030-4a44-9f31-1e6f0f85a3ee" ] } ], "mendeley" : { "formattedCitation" : "&lt;sup&gt;[41]&lt;/sup&gt;", "plainTextFormattedCitation" : "[41]", "previouslyFormattedCitation" : "&lt;sup&gt;[41]&lt;/sup&gt;"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[41]</w:t>
      </w:r>
      <w:r w:rsidR="00056AC0" w:rsidRPr="003D034F">
        <w:rPr>
          <w:rFonts w:ascii="Book Antiqua" w:hAnsi="Book Antiqua" w:cs="Calibri"/>
          <w:sz w:val="24"/>
          <w:szCs w:val="24"/>
          <w:lang w:val="en-US"/>
        </w:rPr>
        <w:fldChar w:fldCharType="end"/>
      </w:r>
      <w:r w:rsidR="00626577" w:rsidRPr="003D034F">
        <w:rPr>
          <w:rFonts w:ascii="Book Antiqua" w:hAnsi="Book Antiqua" w:cs="Calibri"/>
          <w:sz w:val="24"/>
          <w:szCs w:val="24"/>
          <w:lang w:val="en-US"/>
        </w:rPr>
        <w:t xml:space="preserve">. </w:t>
      </w:r>
      <w:r w:rsidRPr="003D034F">
        <w:rPr>
          <w:rFonts w:ascii="Book Antiqua" w:hAnsi="Book Antiqua" w:cs="Calibri"/>
          <w:sz w:val="24"/>
          <w:szCs w:val="24"/>
          <w:lang w:val="en-US"/>
        </w:rPr>
        <w:t>The most affected sites are the middle third and the distal third, and there may be, to a lesser degree, the diffuse involvement of t</w:t>
      </w:r>
      <w:r w:rsidR="00AE6216" w:rsidRPr="003D034F">
        <w:rPr>
          <w:rFonts w:ascii="Book Antiqua" w:hAnsi="Book Antiqua" w:cs="Calibri"/>
          <w:sz w:val="24"/>
          <w:szCs w:val="24"/>
          <w:lang w:val="en-US"/>
        </w:rPr>
        <w:t>he organ and the proximal third</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"10.1097/MIB.0000000000000469", "ISBN" : "1078-0998", "ISSN" : "15364844", "PMID" : "26083616", "abstract" : "Background: Esophageal Crohn's disease (CD) is challenging and often a disabling phenotype of disease. We aimed to report the clinical, endoscopic, histologic features, and treatment outcomes of esophageal patients with CD. Methods: Esophageal patients with CD evaluated at the Mayo Clinic in Rochester, MN, between January, 1998, and December, 2012, were identified. Results: Twenty-four cases of esophageal CD were identified. The median age of diagnosis was 23 years (range, 12-60). Twenty-one patients (88%) had extraesophageal CD and 8 patients (33%) had oral ulcers at the time of esophageal CD symptom onset. The majority of patients had esophageal-specific symptoms. Mid (29%) or distal (29%) esophagus was the most common site of involvement. Inflammatory esophageal CD (75%) was marked by superficial ulcerations (58%), erythema and/or erosions (50%), deep ulcerations (13%), and pseudopolyps (4%) on endoscopy. Four patients (17%) were found to have esophageal strictures and 2 patients (8%) had fistulizing disease. Chronic inflammation (83%) was seen on biopsy in the majority of cases with 5 patients having associated granulomas. In our series, inflammatory esophageal CD responded to prednisone, topical budesonide, or biologics. Stricturing esophageal CD was successfully treated with a combination of biologic therapy, immunomodulators, and serial dilations with/without steroid injections. Aggressive medical therapy with biologics and endoscopic therapy was used for fistulizing esophageal CD, however, was not universally effective. Conclusions: Esophageal CD should be considered in all patients with CD with upper gastrointestinal symptoms. Early recognition, diagnosis, and aggressive medical and/or endoscopic treatment are needed for successful outcomes. Copyright Ac 2015 Crohn's &amp; Colitis Foundation of America, Inc", "author" : [ { "dropping-particle" : "", "family" : "Felice", "given" : "Kara M.", "non-dropping-particle" : "De", "parse-names" : false, "suffix" : "" }, { "dropping-particle" : "", "family" : "Katzka", "given" : "David A.", "non-dropping-particle" : "", "parse-names" : false, "suffix" : "" }, { "dropping-particle" : "", "family" : "Raffals", "given" : "Laura E.", "non-dropping-particle" : "", "parse-names" : false, "suffix" : "" } ], "container-title" : "Inflammatory Bowel Diseases", "id" : "ITEM-1", "issue" : "9", "issued" : { "date-parts" : [ [ "2015" ] ] }, "page" : "2106-2113", "title" : "Crohn's disease of the esophagus: Clinical features and treatment outcomes in the biologic era", "type" : "article-journal", "volume" : "21" }, "uris" : [ "http://www.mendeley.com/documents/?uuid=722c966f-57c3-45c1-a9f3-5c4adfb8739e" ] } ], "mendeley" : { "formattedCitation" : "&lt;sup&gt;[29]&lt;/sup&gt;", "plainTextFormattedCitation" : "[29]", "previouslyFormattedCitation" : "&lt;sup&gt;[29]&lt;/sup&gt;"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[29</w:t>
      </w:r>
      <w:r w:rsidR="00AE6216" w:rsidRPr="003D034F">
        <w:rPr>
          <w:rFonts w:ascii="Book Antiqua" w:hAnsi="Book Antiqua" w:cs="Calibri"/>
          <w:sz w:val="24"/>
          <w:szCs w:val="24"/>
          <w:vertAlign w:val="superscript"/>
          <w:lang w:val="en-US" w:eastAsia="zh-CN"/>
        </w:rPr>
        <w:t>,30</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CD6A97" w:rsidRPr="003D034F">
        <w:rPr>
          <w:rFonts w:ascii="Book Antiqua" w:hAnsi="Book Antiqua" w:cs="Calibri"/>
          <w:sz w:val="24"/>
          <w:szCs w:val="24"/>
          <w:lang w:val="en-US"/>
        </w:rPr>
        <w:t>.</w:t>
      </w:r>
      <w:r w:rsidR="00D73664" w:rsidRPr="003D034F">
        <w:rPr>
          <w:rFonts w:ascii="Book Antiqua" w:hAnsi="Book Antiqua" w:cs="Calibri"/>
          <w:sz w:val="24"/>
          <w:szCs w:val="24"/>
          <w:lang w:val="en-US"/>
        </w:rPr>
        <w:t xml:space="preserve"> </w:t>
      </w:r>
      <w:r w:rsidRPr="003D034F">
        <w:rPr>
          <w:rFonts w:ascii="Book Antiqua" w:hAnsi="Book Antiqua" w:cs="Calibri"/>
          <w:sz w:val="24"/>
          <w:szCs w:val="24"/>
          <w:lang w:val="en-US"/>
        </w:rPr>
        <w:t xml:space="preserve">Decker </w:t>
      </w:r>
      <w:r w:rsidR="00AC0CB3" w:rsidRPr="003D034F">
        <w:rPr>
          <w:rFonts w:ascii="Book Antiqua" w:hAnsi="Book Antiqua" w:cs="Calibri"/>
          <w:i/>
          <w:sz w:val="24"/>
          <w:szCs w:val="24"/>
          <w:lang w:val="en-US"/>
        </w:rPr>
        <w:t>et al</w:t>
      </w:r>
      <w:r w:rsidR="00AC0CB3" w:rsidRPr="003D034F">
        <w:rPr>
          <w:rFonts w:ascii="Book Antiqua" w:hAnsi="Book Antiqua" w:cs="Calibri"/>
          <w:sz w:val="24"/>
          <w:szCs w:val="24"/>
          <w:lang w:val="en-US"/>
        </w:rPr>
        <w:fldChar w:fldCharType="begin" w:fldLock="1"/>
      </w:r>
      <w:r w:rsidR="00AC0CB3" w:rsidRPr="003D034F">
        <w:rPr>
          <w:rFonts w:ascii="Book Antiqua" w:hAnsi="Book Antiqua" w:cs="Calibri"/>
          <w:sz w:val="24"/>
          <w:szCs w:val="24"/>
          <w:lang w:val="en-US"/>
        </w:rPr>
        <w:instrText>ADDIN CSL_CITATION { "citationItems" : [ { "id" : "ITEM-1", "itemData" : { "DOI" : "10.1097/00054725-200105000-00006", "ISBN" : "1078-0998 (Print)\\r1078-0998", "ISSN" : "1078-0998", "PMID" : "11383583", "abstract" : "OBJECTIVES: Crohn's disease of the esophagus is rare. We sought to determine the clinical features and outcome of patients with esophageal Crohn's disease seen at our institution. METHODS: Patients with esophageal Crohn's disease evaluated at Mayo Clinic Rochester between 1976 and 1998 were identified. RESULTS: Twenty patients (0.2%) with esophageal involvement were identified. Median age at diagnosis was 31 years (range, 7-77 years). Eleven patients (55%) were female. Extraesophageal Crohn's disease preceded or was found at the same time as the diagnosis of esophageal Crohn's in all cases. Sixteen patients (80%) had symptoms referable to the esophagus. Endoscopic findings included ulcers in 17 (85%), erythema or erosions in 8 (40%), and strictures in 4 patients (20%). One patient had a fistula. The most common histological findings were active chronic inflammation (75%) and ulcer (30%). No granulomata were identified. Approximately one-half of our patients improved with first-line therapy. Eleven patients (55%) received immune modifier therapy. Six showed significant improvement on azathioprine, 6-mercaptopurine, or cyclosporine. Esophageal dilatation was required in six patients, and three patients required surgery. CONCLUSION: Esophageal Crohn's disease may be underdiagnosed. Patients with Crohn's disease complaining of esophageal symptoms should undergo upper endoscopy with biopsies, and the diagnosis of esophageal Crohn's disease should be entertained if aphthous or deep ulcers or strictures are present. Immune modifier therapy should be considered for steroid-dependent and steroid-resistant cases.", "author" : [ { "dropping-particle" : "", "family" : "Decker", "given" : "G. Antom G", "non-dropping-particle" : "", "parse-names" : false, "suffix" : "" }, { "dropping-particle" : "V", "family" : "Loftus", "given" : "Edward", "non-dropping-particle" : "", "parse-names" : false, "suffix" : "" }, { "dropping-particle" : "", "family" : "Pasha", "given" : "Tousif M", "non-dropping-particle" : "", "parse-names" : false, "suffix" : "" }, { "dropping-particle" : "", "family" : "Tremaine", "given" : "William J", "non-dropping-particle" : "", "parse-names" : false, "suffix" : "" }, { "dropping-particle" : "", "family" : "Sandborn", "given" : "Willian J", "non-dropping-particle" : "", "parse-names" : false, "suffix" : "" } ], "container-title" : "Inflammatory bowel diseases", "id" : "ITEM-1", "issue" : "2", "issued" : { "date-parts" : [ [ "2001" ] ] }, "page" : "113-119", "title" : "Crohn's disease of the esophagus: clinical features and outcomes.", "type" : "article-journal", "volume" : "7" }, "uris" : [ "http://www.mendeley.com/documents/?uuid=52a431b2-26c5-49eb-aa57-f5d19178f466" ] } ], "mendeley" : { "formattedCitation" : "&lt;sup&gt;[30]&lt;/sup&gt;", "plainTextFormattedCitation" : "[30]", "previouslyFormattedCitation" : "&lt;sup&gt;[30]&lt;/sup&gt;" }, "properties" : {  }, "schema" : "https://github.com/citation-style-language/schema/raw/master/csl-citation.json" }</w:instrText>
      </w:r>
      <w:r w:rsidR="00AC0CB3" w:rsidRPr="003D034F">
        <w:rPr>
          <w:rFonts w:ascii="Book Antiqua" w:hAnsi="Book Antiqua" w:cs="Calibri"/>
          <w:sz w:val="24"/>
          <w:szCs w:val="24"/>
          <w:lang w:val="en-US"/>
        </w:rPr>
        <w:fldChar w:fldCharType="separate"/>
      </w:r>
      <w:r w:rsidR="00AC0CB3" w:rsidRPr="003D034F">
        <w:rPr>
          <w:rFonts w:ascii="Book Antiqua" w:hAnsi="Book Antiqua" w:cs="Calibri"/>
          <w:sz w:val="24"/>
          <w:szCs w:val="24"/>
          <w:vertAlign w:val="superscript"/>
          <w:lang w:val="en-US"/>
        </w:rPr>
        <w:t>[30]</w:t>
      </w:r>
      <w:r w:rsidR="00AC0CB3" w:rsidRPr="003D034F">
        <w:rPr>
          <w:rFonts w:ascii="Book Antiqua" w:hAnsi="Book Antiqua" w:cs="Calibri"/>
          <w:sz w:val="24"/>
          <w:szCs w:val="24"/>
          <w:lang w:val="en-US"/>
        </w:rPr>
        <w:fldChar w:fldCharType="end"/>
      </w:r>
      <w:r w:rsidR="004E67ED" w:rsidRPr="003D034F">
        <w:rPr>
          <w:rFonts w:ascii="Book Antiqua" w:hAnsi="Book Antiqua" w:cs="Calibri"/>
          <w:sz w:val="24"/>
          <w:szCs w:val="24"/>
          <w:lang w:val="en-US"/>
        </w:rPr>
        <w:t xml:space="preserve"> reported involvement of </w:t>
      </w:r>
      <w:r w:rsidRPr="003D034F">
        <w:rPr>
          <w:rFonts w:ascii="Book Antiqua" w:hAnsi="Book Antiqua" w:cs="Calibri"/>
          <w:sz w:val="24"/>
          <w:szCs w:val="24"/>
          <w:lang w:val="en-US"/>
        </w:rPr>
        <w:t>distal esophagus</w:t>
      </w:r>
      <w:r w:rsidR="004E67ED" w:rsidRPr="003D034F">
        <w:rPr>
          <w:rFonts w:ascii="Book Antiqua" w:hAnsi="Book Antiqua" w:cs="Calibri"/>
          <w:sz w:val="24"/>
          <w:szCs w:val="24"/>
          <w:lang w:val="en-US"/>
        </w:rPr>
        <w:t>,</w:t>
      </w:r>
      <w:r w:rsidRPr="003D034F">
        <w:rPr>
          <w:rFonts w:ascii="Book Antiqua" w:hAnsi="Book Antiqua" w:cs="Calibri"/>
          <w:sz w:val="24"/>
          <w:szCs w:val="24"/>
          <w:lang w:val="en-US"/>
        </w:rPr>
        <w:t xml:space="preserve"> </w:t>
      </w:r>
      <w:r w:rsidR="004E67ED" w:rsidRPr="003D034F">
        <w:rPr>
          <w:rFonts w:ascii="Book Antiqua" w:hAnsi="Book Antiqua" w:cs="Calibri"/>
          <w:sz w:val="24"/>
          <w:szCs w:val="24"/>
          <w:lang w:val="en-US"/>
        </w:rPr>
        <w:t xml:space="preserve">middle and distal third </w:t>
      </w:r>
      <w:r w:rsidRPr="003D034F">
        <w:rPr>
          <w:rFonts w:ascii="Book Antiqua" w:hAnsi="Book Antiqua" w:cs="Calibri"/>
          <w:sz w:val="24"/>
          <w:szCs w:val="24"/>
          <w:lang w:val="en-US"/>
        </w:rPr>
        <w:t xml:space="preserve">and whole esophagus in </w:t>
      </w:r>
      <w:r w:rsidR="004E67ED" w:rsidRPr="003D034F">
        <w:rPr>
          <w:rFonts w:ascii="Book Antiqua" w:hAnsi="Book Antiqua" w:cs="Calibri"/>
          <w:sz w:val="24"/>
          <w:szCs w:val="24"/>
          <w:lang w:val="en-US"/>
        </w:rPr>
        <w:t>80%, 15% and 5% of the patients, respectively</w:t>
      </w:r>
      <w:r w:rsidRPr="003D034F">
        <w:rPr>
          <w:rFonts w:ascii="Book Antiqua" w:hAnsi="Book Antiqua" w:cs="Calibri"/>
          <w:sz w:val="24"/>
          <w:szCs w:val="24"/>
          <w:lang w:val="en-US"/>
        </w:rPr>
        <w:t>. The main findings were ulcers in 85% of patients, erythema or erosions in 40%, stenoses in 20%, fistula</w:t>
      </w:r>
      <w:r w:rsidR="00B868CE" w:rsidRPr="003D034F">
        <w:rPr>
          <w:rFonts w:ascii="Book Antiqua" w:hAnsi="Book Antiqua" w:cs="Calibri"/>
          <w:sz w:val="24"/>
          <w:szCs w:val="24"/>
          <w:lang w:val="en-US"/>
        </w:rPr>
        <w:t>s</w:t>
      </w:r>
      <w:r w:rsidRPr="003D034F">
        <w:rPr>
          <w:rFonts w:ascii="Book Antiqua" w:hAnsi="Book Antiqua" w:cs="Calibri"/>
          <w:sz w:val="24"/>
          <w:szCs w:val="24"/>
          <w:lang w:val="en-US"/>
        </w:rPr>
        <w:t xml:space="preserve"> in 5% and </w:t>
      </w:r>
      <w:proofErr w:type="spellStart"/>
      <w:r w:rsidRPr="003D034F">
        <w:rPr>
          <w:rFonts w:ascii="Book Antiqua" w:hAnsi="Book Antiqua" w:cs="Calibri"/>
          <w:sz w:val="24"/>
          <w:szCs w:val="24"/>
          <w:lang w:val="en-US"/>
        </w:rPr>
        <w:t>pseudopolyps</w:t>
      </w:r>
      <w:proofErr w:type="spellEnd"/>
      <w:r w:rsidRPr="003D034F">
        <w:rPr>
          <w:rFonts w:ascii="Book Antiqua" w:hAnsi="Book Antiqua" w:cs="Calibri"/>
          <w:sz w:val="24"/>
          <w:szCs w:val="24"/>
          <w:lang w:val="en-US"/>
        </w:rPr>
        <w:t xml:space="preserve"> in 5%</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"10.1097/00054725-200105000-00006", "ISBN" : "1078-0998 (Print)\\r1078-0998", "ISSN" : "1078-0998", "PMID" : "11383583", "abstract" : "OBJECTIVES: Crohn's disease of the esophagus is rare. We sought to determine the clinical features and outcome of patients with esophageal Crohn's disease seen at our institution. METHODS: Patients with esophageal Crohn's disease evaluated at Mayo Clinic Rochester between 1976 and 1998 were identified. RESULTS: Twenty patients (0.2%) with esophageal involvement were identified. Median age at diagnosis was 31 years (range, 7-77 years). Eleven patients (55%) were female. Extraesophageal Crohn's disease preceded or was found at the same time as the diagnosis of esophageal Crohn's in all cases. Sixteen patients (80%) had symptoms referable to the esophagus. Endoscopic findings included ulcers in 17 (85%), erythema or erosions in 8 (40%), and strictures in 4 patients (20%). One patient had a fistula. The most common histological findings were active chronic inflammation (75%) and ulcer (30%). No granulomata were identified. Approximately one-half of our patients improved with first-line therapy. Eleven patients (55%) received immune modifier therapy. Six showed significant improvement on azathioprine, 6-mercaptopurine, or cyclosporine. Esophageal dilatation was required in six patients, and three patients required surgery. CONCLUSION: Esophageal Crohn's disease may be underdiagnosed. Patients with Crohn's disease complaining of esophageal symptoms should undergo upper endoscopy with biopsies, and the diagnosis of esophageal Crohn's disease should be entertained if aphthous or deep ulcers or strictures are present. Immune modifier therapy should be considered for steroid-dependent and steroid-resistant cases.", "author" : [ { "dropping-particle" : "", "family" : "Decker", "given" : "G. Antom G", "non-dropping-particle" : "", "parse-names" : false, "suffix" : "" }, { "dropping-particle" : "V", "family" : "Loftus", "given" : "Edward", "non-dropping-particle" : "", "parse-names" : false, "suffix" : "" }, { "dropping-particle" : "", "family" : "Pasha", "given" : "Tousif M", "non-dropping-particle" : "", "parse-names" : false, "suffix" : "" }, { "dropping-particle" : "", "family" : "Tremaine", "given" : "William J", "non-dropping-particle" : "", "parse-names" : false, "suffix" : "" }, { "dropping-particle" : "", "family" : "Sandborn", "given" : "Willian J", "non-dropping-particle" : "", "parse-names" : false, "suffix" : "" } ], "container-title" : "Inflammatory bowel diseases", "id" : "ITEM-1", "issue" : "2", "issued" : { "date-parts" : [ [ "2001" ] ] }, "page" : "113-119", "title" : "Crohn's disease of the esophagus: clinical features and outcomes.", "type" : "article-journal", "volume" : "7" }, "uris" : [ "http://www.mendeley.com/documents/?uuid=52a431b2-26c5-49eb-aa57-f5d19178f466" ] } ], "mendeley" : { "formattedCitation" : "&lt;sup&gt;[30]&lt;/sup&gt;", "plainTextFormattedCitation" : "[30]", "previouslyFormattedCitation" : "&lt;sup&gt;[30]&lt;/sup&gt;"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[30]</w:t>
      </w:r>
      <w:r w:rsidR="00056AC0" w:rsidRPr="003D034F">
        <w:rPr>
          <w:rFonts w:ascii="Book Antiqua" w:hAnsi="Book Antiqua" w:cs="Calibri"/>
          <w:sz w:val="24"/>
          <w:szCs w:val="24"/>
          <w:lang w:val="en-US"/>
        </w:rPr>
        <w:fldChar w:fldCharType="end"/>
      </w:r>
      <w:r w:rsidR="00341FD2" w:rsidRPr="003D034F">
        <w:rPr>
          <w:rFonts w:ascii="Book Antiqua" w:hAnsi="Book Antiqua" w:cs="Calibri"/>
          <w:sz w:val="24"/>
          <w:szCs w:val="24"/>
          <w:lang w:val="en-US"/>
        </w:rPr>
        <w:t>.</w:t>
      </w:r>
      <w:r w:rsidR="00F72165" w:rsidRPr="003D034F">
        <w:rPr>
          <w:rFonts w:ascii="Book Antiqua" w:hAnsi="Book Antiqua" w:cs="Calibri"/>
          <w:sz w:val="24"/>
          <w:szCs w:val="24"/>
          <w:lang w:val="en-US"/>
        </w:rPr>
        <w:t xml:space="preserve"> </w:t>
      </w:r>
      <w:r w:rsidR="00AE6216" w:rsidRPr="003D034F">
        <w:rPr>
          <w:rFonts w:ascii="Book Antiqua" w:hAnsi="Book Antiqua" w:cs="Calibri"/>
          <w:sz w:val="24"/>
          <w:szCs w:val="24"/>
          <w:lang w:val="en-US"/>
        </w:rPr>
        <w:t xml:space="preserve">De Felice </w:t>
      </w:r>
      <w:r w:rsidR="00AE6216" w:rsidRPr="003D034F">
        <w:rPr>
          <w:rFonts w:ascii="Book Antiqua" w:hAnsi="Book Antiqua" w:cs="Calibri"/>
          <w:i/>
          <w:sz w:val="24"/>
          <w:szCs w:val="24"/>
          <w:lang w:val="en-US"/>
        </w:rPr>
        <w:t>et al</w:t>
      </w:r>
      <w:r w:rsidR="00AE6216" w:rsidRPr="003D034F">
        <w:rPr>
          <w:rFonts w:ascii="Book Antiqua" w:hAnsi="Book Antiqua" w:cs="Calibri"/>
          <w:sz w:val="24"/>
          <w:szCs w:val="24"/>
          <w:lang w:val="en-US"/>
        </w:rPr>
        <w:fldChar w:fldCharType="begin" w:fldLock="1"/>
      </w:r>
      <w:r w:rsidR="00AE6216" w:rsidRPr="003D034F">
        <w:rPr>
          <w:rFonts w:ascii="Book Antiqua" w:hAnsi="Book Antiqua" w:cs="Calibri"/>
          <w:sz w:val="24"/>
          <w:szCs w:val="24"/>
          <w:lang w:val="en-US"/>
        </w:rPr>
        <w:instrText>ADDIN CSL_CITATION { "citationItems" : [ { "id" : "ITEM-1", "itemData" : { "DOI" : "10.1097/MIB.0000000000000469", "ISBN" : "1078-0998", "ISSN" : "15364844", "PMID" : "26083616", "abstract" : "Background: Esophageal Crohn's disease (CD) is challenging and often a disabling phenotype of disease. We aimed to report the clinical, endoscopic, histologic features, and treatment outcomes of esophageal patients with CD. Methods: Esophageal patients with CD evaluated at the Mayo Clinic in Rochester, MN, between January, 1998, and December, 2012, were identified. Results: Twenty-four cases of esophageal CD were identified. The median age of diagnosis was 23 years (range, 12-60). Twenty-one patients (88%) had extraesophageal CD and 8 patients (33%) had oral ulcers at the time of esophageal CD symptom onset. The majority of patients had esophageal-specific symptoms. Mid (29%) or distal (29%) esophagus was the most common site of involvement. Inflammatory esophageal CD (75%) was marked by superficial ulcerations (58%), erythema and/or erosions (50%), deep ulcerations (13%), and pseudopolyps (4%) on endoscopy. Four patients (17%) were found to have esophageal strictures and 2 patients (8%) had fistulizing disease. Chronic inflammation (83%) was seen on biopsy in the majority of cases with 5 patients having associated granulomas. In our series, inflammatory esophageal CD responded to prednisone, topical budesonide, or biologics. Stricturing esophageal CD was successfully treated with a combination of biologic therapy, immunomodulators, and serial dilations with/without steroid injections. Aggressive medical therapy with biologics and endoscopic therapy was used for fistulizing esophageal CD, however, was not universally effective. Conclusions: Esophageal CD should be considered in all patients with CD with upper gastrointestinal symptoms. Early recognition, diagnosis, and aggressive medical and/or endoscopic treatment are needed for successful outcomes. Copyright Ac 2015 Crohn's &amp; Colitis Foundation of America, Inc", "author" : [ { "dropping-particle" : "", "family" : "Felice", "given" : "Kara M.", "non-dropping-particle" : "De", "parse-names" : false, "suffix" : "" }, { "dropping-particle" : "", "family" : "Katzka", "given" : "David A.", "non-dropping-particle" : "", "parse-names" : false, "suffix" : "" }, { "dropping-particle" : "", "family" : "Raffals", "given" : "Laura E.", "non-dropping-particle" : "", "parse-names" : false, "suffix" : "" } ], "container-title" : "Inflammatory Bowel Diseases", "id" : "ITEM-1", "issue" : "9", "issued" : { "date-parts" : [ [ "2015" ] ] }, "page" : "2106-2113", "title" : "Crohn's disease of the esophagus: Clinical features and treatment outcomes in the biologic era", "type" : "article-journal", "volume" : "21" }, "uris" : [ "http://www.mendeley.com/documents/?uuid=722c966f-57c3-45c1-a9f3-5c4adfb8739e" ] } ], "mendeley" : { "formattedCitation" : "&lt;sup&gt;[29]&lt;/sup&gt;", "plainTextFormattedCitation" : "[29]", "previouslyFormattedCitation" : "&lt;sup&gt;[29]&lt;/sup&gt;" }, "properties" : {  }, "schema" : "https://github.com/citation-style-language/schema/raw/master/csl-citation.json" }</w:instrText>
      </w:r>
      <w:r w:rsidR="00AE6216" w:rsidRPr="003D034F">
        <w:rPr>
          <w:rFonts w:ascii="Book Antiqua" w:hAnsi="Book Antiqua" w:cs="Calibri"/>
          <w:sz w:val="24"/>
          <w:szCs w:val="24"/>
          <w:lang w:val="en-US"/>
        </w:rPr>
        <w:fldChar w:fldCharType="separate"/>
      </w:r>
      <w:r w:rsidR="00AE6216" w:rsidRPr="003D034F">
        <w:rPr>
          <w:rFonts w:ascii="Book Antiqua" w:hAnsi="Book Antiqua" w:cs="Calibri"/>
          <w:sz w:val="24"/>
          <w:szCs w:val="24"/>
          <w:vertAlign w:val="superscript"/>
          <w:lang w:val="en-US"/>
        </w:rPr>
        <w:t>[29]</w:t>
      </w:r>
      <w:r w:rsidR="00AE6216" w:rsidRPr="003D034F">
        <w:rPr>
          <w:rFonts w:ascii="Book Antiqua" w:hAnsi="Book Antiqua" w:cs="Calibri"/>
          <w:sz w:val="24"/>
          <w:szCs w:val="24"/>
          <w:lang w:val="en-US"/>
        </w:rPr>
        <w:fldChar w:fldCharType="end"/>
      </w:r>
      <w:r w:rsidRPr="003D034F">
        <w:rPr>
          <w:rFonts w:ascii="Book Antiqua" w:hAnsi="Book Antiqua" w:cs="Calibri"/>
          <w:sz w:val="24"/>
          <w:szCs w:val="24"/>
          <w:lang w:val="en-US"/>
        </w:rPr>
        <w:t xml:space="preserve"> also demonstrated that the most common sites of involvement were the middle third (29%), distal (29%), medium and distal (17%), diffuse (21%) and proximal (4%). Surface ulcerations were present in 58%, erythema and/or erosions in 50%, deep ulcerations in 13%, </w:t>
      </w:r>
      <w:proofErr w:type="spellStart"/>
      <w:r w:rsidRPr="003D034F">
        <w:rPr>
          <w:rFonts w:ascii="Book Antiqua" w:hAnsi="Book Antiqua" w:cs="Calibri"/>
          <w:sz w:val="24"/>
          <w:szCs w:val="24"/>
          <w:lang w:val="en-US"/>
        </w:rPr>
        <w:t>pseudopolyps</w:t>
      </w:r>
      <w:proofErr w:type="spellEnd"/>
      <w:r w:rsidRPr="003D034F">
        <w:rPr>
          <w:rFonts w:ascii="Book Antiqua" w:hAnsi="Book Antiqua" w:cs="Calibri"/>
          <w:sz w:val="24"/>
          <w:szCs w:val="24"/>
          <w:lang w:val="en-US"/>
        </w:rPr>
        <w:t xml:space="preserve"> in 4%, stenoses in 17% and fistulas in 8%</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"10.1097/MIB.0000000000000469", "ISBN" : "1078-0998", "ISSN" : "15364844", "PMID" : "26083616", "abstract" : "Background: Esophageal Crohn's disease (CD) is challenging and often a disabling phenotype of disease. We aimed to report the clinical, endoscopic, histologic features, and treatment outcomes of esophageal patients with CD. Methods: Esophageal patients with CD evaluated at the Mayo Clinic in Rochester, MN, between January, 1998, and December, 2012, were identified. Results: Twenty-four cases of esophageal CD were identified. The median age of diagnosis was 23 years (range, 12-60). Twenty-one patients (88%) had extraesophageal CD and 8 patients (33%) had oral ulcers at the time of esophageal CD symptom onset. The majority of patients had esophageal-specific symptoms. Mid (29%) or distal (29%) esophagus was the most common site of involvement. Inflammatory esophageal CD (75%) was marked by superficial ulcerations (58%), erythema and/or erosions (50%), deep ulcerations (13%), and pseudopolyps (4%) on endoscopy. Four patients (17%) were found to have esophageal strictures and 2 patients (8%) had fistulizing disease. Chronic inflammation (83%) was seen on biopsy in the majority of cases with 5 patients having associated granulomas. In our series, inflammatory esophageal CD responded to prednisone, topical budesonide, or biologics. Stricturing esophageal CD was successfully treated with a combination of biologic therapy, immunomodulators, and serial dilations with/without steroid injections. Aggressive medical therapy with biologics and endoscopic therapy was used for fistulizing esophageal CD, however, was not universally effective. Conclusions: Esophageal CD should be considered in all patients with CD with upper gastrointestinal symptoms. Early recognition, diagnosis, and aggressive medical and/or endoscopic treatment are needed for successful outcomes. Copyright Ac 2015 Crohn's &amp; Colitis Foundation of America, Inc", "author" : [ { "dropping-particle" : "", "family" : "Felice", "given" : "Kara M.", "non-dropping-particle" : "De", "parse-names" : false, "suffix" : "" }, { "dropping-particle" : "", "family" : "Katzka", "given" : "David A.", "non-dropping-particle" : "", "parse-names" : false, "suffix" : "" }, { "dropping-particle" : "", "family" : "Raffals", "given" : "Laura E.", "non-dropping-particle" : "", "parse-names" : false, "suffix" : "" } ], "container-title" : "Inflammatory Bowel Diseases", "id" : "ITEM-1", "issue" : "9", "issued" : { "date-parts" : [ [ "2015" ] ] }, "page" : "2106-2113", "title" : "Crohn's disease of the esophagus: Clinical features and treatment outcomes in the biologic era", "type" : "article-journal", "volume" : "21" }, "uris" : [ "http://www.mendeley.com/documents/?uuid=722c966f-57c3-45c1-a9f3-5c4adfb8739e" ] } ], "mendeley" : { "formattedCitation" : "&lt;sup&gt;[29]&lt;/sup&gt;", "plainTextFormattedCitation" : "[29]", "previouslyFormattedCitation" : "&lt;sup&gt;[29]&lt;/sup&gt;"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[29]</w:t>
      </w:r>
      <w:r w:rsidR="00056AC0" w:rsidRPr="003D034F">
        <w:rPr>
          <w:rFonts w:ascii="Book Antiqua" w:hAnsi="Book Antiqua" w:cs="Calibri"/>
          <w:sz w:val="24"/>
          <w:szCs w:val="24"/>
          <w:lang w:val="en-US"/>
        </w:rPr>
        <w:fldChar w:fldCharType="end"/>
      </w:r>
      <w:r w:rsidR="00E37ACD" w:rsidRPr="003D034F">
        <w:rPr>
          <w:rFonts w:ascii="Book Antiqua" w:hAnsi="Book Antiqua" w:cs="Calibri"/>
          <w:sz w:val="24"/>
          <w:szCs w:val="24"/>
          <w:lang w:val="en-US"/>
        </w:rPr>
        <w:t>.</w:t>
      </w:r>
    </w:p>
    <w:p w:rsidR="0021020A" w:rsidRPr="003D034F" w:rsidRDefault="0021020A" w:rsidP="003D034F">
      <w:pPr>
        <w:spacing w:after="0" w:line="360" w:lineRule="auto"/>
        <w:jc w:val="both"/>
        <w:rPr>
          <w:rFonts w:ascii="Book Antiqua" w:hAnsi="Book Antiqua" w:cs="Calibri"/>
          <w:i/>
          <w:sz w:val="24"/>
          <w:szCs w:val="24"/>
          <w:lang w:val="en-US"/>
        </w:rPr>
      </w:pPr>
    </w:p>
    <w:p w:rsidR="0037084B" w:rsidRPr="003D034F" w:rsidRDefault="00AE6216" w:rsidP="003D034F">
      <w:pPr>
        <w:spacing w:after="0" w:line="360" w:lineRule="auto"/>
        <w:jc w:val="both"/>
        <w:rPr>
          <w:rFonts w:ascii="Book Antiqua" w:hAnsi="Book Antiqua" w:cs="Calibri"/>
          <w:b/>
          <w:i/>
          <w:sz w:val="24"/>
          <w:szCs w:val="24"/>
          <w:lang w:val="en-US"/>
        </w:rPr>
      </w:pPr>
      <w:r w:rsidRPr="003D034F">
        <w:rPr>
          <w:rFonts w:ascii="Book Antiqua" w:hAnsi="Book Antiqua" w:cs="Calibri"/>
          <w:b/>
          <w:i/>
          <w:sz w:val="24"/>
          <w:szCs w:val="24"/>
          <w:lang w:val="en-US"/>
        </w:rPr>
        <w:t>Histology</w:t>
      </w:r>
    </w:p>
    <w:p w:rsidR="00D92BDA" w:rsidRPr="003D034F" w:rsidRDefault="004F5075" w:rsidP="003D034F">
      <w:pPr>
        <w:spacing w:after="0" w:line="360" w:lineRule="auto"/>
        <w:jc w:val="both"/>
        <w:rPr>
          <w:rFonts w:ascii="Book Antiqua" w:hAnsi="Book Antiqua" w:cs="Calibri"/>
          <w:sz w:val="24"/>
          <w:szCs w:val="24"/>
          <w:lang w:val="en-US"/>
        </w:rPr>
      </w:pPr>
      <w:r w:rsidRPr="003D034F">
        <w:rPr>
          <w:rFonts w:ascii="Book Antiqua" w:hAnsi="Book Antiqua" w:cs="Calibri"/>
          <w:sz w:val="24"/>
          <w:szCs w:val="24"/>
          <w:lang w:val="en-US"/>
        </w:rPr>
        <w:t xml:space="preserve">Performing biopsies is critical to warding off other conditions, especially in the absence of involvement of other segments </w:t>
      </w:r>
      <w:r w:rsidR="00892905" w:rsidRPr="003D034F">
        <w:rPr>
          <w:rFonts w:ascii="Book Antiqua" w:hAnsi="Book Antiqua" w:cs="Calibri"/>
          <w:sz w:val="24"/>
          <w:szCs w:val="24"/>
          <w:lang w:val="en-US"/>
        </w:rPr>
        <w:t xml:space="preserve">in the </w:t>
      </w:r>
      <w:r w:rsidRPr="003D034F">
        <w:rPr>
          <w:rFonts w:ascii="Book Antiqua" w:hAnsi="Book Antiqua" w:cs="Calibri"/>
          <w:sz w:val="24"/>
          <w:szCs w:val="24"/>
          <w:lang w:val="en-US"/>
        </w:rPr>
        <w:t>CD. It is important to ensure adequate fragments for the analysis, through larger and deeper biopsies, since superficial biopsies contribute little to the diagnosis because it is a transmural disease</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"7106483", "author" : [ { "dropping-particle" : "", "family" : "Ghahremani", "given" : "Gary G", "non-dropping-particle" : "", "parse-names" : false, "suffix" : "" }, { "dropping-particle" : "", "family" : "Gore", "given" : "Richard M", "non-dropping-particle" : "", "parse-names" : false, "suffix" : "" }, { "dropping-particle" : "", "family" : "Breuer", "given" : "Richard I", "non-dropping-particle" : "", "parse-names" : false, "suffix" : "" }, { "dropping-particle" : "", "family" : "Larson", "given" : "Richard H.", "non-dropping-particle" : "", "parse-names" : false, "suffix" : "" } ], "container-title" : "Gastrointestinal Radiologic", "id" : "ITEM-1", "issued" : { "date-parts" : [ [ "1982" ] ] }, "page" : "199-203", "title" : "Esophageal Manifestations of Crohn's Disease", "type" : "article-journal", "volume" : "7" }, "uris" : [ "http://www.mendeley.com/documents/?uuid=4306021f-534a-48c1-9725-baa2ddacd627" ] } ], "mendeley" : { "formattedCitation" : "&lt;sup&gt;[37]&lt;/sup&gt;", "plainTextFormattedCitation" : "[37]", "previouslyFormattedCitation" : "&lt;sup&gt;[37]&lt;/sup&gt;"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[37]</w:t>
      </w:r>
      <w:r w:rsidR="00056AC0" w:rsidRPr="003D034F">
        <w:rPr>
          <w:rFonts w:ascii="Book Antiqua" w:hAnsi="Book Antiqua" w:cs="Calibri"/>
          <w:sz w:val="24"/>
          <w:szCs w:val="24"/>
          <w:lang w:val="en-US"/>
        </w:rPr>
        <w:fldChar w:fldCharType="end"/>
      </w:r>
      <w:r w:rsidR="00D92BDA" w:rsidRPr="003D034F">
        <w:rPr>
          <w:rFonts w:ascii="Book Antiqua" w:hAnsi="Book Antiqua" w:cs="Calibri"/>
          <w:sz w:val="24"/>
          <w:szCs w:val="24"/>
          <w:lang w:val="en-US"/>
        </w:rPr>
        <w:t xml:space="preserve">. </w:t>
      </w:r>
      <w:r w:rsidRPr="003D034F">
        <w:rPr>
          <w:rFonts w:ascii="Book Antiqua" w:hAnsi="Book Antiqua" w:cs="Calibri"/>
          <w:sz w:val="24"/>
          <w:szCs w:val="24"/>
          <w:lang w:val="en-US"/>
        </w:rPr>
        <w:t xml:space="preserve">The most frequent histological findings are chronic inflammatory infiltrate with </w:t>
      </w:r>
      <w:r w:rsidR="00892905" w:rsidRPr="003D034F">
        <w:rPr>
          <w:rFonts w:ascii="Book Antiqua" w:hAnsi="Book Antiqua" w:cs="Calibri"/>
          <w:sz w:val="24"/>
          <w:szCs w:val="24"/>
          <w:lang w:val="en-US"/>
        </w:rPr>
        <w:t xml:space="preserve">a </w:t>
      </w:r>
      <w:r w:rsidRPr="003D034F">
        <w:rPr>
          <w:rFonts w:ascii="Book Antiqua" w:hAnsi="Book Antiqua" w:cs="Calibri"/>
          <w:sz w:val="24"/>
          <w:szCs w:val="24"/>
          <w:lang w:val="en-US"/>
        </w:rPr>
        <w:t>predominance of lymphocytes in the lamina propria and presence of ulcers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"10.1097/00054725-200105000-00006", "ISBN" : "1078-0998 (Print)\\r1078-0998", "ISSN" : "1078-0998", "PMID" : "11383583", "abstract" : "OBJECTIVES: Crohn's disease of the esophagus is rare. We sought to determine the clinical features and outcome of patients with esophageal Crohn's disease seen at our institution. METHODS: Patients with esophageal Crohn's disease evaluated at Mayo Clinic Rochester between 1976 and 1998 were identified. RESULTS: Twenty patients (0.2%) with esophageal involvement were identified. Median age at diagnosis was 31 years (range, 7-77 years). Eleven patients (55%) were female. Extraesophageal Crohn's disease preceded or was found at the same time as the diagnosis of esophageal Crohn's in all cases. Sixteen patients (80%) had symptoms referable to the esophagus. Endoscopic findings included ulcers in 17 (85%), erythema or erosions in 8 (40%), and strictures in 4 patients (20%). One patient had a fistula. The most common histological findings were active chronic inflammation (75%) and ulcer (30%). No granulomata were identified. Approximately one-half of our patients improved with first-line therapy. Eleven patients (55%) received immune modifier therapy. Six showed significant improvement on azathioprine, 6-mercaptopurine, or cyclosporine. Esophageal dilatation was required in six patients, and three patients required surgery. CONCLUSION: Esophageal Crohn's disease may be underdiagnosed. Patients with Crohn's disease complaining of esophageal symptoms should undergo upper endoscopy with biopsies, and the diagnosis of esophageal Crohn's disease should be entertained if aphthous or deep ulcers or strictures are present. Immune modifier therapy should be considered for steroid-dependent and steroid-resistant cases.", "author" : [ { "dropping-particle" : "", "family" : "Decker", "given" : "G. Antom G", "non-dropping-particle" : "", "parse-names" : false, "suffix" : "" }, { "dropping-particle" : "V", "family" : "Loftus", "given" : "Edward", "non-dropping-particle" : "", "parse-names" : false, "suffix" : "" }, { "dropping-particle" : "", "family" : "Pasha", "given" : "Tousif M", "non-dropping-particle" : "", "parse-names" : false, "suffix" : "" }, { "dropping-particle" : "", "family" : "Tremaine", "given" : "William J", "non-dropping-particle" : "", "parse-names" : false, "suffix" : "" }, { "dropping-particle" : "", "family" : "Sandborn", "given" : "Willian J", "non-dropping-particle" : "", "parse-names" : false, "suffix" : "" } ], "container-title" : "Inflammatory bowel diseases", "id" : "ITEM-1", "issue" : "2", "issued" : { "date-parts" : [ [ "2001" ] ] }, "page" : "113-119", "title" : "Crohn's disease of the esophagus: clinical features and outcomes.", "type" : "article-journal", "volume" : "7" }, "uris" : [ "http://www.mendeley.com/documents/?uuid=52a431b2-26c5-49eb-aa57-f5d19178f466" ] } ], "mendeley" : { "formattedCitation" : "&lt;sup&gt;[30]&lt;/sup&gt;", "plainTextFormattedCitation" : "[30]", "previouslyFormattedCitation" : "&lt;sup&gt;[30]&lt;/sup&gt;"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[30]</w:t>
      </w:r>
      <w:r w:rsidR="00056AC0" w:rsidRPr="003D034F">
        <w:rPr>
          <w:rFonts w:ascii="Book Antiqua" w:hAnsi="Book Antiqua" w:cs="Calibri"/>
          <w:sz w:val="24"/>
          <w:szCs w:val="24"/>
          <w:lang w:val="en-US"/>
        </w:rPr>
        <w:fldChar w:fldCharType="end"/>
      </w:r>
      <w:r w:rsidR="00D92BDA" w:rsidRPr="003D034F">
        <w:rPr>
          <w:rFonts w:ascii="Book Antiqua" w:hAnsi="Book Antiqua" w:cs="Calibri"/>
          <w:sz w:val="24"/>
          <w:szCs w:val="24"/>
          <w:lang w:val="en-US"/>
        </w:rPr>
        <w:t xml:space="preserve">. </w:t>
      </w:r>
      <w:r w:rsidR="008320D3" w:rsidRPr="003D034F">
        <w:rPr>
          <w:rFonts w:ascii="Book Antiqua" w:hAnsi="Book Antiqua" w:cs="Calibri"/>
          <w:sz w:val="24"/>
          <w:szCs w:val="24"/>
          <w:lang w:val="en-US"/>
        </w:rPr>
        <w:t>Nonc</w:t>
      </w:r>
      <w:r w:rsidRPr="003D034F">
        <w:rPr>
          <w:rFonts w:ascii="Book Antiqua" w:hAnsi="Book Antiqua" w:cs="Calibri"/>
          <w:sz w:val="24"/>
          <w:szCs w:val="24"/>
          <w:lang w:val="en-US"/>
        </w:rPr>
        <w:t xml:space="preserve">aseous granulomas are rare and observed in </w:t>
      </w:r>
      <w:r w:rsidR="00892905" w:rsidRPr="003D034F">
        <w:rPr>
          <w:rFonts w:ascii="Book Antiqua" w:hAnsi="Book Antiqua" w:cs="Calibri"/>
          <w:sz w:val="24"/>
          <w:szCs w:val="24"/>
          <w:lang w:val="en-US"/>
        </w:rPr>
        <w:t xml:space="preserve">fewer </w:t>
      </w:r>
      <w:r w:rsidR="00AE6216" w:rsidRPr="003D034F">
        <w:rPr>
          <w:rFonts w:ascii="Book Antiqua" w:hAnsi="Book Antiqua" w:cs="Calibri"/>
          <w:sz w:val="24"/>
          <w:szCs w:val="24"/>
          <w:lang w:val="en-US"/>
        </w:rPr>
        <w:lastRenderedPageBreak/>
        <w:t>than 25% of cases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"10.1097/SMJ.0b013e31818047be", "ISBN" : "1541-8243 (Electronic)\\r0038-4348 (Linking)", "ISSN" : "00384348", "PMID" : "18708983", "abstract" : "Esophageal Crohn disease is a difficult disease both to diagnose and treat. The diagnosis is made in patients with other extraintestinal manifestations of Crohn disease in whom other esophageal pathology has been ruled out. This often requires integration of clinical, endoscopic, radiographic, and histologic findings. Despite its relative rarity, it does cause severe symptoms that are difficult to treat. Treatment requires careful integration of medical, endoscopic, and surgical techniques. This review aims to discuss the significant literature regarding diagnosis and treatment of this important manifestation of inflammatory bowel disease. There is additional discussion of the literature regarding the efficacy of newer medical and endoscopic therapies, including biologic agents and removable polymer stents.", "author" : [ { "dropping-particle" : "", "family" : "Feagans", "given" : "Jacob", "non-dropping-particle" : "", "parse-names" : false, "suffix" : "" }, { "dropping-particle" : "", "family" : "Victor", "given" : "David", "non-dropping-particle" : "", "parse-names" : false, "suffix" : "" }, { "dropping-particle" : "", "family" : "Joshi", "given" : "Virendra", "non-dropping-particle" : "", "parse-names" : false, "suffix" : "" } ], "container-title" : "Southern Medical Journal", "id" : "ITEM-1", "issue" : "9", "issued" : { "date-parts" : [ [ "2008" ] ] }, "page" : "927-930", "title" : "Crohn disease of the esophagus: A review of the literature", "type" : "article-journal", "volume" : "101" }, "uris" : [ "http://www.mendeley.com/documents/?uuid=9f0cd970-3ed1-462b-9711-175cb27ec53c" ] } ], "mendeley" : { "formattedCitation" : "&lt;sup&gt;[28]&lt;/sup&gt;", "plainTextFormattedCitation" : "[28]", "previouslyFormattedCitation" : "&lt;sup&gt;[28]&lt;/sup&gt;"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[28</w:t>
      </w:r>
      <w:r w:rsidR="00AE6216" w:rsidRPr="003D034F">
        <w:rPr>
          <w:rFonts w:ascii="Book Antiqua" w:hAnsi="Book Antiqua" w:cs="Calibri"/>
          <w:sz w:val="24"/>
          <w:szCs w:val="24"/>
          <w:vertAlign w:val="superscript"/>
          <w:lang w:val="en-US" w:eastAsia="zh-CN"/>
        </w:rPr>
        <w:t>,30,38</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D92BDA" w:rsidRPr="003D034F">
        <w:rPr>
          <w:rFonts w:ascii="Book Antiqua" w:hAnsi="Book Antiqua" w:cs="Calibri"/>
          <w:sz w:val="24"/>
          <w:szCs w:val="24"/>
          <w:lang w:val="en-US"/>
        </w:rPr>
        <w:t xml:space="preserve">. </w:t>
      </w:r>
      <w:r w:rsidRPr="003D034F">
        <w:rPr>
          <w:rFonts w:ascii="Book Antiqua" w:hAnsi="Book Antiqua" w:cs="Calibri"/>
          <w:sz w:val="24"/>
          <w:szCs w:val="24"/>
          <w:lang w:val="en-US"/>
        </w:rPr>
        <w:t>The granulomas are focal and are located in the deep submucosal and muscle, which could affect their identification</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"10.1002/ibd.3780030203", "ISSN" : "10780998", "PMID" : "23282748", "author" : [ { "dropping-particle" : "", "family" : "Weinstein", "given" : "Toba", "non-dropping-particle" : "", "parse-names" : false, "suffix" : "" }, { "dropping-particle" : "", "family" : "Valderrama", "given" : "Elsa", "non-dropping-particle" : "", "parse-names" : false, "suffix" : "" }, { "dropping-particle" : "", "family" : "Pettei", "given" : "Michael", "non-dropping-particle" : "", "parse-names" : false, "suffix" : "" }, { "dropping-particle" : "", "family" : "Levine", "given" : "Jeremiah", "non-dropping-particle" : "", "parse-names" : false, "suffix" : "" } ], "container-title" : "Inflammatory Bowel Diseases", "id" : "ITEM-1", "issue" : "2", "issued" : { "date-parts" : [ [ "1997" ] ] }, "page" : "79-83", "title" : "Esophageal Crohn's disease: Medical management and correlation between clinical, endoscopic, and histologic features", "type" : "article-journal", "volume" : "3" }, "uris" : [ "http://www.mendeley.com/documents/?uuid=02cbffa7-93b4-4b60-b780-531e35a2cb0c" ] } ], "mendeley" : { "formattedCitation" : "&lt;sup&gt;[43]&lt;/sup&gt;", "plainTextFormattedCitation" : "[43]", "previouslyFormattedCitation" : "&lt;sup&gt;[43]&lt;/sup&gt;"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[43]</w:t>
      </w:r>
      <w:r w:rsidR="00056AC0" w:rsidRPr="003D034F">
        <w:rPr>
          <w:rFonts w:ascii="Book Antiqua" w:hAnsi="Book Antiqua" w:cs="Calibri"/>
          <w:sz w:val="24"/>
          <w:szCs w:val="24"/>
          <w:lang w:val="en-US"/>
        </w:rPr>
        <w:fldChar w:fldCharType="end"/>
      </w:r>
      <w:r w:rsidR="00B21A03" w:rsidRPr="003D034F">
        <w:rPr>
          <w:rFonts w:ascii="Book Antiqua" w:hAnsi="Book Antiqua" w:cs="Calibri"/>
          <w:sz w:val="24"/>
          <w:szCs w:val="24"/>
          <w:lang w:val="en-US"/>
        </w:rPr>
        <w:t>.</w:t>
      </w:r>
      <w:r w:rsidR="00E33402" w:rsidRPr="003D034F">
        <w:rPr>
          <w:rFonts w:ascii="Book Antiqua" w:hAnsi="Book Antiqua" w:cs="Calibri"/>
          <w:sz w:val="24"/>
          <w:szCs w:val="24"/>
          <w:lang w:val="en-US"/>
        </w:rPr>
        <w:t xml:space="preserve"> </w:t>
      </w:r>
      <w:proofErr w:type="spellStart"/>
      <w:r w:rsidR="00AE6216" w:rsidRPr="003D034F">
        <w:rPr>
          <w:rFonts w:ascii="Book Antiqua" w:hAnsi="Book Antiqua" w:cs="Calibri"/>
          <w:sz w:val="24"/>
          <w:szCs w:val="24"/>
          <w:lang w:val="en-US"/>
        </w:rPr>
        <w:t>D</w:t>
      </w:r>
      <w:r w:rsidR="00AE6216" w:rsidRPr="003D034F">
        <w:rPr>
          <w:rFonts w:ascii="Book Antiqua" w:hAnsi="Book Antiqua" w:cs="Calibri"/>
          <w:sz w:val="24"/>
          <w:szCs w:val="24"/>
          <w:lang w:val="en-US" w:eastAsia="zh-CN"/>
        </w:rPr>
        <w:t>’</w:t>
      </w:r>
      <w:r w:rsidR="00AE6216" w:rsidRPr="003D034F">
        <w:rPr>
          <w:rFonts w:ascii="Book Antiqua" w:hAnsi="Book Antiqua" w:cs="Calibri"/>
          <w:sz w:val="24"/>
          <w:szCs w:val="24"/>
          <w:lang w:val="en-US"/>
        </w:rPr>
        <w:t>Haens</w:t>
      </w:r>
      <w:proofErr w:type="spellEnd"/>
      <w:r w:rsidR="00AE6216" w:rsidRPr="003D034F">
        <w:rPr>
          <w:rFonts w:ascii="Book Antiqua" w:hAnsi="Book Antiqua" w:cs="Calibri"/>
          <w:sz w:val="24"/>
          <w:szCs w:val="24"/>
          <w:lang w:val="en-US"/>
        </w:rPr>
        <w:t xml:space="preserve"> </w:t>
      </w:r>
      <w:r w:rsidR="00AE6216" w:rsidRPr="003D034F">
        <w:rPr>
          <w:rFonts w:ascii="Book Antiqua" w:hAnsi="Book Antiqua" w:cs="Calibri"/>
          <w:i/>
          <w:sz w:val="24"/>
          <w:szCs w:val="24"/>
          <w:lang w:val="en-US"/>
        </w:rPr>
        <w:t>et al</w:t>
      </w:r>
      <w:r w:rsidR="00AE6216" w:rsidRPr="003D034F">
        <w:rPr>
          <w:rFonts w:ascii="Book Antiqua" w:hAnsi="Book Antiqua" w:cs="Calibri"/>
          <w:sz w:val="24"/>
          <w:szCs w:val="24"/>
          <w:lang w:val="en-US"/>
        </w:rPr>
        <w:fldChar w:fldCharType="begin" w:fldLock="1"/>
      </w:r>
      <w:r w:rsidR="00AE6216" w:rsidRPr="003D034F">
        <w:rPr>
          <w:rFonts w:ascii="Book Antiqua" w:hAnsi="Book Antiqua" w:cs="Calibri"/>
          <w:sz w:val="24"/>
          <w:szCs w:val="24"/>
          <w:lang w:val="en-US"/>
        </w:rPr>
        <w:instrText>ADDIN CSL_CITATION { "citationItems" : [ { "id" : "ITEM-1", "itemData" : { "DOI" : "10.1016/S0016-5107(94)70059-1", "ISSN" : "0016-5107", "PMID" : "8056231", "abstract" : "We carried out a clinical and endoscopic follow-up study of 14 patients with Crohn's disease of the esophagus. The diagnosis was based on the combination of endoscopic and histologic examinations with exclusion of all other possible causes. All patients had other gastrointestinal localizations of Crohn's disease, including oral and anal disease, and the majority also had serious extra-intestinal manifestations. Complete healing of the lesions was accomplished with corticosteroids in 9/14 patients after 2 to 4 weeks. During a total follow-up of 83 years for the 14 patients, 26 \"flare-ups\" of intestinal and systemic symptoms having a Crohn's disease activity index greater than 200 were diagnosed, on which occasions UGI endoscopy was performed before adjusting therapy. Three patterns of evolution could be distinguished: (1) in eight patients (total 17 flare-ups), neither endoscopic esophageal lesions nor UGI symptoms were apparent during follow-up. (2) Three patients (1 flare-up each) had persistent lesions despite corticosteroid therapy. (3) Three patients (6 flare-ups, 2 each) had relapse of both symptoms and esophageal lesions on each endoscopy, although these lesions had completely disappeared initially.", "author" : [ { "dropping-particle" : "", "family" : "D'Haens", "given" : "G.", "non-dropping-particle" : "", "parse-names" : false, "suffix" : "" }, { "dropping-particle" : "", "family" : "Rutgeerts", "given" : "P.", "non-dropping-particle" : "", "parse-names" : false, "suffix" : "" }, { "dropping-particle" : "", "family" : "Geboes", "given" : "K.", "non-dropping-particle" : "", "parse-names" : false, "suffix" : "" }, { "dropping-particle" : "", "family" : "Vantrappen", "given" : "G.", "non-dropping-particle" : "", "parse-names" : false, "suffix" : "" } ], "container-title" : "Gastrointestinal Endoscopy", "id" : "ITEM-1", "issue" : "3", "issued" : { "date-parts" : [ [ "1994" ] ] }, "page" : "296-300", "title" : "The natural history of esophageal Crohn's disease: three patterns of evolution", "type" : "article-journal", "volume" : "40" }, "uris" : [ "http://www.mendeley.com/documents/?uuid=fe1c378f-7030-4a44-9f31-1e6f0f85a3ee" ] } ], "mendeley" : { "formattedCitation" : "&lt;sup&gt;[41]&lt;/sup&gt;", "plainTextFormattedCitation" : "[41]", "previouslyFormattedCitation" : "&lt;sup&gt;[41]&lt;/sup&gt;" }, "properties" : {  }, "schema" : "https://github.com/citation-style-language/schema/raw/master/csl-citation.json" }</w:instrText>
      </w:r>
      <w:r w:rsidR="00AE6216" w:rsidRPr="003D034F">
        <w:rPr>
          <w:rFonts w:ascii="Book Antiqua" w:hAnsi="Book Antiqua" w:cs="Calibri"/>
          <w:sz w:val="24"/>
          <w:szCs w:val="24"/>
          <w:lang w:val="en-US"/>
        </w:rPr>
        <w:fldChar w:fldCharType="separate"/>
      </w:r>
      <w:r w:rsidR="00AE6216" w:rsidRPr="003D034F">
        <w:rPr>
          <w:rFonts w:ascii="Book Antiqua" w:hAnsi="Book Antiqua" w:cs="Calibri"/>
          <w:sz w:val="24"/>
          <w:szCs w:val="24"/>
          <w:vertAlign w:val="superscript"/>
          <w:lang w:val="en-US"/>
        </w:rPr>
        <w:t>[41]</w:t>
      </w:r>
      <w:r w:rsidR="00AE6216" w:rsidRPr="003D034F">
        <w:rPr>
          <w:rFonts w:ascii="Book Antiqua" w:hAnsi="Book Antiqua" w:cs="Calibri"/>
          <w:sz w:val="24"/>
          <w:szCs w:val="24"/>
          <w:lang w:val="en-US"/>
        </w:rPr>
        <w:fldChar w:fldCharType="end"/>
      </w:r>
      <w:r w:rsidRPr="003D034F">
        <w:rPr>
          <w:rFonts w:ascii="Book Antiqua" w:hAnsi="Book Antiqua" w:cs="Calibri"/>
          <w:sz w:val="24"/>
          <w:szCs w:val="24"/>
          <w:lang w:val="en-US"/>
        </w:rPr>
        <w:t>, in a series of cases, demonstrated esophageal granulomas in 57% of patients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"10.1016/S0016-5107(94)70059-1", "ISSN" : "0016-5107", "PMID" : "8056231", "abstract" : "We carried out a clinical and endoscopic follow-up study of 14 patients with Crohn's disease of the esophagus. The diagnosis was based on the combination of endoscopic and histologic examinations with exclusion of all other possible causes. All patients had other gastrointestinal localizations of Crohn's disease, including oral and anal disease, and the majority also had serious extra-intestinal manifestations. Complete healing of the lesions was accomplished with corticosteroids in 9/14 patients after 2 to 4 weeks. During a total follow-up of 83 years for the 14 patients, 26 \"flare-ups\" of intestinal and systemic symptoms having a Crohn's disease activity index greater than 200 were diagnosed, on which occasions UGI endoscopy was performed before adjusting therapy. Three patterns of evolution could be distinguished: (1) in eight patients (total 17 flare-ups), neither endoscopic esophageal lesions nor UGI symptoms were apparent during follow-up. (2) Three patients (1 flare-up each) had persistent lesions despite corticosteroid therapy. (3) Three patients (6 flare-ups, 2 each) had relapse of both symptoms and esophageal lesions on each endoscopy, although these lesions had completely disappeared initially.", "author" : [ { "dropping-particle" : "", "family" : "D'Haens", "given" : "G.", "non-dropping-particle" : "", "parse-names" : false, "suffix" : "" }, { "dropping-particle" : "", "family" : "Rutgeerts", "given" : "P.", "non-dropping-particle" : "", "parse-names" : false, "suffix" : "" }, { "dropping-particle" : "", "family" : "Geboes", "given" : "K.", "non-dropping-particle" : "", "parse-names" : false, "suffix" : "" }, { "dropping-particle" : "", "family" : "Vantrappen", "given" : "G.", "non-dropping-particle" : "", "parse-names" : false, "suffix" : "" } ], "container-title" : "Gastrointestinal Endoscopy", "id" : "ITEM-1", "issue" : "3", "issued" : { "date-parts" : [ [ "1994" ] ] }, "page" : "296-300", "title" : "The natural history of esophageal Crohn's disease: three patterns of evolution", "type" : "article-journal", "volume" : "40" }, "uris" : [ "http://www.mendeley.com/documents/?uuid=fe1c378f-7030-4a44-9f31-1e6f0f85a3ee" ] } ], "mendeley" : { "formattedCitation" : "&lt;sup&gt;[41]&lt;/sup&gt;", "plainTextFormattedCitation" : "[41]", "previouslyFormattedCitation" : "&lt;sup&gt;[41]&lt;/sup&gt;"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[41]</w:t>
      </w:r>
      <w:r w:rsidR="00056AC0" w:rsidRPr="003D034F">
        <w:rPr>
          <w:rFonts w:ascii="Book Antiqua" w:hAnsi="Book Antiqua" w:cs="Calibri"/>
          <w:sz w:val="24"/>
          <w:szCs w:val="24"/>
          <w:lang w:val="en-US"/>
        </w:rPr>
        <w:fldChar w:fldCharType="end"/>
      </w:r>
      <w:r w:rsidR="00CD468C" w:rsidRPr="003D034F">
        <w:rPr>
          <w:rFonts w:ascii="Book Antiqua" w:hAnsi="Book Antiqua" w:cs="Calibri"/>
          <w:sz w:val="24"/>
          <w:szCs w:val="24"/>
          <w:lang w:val="en-US"/>
        </w:rPr>
        <w:t>.</w:t>
      </w:r>
      <w:r w:rsidR="007459A2" w:rsidRPr="003D034F">
        <w:rPr>
          <w:rFonts w:ascii="Book Antiqua" w:hAnsi="Book Antiqua" w:cs="Calibri"/>
          <w:sz w:val="24"/>
          <w:szCs w:val="24"/>
          <w:lang w:val="en-US"/>
        </w:rPr>
        <w:t xml:space="preserve"> </w:t>
      </w:r>
      <w:r w:rsidR="00E306B6" w:rsidRPr="003D034F">
        <w:rPr>
          <w:rFonts w:ascii="Book Antiqua" w:hAnsi="Book Antiqua" w:cs="Calibri"/>
          <w:sz w:val="24"/>
          <w:szCs w:val="24"/>
          <w:lang w:val="en-US"/>
        </w:rPr>
        <w:t xml:space="preserve">However, this prevalence was different in the studies by Decker </w:t>
      </w:r>
      <w:r w:rsidR="00AC0CB3" w:rsidRPr="003D034F">
        <w:rPr>
          <w:rFonts w:ascii="Book Antiqua" w:hAnsi="Book Antiqua" w:cs="Calibri"/>
          <w:i/>
          <w:sz w:val="24"/>
          <w:szCs w:val="24"/>
          <w:lang w:val="en-US"/>
        </w:rPr>
        <w:t>et al</w:t>
      </w:r>
      <w:r w:rsidR="00AC0CB3" w:rsidRPr="003D034F">
        <w:rPr>
          <w:rFonts w:ascii="Book Antiqua" w:hAnsi="Book Antiqua" w:cs="Calibri"/>
          <w:sz w:val="24"/>
          <w:szCs w:val="24"/>
          <w:lang w:val="en-US"/>
        </w:rPr>
        <w:fldChar w:fldCharType="begin" w:fldLock="1"/>
      </w:r>
      <w:r w:rsidR="00AC0CB3" w:rsidRPr="003D034F">
        <w:rPr>
          <w:rFonts w:ascii="Book Antiqua" w:hAnsi="Book Antiqua" w:cs="Calibri"/>
          <w:sz w:val="24"/>
          <w:szCs w:val="24"/>
          <w:lang w:val="en-US"/>
        </w:rPr>
        <w:instrText>ADDIN CSL_CITATION { "citationItems" : [ { "id" : "ITEM-1", "itemData" : { "DOI" : "10.1097/00054725-200105000-00006", "ISBN" : "1078-0998 (Print)\\r1078-0998", "ISSN" : "1078-0998", "PMID" : "11383583", "abstract" : "OBJECTIVES: Crohn's disease of the esophagus is rare. We sought to determine the clinical features and outcome of patients with esophageal Crohn's disease seen at our institution. METHODS: Patients with esophageal Crohn's disease evaluated at Mayo Clinic Rochester between 1976 and 1998 were identified. RESULTS: Twenty patients (0.2%) with esophageal involvement were identified. Median age at diagnosis was 31 years (range, 7-77 years). Eleven patients (55%) were female. Extraesophageal Crohn's disease preceded or was found at the same time as the diagnosis of esophageal Crohn's in all cases. Sixteen patients (80%) had symptoms referable to the esophagus. Endoscopic findings included ulcers in 17 (85%), erythema or erosions in 8 (40%), and strictures in 4 patients (20%). One patient had a fistula. The most common histological findings were active chronic inflammation (75%) and ulcer (30%). No granulomata were identified. Approximately one-half of our patients improved with first-line therapy. Eleven patients (55%) received immune modifier therapy. Six showed significant improvement on azathioprine, 6-mercaptopurine, or cyclosporine. Esophageal dilatation was required in six patients, and three patients required surgery. CONCLUSION: Esophageal Crohn's disease may be underdiagnosed. Patients with Crohn's disease complaining of esophageal symptoms should undergo upper endoscopy with biopsies, and the diagnosis of esophageal Crohn's disease should be entertained if aphthous or deep ulcers or strictures are present. Immune modifier therapy should be considered for steroid-dependent and steroid-resistant cases.", "author" : [ { "dropping-particle" : "", "family" : "Decker", "given" : "G. Antom G", "non-dropping-particle" : "", "parse-names" : false, "suffix" : "" }, { "dropping-particle" : "V", "family" : "Loftus", "given" : "Edward", "non-dropping-particle" : "", "parse-names" : false, "suffix" : "" }, { "dropping-particle" : "", "family" : "Pasha", "given" : "Tousif M", "non-dropping-particle" : "", "parse-names" : false, "suffix" : "" }, { "dropping-particle" : "", "family" : "Tremaine", "given" : "William J", "non-dropping-particle" : "", "parse-names" : false, "suffix" : "" }, { "dropping-particle" : "", "family" : "Sandborn", "given" : "Willian J", "non-dropping-particle" : "", "parse-names" : false, "suffix" : "" } ], "container-title" : "Inflammatory bowel diseases", "id" : "ITEM-1", "issue" : "2", "issued" : { "date-parts" : [ [ "2001" ] ] }, "page" : "113-119", "title" : "Crohn's disease of the esophagus: clinical features and outcomes.", "type" : "article-journal", "volume" : "7" }, "uris" : [ "http://www.mendeley.com/documents/?uuid=52a431b2-26c5-49eb-aa57-f5d19178f466" ] } ], "mendeley" : { "formattedCitation" : "&lt;sup&gt;[30]&lt;/sup&gt;", "plainTextFormattedCitation" : "[30]", "previouslyFormattedCitation" : "&lt;sup&gt;[30]&lt;/sup&gt;" }, "properties" : {  }, "schema" : "https://github.com/citation-style-language/schema/raw/master/csl-citation.json" }</w:instrText>
      </w:r>
      <w:r w:rsidR="00AC0CB3" w:rsidRPr="003D034F">
        <w:rPr>
          <w:rFonts w:ascii="Book Antiqua" w:hAnsi="Book Antiqua" w:cs="Calibri"/>
          <w:sz w:val="24"/>
          <w:szCs w:val="24"/>
          <w:lang w:val="en-US"/>
        </w:rPr>
        <w:fldChar w:fldCharType="separate"/>
      </w:r>
      <w:r w:rsidR="00AC0CB3" w:rsidRPr="003D034F">
        <w:rPr>
          <w:rFonts w:ascii="Book Antiqua" w:hAnsi="Book Antiqua" w:cs="Calibri"/>
          <w:sz w:val="24"/>
          <w:szCs w:val="24"/>
          <w:vertAlign w:val="superscript"/>
          <w:lang w:val="en-US"/>
        </w:rPr>
        <w:t>[30]</w:t>
      </w:r>
      <w:r w:rsidR="00AC0CB3" w:rsidRPr="003D034F">
        <w:rPr>
          <w:rFonts w:ascii="Book Antiqua" w:hAnsi="Book Antiqua" w:cs="Calibri"/>
          <w:sz w:val="24"/>
          <w:szCs w:val="24"/>
          <w:lang w:val="en-US"/>
        </w:rPr>
        <w:fldChar w:fldCharType="end"/>
      </w:r>
      <w:r w:rsidR="00E306B6" w:rsidRPr="003D034F">
        <w:rPr>
          <w:rFonts w:ascii="Book Antiqua" w:hAnsi="Book Antiqua" w:cs="Calibri"/>
          <w:sz w:val="24"/>
          <w:szCs w:val="24"/>
          <w:lang w:val="en-US"/>
        </w:rPr>
        <w:t xml:space="preserve"> and </w:t>
      </w:r>
      <w:r w:rsidR="00AE6216" w:rsidRPr="003D034F">
        <w:rPr>
          <w:rFonts w:ascii="Book Antiqua" w:hAnsi="Book Antiqua" w:cs="Calibri"/>
          <w:sz w:val="24"/>
          <w:szCs w:val="24"/>
          <w:lang w:val="en-US"/>
        </w:rPr>
        <w:t xml:space="preserve">De Felice </w:t>
      </w:r>
      <w:r w:rsidR="00AE6216" w:rsidRPr="003D034F">
        <w:rPr>
          <w:rFonts w:ascii="Book Antiqua" w:hAnsi="Book Antiqua" w:cs="Calibri"/>
          <w:i/>
          <w:sz w:val="24"/>
          <w:szCs w:val="24"/>
          <w:lang w:val="en-US"/>
        </w:rPr>
        <w:t>et al</w:t>
      </w:r>
      <w:r w:rsidR="00AE6216" w:rsidRPr="003D034F">
        <w:rPr>
          <w:rFonts w:ascii="Book Antiqua" w:hAnsi="Book Antiqua" w:cs="Calibri"/>
          <w:sz w:val="24"/>
          <w:szCs w:val="24"/>
          <w:lang w:val="en-US"/>
        </w:rPr>
        <w:fldChar w:fldCharType="begin" w:fldLock="1"/>
      </w:r>
      <w:r w:rsidR="00AE6216" w:rsidRPr="003D034F">
        <w:rPr>
          <w:rFonts w:ascii="Book Antiqua" w:hAnsi="Book Antiqua" w:cs="Calibri"/>
          <w:sz w:val="24"/>
          <w:szCs w:val="24"/>
          <w:lang w:val="en-US"/>
        </w:rPr>
        <w:instrText>ADDIN CSL_CITATION { "citationItems" : [ { "id" : "ITEM-1", "itemData" : { "DOI" : "10.1097/MIB.0000000000000469", "ISBN" : "1078-0998", "ISSN" : "15364844", "PMID" : "26083616", "abstract" : "Background: Esophageal Crohn's disease (CD) is challenging and often a disabling phenotype of disease. We aimed to report the clinical, endoscopic, histologic features, and treatment outcomes of esophageal patients with CD. Methods: Esophageal patients with CD evaluated at the Mayo Clinic in Rochester, MN, between January, 1998, and December, 2012, were identified. Results: Twenty-four cases of esophageal CD were identified. The median age of diagnosis was 23 years (range, 12-60). Twenty-one patients (88%) had extraesophageal CD and 8 patients (33%) had oral ulcers at the time of esophageal CD symptom onset. The majority of patients had esophageal-specific symptoms. Mid (29%) or distal (29%) esophagus was the most common site of involvement. Inflammatory esophageal CD (75%) was marked by superficial ulcerations (58%), erythema and/or erosions (50%), deep ulcerations (13%), and pseudopolyps (4%) on endoscopy. Four patients (17%) were found to have esophageal strictures and 2 patients (8%) had fistulizing disease. Chronic inflammation (83%) was seen on biopsy in the majority of cases with 5 patients having associated granulomas. In our series, inflammatory esophageal CD responded to prednisone, topical budesonide, or biologics. Stricturing esophageal CD was successfully treated with a combination of biologic therapy, immunomodulators, and serial dilations with/without steroid injections. Aggressive medical therapy with biologics and endoscopic therapy was used for fistulizing esophageal CD, however, was not universally effective. Conclusions: Esophageal CD should be considered in all patients with CD with upper gastrointestinal symptoms. Early recognition, diagnosis, and aggressive medical and/or endoscopic treatment are needed for successful outcomes. Copyright Ac 2015 Crohn's &amp; Colitis Foundation of America, Inc", "author" : [ { "dropping-particle" : "", "family" : "Felice", "given" : "Kara M.", "non-dropping-particle" : "De", "parse-names" : false, "suffix" : "" }, { "dropping-particle" : "", "family" : "Katzka", "given" : "David A.", "non-dropping-particle" : "", "parse-names" : false, "suffix" : "" }, { "dropping-particle" : "", "family" : "Raffals", "given" : "Laura E.", "non-dropping-particle" : "", "parse-names" : false, "suffix" : "" } ], "container-title" : "Inflammatory Bowel Diseases", "id" : "ITEM-1", "issue" : "9", "issued" : { "date-parts" : [ [ "2015" ] ] }, "page" : "2106-2113", "title" : "Crohn's disease of the esophagus: Clinical features and treatment outcomes in the biologic era", "type" : "article-journal", "volume" : "21" }, "uris" : [ "http://www.mendeley.com/documents/?uuid=722c966f-57c3-45c1-a9f3-5c4adfb8739e" ] } ], "mendeley" : { "formattedCitation" : "&lt;sup&gt;[29]&lt;/sup&gt;", "plainTextFormattedCitation" : "[29]", "previouslyFormattedCitation" : "&lt;sup&gt;[29]&lt;/sup&gt;" }, "properties" : {  }, "schema" : "https://github.com/citation-style-language/schema/raw/master/csl-citation.json" }</w:instrText>
      </w:r>
      <w:r w:rsidR="00AE6216" w:rsidRPr="003D034F">
        <w:rPr>
          <w:rFonts w:ascii="Book Antiqua" w:hAnsi="Book Antiqua" w:cs="Calibri"/>
          <w:sz w:val="24"/>
          <w:szCs w:val="24"/>
          <w:lang w:val="en-US"/>
        </w:rPr>
        <w:fldChar w:fldCharType="separate"/>
      </w:r>
      <w:r w:rsidR="00AE6216" w:rsidRPr="003D034F">
        <w:rPr>
          <w:rFonts w:ascii="Book Antiqua" w:hAnsi="Book Antiqua" w:cs="Calibri"/>
          <w:sz w:val="24"/>
          <w:szCs w:val="24"/>
          <w:vertAlign w:val="superscript"/>
          <w:lang w:val="en-US"/>
        </w:rPr>
        <w:t>[29]</w:t>
      </w:r>
      <w:r w:rsidR="00AE6216" w:rsidRPr="003D034F">
        <w:rPr>
          <w:rFonts w:ascii="Book Antiqua" w:hAnsi="Book Antiqua" w:cs="Calibri"/>
          <w:sz w:val="24"/>
          <w:szCs w:val="24"/>
          <w:lang w:val="en-US"/>
        </w:rPr>
        <w:fldChar w:fldCharType="end"/>
      </w:r>
      <w:r w:rsidR="00E306B6" w:rsidRPr="003D034F">
        <w:rPr>
          <w:rFonts w:ascii="Book Antiqua" w:hAnsi="Book Antiqua" w:cs="Calibri"/>
          <w:sz w:val="24"/>
          <w:szCs w:val="24"/>
          <w:lang w:val="en-US"/>
        </w:rPr>
        <w:t>, who found 0% and 21.7%, respectively</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"10.1097/MIB.0000000000000469", "ISBN" : "1078-0998", "ISSN" : "15364844", "PMID" : "26083616", "abstract" : "Background: Esophageal Crohn's disease (CD) is challenging and often a disabling phenotype of disease. We aimed to report the clinical, endoscopic, histologic features, and treatment outcomes of esophageal patients with CD. Methods: Esophageal patients with CD evaluated at the Mayo Clinic in Rochester, MN, between January, 1998, and December, 2012, were identified. Results: Twenty-four cases of esophageal CD were identified. The median age of diagnosis was 23 years (range, 12-60). Twenty-one patients (88%) had extraesophageal CD and 8 patients (33%) had oral ulcers at the time of esophageal CD symptom onset. The majority of patients had esophageal-specific symptoms. Mid (29%) or distal (29%) esophagus was the most common site of involvement. Inflammatory esophageal CD (75%) was marked by superficial ulcerations (58%), erythema and/or erosions (50%), deep ulcerations (13%), and pseudopolyps (4%) on endoscopy. Four patients (17%) were found to have esophageal strictures and 2 patients (8%) had fistulizing disease. Chronic inflammation (83%) was seen on biopsy in the majority of cases with 5 patients having associated granulomas. In our series, inflammatory esophageal CD responded to prednisone, topical budesonide, or biologics. Stricturing esophageal CD was successfully treated with a combination of biologic therapy, immunomodulators, and serial dilations with/without steroid injections. Aggressive medical therapy with biologics and endoscopic therapy was used for fistulizing esophageal CD, however, was not universally effective. Conclusions: Esophageal CD should be considered in all patients with CD with upper gastrointestinal symptoms. Early recognition, diagnosis, and aggressive medical and/or endoscopic treatment are needed for successful outcomes. Copyright Ac 2015 Crohn's &amp; Colitis Foundation of America, Inc", "author" : [ { "dropping-particle" : "", "family" : "Felice", "given" : "Kara M.", "non-dropping-particle" : "De", "parse-names" : false, "suffix" : "" }, { "dropping-particle" : "", "family" : "Katzka", "given" : "David A.", "non-dropping-particle" : "", "parse-names" : false, "suffix" : "" }, { "dropping-particle" : "", "family" : "Raffals", "given" : "Laura E.", "non-dropping-particle" : "", "parse-names" : false, "suffix" : "" } ], "container-title" : "Inflammatory Bowel Diseases", "id" : "ITEM-1", "issue" : "9", "issued" : { "date-parts" : [ [ "2015" ] ] }, "page" : "2106-2113", "title" : "Crohn's disease of the esophagus: Clinical features and treatment outcomes in the biologic era", "type" : "article-journal", "volume" : "21" }, "uris" : [ "http://www.mendeley.com/documents/?uuid=722c966f-57c3-45c1-a9f3-5c4adfb8739e" ] } ], "mendeley" : { "formattedCitation" : "&lt;sup&gt;[29]&lt;/sup&gt;", "plainTextFormattedCitation" : "[29]", "previouslyFormattedCitation" : "&lt;sup&gt;[29]&lt;/sup&gt;"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[29</w:t>
      </w:r>
      <w:r w:rsidR="00AE6216" w:rsidRPr="003D034F">
        <w:rPr>
          <w:rFonts w:ascii="Book Antiqua" w:hAnsi="Book Antiqua" w:cs="Calibri"/>
          <w:sz w:val="24"/>
          <w:szCs w:val="24"/>
          <w:vertAlign w:val="superscript"/>
          <w:lang w:val="en-US" w:eastAsia="zh-CN"/>
        </w:rPr>
        <w:t>,30</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BE1C30" w:rsidRPr="003D034F">
        <w:rPr>
          <w:rFonts w:ascii="Book Antiqua" w:hAnsi="Book Antiqua" w:cs="Calibri"/>
          <w:sz w:val="24"/>
          <w:szCs w:val="24"/>
          <w:lang w:val="en-US"/>
        </w:rPr>
        <w:t xml:space="preserve">. </w:t>
      </w:r>
    </w:p>
    <w:p w:rsidR="0021020A" w:rsidRPr="003D034F" w:rsidRDefault="0021020A" w:rsidP="003D034F">
      <w:pPr>
        <w:spacing w:after="0" w:line="360" w:lineRule="auto"/>
        <w:jc w:val="both"/>
        <w:rPr>
          <w:rFonts w:ascii="Book Antiqua" w:hAnsi="Book Antiqua" w:cs="Calibri"/>
          <w:i/>
          <w:sz w:val="24"/>
          <w:szCs w:val="24"/>
          <w:lang w:val="en-US"/>
        </w:rPr>
      </w:pPr>
    </w:p>
    <w:p w:rsidR="00E306B6" w:rsidRPr="003D034F" w:rsidRDefault="00AE6216" w:rsidP="003D034F">
      <w:pPr>
        <w:spacing w:after="0" w:line="360" w:lineRule="auto"/>
        <w:jc w:val="both"/>
        <w:rPr>
          <w:rFonts w:ascii="Book Antiqua" w:hAnsi="Book Antiqua" w:cs="Calibri"/>
          <w:b/>
          <w:i/>
          <w:sz w:val="24"/>
          <w:szCs w:val="24"/>
          <w:lang w:val="en-US"/>
        </w:rPr>
      </w:pPr>
      <w:r w:rsidRPr="003D034F">
        <w:rPr>
          <w:rFonts w:ascii="Book Antiqua" w:hAnsi="Book Antiqua" w:cs="Calibri"/>
          <w:b/>
          <w:i/>
          <w:sz w:val="24"/>
          <w:szCs w:val="24"/>
          <w:lang w:val="en-US"/>
        </w:rPr>
        <w:t>Differential diagnosis</w:t>
      </w:r>
    </w:p>
    <w:p w:rsidR="006E5C7A" w:rsidRPr="003D034F" w:rsidRDefault="00D90591" w:rsidP="003D034F">
      <w:pPr>
        <w:spacing w:after="0" w:line="360" w:lineRule="auto"/>
        <w:jc w:val="both"/>
        <w:rPr>
          <w:rFonts w:ascii="Book Antiqua" w:hAnsi="Book Antiqua" w:cs="Calibri"/>
          <w:sz w:val="24"/>
          <w:szCs w:val="24"/>
          <w:lang w:val="en-US"/>
        </w:rPr>
      </w:pPr>
      <w:r w:rsidRPr="003D034F">
        <w:rPr>
          <w:rFonts w:ascii="Book Antiqua" w:hAnsi="Book Antiqua" w:cs="Calibri"/>
          <w:sz w:val="24"/>
          <w:szCs w:val="24"/>
          <w:lang w:val="en-US"/>
        </w:rPr>
        <w:t>It is important to pay attention to other conditions that may involve the esophagus</w:t>
      </w:r>
      <w:r w:rsidR="00892905" w:rsidRPr="003D034F">
        <w:rPr>
          <w:rFonts w:ascii="Book Antiqua" w:hAnsi="Book Antiqua" w:cs="Calibri"/>
          <w:sz w:val="24"/>
          <w:szCs w:val="24"/>
          <w:lang w:val="en-US"/>
        </w:rPr>
        <w:t>,</w:t>
      </w:r>
      <w:r w:rsidRPr="003D034F">
        <w:rPr>
          <w:rFonts w:ascii="Book Antiqua" w:hAnsi="Book Antiqua" w:cs="Calibri"/>
          <w:sz w:val="24"/>
          <w:szCs w:val="24"/>
          <w:lang w:val="en-US"/>
        </w:rPr>
        <w:t xml:space="preserve"> such as viral esophagitis (cytomegalovirus, </w:t>
      </w:r>
      <w:r w:rsidR="00892905" w:rsidRPr="003D034F">
        <w:rPr>
          <w:rFonts w:ascii="Book Antiqua" w:hAnsi="Book Antiqua" w:cs="Calibri"/>
          <w:sz w:val="24"/>
          <w:szCs w:val="24"/>
          <w:lang w:val="en-US"/>
        </w:rPr>
        <w:t>h</w:t>
      </w:r>
      <w:r w:rsidRPr="003D034F">
        <w:rPr>
          <w:rFonts w:ascii="Book Antiqua" w:hAnsi="Book Antiqua" w:cs="Calibri"/>
          <w:sz w:val="24"/>
          <w:szCs w:val="24"/>
          <w:lang w:val="en-US"/>
        </w:rPr>
        <w:t xml:space="preserve">erpesvirus, </w:t>
      </w:r>
      <w:r w:rsidR="00AE6216" w:rsidRPr="003D034F">
        <w:rPr>
          <w:rFonts w:ascii="Book Antiqua" w:hAnsi="Book Antiqua" w:cs="Calibri"/>
          <w:sz w:val="24"/>
          <w:szCs w:val="24"/>
          <w:lang w:val="en-US"/>
        </w:rPr>
        <w:t>human immunodeficiency virus</w:t>
      </w:r>
      <w:r w:rsidRPr="003D034F">
        <w:rPr>
          <w:rFonts w:ascii="Book Antiqua" w:hAnsi="Book Antiqua" w:cs="Calibri"/>
          <w:sz w:val="24"/>
          <w:szCs w:val="24"/>
          <w:lang w:val="en-US"/>
        </w:rPr>
        <w:t xml:space="preserve">), sarcoidosis, tuberculosis, reflux esophagitis, pill esophagitis, eosinophilic esophagitis, disseminated fungal disease, syphilis, </w:t>
      </w:r>
      <w:proofErr w:type="spellStart"/>
      <w:r w:rsidRPr="003D034F">
        <w:rPr>
          <w:rFonts w:ascii="Book Antiqua" w:hAnsi="Book Antiqua" w:cs="Calibri"/>
          <w:sz w:val="24"/>
          <w:szCs w:val="24"/>
          <w:lang w:val="en-US"/>
        </w:rPr>
        <w:t>Behçet</w:t>
      </w:r>
      <w:r w:rsidR="00AE6216" w:rsidRPr="003D034F">
        <w:rPr>
          <w:rFonts w:ascii="Book Antiqua" w:hAnsi="Book Antiqua" w:cs="Calibri"/>
          <w:sz w:val="24"/>
          <w:szCs w:val="24"/>
          <w:lang w:val="en-US" w:eastAsia="zh-CN"/>
        </w:rPr>
        <w:t>’</w:t>
      </w:r>
      <w:r w:rsidRPr="003D034F">
        <w:rPr>
          <w:rFonts w:ascii="Book Antiqua" w:hAnsi="Book Antiqua" w:cs="Calibri"/>
          <w:sz w:val="24"/>
          <w:szCs w:val="24"/>
          <w:lang w:val="en-US"/>
        </w:rPr>
        <w:t>s</w:t>
      </w:r>
      <w:proofErr w:type="spellEnd"/>
      <w:r w:rsidRPr="003D034F">
        <w:rPr>
          <w:rFonts w:ascii="Book Antiqua" w:hAnsi="Book Antiqua" w:cs="Calibri"/>
          <w:sz w:val="24"/>
          <w:szCs w:val="24"/>
          <w:lang w:val="en-US"/>
        </w:rPr>
        <w:t xml:space="preserve"> disease, carcinoma, lymphoma, metastasis of melanoma or lung cancer, and epidermolysis bullosa</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"10.1097/SMJ.0b013e31818047be", "ISBN" : "1541-8243 (Electronic)\\r0038-4348 (Linking)", "ISSN" : "00384348", "PMID" : "18708983", "abstract" : "Esophageal Crohn disease is a difficult disease both to diagnose and treat. The diagnosis is made in patients with other extraintestinal manifestations of Crohn disease in whom other esophageal pathology has been ruled out. This often requires integration of clinical, endoscopic, radiographic, and histologic findings. Despite its relative rarity, it does cause severe symptoms that are difficult to treat. Treatment requires careful integration of medical, endoscopic, and surgical techniques. This review aims to discuss the significant literature regarding diagnosis and treatment of this important manifestation of inflammatory bowel disease. There is additional discussion of the literature regarding the efficacy of newer medical and endoscopic therapies, including biologic agents and removable polymer stents.", "author" : [ { "dropping-particle" : "", "family" : "Feagans", "given" : "Jacob", "non-dropping-particle" : "", "parse-names" : false, "suffix" : "" }, { "dropping-particle" : "", "family" : "Victor", "given" : "David", "non-dropping-particle" : "", "parse-names" : false, "suffix" : "" }, { "dropping-particle" : "", "family" : "Joshi", "given" : "Virendra", "non-dropping-particle" : "", "parse-names" : false, "suffix" : "" } ], "container-title" : "Southern Medical Journal", "id" : "ITEM-1", "issue" : "9", "issued" : { "date-parts" : [ [ "2008" ] ] }, "page" : "927-930", "title" : "Crohn disease of the esophagus: A review of the literature", "type" : "article-journal", "volume" : "101" }, "uris" : [ "http://www.mendeley.com/documents/?uuid=9f0cd970-3ed1-462b-9711-175cb27ec53c" ] } ], "mendeley" : { "formattedCitation" : "&lt;sup&gt;[28]&lt;/sup&gt;", "plainTextFormattedCitation" : "[28]", "previouslyFormattedCitation" : "&lt;sup&gt;[28]&lt;/sup&gt;"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[28</w:t>
      </w:r>
      <w:r w:rsidR="00AE6216" w:rsidRPr="003D034F">
        <w:rPr>
          <w:rFonts w:ascii="Book Antiqua" w:hAnsi="Book Antiqua" w:cs="Calibri"/>
          <w:sz w:val="24"/>
          <w:szCs w:val="24"/>
          <w:vertAlign w:val="superscript"/>
          <w:lang w:val="en-US" w:eastAsia="zh-CN"/>
        </w:rPr>
        <w:t>,44,45</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C26687" w:rsidRPr="003D034F">
        <w:rPr>
          <w:rFonts w:ascii="Book Antiqua" w:hAnsi="Book Antiqua" w:cs="Calibri"/>
          <w:sz w:val="24"/>
          <w:szCs w:val="24"/>
          <w:lang w:val="en-US"/>
        </w:rPr>
        <w:t xml:space="preserve">. </w:t>
      </w:r>
    </w:p>
    <w:p w:rsidR="0021020A" w:rsidRPr="003D034F" w:rsidRDefault="0021020A" w:rsidP="003D034F">
      <w:pPr>
        <w:spacing w:after="0" w:line="360" w:lineRule="auto"/>
        <w:jc w:val="both"/>
        <w:rPr>
          <w:rFonts w:ascii="Book Antiqua" w:hAnsi="Book Antiqua" w:cs="Calibri"/>
          <w:b/>
          <w:sz w:val="24"/>
          <w:szCs w:val="24"/>
          <w:u w:val="single"/>
          <w:lang w:val="en-US"/>
        </w:rPr>
      </w:pPr>
    </w:p>
    <w:p w:rsidR="007D2F01" w:rsidRPr="003D034F" w:rsidRDefault="007D2F01" w:rsidP="003D034F">
      <w:pPr>
        <w:spacing w:after="0" w:line="360" w:lineRule="auto"/>
        <w:jc w:val="both"/>
        <w:rPr>
          <w:rFonts w:ascii="Book Antiqua" w:hAnsi="Book Antiqua" w:cs="Calibri"/>
          <w:b/>
          <w:sz w:val="24"/>
          <w:szCs w:val="24"/>
          <w:lang w:val="en-US"/>
        </w:rPr>
      </w:pPr>
      <w:r w:rsidRPr="003D034F">
        <w:rPr>
          <w:rFonts w:ascii="Book Antiqua" w:hAnsi="Book Antiqua" w:cs="Calibri"/>
          <w:b/>
          <w:sz w:val="24"/>
          <w:szCs w:val="24"/>
          <w:lang w:val="en-US"/>
        </w:rPr>
        <w:t>TREATMENT</w:t>
      </w:r>
    </w:p>
    <w:p w:rsidR="00E86EAA" w:rsidRPr="003D034F" w:rsidRDefault="006A4707" w:rsidP="003D034F">
      <w:pPr>
        <w:spacing w:after="0" w:line="360" w:lineRule="auto"/>
        <w:jc w:val="both"/>
        <w:rPr>
          <w:rFonts w:ascii="Book Antiqua" w:hAnsi="Book Antiqua" w:cs="Calibri"/>
          <w:sz w:val="24"/>
          <w:szCs w:val="24"/>
          <w:lang w:val="en-US"/>
        </w:rPr>
      </w:pPr>
      <w:r w:rsidRPr="003D034F">
        <w:rPr>
          <w:rFonts w:ascii="Book Antiqua" w:hAnsi="Book Antiqua" w:cs="Calibri"/>
          <w:sz w:val="24"/>
          <w:szCs w:val="24"/>
          <w:lang w:val="en-US"/>
        </w:rPr>
        <w:t>There are no guidelines for the treatment of esophageal CD due to the absence of randomized controlled trials conducted with this goal. Several options are reported in the literature</w:t>
      </w:r>
      <w:r w:rsidR="00892905" w:rsidRPr="003D034F">
        <w:rPr>
          <w:rFonts w:ascii="Book Antiqua" w:hAnsi="Book Antiqua" w:cs="Calibri"/>
          <w:sz w:val="24"/>
          <w:szCs w:val="24"/>
          <w:lang w:val="en-US"/>
        </w:rPr>
        <w:t>. I</w:t>
      </w:r>
      <w:r w:rsidRPr="003D034F">
        <w:rPr>
          <w:rFonts w:ascii="Book Antiqua" w:hAnsi="Book Antiqua" w:cs="Calibri"/>
          <w:sz w:val="24"/>
          <w:szCs w:val="24"/>
          <w:lang w:val="en-US"/>
        </w:rPr>
        <w:t>n general,</w:t>
      </w:r>
      <w:r w:rsidR="00892905" w:rsidRPr="003D034F">
        <w:rPr>
          <w:rFonts w:ascii="Book Antiqua" w:hAnsi="Book Antiqua" w:cs="Calibri"/>
          <w:sz w:val="24"/>
          <w:szCs w:val="24"/>
          <w:lang w:val="en-US"/>
        </w:rPr>
        <w:t xml:space="preserve"> they are</w:t>
      </w:r>
      <w:r w:rsidRPr="003D034F">
        <w:rPr>
          <w:rFonts w:ascii="Book Antiqua" w:hAnsi="Book Antiqua" w:cs="Calibri"/>
          <w:sz w:val="24"/>
          <w:szCs w:val="24"/>
          <w:lang w:val="en-US"/>
        </w:rPr>
        <w:t xml:space="preserve"> based on experience with the treatment of ileocolonic disease, such as systemic corticosteroids, </w:t>
      </w:r>
      <w:proofErr w:type="spellStart"/>
      <w:r w:rsidRPr="003D034F">
        <w:rPr>
          <w:rFonts w:ascii="Book Antiqua" w:hAnsi="Book Antiqua" w:cs="Calibri"/>
          <w:sz w:val="24"/>
          <w:szCs w:val="24"/>
          <w:lang w:val="en-US"/>
        </w:rPr>
        <w:t>aminosalicylates</w:t>
      </w:r>
      <w:proofErr w:type="spellEnd"/>
      <w:r w:rsidRPr="003D034F">
        <w:rPr>
          <w:rFonts w:ascii="Book Antiqua" w:hAnsi="Book Antiqua" w:cs="Calibri"/>
          <w:sz w:val="24"/>
          <w:szCs w:val="24"/>
          <w:lang w:val="en-US"/>
        </w:rPr>
        <w:t>, immunomodulators or biological therapy</w:t>
      </w:r>
      <w:r w:rsidR="00892905" w:rsidRPr="003D034F">
        <w:rPr>
          <w:rFonts w:ascii="Book Antiqua" w:hAnsi="Book Antiqua" w:cs="Calibri"/>
          <w:sz w:val="24"/>
          <w:szCs w:val="24"/>
          <w:lang w:val="en-US"/>
        </w:rPr>
        <w:t>. T</w:t>
      </w:r>
      <w:r w:rsidRPr="003D034F">
        <w:rPr>
          <w:rFonts w:ascii="Book Antiqua" w:hAnsi="Book Antiqua" w:cs="Calibri"/>
          <w:sz w:val="24"/>
          <w:szCs w:val="24"/>
          <w:lang w:val="en-US"/>
        </w:rPr>
        <w:t xml:space="preserve">he more intensive therapy </w:t>
      </w:r>
      <w:r w:rsidR="00892905" w:rsidRPr="003D034F">
        <w:rPr>
          <w:rFonts w:ascii="Book Antiqua" w:hAnsi="Book Antiqua" w:cs="Calibri"/>
          <w:sz w:val="24"/>
          <w:szCs w:val="24"/>
          <w:lang w:val="en-US"/>
        </w:rPr>
        <w:t xml:space="preserve">is </w:t>
      </w:r>
      <w:r w:rsidRPr="003D034F">
        <w:rPr>
          <w:rFonts w:ascii="Book Antiqua" w:hAnsi="Book Antiqua" w:cs="Calibri"/>
          <w:sz w:val="24"/>
          <w:szCs w:val="24"/>
          <w:lang w:val="en-US"/>
        </w:rPr>
        <w:t>reserved for moderate to severe disease or refractory to corticosteroids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"10.1097/SMJ.0b013e31818047be", "ISBN" : "1541-8243 (Electronic)\\r0038-4348 (Linking)", "ISSN" : "00384348", "PMID" : "18708983", "abstract" : "Esophageal Crohn disease is a difficult disease both to diagnose and treat. The diagnosis is made in patients with other extraintestinal manifestations of Crohn disease in whom other esophageal pathology has been ruled out. This often requires integration of clinical, endoscopic, radiographic, and histologic findings. Despite its relative rarity, it does cause severe symptoms that are difficult to treat. Treatment requires careful integration of medical, endoscopic, and surgical techniques. This review aims to discuss the significant literature regarding diagnosis and treatment of this important manifestation of inflammatory bowel disease. There is additional discussion of the literature regarding the efficacy of newer medical and endoscopic therapies, including biologic agents and removable polymer stents.", "author" : [ { "dropping-particle" : "", "family" : "Feagans", "given" : "Jacob", "non-dropping-particle" : "", "parse-names" : false, "suffix" : "" }, { "dropping-particle" : "", "family" : "Victor", "given" : "David", "non-dropping-particle" : "", "parse-names" : false, "suffix" : "" }, { "dropping-particle" : "", "family" : "Joshi", "given" : "Virendra", "non-dropping-particle" : "", "parse-names" : false, "suffix" : "" } ], "container-title" : "Southern Medical Journal", "id" : "ITEM-1", "issue" : "9", "issued" : { "date-parts" : [ [ "2008" ] ] }, "page" : "927-930", "title" : "Crohn disease of the esophagus: A review of the literature", "type" : "article-journal", "volume" : "101" }, "uris" : [ "http://www.mendeley.com/documents/?uuid=9f0cd970-3ed1-462b-9711-175cb27ec53c" ] } ], "mendeley" : { "formattedCitation" : "&lt;sup&gt;[28]&lt;/sup&gt;", "plainTextFormattedCitation" : "[28]", "previouslyFormattedCitation" : "&lt;sup&gt;[28]&lt;/sup&gt;"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[28]</w:t>
      </w:r>
      <w:r w:rsidR="00056AC0" w:rsidRPr="003D034F">
        <w:rPr>
          <w:rFonts w:ascii="Book Antiqua" w:hAnsi="Book Antiqua" w:cs="Calibri"/>
          <w:sz w:val="24"/>
          <w:szCs w:val="24"/>
          <w:lang w:val="en-US"/>
        </w:rPr>
        <w:fldChar w:fldCharType="end"/>
      </w:r>
      <w:r w:rsidR="00414F90" w:rsidRPr="003D034F">
        <w:rPr>
          <w:rFonts w:ascii="Book Antiqua" w:hAnsi="Book Antiqua" w:cs="Calibri"/>
          <w:sz w:val="24"/>
          <w:szCs w:val="24"/>
          <w:lang w:val="en-US"/>
        </w:rPr>
        <w:t>.</w:t>
      </w:r>
      <w:r w:rsidR="00720876" w:rsidRPr="003D034F">
        <w:rPr>
          <w:rFonts w:ascii="Book Antiqua" w:hAnsi="Book Antiqua" w:cs="Calibri"/>
          <w:sz w:val="24"/>
          <w:szCs w:val="24"/>
          <w:lang w:val="en-US"/>
        </w:rPr>
        <w:t xml:space="preserve"> </w:t>
      </w:r>
      <w:r w:rsidR="00D853DD" w:rsidRPr="003D034F">
        <w:rPr>
          <w:rFonts w:ascii="Book Antiqua" w:hAnsi="Book Antiqua" w:cs="Calibri"/>
          <w:sz w:val="24"/>
          <w:szCs w:val="24"/>
          <w:lang w:val="en-US"/>
        </w:rPr>
        <w:t xml:space="preserve">Progressive esophageal dilation with </w:t>
      </w:r>
      <w:proofErr w:type="spellStart"/>
      <w:r w:rsidR="00D853DD" w:rsidRPr="003D034F">
        <w:rPr>
          <w:rFonts w:ascii="Book Antiqua" w:hAnsi="Book Antiqua" w:cs="Calibri"/>
          <w:sz w:val="24"/>
          <w:szCs w:val="24"/>
          <w:lang w:val="en-US"/>
        </w:rPr>
        <w:t>Savary</w:t>
      </w:r>
      <w:proofErr w:type="spellEnd"/>
      <w:r w:rsidR="00D853DD" w:rsidRPr="003D034F">
        <w:rPr>
          <w:rFonts w:ascii="Book Antiqua" w:hAnsi="Book Antiqua" w:cs="Calibri"/>
          <w:sz w:val="24"/>
          <w:szCs w:val="24"/>
          <w:lang w:val="en-US"/>
        </w:rPr>
        <w:t>-Gillard or balloon candles is indicated for cases with stenosis with persistent dysphagia</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"10.1016/j.path.2010.05.004", "PMID" : "26839135", "abstract" : "Involvement of the upper gastrointestinal tract by inflammatory bowel disease was long held to be a feature of Crohn's disease, whereas ulcerative colitis was considered to be limited to the colon. It is now recognized that ulcerative colitis associated inflammation can involve the upper gastrointestinal tract, primarily the stomach. In addition to aphthoid esophageal ulcers in Crohn's disease, eosinophilic esophagitis and so-called lymphocytic esophagitis occur in association with ulcerative colitis and Crohn's disease. Possible immune mechanisms behind these conditions are presented. The differential diagnosis of inflammation in each site is discussed. \u00a9 2010 Elsevier Inc.", "author" : [ { "dropping-particle" : "", "family" : "Isaacs", "given" : "KL.", "non-dropping-particle" : "", "parse-names" : false, "suffix" : "" } ], "container-title" : "Gastrointestinal Endoscopy Clinical North America", "id" : "ITEM-1", "issued" : { "date-parts" : [ [ "2002" ] ] }, "page" : "451-462", "title" : "Upper gastrointestinal tract in inflammatory bowel disease", "type" : "article-journal", "volume" : "12" }, "uris" : [ "http://www.mendeley.com/documents/?uuid=371d5bd9-57e1-4578-8f78-abfbc9f13511" ] } ], "mendeley" : { "formattedCitation" : "&lt;sup&gt;[42]&lt;/sup&gt;", "plainTextFormattedCitation" : "[42]", "previouslyFormattedCitation" : "&lt;sup&gt;[42]&lt;/sup&gt;"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[42]</w:t>
      </w:r>
      <w:r w:rsidR="00056AC0" w:rsidRPr="003D034F">
        <w:rPr>
          <w:rFonts w:ascii="Book Antiqua" w:hAnsi="Book Antiqua" w:cs="Calibri"/>
          <w:sz w:val="24"/>
          <w:szCs w:val="24"/>
          <w:lang w:val="en-US"/>
        </w:rPr>
        <w:fldChar w:fldCharType="end"/>
      </w:r>
      <w:r w:rsidR="00720876" w:rsidRPr="003D034F">
        <w:rPr>
          <w:rFonts w:ascii="Book Antiqua" w:hAnsi="Book Antiqua" w:cs="Calibri"/>
          <w:sz w:val="24"/>
          <w:szCs w:val="24"/>
          <w:lang w:val="en-US"/>
        </w:rPr>
        <w:t xml:space="preserve">. </w:t>
      </w:r>
      <w:r w:rsidR="00D853DD" w:rsidRPr="003D034F">
        <w:rPr>
          <w:rFonts w:ascii="Book Antiqua" w:hAnsi="Book Antiqua" w:cs="Calibri"/>
          <w:sz w:val="24"/>
          <w:szCs w:val="24"/>
          <w:lang w:val="en-US"/>
        </w:rPr>
        <w:t xml:space="preserve">Placement of stents may represent an alternative treatment </w:t>
      </w:r>
      <w:r w:rsidR="00892905" w:rsidRPr="003D034F">
        <w:rPr>
          <w:rFonts w:ascii="Book Antiqua" w:hAnsi="Book Antiqua" w:cs="Calibri"/>
          <w:sz w:val="24"/>
          <w:szCs w:val="24"/>
          <w:lang w:val="en-US"/>
        </w:rPr>
        <w:t xml:space="preserve">with good efficacy </w:t>
      </w:r>
      <w:r w:rsidR="00D853DD" w:rsidRPr="003D034F">
        <w:rPr>
          <w:rFonts w:ascii="Book Antiqua" w:hAnsi="Book Antiqua" w:cs="Calibri"/>
          <w:sz w:val="24"/>
          <w:szCs w:val="24"/>
          <w:lang w:val="en-US"/>
        </w:rPr>
        <w:t xml:space="preserve">for benign stenoses. Esophagectomy is also an option considered in the disease complicated by fistulas, extensive stenoses, </w:t>
      </w:r>
      <w:r w:rsidR="00892905" w:rsidRPr="003D034F">
        <w:rPr>
          <w:rFonts w:ascii="Book Antiqua" w:hAnsi="Book Antiqua" w:cs="Calibri"/>
          <w:sz w:val="24"/>
          <w:szCs w:val="24"/>
          <w:lang w:val="en-US"/>
        </w:rPr>
        <w:t xml:space="preserve">or </w:t>
      </w:r>
      <w:r w:rsidR="00D853DD" w:rsidRPr="003D034F">
        <w:rPr>
          <w:rFonts w:ascii="Book Antiqua" w:hAnsi="Book Antiqua" w:cs="Calibri"/>
          <w:sz w:val="24"/>
          <w:szCs w:val="24"/>
          <w:lang w:val="en-US"/>
        </w:rPr>
        <w:t>abscesses and in refractory cases, for which medical therapy was not effective</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"10.1097/SMJ.0b013e31818047be", "ISBN" : "1541-8243 (Electronic)\\r0038-4348 (Linking)", "ISSN" : "00384348", "PMID" : "18708983", "abstract" : "Esophageal Crohn disease is a difficult disease both to diagnose and treat. The diagnosis is made in patients with other extraintestinal manifestations of Crohn disease in whom other esophageal pathology has been ruled out. This often requires integration of clinical, endoscopic, radiographic, and histologic findings. Despite its relative rarity, it does cause severe symptoms that are difficult to treat. Treatment requires careful integration of medical, endoscopic, and surgical techniques. This review aims to discuss the significant literature regarding diagnosis and treatment of this important manifestation of inflammatory bowel disease. There is additional discussion of the literature regarding the efficacy of newer medical and endoscopic therapies, including biologic agents and removable polymer stents.", "author" : [ { "dropping-particle" : "", "family" : "Feagans", "given" : "Jacob", "non-dropping-particle" : "", "parse-names" : false, "suffix" : "" }, { "dropping-particle" : "", "family" : "Victor", "given" : "David", "non-dropping-particle" : "", "parse-names" : false, "suffix" : "" }, { "dropping-particle" : "", "family" : "Joshi", "given" : "Virendra", "non-dropping-particle" : "", "parse-names" : false, "suffix" : "" } ], "container-title" : "Southern Medical Journal", "id" : "ITEM-1", "issue" : "9", "issued" : { "date-parts" : [ [ "2008" ] ] }, "page" : "927-930", "title" : "Crohn disease of the esophagus: A review of the literature", "type" : "article-journal", "volume" : "101" }, "uris" : [ "http://www.mendeley.com/documents/?uuid=9f0cd970-3ed1-462b-9711-175cb27ec53c" ] } ], "mendeley" : { "formattedCitation" : "&lt;sup&gt;[28]&lt;/sup&gt;", "plainTextFormattedCitation" : "[28]", "previouslyFormattedCitation" : "&lt;sup&gt;[28]&lt;/sup&gt;"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[28]</w:t>
      </w:r>
      <w:r w:rsidR="00056AC0" w:rsidRPr="003D034F">
        <w:rPr>
          <w:rFonts w:ascii="Book Antiqua" w:hAnsi="Book Antiqua" w:cs="Calibri"/>
          <w:sz w:val="24"/>
          <w:szCs w:val="24"/>
          <w:lang w:val="en-US"/>
        </w:rPr>
        <w:fldChar w:fldCharType="end"/>
      </w:r>
      <w:r w:rsidR="00414F90" w:rsidRPr="003D034F">
        <w:rPr>
          <w:rFonts w:ascii="Book Antiqua" w:hAnsi="Book Antiqua" w:cs="Calibri"/>
          <w:sz w:val="24"/>
          <w:szCs w:val="24"/>
          <w:lang w:val="en-US"/>
        </w:rPr>
        <w:t xml:space="preserve">. </w:t>
      </w:r>
    </w:p>
    <w:p w:rsidR="00A1372B" w:rsidRPr="003D034F" w:rsidRDefault="00AE6216" w:rsidP="003D034F">
      <w:pPr>
        <w:spacing w:after="0" w:line="360" w:lineRule="auto"/>
        <w:ind w:firstLineChars="100" w:firstLine="240"/>
        <w:jc w:val="both"/>
        <w:rPr>
          <w:rFonts w:ascii="Book Antiqua" w:hAnsi="Book Antiqua" w:cs="Calibri"/>
          <w:sz w:val="24"/>
          <w:szCs w:val="24"/>
          <w:lang w:val="en-US"/>
        </w:rPr>
      </w:pPr>
      <w:proofErr w:type="spellStart"/>
      <w:r w:rsidRPr="003D034F">
        <w:rPr>
          <w:rFonts w:ascii="Book Antiqua" w:hAnsi="Book Antiqua" w:cs="Calibri"/>
          <w:sz w:val="24"/>
          <w:szCs w:val="24"/>
          <w:lang w:val="en-US"/>
        </w:rPr>
        <w:t>D</w:t>
      </w:r>
      <w:r w:rsidRPr="003D034F">
        <w:rPr>
          <w:rFonts w:ascii="Book Antiqua" w:hAnsi="Book Antiqua" w:cs="Calibri"/>
          <w:sz w:val="24"/>
          <w:szCs w:val="24"/>
          <w:lang w:val="en-US" w:eastAsia="zh-CN"/>
        </w:rPr>
        <w:t>’</w:t>
      </w:r>
      <w:r w:rsidRPr="003D034F">
        <w:rPr>
          <w:rFonts w:ascii="Book Antiqua" w:hAnsi="Book Antiqua" w:cs="Calibri"/>
          <w:sz w:val="24"/>
          <w:szCs w:val="24"/>
          <w:lang w:val="en-US"/>
        </w:rPr>
        <w:t>Haens</w:t>
      </w:r>
      <w:proofErr w:type="spellEnd"/>
      <w:r w:rsidRPr="003D034F">
        <w:rPr>
          <w:rFonts w:ascii="Book Antiqua" w:hAnsi="Book Antiqua" w:cs="Calibri"/>
          <w:sz w:val="24"/>
          <w:szCs w:val="24"/>
          <w:lang w:val="en-US"/>
        </w:rPr>
        <w:t xml:space="preserve"> </w:t>
      </w:r>
      <w:r w:rsidRPr="003D034F">
        <w:rPr>
          <w:rFonts w:ascii="Book Antiqua" w:hAnsi="Book Antiqua" w:cs="Calibri"/>
          <w:i/>
          <w:sz w:val="24"/>
          <w:szCs w:val="24"/>
          <w:lang w:val="en-US"/>
        </w:rPr>
        <w:t>et al</w:t>
      </w:r>
      <w:r w:rsidRPr="003D034F">
        <w:rPr>
          <w:rFonts w:ascii="Book Antiqua" w:hAnsi="Book Antiqua" w:cs="Calibri"/>
          <w:sz w:val="24"/>
          <w:szCs w:val="24"/>
          <w:lang w:val="en-US"/>
        </w:rPr>
        <w:fldChar w:fldCharType="begin" w:fldLock="1"/>
      </w:r>
      <w:r w:rsidRPr="003D034F">
        <w:rPr>
          <w:rFonts w:ascii="Book Antiqua" w:hAnsi="Book Antiqua" w:cs="Calibri"/>
          <w:sz w:val="24"/>
          <w:szCs w:val="24"/>
          <w:lang w:val="en-US"/>
        </w:rPr>
        <w:instrText>ADDIN CSL_CITATION { "citationItems" : [ { "id" : "ITEM-1", "itemData" : { "DOI" : "10.1016/S0016-5107(94)70059-1", "ISSN" : "0016-5107", "PMID" : "8056231", "abstract" : "We carried out a clinical and endoscopic follow-up study of 14 patients with Crohn's disease of the esophagus. The diagnosis was based on the combination of endoscopic and histologic examinations with exclusion of all other possible causes. All patients had other gastrointestinal localizations of Crohn's disease, including oral and anal disease, and the majority also had serious extra-intestinal manifestations. Complete healing of the lesions was accomplished with corticosteroids in 9/14 patients after 2 to 4 weeks. During a total follow-up of 83 years for the 14 patients, 26 \"flare-ups\" of intestinal and systemic symptoms having a Crohn's disease activity index greater than 200 were diagnosed, on which occasions UGI endoscopy was performed before adjusting therapy. Three patterns of evolution could be distinguished: (1) in eight patients (total 17 flare-ups), neither endoscopic esophageal lesions nor UGI symptoms were apparent during follow-up. (2) Three patients (1 flare-up each) had persistent lesions despite corticosteroid therapy. (3) Three patients (6 flare-ups, 2 each) had relapse of both symptoms and esophageal lesions on each endoscopy, although these lesions had completely disappeared initially.", "author" : [ { "dropping-particle" : "", "family" : "D'Haens", "given" : "G.", "non-dropping-particle" : "", "parse-names" : false, "suffix" : "" }, { "dropping-particle" : "", "family" : "Rutgeerts", "given" : "P.", "non-dropping-particle" : "", "parse-names" : false, "suffix" : "" }, { "dropping-particle" : "", "family" : "Geboes", "given" : "K.", "non-dropping-particle" : "", "parse-names" : false, "suffix" : "" }, { "dropping-particle" : "", "family" : "Vantrappen", "given" : "G.", "non-dropping-particle" : "", "parse-names" : false, "suffix" : "" } ], "container-title" : "Gastrointestinal Endoscopy", "id" : "ITEM-1", "issue" : "3", "issued" : { "date-parts" : [ [ "1994" ] ] }, "page" : "296-300", "title" : "The natural history of esophageal Crohn's disease: three patterns of evolution", "type" : "article-journal", "volume" : "40" }, "uris" : [ "http://www.mendeley.com/documents/?uuid=fe1c378f-7030-4a44-9f31-1e6f0f85a3ee" ] } ], "mendeley" : { "formattedCitation" : "&lt;sup&gt;[41]&lt;/sup&gt;", "plainTextFormattedCitation" : "[41]", "previouslyFormattedCitation" : "&lt;sup&gt;[41]&lt;/sup&gt;" }, "properties" : {  }, "schema" : "https://github.com/citation-style-language/schema/raw/master/csl-citation.json" }</w:instrText>
      </w:r>
      <w:r w:rsidRPr="003D034F">
        <w:rPr>
          <w:rFonts w:ascii="Book Antiqua" w:hAnsi="Book Antiqua" w:cs="Calibri"/>
          <w:sz w:val="24"/>
          <w:szCs w:val="24"/>
          <w:lang w:val="en-US"/>
        </w:rPr>
        <w:fldChar w:fldCharType="separate"/>
      </w:r>
      <w:r w:rsidRPr="003D034F">
        <w:rPr>
          <w:rFonts w:ascii="Book Antiqua" w:hAnsi="Book Antiqua" w:cs="Calibri"/>
          <w:sz w:val="24"/>
          <w:szCs w:val="24"/>
          <w:vertAlign w:val="superscript"/>
          <w:lang w:val="en-US"/>
        </w:rPr>
        <w:t>[41]</w:t>
      </w:r>
      <w:r w:rsidRPr="003D034F">
        <w:rPr>
          <w:rFonts w:ascii="Book Antiqua" w:hAnsi="Book Antiqua" w:cs="Calibri"/>
          <w:sz w:val="24"/>
          <w:szCs w:val="24"/>
          <w:lang w:val="en-US"/>
        </w:rPr>
        <w:fldChar w:fldCharType="end"/>
      </w:r>
      <w:r w:rsidR="00D853DD" w:rsidRPr="003D034F">
        <w:rPr>
          <w:rFonts w:ascii="Book Antiqua" w:hAnsi="Book Antiqua" w:cs="Calibri"/>
          <w:sz w:val="24"/>
          <w:szCs w:val="24"/>
          <w:lang w:val="en-US"/>
        </w:rPr>
        <w:t xml:space="preserve"> demonstrated that esophageal lesions in CD have, in most cases, a good response to clinical treatment but require courses of corticosteroids. They reported three patterns of disease behavior after initial treatment: those responding rapidly to corticosteroid therapy, achieving clinical </w:t>
      </w:r>
      <w:r w:rsidR="00D853DD" w:rsidRPr="003D034F">
        <w:rPr>
          <w:rFonts w:ascii="Book Antiqua" w:hAnsi="Book Antiqua" w:cs="Calibri"/>
          <w:sz w:val="24"/>
          <w:szCs w:val="24"/>
          <w:lang w:val="en-US"/>
        </w:rPr>
        <w:lastRenderedPageBreak/>
        <w:t>and endoscopic response without relapse (57.2% of cases); those with persistent lesions despite the therapy (21.4%)</w:t>
      </w:r>
      <w:r w:rsidR="00892905" w:rsidRPr="003D034F">
        <w:rPr>
          <w:rFonts w:ascii="Book Antiqua" w:hAnsi="Book Antiqua" w:cs="Calibri"/>
          <w:sz w:val="24"/>
          <w:szCs w:val="24"/>
          <w:lang w:val="en-US"/>
        </w:rPr>
        <w:t>;</w:t>
      </w:r>
      <w:r w:rsidR="00D853DD" w:rsidRPr="003D034F">
        <w:rPr>
          <w:rFonts w:ascii="Book Antiqua" w:hAnsi="Book Antiqua" w:cs="Calibri"/>
          <w:sz w:val="24"/>
          <w:szCs w:val="24"/>
          <w:lang w:val="en-US"/>
        </w:rPr>
        <w:t xml:space="preserve"> and others with initial response and subsequent relapse (21.4%). They point out that “punched-out” ulcers recur</w:t>
      </w:r>
      <w:r w:rsidR="00892905" w:rsidRPr="003D034F">
        <w:rPr>
          <w:rFonts w:ascii="Book Antiqua" w:hAnsi="Book Antiqua" w:cs="Calibri"/>
          <w:sz w:val="24"/>
          <w:szCs w:val="24"/>
          <w:lang w:val="en-US"/>
        </w:rPr>
        <w:t>red</w:t>
      </w:r>
      <w:r w:rsidR="00D853DD" w:rsidRPr="003D034F">
        <w:rPr>
          <w:rFonts w:ascii="Book Antiqua" w:hAnsi="Book Antiqua" w:cs="Calibri"/>
          <w:sz w:val="24"/>
          <w:szCs w:val="24"/>
          <w:lang w:val="en-US"/>
        </w:rPr>
        <w:t xml:space="preserve"> more frequently than </w:t>
      </w:r>
      <w:proofErr w:type="spellStart"/>
      <w:r w:rsidR="00D853DD" w:rsidRPr="003D034F">
        <w:rPr>
          <w:rFonts w:ascii="Book Antiqua" w:hAnsi="Book Antiqua" w:cs="Calibri"/>
          <w:sz w:val="24"/>
          <w:szCs w:val="24"/>
          <w:lang w:val="en-US"/>
        </w:rPr>
        <w:t>aph</w:t>
      </w:r>
      <w:r w:rsidR="00F41837" w:rsidRPr="003D034F">
        <w:rPr>
          <w:rFonts w:ascii="Book Antiqua" w:hAnsi="Book Antiqua" w:cs="Calibri"/>
          <w:sz w:val="24"/>
          <w:szCs w:val="24"/>
          <w:lang w:val="en-US"/>
        </w:rPr>
        <w:t>th</w:t>
      </w:r>
      <w:r w:rsidR="00D853DD" w:rsidRPr="003D034F">
        <w:rPr>
          <w:rFonts w:ascii="Book Antiqua" w:hAnsi="Book Antiqua" w:cs="Calibri"/>
          <w:sz w:val="24"/>
          <w:szCs w:val="24"/>
          <w:lang w:val="en-US"/>
        </w:rPr>
        <w:t>oid</w:t>
      </w:r>
      <w:proofErr w:type="spellEnd"/>
      <w:r w:rsidR="00D853DD" w:rsidRPr="003D034F">
        <w:rPr>
          <w:rFonts w:ascii="Book Antiqua" w:hAnsi="Book Antiqua" w:cs="Calibri"/>
          <w:sz w:val="24"/>
          <w:szCs w:val="24"/>
          <w:lang w:val="en-US"/>
        </w:rPr>
        <w:t xml:space="preserve"> ulcers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"10.1016/S0016-5107(94)70059-1", "ISSN" : "0016-5107", "PMID" : "8056231", "abstract" : "We carried out a clinical and endoscopic follow-up study of 14 patients with Crohn's disease of the esophagus. The diagnosis was based on the combination of endoscopic and histologic examinations with exclusion of all other possible causes. All patients had other gastrointestinal localizations of Crohn's disease, including oral and anal disease, and the majority also had serious extra-intestinal manifestations. Complete healing of the lesions was accomplished with corticosteroids in 9/14 patients after 2 to 4 weeks. During a total follow-up of 83 years for the 14 patients, 26 \"flare-ups\" of intestinal and systemic symptoms having a Crohn's disease activity index greater than 200 were diagnosed, on which occasions UGI endoscopy was performed before adjusting therapy. Three patterns of evolution could be distinguished: (1) in eight patients (total 17 flare-ups), neither endoscopic esophageal lesions nor UGI symptoms were apparent during follow-up. (2) Three patients (1 flare-up each) had persistent lesions despite corticosteroid therapy. (3) Three patients (6 flare-ups, 2 each) had relapse of both symptoms and esophageal lesions on each endoscopy, although these lesions had completely disappeared initially.", "author" : [ { "dropping-particle" : "", "family" : "D'Haens", "given" : "G.", "non-dropping-particle" : "", "parse-names" : false, "suffix" : "" }, { "dropping-particle" : "", "family" : "Rutgeerts", "given" : "P.", "non-dropping-particle" : "", "parse-names" : false, "suffix" : "" }, { "dropping-particle" : "", "family" : "Geboes", "given" : "K.", "non-dropping-particle" : "", "parse-names" : false, "suffix" : "" }, { "dropping-particle" : "", "family" : "Vantrappen", "given" : "G.", "non-dropping-particle" : "", "parse-names" : false, "suffix" : "" } ], "container-title" : "Gastrointestinal Endoscopy", "id" : "ITEM-1", "issue" : "3", "issued" : { "date-parts" : [ [ "1994" ] ] }, "page" : "296-300", "title" : "The natural history of esophageal Crohn's disease: three patterns of evolution", "type" : "article-journal", "volume" : "40" }, "uris" : [ "http://www.mendeley.com/documents/?uuid=fe1c378f-7030-4a44-9f31-1e6f0f85a3ee" ] } ], "mendeley" : { "formattedCitation" : "&lt;sup&gt;[41]&lt;/sup&gt;", "plainTextFormattedCitation" : "[41]", "previouslyFormattedCitation" : "&lt;sup&gt;[41]&lt;/sup&gt;"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[41]</w:t>
      </w:r>
      <w:r w:rsidR="00056AC0" w:rsidRPr="003D034F">
        <w:rPr>
          <w:rFonts w:ascii="Book Antiqua" w:hAnsi="Book Antiqua" w:cs="Calibri"/>
          <w:sz w:val="24"/>
          <w:szCs w:val="24"/>
          <w:lang w:val="en-US"/>
        </w:rPr>
        <w:fldChar w:fldCharType="end"/>
      </w:r>
      <w:r w:rsidR="00957737" w:rsidRPr="003D034F">
        <w:rPr>
          <w:rFonts w:ascii="Book Antiqua" w:hAnsi="Book Antiqua" w:cs="Calibri"/>
          <w:sz w:val="24"/>
          <w:szCs w:val="24"/>
          <w:lang w:val="en-US"/>
        </w:rPr>
        <w:t xml:space="preserve">. </w:t>
      </w:r>
      <w:r w:rsidR="005E667C" w:rsidRPr="003D034F">
        <w:rPr>
          <w:rFonts w:ascii="Book Antiqua" w:hAnsi="Book Antiqua" w:cs="Calibri"/>
          <w:sz w:val="24"/>
          <w:szCs w:val="24"/>
          <w:lang w:val="en-US"/>
        </w:rPr>
        <w:t xml:space="preserve">Decker </w:t>
      </w:r>
      <w:r w:rsidR="00AC0CB3" w:rsidRPr="003D034F">
        <w:rPr>
          <w:rFonts w:ascii="Book Antiqua" w:hAnsi="Book Antiqua" w:cs="Calibri"/>
          <w:i/>
          <w:sz w:val="24"/>
          <w:szCs w:val="24"/>
          <w:lang w:val="en-US"/>
        </w:rPr>
        <w:t>et al</w:t>
      </w:r>
      <w:r w:rsidR="00AC0CB3" w:rsidRPr="003D034F">
        <w:rPr>
          <w:rFonts w:ascii="Book Antiqua" w:hAnsi="Book Antiqua" w:cs="Calibri"/>
          <w:sz w:val="24"/>
          <w:szCs w:val="24"/>
          <w:lang w:val="en-US"/>
        </w:rPr>
        <w:fldChar w:fldCharType="begin" w:fldLock="1"/>
      </w:r>
      <w:r w:rsidR="00AC0CB3" w:rsidRPr="003D034F">
        <w:rPr>
          <w:rFonts w:ascii="Book Antiqua" w:hAnsi="Book Antiqua" w:cs="Calibri"/>
          <w:sz w:val="24"/>
          <w:szCs w:val="24"/>
          <w:lang w:val="en-US"/>
        </w:rPr>
        <w:instrText>ADDIN CSL_CITATION { "citationItems" : [ { "id" : "ITEM-1", "itemData" : { "DOI" : "10.1097/00054725-200105000-00006", "ISBN" : "1078-0998 (Print)\\r1078-0998", "ISSN" : "1078-0998", "PMID" : "11383583", "abstract" : "OBJECTIVES: Crohn's disease of the esophagus is rare. We sought to determine the clinical features and outcome of patients with esophageal Crohn's disease seen at our institution. METHODS: Patients with esophageal Crohn's disease evaluated at Mayo Clinic Rochester between 1976 and 1998 were identified. RESULTS: Twenty patients (0.2%) with esophageal involvement were identified. Median age at diagnosis was 31 years (range, 7-77 years). Eleven patients (55%) were female. Extraesophageal Crohn's disease preceded or was found at the same time as the diagnosis of esophageal Crohn's in all cases. Sixteen patients (80%) had symptoms referable to the esophagus. Endoscopic findings included ulcers in 17 (85%), erythema or erosions in 8 (40%), and strictures in 4 patients (20%). One patient had a fistula. The most common histological findings were active chronic inflammation (75%) and ulcer (30%). No granulomata were identified. Approximately one-half of our patients improved with first-line therapy. Eleven patients (55%) received immune modifier therapy. Six showed significant improvement on azathioprine, 6-mercaptopurine, or cyclosporine. Esophageal dilatation was required in six patients, and three patients required surgery. CONCLUSION: Esophageal Crohn's disease may be underdiagnosed. Patients with Crohn's disease complaining of esophageal symptoms should undergo upper endoscopy with biopsies, and the diagnosis of esophageal Crohn's disease should be entertained if aphthous or deep ulcers or strictures are present. Immune modifier therapy should be considered for steroid-dependent and steroid-resistant cases.", "author" : [ { "dropping-particle" : "", "family" : "Decker", "given" : "G. Antom G", "non-dropping-particle" : "", "parse-names" : false, "suffix" : "" }, { "dropping-particle" : "V", "family" : "Loftus", "given" : "Edward", "non-dropping-particle" : "", "parse-names" : false, "suffix" : "" }, { "dropping-particle" : "", "family" : "Pasha", "given" : "Tousif M", "non-dropping-particle" : "", "parse-names" : false, "suffix" : "" }, { "dropping-particle" : "", "family" : "Tremaine", "given" : "William J", "non-dropping-particle" : "", "parse-names" : false, "suffix" : "" }, { "dropping-particle" : "", "family" : "Sandborn", "given" : "Willian J", "non-dropping-particle" : "", "parse-names" : false, "suffix" : "" } ], "container-title" : "Inflammatory bowel diseases", "id" : "ITEM-1", "issue" : "2", "issued" : { "date-parts" : [ [ "2001" ] ] }, "page" : "113-119", "title" : "Crohn's disease of the esophagus: clinical features and outcomes.", "type" : "article-journal", "volume" : "7" }, "uris" : [ "http://www.mendeley.com/documents/?uuid=52a431b2-26c5-49eb-aa57-f5d19178f466" ] } ], "mendeley" : { "formattedCitation" : "&lt;sup&gt;[30]&lt;/sup&gt;", "plainTextFormattedCitation" : "[30]", "previouslyFormattedCitation" : "&lt;sup&gt;[30]&lt;/sup&gt;" }, "properties" : {  }, "schema" : "https://github.com/citation-style-language/schema/raw/master/csl-citation.json" }</w:instrText>
      </w:r>
      <w:r w:rsidR="00AC0CB3" w:rsidRPr="003D034F">
        <w:rPr>
          <w:rFonts w:ascii="Book Antiqua" w:hAnsi="Book Antiqua" w:cs="Calibri"/>
          <w:sz w:val="24"/>
          <w:szCs w:val="24"/>
          <w:lang w:val="en-US"/>
        </w:rPr>
        <w:fldChar w:fldCharType="separate"/>
      </w:r>
      <w:r w:rsidR="00AC0CB3" w:rsidRPr="003D034F">
        <w:rPr>
          <w:rFonts w:ascii="Book Antiqua" w:hAnsi="Book Antiqua" w:cs="Calibri"/>
          <w:sz w:val="24"/>
          <w:szCs w:val="24"/>
          <w:vertAlign w:val="superscript"/>
          <w:lang w:val="en-US"/>
        </w:rPr>
        <w:t>[30]</w:t>
      </w:r>
      <w:r w:rsidR="00AC0CB3" w:rsidRPr="003D034F">
        <w:rPr>
          <w:rFonts w:ascii="Book Antiqua" w:hAnsi="Book Antiqua" w:cs="Calibri"/>
          <w:sz w:val="24"/>
          <w:szCs w:val="24"/>
          <w:lang w:val="en-US"/>
        </w:rPr>
        <w:fldChar w:fldCharType="end"/>
      </w:r>
      <w:r w:rsidR="00AC0CB3" w:rsidRPr="003D034F">
        <w:rPr>
          <w:rFonts w:ascii="Book Antiqua" w:hAnsi="Book Antiqua" w:cs="Calibri"/>
          <w:sz w:val="24"/>
          <w:szCs w:val="24"/>
          <w:lang w:val="en-US" w:eastAsia="zh-CN"/>
        </w:rPr>
        <w:t xml:space="preserve"> </w:t>
      </w:r>
      <w:r w:rsidR="005E667C" w:rsidRPr="003D034F">
        <w:rPr>
          <w:rFonts w:ascii="Book Antiqua" w:hAnsi="Book Antiqua" w:cs="Calibri"/>
          <w:sz w:val="24"/>
          <w:szCs w:val="24"/>
          <w:lang w:val="en-US"/>
        </w:rPr>
        <w:t xml:space="preserve">demonstrated that, among the 20 patients diagnosed with esophageal CD, 90% received corticosteroid therapy, 60% </w:t>
      </w:r>
      <w:proofErr w:type="spellStart"/>
      <w:r w:rsidR="005E667C" w:rsidRPr="003D034F">
        <w:rPr>
          <w:rFonts w:ascii="Book Antiqua" w:hAnsi="Book Antiqua" w:cs="Calibri"/>
          <w:sz w:val="24"/>
          <w:szCs w:val="24"/>
          <w:lang w:val="en-US"/>
        </w:rPr>
        <w:t>aminosalicylates</w:t>
      </w:r>
      <w:proofErr w:type="spellEnd"/>
      <w:r w:rsidR="005E667C" w:rsidRPr="003D034F">
        <w:rPr>
          <w:rFonts w:ascii="Book Antiqua" w:hAnsi="Book Antiqua" w:cs="Calibri"/>
          <w:sz w:val="24"/>
          <w:szCs w:val="24"/>
          <w:lang w:val="en-US"/>
        </w:rPr>
        <w:t>, 25% H2 blockers and 25% proton pump inhibitors (PPIs). Esophageal dilation was required in six patients and surgery in three. The authors comment that the use of PPIs result</w:t>
      </w:r>
      <w:r w:rsidR="00892905" w:rsidRPr="003D034F">
        <w:rPr>
          <w:rFonts w:ascii="Book Antiqua" w:hAnsi="Book Antiqua" w:cs="Calibri"/>
          <w:sz w:val="24"/>
          <w:szCs w:val="24"/>
          <w:lang w:val="en-US"/>
        </w:rPr>
        <w:t>ed</w:t>
      </w:r>
      <w:r w:rsidR="005E667C" w:rsidRPr="003D034F">
        <w:rPr>
          <w:rFonts w:ascii="Book Antiqua" w:hAnsi="Book Antiqua" w:cs="Calibri"/>
          <w:sz w:val="24"/>
          <w:szCs w:val="24"/>
          <w:lang w:val="en-US"/>
        </w:rPr>
        <w:t xml:space="preserve"> in symptomatic improvement, but these drugs </w:t>
      </w:r>
      <w:r w:rsidR="00892905" w:rsidRPr="003D034F">
        <w:rPr>
          <w:rFonts w:ascii="Book Antiqua" w:hAnsi="Book Antiqua" w:cs="Calibri"/>
          <w:sz w:val="24"/>
          <w:szCs w:val="24"/>
          <w:lang w:val="en-US"/>
        </w:rPr>
        <w:t xml:space="preserve">did </w:t>
      </w:r>
      <w:r w:rsidR="005E667C" w:rsidRPr="003D034F">
        <w:rPr>
          <w:rFonts w:ascii="Book Antiqua" w:hAnsi="Book Antiqua" w:cs="Calibri"/>
          <w:sz w:val="24"/>
          <w:szCs w:val="24"/>
          <w:lang w:val="en-US"/>
        </w:rPr>
        <w:t xml:space="preserve">not act in the control of the inflammatory response and should not be used as monotherapy, as is the </w:t>
      </w:r>
      <w:r w:rsidR="00892905" w:rsidRPr="003D034F">
        <w:rPr>
          <w:rFonts w:ascii="Book Antiqua" w:hAnsi="Book Antiqua" w:cs="Calibri"/>
          <w:sz w:val="24"/>
          <w:szCs w:val="24"/>
          <w:lang w:val="en-US"/>
        </w:rPr>
        <w:t>case for</w:t>
      </w:r>
      <w:r w:rsidR="005E667C" w:rsidRPr="003D034F">
        <w:rPr>
          <w:rFonts w:ascii="Book Antiqua" w:hAnsi="Book Antiqua" w:cs="Calibri"/>
          <w:sz w:val="24"/>
          <w:szCs w:val="24"/>
          <w:lang w:val="en-US"/>
        </w:rPr>
        <w:t xml:space="preserve"> </w:t>
      </w:r>
      <w:proofErr w:type="spellStart"/>
      <w:r w:rsidR="005E667C" w:rsidRPr="003D034F">
        <w:rPr>
          <w:rFonts w:ascii="Book Antiqua" w:hAnsi="Book Antiqua" w:cs="Calibri"/>
          <w:sz w:val="24"/>
          <w:szCs w:val="24"/>
          <w:lang w:val="en-US"/>
        </w:rPr>
        <w:t>aminosalicylates</w:t>
      </w:r>
      <w:proofErr w:type="spellEnd"/>
      <w:r w:rsidR="005E667C" w:rsidRPr="003D034F">
        <w:rPr>
          <w:rFonts w:ascii="Book Antiqua" w:hAnsi="Book Antiqua" w:cs="Calibri"/>
          <w:sz w:val="24"/>
          <w:szCs w:val="24"/>
          <w:lang w:val="en-US"/>
        </w:rPr>
        <w:t>, since they are activated in the proximal intestine. They observed that half of the patients improved spontaneously or with the use of the first</w:t>
      </w:r>
      <w:r w:rsidR="00892905" w:rsidRPr="003D034F">
        <w:rPr>
          <w:rFonts w:ascii="Book Antiqua" w:hAnsi="Book Antiqua" w:cs="Calibri"/>
          <w:sz w:val="24"/>
          <w:szCs w:val="24"/>
          <w:lang w:val="en-US"/>
        </w:rPr>
        <w:t>-</w:t>
      </w:r>
      <w:r w:rsidR="005E667C" w:rsidRPr="003D034F">
        <w:rPr>
          <w:rFonts w:ascii="Book Antiqua" w:hAnsi="Book Antiqua" w:cs="Calibri"/>
          <w:sz w:val="24"/>
          <w:szCs w:val="24"/>
          <w:lang w:val="en-US"/>
        </w:rPr>
        <w:t xml:space="preserve">line therapy, but one of the limitations was the non-accomplishment of HDE to evaluate the healing of the mucosa after the treatment. The remaining patients were treated with immunosuppressants, with a favorable response, and one of them with </w:t>
      </w:r>
      <w:r w:rsidRPr="003D034F">
        <w:rPr>
          <w:rFonts w:ascii="Book Antiqua" w:hAnsi="Book Antiqua" w:cs="Calibri"/>
          <w:sz w:val="24"/>
          <w:szCs w:val="24"/>
          <w:lang w:val="en-US" w:eastAsia="zh-CN"/>
        </w:rPr>
        <w:t>anti-tumor necrosis factor (</w:t>
      </w:r>
      <w:r w:rsidRPr="003D034F">
        <w:rPr>
          <w:rFonts w:ascii="Book Antiqua" w:hAnsi="Book Antiqua" w:cs="Calibri"/>
          <w:sz w:val="24"/>
          <w:szCs w:val="24"/>
          <w:lang w:val="en-US"/>
        </w:rPr>
        <w:t>anti-TNF</w:t>
      </w:r>
      <w:r w:rsidRPr="003D034F">
        <w:rPr>
          <w:rFonts w:ascii="Book Antiqua" w:hAnsi="Book Antiqua" w:cs="Calibri"/>
          <w:sz w:val="24"/>
          <w:szCs w:val="24"/>
          <w:lang w:val="en-US" w:eastAsia="zh-CN"/>
        </w:rPr>
        <w:t xml:space="preserve">) </w:t>
      </w:r>
      <w:r w:rsidR="00892905" w:rsidRPr="003D034F">
        <w:rPr>
          <w:rFonts w:ascii="Book Antiqua" w:hAnsi="Book Antiqua" w:cs="Calibri"/>
          <w:sz w:val="24"/>
          <w:szCs w:val="24"/>
          <w:lang w:val="en-US"/>
        </w:rPr>
        <w:t>antibody</w:t>
      </w:r>
      <w:r w:rsidR="005E667C" w:rsidRPr="003D034F">
        <w:rPr>
          <w:rFonts w:ascii="Book Antiqua" w:hAnsi="Book Antiqua" w:cs="Calibri"/>
          <w:sz w:val="24"/>
          <w:szCs w:val="24"/>
          <w:lang w:val="en-US"/>
        </w:rPr>
        <w:t xml:space="preserve">. The authors suggest the use of acid suppressive therapy and corticosteroids in mild </w:t>
      </w:r>
      <w:r w:rsidR="00B37530" w:rsidRPr="003D034F">
        <w:rPr>
          <w:rFonts w:ascii="Book Antiqua" w:hAnsi="Book Antiqua" w:cs="Calibri"/>
          <w:sz w:val="24"/>
          <w:szCs w:val="24"/>
          <w:lang w:val="en-US"/>
        </w:rPr>
        <w:t>disease</w:t>
      </w:r>
      <w:r w:rsidR="005E667C" w:rsidRPr="003D034F">
        <w:rPr>
          <w:rFonts w:ascii="Book Antiqua" w:hAnsi="Book Antiqua" w:cs="Calibri"/>
          <w:sz w:val="24"/>
          <w:szCs w:val="24"/>
          <w:lang w:val="en-US"/>
        </w:rPr>
        <w:t xml:space="preserve"> and immunomodulatory therapy in </w:t>
      </w:r>
      <w:r w:rsidR="00B37530" w:rsidRPr="003D034F">
        <w:rPr>
          <w:rFonts w:ascii="Book Antiqua" w:hAnsi="Book Antiqua" w:cs="Calibri"/>
          <w:sz w:val="24"/>
          <w:szCs w:val="24"/>
          <w:lang w:val="en-US"/>
        </w:rPr>
        <w:t xml:space="preserve">disease </w:t>
      </w:r>
      <w:r w:rsidR="005E667C" w:rsidRPr="003D034F">
        <w:rPr>
          <w:rFonts w:ascii="Book Antiqua" w:hAnsi="Book Antiqua" w:cs="Calibri"/>
          <w:sz w:val="24"/>
          <w:szCs w:val="24"/>
          <w:lang w:val="en-US"/>
        </w:rPr>
        <w:t>refractory or dependent</w:t>
      </w:r>
      <w:r w:rsidR="00892905" w:rsidRPr="003D034F">
        <w:rPr>
          <w:rFonts w:ascii="Book Antiqua" w:hAnsi="Book Antiqua" w:cs="Calibri"/>
          <w:sz w:val="24"/>
          <w:szCs w:val="24"/>
          <w:lang w:val="en-US"/>
        </w:rPr>
        <w:t xml:space="preserve"> on</w:t>
      </w:r>
      <w:r w:rsidR="005E667C" w:rsidRPr="003D034F">
        <w:rPr>
          <w:rFonts w:ascii="Book Antiqua" w:hAnsi="Book Antiqua" w:cs="Calibri"/>
          <w:sz w:val="24"/>
          <w:szCs w:val="24"/>
          <w:lang w:val="en-US"/>
        </w:rPr>
        <w:t xml:space="preserve"> steroids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"10.1097/00054725-200105000-00006", "ISBN" : "1078-0998 (Print)\\r1078-0998", "ISSN" : "1078-0998", "PMID" : "11383583", "abstract" : "OBJECTIVES: Crohn's disease of the esophagus is rare. We sought to determine the clinical features and outcome of patients with esophageal Crohn's disease seen at our institution. METHODS: Patients with esophageal Crohn's disease evaluated at Mayo Clinic Rochester between 1976 and 1998 were identified. RESULTS: Twenty patients (0.2%) with esophageal involvement were identified. Median age at diagnosis was 31 years (range, 7-77 years). Eleven patients (55%) were female. Extraesophageal Crohn's disease preceded or was found at the same time as the diagnosis of esophageal Crohn's in all cases. Sixteen patients (80%) had symptoms referable to the esophagus. Endoscopic findings included ulcers in 17 (85%), erythema or erosions in 8 (40%), and strictures in 4 patients (20%). One patient had a fistula. The most common histological findings were active chronic inflammation (75%) and ulcer (30%). No granulomata were identified. Approximately one-half of our patients improved with first-line therapy. Eleven patients (55%) received immune modifier therapy. Six showed significant improvement on azathioprine, 6-mercaptopurine, or cyclosporine. Esophageal dilatation was required in six patients, and three patients required surgery. CONCLUSION: Esophageal Crohn's disease may be underdiagnosed. Patients with Crohn's disease complaining of esophageal symptoms should undergo upper endoscopy with biopsies, and the diagnosis of esophageal Crohn's disease should be entertained if aphthous or deep ulcers or strictures are present. Immune modifier therapy should be considered for steroid-dependent and steroid-resistant cases.", "author" : [ { "dropping-particle" : "", "family" : "Decker", "given" : "G. Antom G", "non-dropping-particle" : "", "parse-names" : false, "suffix" : "" }, { "dropping-particle" : "V", "family" : "Loftus", "given" : "Edward", "non-dropping-particle" : "", "parse-names" : false, "suffix" : "" }, { "dropping-particle" : "", "family" : "Pasha", "given" : "Tousif M", "non-dropping-particle" : "", "parse-names" : false, "suffix" : "" }, { "dropping-particle" : "", "family" : "Tremaine", "given" : "William J", "non-dropping-particle" : "", "parse-names" : false, "suffix" : "" }, { "dropping-particle" : "", "family" : "Sandborn", "given" : "Willian J", "non-dropping-particle" : "", "parse-names" : false, "suffix" : "" } ], "container-title" : "Inflammatory bowel diseases", "id" : "ITEM-1", "issue" : "2", "issued" : { "date-parts" : [ [ "2001" ] ] }, "page" : "113-119", "title" : "Crohn's disease of the esophagus: clinical features and outcomes.", "type" : "article-journal", "volume" : "7" }, "uris" : [ "http://www.mendeley.com/documents/?uuid=52a431b2-26c5-49eb-aa57-f5d19178f466" ] } ], "mendeley" : { "formattedCitation" : "&lt;sup&gt;[30]&lt;/sup&gt;", "plainTextFormattedCitation" : "[30]", "previouslyFormattedCitation" : "&lt;sup&gt;[30]&lt;/sup&gt;"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[30]</w:t>
      </w:r>
      <w:r w:rsidR="00056AC0" w:rsidRPr="003D034F">
        <w:rPr>
          <w:rFonts w:ascii="Book Antiqua" w:hAnsi="Book Antiqua" w:cs="Calibri"/>
          <w:sz w:val="24"/>
          <w:szCs w:val="24"/>
          <w:lang w:val="en-US"/>
        </w:rPr>
        <w:fldChar w:fldCharType="end"/>
      </w:r>
      <w:r w:rsidR="00F753DC" w:rsidRPr="003D034F">
        <w:rPr>
          <w:rFonts w:ascii="Book Antiqua" w:hAnsi="Book Antiqua" w:cs="Calibri"/>
          <w:sz w:val="24"/>
          <w:szCs w:val="24"/>
          <w:lang w:val="en-US"/>
        </w:rPr>
        <w:t xml:space="preserve">. </w:t>
      </w:r>
      <w:r w:rsidRPr="003D034F">
        <w:rPr>
          <w:rFonts w:ascii="Book Antiqua" w:hAnsi="Book Antiqua" w:cs="Calibri"/>
          <w:sz w:val="24"/>
          <w:szCs w:val="24"/>
          <w:lang w:val="en-US"/>
        </w:rPr>
        <w:t xml:space="preserve">De Felice </w:t>
      </w:r>
      <w:r w:rsidRPr="003D034F">
        <w:rPr>
          <w:rFonts w:ascii="Book Antiqua" w:hAnsi="Book Antiqua" w:cs="Calibri"/>
          <w:i/>
          <w:sz w:val="24"/>
          <w:szCs w:val="24"/>
          <w:lang w:val="en-US"/>
        </w:rPr>
        <w:t>et al</w:t>
      </w:r>
      <w:r w:rsidRPr="003D034F">
        <w:rPr>
          <w:rFonts w:ascii="Book Antiqua" w:hAnsi="Book Antiqua" w:cs="Calibri"/>
          <w:sz w:val="24"/>
          <w:szCs w:val="24"/>
          <w:lang w:val="en-US"/>
        </w:rPr>
        <w:fldChar w:fldCharType="begin" w:fldLock="1"/>
      </w:r>
      <w:r w:rsidRPr="003D034F">
        <w:rPr>
          <w:rFonts w:ascii="Book Antiqua" w:hAnsi="Book Antiqua" w:cs="Calibri"/>
          <w:sz w:val="24"/>
          <w:szCs w:val="24"/>
          <w:lang w:val="en-US"/>
        </w:rPr>
        <w:instrText>ADDIN CSL_CITATION { "citationItems" : [ { "id" : "ITEM-1", "itemData" : { "DOI" : "10.1097/MIB.0000000000000469", "ISBN" : "1078-0998", "ISSN" : "15364844", "PMID" : "26083616", "abstract" : "Background: Esophageal Crohn's disease (CD) is challenging and often a disabling phenotype of disease. We aimed to report the clinical, endoscopic, histologic features, and treatment outcomes of esophageal patients with CD. Methods: Esophageal patients with CD evaluated at the Mayo Clinic in Rochester, MN, between January, 1998, and December, 2012, were identified. Results: Twenty-four cases of esophageal CD were identified. The median age of diagnosis was 23 years (range, 12-60). Twenty-one patients (88%) had extraesophageal CD and 8 patients (33%) had oral ulcers at the time of esophageal CD symptom onset. The majority of patients had esophageal-specific symptoms. Mid (29%) or distal (29%) esophagus was the most common site of involvement. Inflammatory esophageal CD (75%) was marked by superficial ulcerations (58%), erythema and/or erosions (50%), deep ulcerations (13%), and pseudopolyps (4%) on endoscopy. Four patients (17%) were found to have esophageal strictures and 2 patients (8%) had fistulizing disease. Chronic inflammation (83%) was seen on biopsy in the majority of cases with 5 patients having associated granulomas. In our series, inflammatory esophageal CD responded to prednisone, topical budesonide, or biologics. Stricturing esophageal CD was successfully treated with a combination of biologic therapy, immunomodulators, and serial dilations with/without steroid injections. Aggressive medical therapy with biologics and endoscopic therapy was used for fistulizing esophageal CD, however, was not universally effective. Conclusions: Esophageal CD should be considered in all patients with CD with upper gastrointestinal symptoms. Early recognition, diagnosis, and aggressive medical and/or endoscopic treatment are needed for successful outcomes. Copyright Ac 2015 Crohn's &amp; Colitis Foundation of America, Inc", "author" : [ { "dropping-particle" : "", "family" : "Felice", "given" : "Kara M.", "non-dropping-particle" : "De", "parse-names" : false, "suffix" : "" }, { "dropping-particle" : "", "family" : "Katzka", "given" : "David A.", "non-dropping-particle" : "", "parse-names" : false, "suffix" : "" }, { "dropping-particle" : "", "family" : "Raffals", "given" : "Laura E.", "non-dropping-particle" : "", "parse-names" : false, "suffix" : "" } ], "container-title" : "Inflammatory Bowel Diseases", "id" : "ITEM-1", "issue" : "9", "issued" : { "date-parts" : [ [ "2015" ] ] }, "page" : "2106-2113", "title" : "Crohn's disease of the esophagus: Clinical features and treatment outcomes in the biologic era", "type" : "article-journal", "volume" : "21" }, "uris" : [ "http://www.mendeley.com/documents/?uuid=722c966f-57c3-45c1-a9f3-5c4adfb8739e" ] } ], "mendeley" : { "formattedCitation" : "&lt;sup&gt;[29]&lt;/sup&gt;", "plainTextFormattedCitation" : "[29]", "previouslyFormattedCitation" : "&lt;sup&gt;[29]&lt;/sup&gt;" }, "properties" : {  }, "schema" : "https://github.com/citation-style-language/schema/raw/master/csl-citation.json" }</w:instrText>
      </w:r>
      <w:r w:rsidRPr="003D034F">
        <w:rPr>
          <w:rFonts w:ascii="Book Antiqua" w:hAnsi="Book Antiqua" w:cs="Calibri"/>
          <w:sz w:val="24"/>
          <w:szCs w:val="24"/>
          <w:lang w:val="en-US"/>
        </w:rPr>
        <w:fldChar w:fldCharType="separate"/>
      </w:r>
      <w:r w:rsidRPr="003D034F">
        <w:rPr>
          <w:rFonts w:ascii="Book Antiqua" w:hAnsi="Book Antiqua" w:cs="Calibri"/>
          <w:sz w:val="24"/>
          <w:szCs w:val="24"/>
          <w:vertAlign w:val="superscript"/>
          <w:lang w:val="en-US"/>
        </w:rPr>
        <w:t>[29]</w:t>
      </w:r>
      <w:r w:rsidRPr="003D034F">
        <w:rPr>
          <w:rFonts w:ascii="Book Antiqua" w:hAnsi="Book Antiqua" w:cs="Calibri"/>
          <w:sz w:val="24"/>
          <w:szCs w:val="24"/>
          <w:lang w:val="en-US"/>
        </w:rPr>
        <w:fldChar w:fldCharType="end"/>
      </w:r>
      <w:r w:rsidR="006230EB" w:rsidRPr="003D034F">
        <w:rPr>
          <w:rFonts w:ascii="Book Antiqua" w:hAnsi="Book Antiqua" w:cs="Calibri"/>
          <w:sz w:val="24"/>
          <w:szCs w:val="24"/>
          <w:lang w:val="en-US"/>
        </w:rPr>
        <w:t xml:space="preserve"> demonstrated that patients who presented inflammatory behavior responded to prednisone, topical budesonide and anti-TNF agents (</w:t>
      </w:r>
      <w:r w:rsidR="00892905" w:rsidRPr="003D034F">
        <w:rPr>
          <w:rFonts w:ascii="Book Antiqua" w:hAnsi="Book Antiqua" w:cs="Calibri"/>
          <w:sz w:val="24"/>
          <w:szCs w:val="24"/>
          <w:lang w:val="en-US"/>
        </w:rPr>
        <w:t>i</w:t>
      </w:r>
      <w:r w:rsidR="006230EB" w:rsidRPr="003D034F">
        <w:rPr>
          <w:rFonts w:ascii="Book Antiqua" w:hAnsi="Book Antiqua" w:cs="Calibri"/>
          <w:sz w:val="24"/>
          <w:szCs w:val="24"/>
          <w:lang w:val="en-US"/>
        </w:rPr>
        <w:t xml:space="preserve">nfliximab and </w:t>
      </w:r>
      <w:r w:rsidR="00892905" w:rsidRPr="003D034F">
        <w:rPr>
          <w:rFonts w:ascii="Book Antiqua" w:hAnsi="Book Antiqua" w:cs="Calibri"/>
          <w:sz w:val="24"/>
          <w:szCs w:val="24"/>
          <w:lang w:val="en-US"/>
        </w:rPr>
        <w:t>a</w:t>
      </w:r>
      <w:r w:rsidR="006230EB" w:rsidRPr="003D034F">
        <w:rPr>
          <w:rFonts w:ascii="Book Antiqua" w:hAnsi="Book Antiqua" w:cs="Calibri"/>
          <w:sz w:val="24"/>
          <w:szCs w:val="24"/>
          <w:lang w:val="en-US"/>
        </w:rPr>
        <w:t>dalimumab). Stenting disease was treated successfully with immunomodulators and anti-TNF agents associated with dilation with or without steroid injection. Intensive treatment of fistulizing esophageal disease with immunomodulators, anti</w:t>
      </w:r>
      <w:r w:rsidR="00F41837" w:rsidRPr="003D034F">
        <w:rPr>
          <w:rFonts w:ascii="Book Antiqua" w:hAnsi="Book Antiqua" w:cs="Calibri"/>
          <w:sz w:val="24"/>
          <w:szCs w:val="24"/>
          <w:lang w:val="en-US"/>
        </w:rPr>
        <w:t>-</w:t>
      </w:r>
      <w:r w:rsidR="006230EB" w:rsidRPr="003D034F">
        <w:rPr>
          <w:rFonts w:ascii="Book Antiqua" w:hAnsi="Book Antiqua" w:cs="Calibri"/>
          <w:sz w:val="24"/>
          <w:szCs w:val="24"/>
          <w:lang w:val="en-US"/>
        </w:rPr>
        <w:t>TNF</w:t>
      </w:r>
      <w:r w:rsidR="00892905" w:rsidRPr="003D034F">
        <w:rPr>
          <w:rFonts w:ascii="Book Antiqua" w:hAnsi="Book Antiqua" w:cs="Calibri"/>
          <w:sz w:val="24"/>
          <w:szCs w:val="24"/>
          <w:lang w:val="en-US"/>
        </w:rPr>
        <w:t xml:space="preserve"> antibodies</w:t>
      </w:r>
      <w:r w:rsidR="006230EB" w:rsidRPr="003D034F">
        <w:rPr>
          <w:rFonts w:ascii="Book Antiqua" w:hAnsi="Book Antiqua" w:cs="Calibri"/>
          <w:sz w:val="24"/>
          <w:szCs w:val="24"/>
          <w:lang w:val="en-US"/>
        </w:rPr>
        <w:t xml:space="preserve">, </w:t>
      </w:r>
      <w:r w:rsidR="00892905" w:rsidRPr="003D034F">
        <w:rPr>
          <w:rFonts w:ascii="Book Antiqua" w:hAnsi="Book Antiqua" w:cs="Calibri"/>
          <w:sz w:val="24"/>
          <w:szCs w:val="24"/>
          <w:lang w:val="en-US"/>
        </w:rPr>
        <w:t xml:space="preserve">or </w:t>
      </w:r>
      <w:r w:rsidR="006230EB" w:rsidRPr="003D034F">
        <w:rPr>
          <w:rFonts w:ascii="Book Antiqua" w:hAnsi="Book Antiqua" w:cs="Calibri"/>
          <w:sz w:val="24"/>
          <w:szCs w:val="24"/>
          <w:lang w:val="en-US"/>
        </w:rPr>
        <w:t xml:space="preserve">tacrolimus was not universally effective. </w:t>
      </w:r>
      <w:r w:rsidR="002C3EE8" w:rsidRPr="003D034F">
        <w:rPr>
          <w:rFonts w:ascii="Book Antiqua" w:hAnsi="Book Antiqua" w:cs="Calibri"/>
          <w:sz w:val="24"/>
          <w:szCs w:val="24"/>
          <w:lang w:val="en-US"/>
        </w:rPr>
        <w:t>Eight patients were treated with anti-TNF therapy</w:t>
      </w:r>
      <w:r w:rsidR="00892905" w:rsidRPr="003D034F">
        <w:rPr>
          <w:rFonts w:ascii="Book Antiqua" w:hAnsi="Book Antiqua" w:cs="Calibri"/>
          <w:sz w:val="24"/>
          <w:szCs w:val="24"/>
          <w:lang w:val="en-US"/>
        </w:rPr>
        <w:t>,</w:t>
      </w:r>
      <w:r w:rsidR="002C3EE8" w:rsidRPr="003D034F">
        <w:rPr>
          <w:rFonts w:ascii="Book Antiqua" w:hAnsi="Book Antiqua" w:cs="Calibri"/>
          <w:sz w:val="24"/>
          <w:szCs w:val="24"/>
          <w:lang w:val="en-US"/>
        </w:rPr>
        <w:t xml:space="preserve"> and all had </w:t>
      </w:r>
      <w:r w:rsidR="00892905" w:rsidRPr="003D034F">
        <w:rPr>
          <w:rFonts w:ascii="Book Antiqua" w:hAnsi="Book Antiqua" w:cs="Calibri"/>
          <w:sz w:val="24"/>
          <w:szCs w:val="24"/>
          <w:lang w:val="en-US"/>
        </w:rPr>
        <w:t xml:space="preserve">a </w:t>
      </w:r>
      <w:r w:rsidR="002C3EE8" w:rsidRPr="003D034F">
        <w:rPr>
          <w:rFonts w:ascii="Book Antiqua" w:hAnsi="Book Antiqua" w:cs="Calibri"/>
          <w:sz w:val="24"/>
          <w:szCs w:val="24"/>
          <w:lang w:val="en-US"/>
        </w:rPr>
        <w:t>clinical response with dose adjustment, combination with immunosuppressive</w:t>
      </w:r>
      <w:r w:rsidR="00892905" w:rsidRPr="003D034F">
        <w:rPr>
          <w:rFonts w:ascii="Book Antiqua" w:hAnsi="Book Antiqua" w:cs="Calibri"/>
          <w:sz w:val="24"/>
          <w:szCs w:val="24"/>
          <w:lang w:val="en-US"/>
        </w:rPr>
        <w:t xml:space="preserve"> therapy</w:t>
      </w:r>
      <w:r w:rsidR="002C3EE8" w:rsidRPr="003D034F">
        <w:rPr>
          <w:rFonts w:ascii="Book Antiqua" w:hAnsi="Book Antiqua" w:cs="Calibri"/>
          <w:sz w:val="24"/>
          <w:szCs w:val="24"/>
          <w:lang w:val="en-US"/>
        </w:rPr>
        <w:t xml:space="preserve"> or switching to another anti-TNF</w:t>
      </w:r>
      <w:r w:rsidR="00892905" w:rsidRPr="003D034F">
        <w:rPr>
          <w:rFonts w:ascii="Book Antiqua" w:hAnsi="Book Antiqua" w:cs="Calibri"/>
          <w:sz w:val="24"/>
          <w:szCs w:val="24"/>
          <w:lang w:val="en-US"/>
        </w:rPr>
        <w:t xml:space="preserve"> agent</w:t>
      </w:r>
      <w:r w:rsidR="002C3EE8" w:rsidRPr="003D034F">
        <w:rPr>
          <w:rFonts w:ascii="Book Antiqua" w:hAnsi="Book Antiqua" w:cs="Calibri"/>
          <w:sz w:val="24"/>
          <w:szCs w:val="24"/>
          <w:lang w:val="en-US"/>
        </w:rPr>
        <w:t>. Esophagectomy was not required</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"10.1097/MIB.0000000000000469", "ISBN" : "1078-0998", "ISSN" : "15364844", "PMID" : "26083616", "abstract" : "Background: Esophageal Crohn's disease (CD) is challenging and often a disabling phenotype of disease. We aimed to report the clinical, endoscopic, histologic features, and treatment outcomes of esophageal patients with CD. Methods: Esophageal patients with CD evaluated at the Mayo Clinic in Rochester, MN, between January, 1998, and December, 2012, were identified. Results: Twenty-four cases of esophageal CD were identified. The median age of diagnosis was 23 years (range, 12-60). Twenty-one patients (88%) had extraesophageal CD and 8 patients (33%) had oral ulcers at the time of esophageal CD symptom onset. The majority of patients had esophageal-specific symptoms. Mid (29%) or distal (29%) esophagus was the most common site of involvement. Inflammatory esophageal CD (75%) was marked by superficial ulcerations (58%), erythema and/or erosions (50%), deep ulcerations (13%), and pseudopolyps (4%) on endoscopy. Four patients (17%) were found to have esophageal strictures and 2 patients (8%) had fistulizing disease. Chronic inflammation (83%) was seen on biopsy in the majority of cases with 5 patients having associated granulomas. In our series, inflammatory esophageal CD responded to prednisone, topical budesonide, or biologics. Stricturing esophageal CD was successfully treated with a combination of biologic therapy, immunomodulators, and serial dilations with/without steroid injections. Aggressive medical therapy with biologics and endoscopic therapy was used for fistulizing esophageal CD, however, was not universally effective. Conclusions: Esophageal CD should be considered in all patients with CD with upper gastrointestinal symptoms. Early recognition, diagnosis, and aggressive medical and/or endoscopic treatment are needed for successful outcomes. Copyright Ac 2015 Crohn's &amp; Colitis Foundation of America, Inc", "author" : [ { "dropping-particle" : "", "family" : "Felice", "given" : "Kara M.", "non-dropping-particle" : "De", "parse-names" : false, "suffix" : "" }, { "dropping-particle" : "", "family" : "Katzka", "given" : "David A.", "non-dropping-particle" : "", "parse-names" : false, "suffix" : "" }, { "dropping-particle" : "", "family" : "Raffals", "given" : "Laura E.", "non-dropping-particle" : "", "parse-names" : false, "suffix" : "" } ], "container-title" : "Inflammatory Bowel Diseases", "id" : "ITEM-1", "issue" : "9", "issued" : { "date-parts" : [ [ "2015" ] ] }, "page" : "2106-2113", "title" : "Crohn's disease of the esophagus: Clinical features and treatment outcomes in the biologic era", "type" : "article-journal", "volume" : "21" }, "uris" : [ "http://www.mendeley.com/documents/?uuid=722c966f-57c3-45c1-a9f3-5c4adfb8739e" ] } ], "mendeley" : { "formattedCitation" : "&lt;sup&gt;[29]&lt;/sup&gt;", "plainTextFormattedCitation" : "[29]", "previouslyFormattedCitation" : "&lt;sup&gt;[29]&lt;/sup&gt;"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[29]</w:t>
      </w:r>
      <w:r w:rsidR="00056AC0" w:rsidRPr="003D034F">
        <w:rPr>
          <w:rFonts w:ascii="Book Antiqua" w:hAnsi="Book Antiqua" w:cs="Calibri"/>
          <w:sz w:val="24"/>
          <w:szCs w:val="24"/>
          <w:lang w:val="en-US"/>
        </w:rPr>
        <w:fldChar w:fldCharType="end"/>
      </w:r>
      <w:r w:rsidR="0088746D" w:rsidRPr="003D034F">
        <w:rPr>
          <w:rFonts w:ascii="Book Antiqua" w:hAnsi="Book Antiqua" w:cs="Calibri"/>
          <w:sz w:val="24"/>
          <w:szCs w:val="24"/>
          <w:lang w:val="en-US"/>
        </w:rPr>
        <w:t>.</w:t>
      </w:r>
      <w:r w:rsidR="00E45955" w:rsidRPr="003D034F">
        <w:rPr>
          <w:rFonts w:ascii="Book Antiqua" w:hAnsi="Book Antiqua" w:cs="Calibri"/>
          <w:sz w:val="24"/>
          <w:szCs w:val="24"/>
          <w:lang w:val="en-US" w:eastAsia="zh-CN"/>
        </w:rPr>
        <w:t xml:space="preserve"> </w:t>
      </w:r>
      <w:r w:rsidR="005C6AC7" w:rsidRPr="003D034F">
        <w:rPr>
          <w:rFonts w:ascii="Book Antiqua" w:hAnsi="Book Antiqua" w:cs="Calibri"/>
          <w:sz w:val="24"/>
          <w:szCs w:val="24"/>
          <w:lang w:val="en-US"/>
        </w:rPr>
        <w:t xml:space="preserve">Some case reports reinforce the usefulness of biological therapy for the treatment of esophageal CD complicated or refractory to conventional therapy, both with </w:t>
      </w:r>
      <w:r w:rsidR="00892905" w:rsidRPr="003D034F">
        <w:rPr>
          <w:rFonts w:ascii="Book Antiqua" w:hAnsi="Book Antiqua" w:cs="Calibri"/>
          <w:sz w:val="24"/>
          <w:szCs w:val="24"/>
          <w:lang w:val="en-US"/>
        </w:rPr>
        <w:t>i</w:t>
      </w:r>
      <w:r w:rsidR="005C6AC7" w:rsidRPr="003D034F">
        <w:rPr>
          <w:rFonts w:ascii="Book Antiqua" w:hAnsi="Book Antiqua" w:cs="Calibri"/>
          <w:sz w:val="24"/>
          <w:szCs w:val="24"/>
          <w:lang w:val="en-US"/>
        </w:rPr>
        <w:t xml:space="preserve">nfliximab and with </w:t>
      </w:r>
      <w:r w:rsidR="00892905" w:rsidRPr="003D034F">
        <w:rPr>
          <w:rFonts w:ascii="Book Antiqua" w:hAnsi="Book Antiqua" w:cs="Calibri"/>
          <w:sz w:val="24"/>
          <w:szCs w:val="24"/>
          <w:lang w:val="en-US"/>
        </w:rPr>
        <w:t>a</w:t>
      </w:r>
      <w:r w:rsidR="005C6AC7" w:rsidRPr="003D034F">
        <w:rPr>
          <w:rFonts w:ascii="Book Antiqua" w:hAnsi="Book Antiqua" w:cs="Calibri"/>
          <w:sz w:val="24"/>
          <w:szCs w:val="24"/>
          <w:lang w:val="en-US"/>
        </w:rPr>
        <w:t>dalimumab, avoiding esophagectomy</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"10.1002/ibd.20103", "ISSN" : "10780998", "PMID" : "17221856", "author" : [ { "dropping-particle" : "", "family" : "Kwan", "given" : "Lola Y.", "non-dropping-particle" : "", "parse-names" : false, "suffix" : "" }, { "dropping-particle" : "", "family" : "Conklin", "given" : "Jeffrey L.", "non-dropping-particle" : "", "parse-names" : false, "suffix" : "" }, { "dropping-particle" : "", "family" : "Papadakis", "given" : "Konstantinos A.", "non-dropping-particle" : "", "parse-names" : false, "suffix" : "" } ], "container-title" : "Inflammatory Bowel Diseases", "id" : "ITEM-1", "issue" : "5", "issued" : { "date-parts" : [ [ "2007" ] ] }, "page" : "639-640", "title" : "Esophageal Crohn's disease treated successfully with adalimumab", "type" : "article-journal", "volume" : "13" }, "uris" : [ "http://www.mendeley.com/documents/?uuid=7791f0e8-259c-4e3f-a6ea-591d4666a82f" ] } ], "mendeley" : { "formattedCitation" : "&lt;sup&gt;[46]&lt;/sup&gt;", "plainTextFormattedCitation" : "[46]", "previouslyFormattedCitation" : "&lt;sup&gt;[46]&lt;/sup&gt;"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[46</w:t>
      </w:r>
      <w:r w:rsidR="00E45955" w:rsidRPr="003D034F">
        <w:rPr>
          <w:rFonts w:ascii="Book Antiqua" w:hAnsi="Book Antiqua" w:cs="Calibri"/>
          <w:sz w:val="24"/>
          <w:szCs w:val="24"/>
          <w:vertAlign w:val="superscript"/>
          <w:lang w:val="en-US" w:eastAsia="zh-CN"/>
        </w:rPr>
        <w:t>-48</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0900FA" w:rsidRPr="003D034F">
        <w:rPr>
          <w:rFonts w:ascii="Book Antiqua" w:hAnsi="Book Antiqua" w:cs="Calibri"/>
          <w:sz w:val="24"/>
          <w:szCs w:val="24"/>
          <w:lang w:val="en-US"/>
        </w:rPr>
        <w:t xml:space="preserve">. </w:t>
      </w:r>
    </w:p>
    <w:p w:rsidR="001209A6" w:rsidRPr="003D034F" w:rsidRDefault="001209A6" w:rsidP="003D034F">
      <w:pPr>
        <w:spacing w:after="0" w:line="360" w:lineRule="auto"/>
        <w:jc w:val="both"/>
        <w:rPr>
          <w:rFonts w:ascii="Book Antiqua" w:hAnsi="Book Antiqua" w:cs="Calibri"/>
          <w:b/>
          <w:sz w:val="24"/>
          <w:szCs w:val="24"/>
          <w:u w:val="single"/>
          <w:lang w:val="en-US"/>
        </w:rPr>
      </w:pPr>
    </w:p>
    <w:p w:rsidR="00CE05D3" w:rsidRPr="003D034F" w:rsidRDefault="00892905" w:rsidP="003D034F">
      <w:pPr>
        <w:spacing w:after="0" w:line="360" w:lineRule="auto"/>
        <w:jc w:val="both"/>
        <w:rPr>
          <w:rFonts w:ascii="Book Antiqua" w:hAnsi="Book Antiqua" w:cs="Calibri"/>
          <w:b/>
          <w:sz w:val="24"/>
          <w:szCs w:val="24"/>
          <w:lang w:val="en-US"/>
        </w:rPr>
      </w:pPr>
      <w:r w:rsidRPr="003D034F">
        <w:rPr>
          <w:rFonts w:ascii="Book Antiqua" w:hAnsi="Book Antiqua" w:cs="Calibri"/>
          <w:b/>
          <w:sz w:val="24"/>
          <w:szCs w:val="24"/>
          <w:lang w:val="en-US"/>
        </w:rPr>
        <w:t xml:space="preserve">GASTRODUODENAL </w:t>
      </w:r>
      <w:r w:rsidR="00CE05D3" w:rsidRPr="003D034F">
        <w:rPr>
          <w:rFonts w:ascii="Book Antiqua" w:hAnsi="Book Antiqua" w:cs="Calibri"/>
          <w:b/>
          <w:sz w:val="24"/>
          <w:szCs w:val="24"/>
          <w:lang w:val="en-US"/>
        </w:rPr>
        <w:t>CROHN</w:t>
      </w:r>
      <w:r w:rsidR="00E45955" w:rsidRPr="003D034F">
        <w:rPr>
          <w:rFonts w:ascii="Book Antiqua" w:hAnsi="Book Antiqua" w:cs="Calibri"/>
          <w:b/>
          <w:sz w:val="24"/>
          <w:szCs w:val="24"/>
          <w:lang w:val="en-US" w:eastAsia="zh-CN"/>
        </w:rPr>
        <w:t>’</w:t>
      </w:r>
      <w:r w:rsidRPr="003D034F">
        <w:rPr>
          <w:rFonts w:ascii="Book Antiqua" w:hAnsi="Book Antiqua" w:cs="Calibri"/>
          <w:b/>
          <w:sz w:val="24"/>
          <w:szCs w:val="24"/>
          <w:lang w:val="en-US"/>
        </w:rPr>
        <w:t>S</w:t>
      </w:r>
      <w:r w:rsidR="00CE05D3" w:rsidRPr="003D034F">
        <w:rPr>
          <w:rFonts w:ascii="Book Antiqua" w:hAnsi="Book Antiqua" w:cs="Calibri"/>
          <w:b/>
          <w:sz w:val="24"/>
          <w:szCs w:val="24"/>
          <w:lang w:val="en-US"/>
        </w:rPr>
        <w:t xml:space="preserve"> DISEASE </w:t>
      </w:r>
    </w:p>
    <w:p w:rsidR="00342DF9" w:rsidRPr="003D034F" w:rsidRDefault="00892905" w:rsidP="003D034F">
      <w:pPr>
        <w:spacing w:after="0" w:line="360" w:lineRule="auto"/>
        <w:jc w:val="both"/>
        <w:rPr>
          <w:rFonts w:ascii="Book Antiqua" w:hAnsi="Book Antiqua" w:cs="Calibri"/>
          <w:sz w:val="24"/>
          <w:szCs w:val="24"/>
          <w:lang w:val="en-US"/>
        </w:rPr>
      </w:pPr>
      <w:r w:rsidRPr="003D034F">
        <w:rPr>
          <w:rFonts w:ascii="Book Antiqua" w:hAnsi="Book Antiqua" w:cs="Calibri"/>
          <w:sz w:val="24"/>
          <w:szCs w:val="24"/>
          <w:lang w:val="en-US"/>
        </w:rPr>
        <w:t>G</w:t>
      </w:r>
      <w:r w:rsidR="0008585C" w:rsidRPr="003D034F">
        <w:rPr>
          <w:rFonts w:ascii="Book Antiqua" w:hAnsi="Book Antiqua" w:cs="Calibri"/>
          <w:sz w:val="24"/>
          <w:szCs w:val="24"/>
          <w:lang w:val="en-US"/>
        </w:rPr>
        <w:t>astroduodenal CD has a prevalence of 0.5% to 4%</w:t>
      </w:r>
      <w:r w:rsidRPr="003D034F">
        <w:rPr>
          <w:rFonts w:ascii="Book Antiqua" w:hAnsi="Book Antiqua" w:cs="Calibri"/>
          <w:sz w:val="24"/>
          <w:szCs w:val="24"/>
          <w:lang w:val="en-US"/>
        </w:rPr>
        <w:t>. T</w:t>
      </w:r>
      <w:r w:rsidR="0008585C" w:rsidRPr="003D034F">
        <w:rPr>
          <w:rFonts w:ascii="Book Antiqua" w:hAnsi="Book Antiqua" w:cs="Calibri"/>
          <w:sz w:val="24"/>
          <w:szCs w:val="24"/>
          <w:lang w:val="en-US"/>
        </w:rPr>
        <w:t>he isolated involvement of the stomach and duodenum occur</w:t>
      </w:r>
      <w:r w:rsidRPr="003D034F">
        <w:rPr>
          <w:rFonts w:ascii="Book Antiqua" w:hAnsi="Book Antiqua" w:cs="Calibri"/>
          <w:sz w:val="24"/>
          <w:szCs w:val="24"/>
          <w:lang w:val="en-US"/>
        </w:rPr>
        <w:t>s</w:t>
      </w:r>
      <w:r w:rsidR="0008585C" w:rsidRPr="003D034F">
        <w:rPr>
          <w:rFonts w:ascii="Book Antiqua" w:hAnsi="Book Antiqua" w:cs="Calibri"/>
          <w:sz w:val="24"/>
          <w:szCs w:val="24"/>
          <w:lang w:val="en-US"/>
        </w:rPr>
        <w:t xml:space="preserve"> in les</w:t>
      </w:r>
      <w:r w:rsidR="00DC494C" w:rsidRPr="003D034F">
        <w:rPr>
          <w:rFonts w:ascii="Book Antiqua" w:hAnsi="Book Antiqua" w:cs="Calibri"/>
          <w:sz w:val="24"/>
          <w:szCs w:val="24"/>
          <w:lang w:val="en-US"/>
        </w:rPr>
        <w:t>s than 0.07% of all cases of CD</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"10.12998/wjcc.v3.i6.479", "ISSN" : "2307-8960", "PMID" : "26090366", "abstract" : "Crohn's disease (CD) is a chronic idiopathic inflammatory disease of gastrointestinal tract characterized by segmental and transmural involvement of gastrointestinal tract. Ileocolonic and colonic/anorectal is a most common and account for 40% of cases and involvement of small intestine is about 30%. Isolated involvement of stomach is an extremely unusual presentation of the disease accounting for less than 0.07% of all gastrointestinal CD. To date there are only a few documented case reports of adults with isolated gastric CD and no reports in the pediatric population. The diagnosis is difficult to establish in such cases with atypical presentation. In the absence of any other source of disease and in the presence of nonspecific upper gastrointestinal endoscopy and histological findings, serological testing can play a vital role in the diagnosis of atypical CD. Recent studies have suggested that perinuclear anti-neutrophil cytoplasmic antibody and anti-Saccharomycescervisia antibody may be used as additional diagnostic tools. The effectiveness of infliximab in isolated gastric CD is limited to only a few case reports of adult patients and the long-term outcome is unknown.", "author" : [ { "dropping-particle" : "", "family" : "Ingle", "given" : "S B", "non-dropping-particle" : "", "parse-names" : false, "suffix" : "" }, { "dropping-particle" : "", "family" : "Adgaonkar", "given" : "B D", "non-dropping-particle" : "", "parse-names" : false, "suffix" : "" }, { "dropping-particle" : "", "family" : "Jamadar", "given" : "N P", "non-dropping-particle" : "", "parse-names" : false, "suffix" : "" }, { "dropping-particle" : "", "family" : "Siddiqui", "given" : "S", "non-dropping-particle" : "", "parse-names" : false, "suffix" : "" }, { "dropping-particle" : "", "family" : "Hinge", "given" : "C R", "non-dropping-particle" : "", "parse-names" : false, "suffix" : "" } ], "container-title" : "World J Clin Cases", "id" : "ITEM-1", "issue" : "6", "issued" : { "date-parts" : [ [ "2015" ] ] }, "page" : "479-483", "title" : "Crohn's disease with gastroduodenal involvement: Diagnostic approach", "type" : "article-journal", "volume" : "3" }, "uris" : [ "http://www.mendeley.com/documents/?uuid=9cf3e649-cbaa-48f5-93d0-32a61911b763" ] } ], "mendeley" : { "formattedCitation" : "&lt;sup&gt;[49]&lt;/sup&gt;", "plainTextFormattedCitation" : "[49]", "previouslyFormattedCitation" : "&lt;sup&gt;[49]&lt;/sup&gt;"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w:t>
      </w:r>
      <w:r w:rsidR="00DC494C" w:rsidRPr="003D034F">
        <w:rPr>
          <w:rFonts w:ascii="Book Antiqua" w:hAnsi="Book Antiqua" w:cs="Calibri"/>
          <w:sz w:val="24"/>
          <w:szCs w:val="24"/>
          <w:vertAlign w:val="superscript"/>
          <w:lang w:val="en-US" w:eastAsia="zh-CN"/>
        </w:rPr>
        <w:t>13,</w:t>
      </w:r>
      <w:r w:rsidR="00EE109A" w:rsidRPr="003D034F">
        <w:rPr>
          <w:rFonts w:ascii="Book Antiqua" w:hAnsi="Book Antiqua" w:cs="Calibri"/>
          <w:sz w:val="24"/>
          <w:szCs w:val="24"/>
          <w:vertAlign w:val="superscript"/>
          <w:lang w:val="en-US"/>
        </w:rPr>
        <w:t>49</w:t>
      </w:r>
      <w:r w:rsidR="00DC494C" w:rsidRPr="003D034F">
        <w:rPr>
          <w:rFonts w:ascii="Book Antiqua" w:hAnsi="Book Antiqua" w:cs="Calibri"/>
          <w:sz w:val="24"/>
          <w:szCs w:val="24"/>
          <w:vertAlign w:val="superscript"/>
          <w:lang w:val="en-US" w:eastAsia="zh-CN"/>
        </w:rPr>
        <w:t>-52</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342DF9" w:rsidRPr="003D034F">
        <w:rPr>
          <w:rFonts w:ascii="Book Antiqua" w:hAnsi="Book Antiqua" w:cs="Calibri"/>
          <w:sz w:val="24"/>
          <w:szCs w:val="24"/>
          <w:lang w:val="en-US"/>
        </w:rPr>
        <w:t xml:space="preserve">. </w:t>
      </w:r>
      <w:r w:rsidR="0008585C" w:rsidRPr="003D034F">
        <w:rPr>
          <w:rFonts w:ascii="Book Antiqua" w:hAnsi="Book Antiqua" w:cs="Calibri"/>
          <w:sz w:val="24"/>
          <w:szCs w:val="24"/>
          <w:lang w:val="en-US"/>
        </w:rPr>
        <w:t xml:space="preserve">A higher frequency of findings is reported in more recent studies, </w:t>
      </w:r>
      <w:r w:rsidRPr="003D034F">
        <w:rPr>
          <w:rFonts w:ascii="Book Antiqua" w:hAnsi="Book Antiqua" w:cs="Calibri"/>
          <w:sz w:val="24"/>
          <w:szCs w:val="24"/>
          <w:lang w:val="en-US"/>
        </w:rPr>
        <w:t xml:space="preserve">though </w:t>
      </w:r>
      <w:r w:rsidR="0008585C" w:rsidRPr="003D034F">
        <w:rPr>
          <w:rFonts w:ascii="Book Antiqua" w:hAnsi="Book Antiqua" w:cs="Calibri"/>
          <w:sz w:val="24"/>
          <w:szCs w:val="24"/>
          <w:lang w:val="en-US"/>
        </w:rPr>
        <w:t xml:space="preserve">with different diagnostic criteria. CD involving the duodenum is rare. </w:t>
      </w:r>
      <w:r w:rsidRPr="003D034F">
        <w:rPr>
          <w:rFonts w:ascii="Book Antiqua" w:hAnsi="Book Antiqua" w:cs="Calibri"/>
          <w:sz w:val="24"/>
          <w:szCs w:val="24"/>
          <w:lang w:val="en-US"/>
        </w:rPr>
        <w:t>A c</w:t>
      </w:r>
      <w:r w:rsidR="0008585C" w:rsidRPr="003D034F">
        <w:rPr>
          <w:rFonts w:ascii="Book Antiqua" w:hAnsi="Book Antiqua" w:cs="Calibri"/>
          <w:sz w:val="24"/>
          <w:szCs w:val="24"/>
          <w:lang w:val="en-US"/>
        </w:rPr>
        <w:t>ase series performed by Nugent</w:t>
      </w:r>
      <w:r w:rsidR="00AC0CB3" w:rsidRPr="003D034F">
        <w:rPr>
          <w:rFonts w:ascii="Book Antiqua" w:hAnsi="Book Antiqua" w:cs="Calibri"/>
          <w:i/>
          <w:sz w:val="24"/>
          <w:szCs w:val="24"/>
          <w:lang w:val="en-US"/>
        </w:rPr>
        <w:t xml:space="preserve"> et al</w:t>
      </w:r>
      <w:r w:rsidR="00AC0CB3" w:rsidRPr="003D034F">
        <w:rPr>
          <w:rFonts w:ascii="Book Antiqua" w:hAnsi="Book Antiqua" w:cs="Calibri"/>
          <w:sz w:val="24"/>
          <w:szCs w:val="24"/>
        </w:rPr>
        <w:fldChar w:fldCharType="begin" w:fldLock="1"/>
      </w:r>
      <w:r w:rsidR="00AC0CB3" w:rsidRPr="003D034F">
        <w:rPr>
          <w:rFonts w:ascii="Book Antiqua" w:hAnsi="Book Antiqua" w:cs="Calibri"/>
          <w:sz w:val="24"/>
          <w:szCs w:val="24"/>
          <w:lang w:val="en-US"/>
        </w:rPr>
        <w:instrText>ADDIN CSL_CITATION { "citationItems" : [ { "id" : "ITEM-1", "itemData" : { "PMID" : "856671", "author" : [ { "dropping-particle" : "", "family" : "Nugent", "given" : "F Warren", "non-dropping-particle" : "", "parse-names" : false, "suffix" : "" }, { "dropping-particle" : "", "family" : "Richmond", "given" : "M", "non-dropping-particle" : "", "parse-names" : false, "suffix" : "" }, { "dropping-particle" : "", "family" : "Park", "given" : "S K", "non-dropping-particle" : "", "parse-names" : false, "suffix" : "" } ], "container-title" : "Gut", "id" : "ITEM-1", "issue" : "August 1976", "issued" : { "date-parts" : [ [ "1977" ] ] }, "page" : "115-120", "title" : "Crohn's disease of the duodenum", "type" : "article-journal", "volume" : "18" }, "uris" : [ "http://www.mendeley.com/documents/?uuid=75ac6c48-5321-4150-bc39-3ca57955936d" ] } ], "mendeley" : { "formattedCitation" : "&lt;sup&gt;[25]&lt;/sup&gt;", "plainTextFormattedCitation" : "[25]", "previouslyFormattedCitation" : "&lt;sup&gt;[25]&lt;/sup&gt;" }, "properties" : {  }, "schema" : "https://github.com/citation-style-language/schema/raw/master/csl-citation.json" }</w:instrText>
      </w:r>
      <w:r w:rsidR="00AC0CB3" w:rsidRPr="003D034F">
        <w:rPr>
          <w:rFonts w:ascii="Book Antiqua" w:hAnsi="Book Antiqua" w:cs="Calibri"/>
          <w:sz w:val="24"/>
          <w:szCs w:val="24"/>
        </w:rPr>
        <w:fldChar w:fldCharType="separate"/>
      </w:r>
      <w:r w:rsidR="00AC0CB3" w:rsidRPr="003D034F">
        <w:rPr>
          <w:rFonts w:ascii="Book Antiqua" w:hAnsi="Book Antiqua" w:cs="Calibri"/>
          <w:noProof/>
          <w:sz w:val="24"/>
          <w:szCs w:val="24"/>
          <w:vertAlign w:val="superscript"/>
          <w:lang w:val="en-US"/>
        </w:rPr>
        <w:t>[25]</w:t>
      </w:r>
      <w:r w:rsidR="00AC0CB3" w:rsidRPr="003D034F">
        <w:rPr>
          <w:rFonts w:ascii="Book Antiqua" w:hAnsi="Book Antiqua" w:cs="Calibri"/>
          <w:sz w:val="24"/>
          <w:szCs w:val="24"/>
        </w:rPr>
        <w:fldChar w:fldCharType="end"/>
      </w:r>
      <w:r w:rsidR="0008585C" w:rsidRPr="003D034F">
        <w:rPr>
          <w:rFonts w:ascii="Book Antiqua" w:hAnsi="Book Antiqua" w:cs="Calibri"/>
          <w:sz w:val="24"/>
          <w:szCs w:val="24"/>
          <w:lang w:val="en-US"/>
        </w:rPr>
        <w:t xml:space="preserve"> demonstrated 36 cases of duodenal involvement, which represented 2% of the total population of new CD patients over a 20-year period. The proximal duodenal involvement was accompanied by distal involvement of the stomach in most cases, with a smaller number of patients with isolated involvement of the duodenum or in contiguity with the proximal jejunum</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"856671", "author" : [ { "dropping-particle" : "", "family" : "Nugent", "given" : "F Warren", "non-dropping-particle" : "", "parse-names" : false, "suffix" : "" }, { "dropping-particle" : "", "family" : "Richmond", "given" : "M", "non-dropping-particle" : "", "parse-names" : false, "suffix" : "" }, { "dropping-particle" : "", "family" : "Park", "given" : "S K", "non-dropping-particle" : "", "parse-names" : false, "suffix" : "" } ], "container-title" : "Gut", "id" : "ITEM-1", "issue" : "August 1976", "issued" : { "date-parts" : [ [ "1977" ] ] }, "page" : "115-120", "title" : "Crohn's disease of the duodenum", "type" : "article-journal", "volume" : "18" }, "uris" : [ "http://www.mendeley.com/documents/?uuid=75ac6c48-5321-4150-bc39-3ca57955936d" ] } ], "mendeley" : { "formattedCitation" : "&lt;sup&gt;[25]&lt;/sup&gt;", "plainTextFormattedCitation" : "[25]", "previouslyFormattedCitation" : "&lt;sup&gt;[25]&lt;/sup&gt;"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[25]</w:t>
      </w:r>
      <w:r w:rsidR="00056AC0" w:rsidRPr="003D034F">
        <w:rPr>
          <w:rFonts w:ascii="Book Antiqua" w:hAnsi="Book Antiqua" w:cs="Calibri"/>
          <w:sz w:val="24"/>
          <w:szCs w:val="24"/>
          <w:lang w:val="en-US"/>
        </w:rPr>
        <w:fldChar w:fldCharType="end"/>
      </w:r>
      <w:r w:rsidR="0082245B" w:rsidRPr="003D034F">
        <w:rPr>
          <w:rFonts w:ascii="Book Antiqua" w:hAnsi="Book Antiqua" w:cs="Calibri"/>
          <w:sz w:val="24"/>
          <w:szCs w:val="24"/>
          <w:lang w:val="en-US"/>
        </w:rPr>
        <w:t xml:space="preserve">. </w:t>
      </w:r>
    </w:p>
    <w:p w:rsidR="00B9550A" w:rsidRPr="003D034F" w:rsidRDefault="00B9550A" w:rsidP="003D034F">
      <w:pPr>
        <w:spacing w:after="0" w:line="360" w:lineRule="auto"/>
        <w:jc w:val="both"/>
        <w:rPr>
          <w:rFonts w:ascii="Book Antiqua" w:hAnsi="Book Antiqua" w:cs="Calibri"/>
          <w:b/>
          <w:sz w:val="24"/>
          <w:szCs w:val="24"/>
          <w:u w:val="single"/>
          <w:lang w:val="en-US"/>
        </w:rPr>
      </w:pPr>
    </w:p>
    <w:p w:rsidR="0008585C" w:rsidRPr="003D034F" w:rsidRDefault="0008585C" w:rsidP="003D034F">
      <w:pPr>
        <w:spacing w:after="0" w:line="360" w:lineRule="auto"/>
        <w:jc w:val="both"/>
        <w:rPr>
          <w:rFonts w:ascii="Book Antiqua" w:hAnsi="Book Antiqua" w:cs="Calibri"/>
          <w:b/>
          <w:sz w:val="24"/>
          <w:szCs w:val="24"/>
          <w:lang w:val="en-US"/>
        </w:rPr>
      </w:pPr>
      <w:r w:rsidRPr="003D034F">
        <w:rPr>
          <w:rFonts w:ascii="Book Antiqua" w:hAnsi="Book Antiqua" w:cs="Calibri"/>
          <w:b/>
          <w:sz w:val="24"/>
          <w:szCs w:val="24"/>
          <w:lang w:val="en-US"/>
        </w:rPr>
        <w:t>DIAGNOSIS</w:t>
      </w:r>
    </w:p>
    <w:p w:rsidR="0008585C" w:rsidRPr="003D034F" w:rsidRDefault="00DC494C" w:rsidP="003D034F">
      <w:pPr>
        <w:spacing w:after="0" w:line="360" w:lineRule="auto"/>
        <w:jc w:val="both"/>
        <w:rPr>
          <w:rFonts w:ascii="Book Antiqua" w:hAnsi="Book Antiqua" w:cs="Calibri"/>
          <w:b/>
          <w:i/>
          <w:sz w:val="24"/>
          <w:szCs w:val="24"/>
          <w:lang w:val="en-US"/>
        </w:rPr>
      </w:pPr>
      <w:r w:rsidRPr="003D034F">
        <w:rPr>
          <w:rFonts w:ascii="Book Antiqua" w:hAnsi="Book Antiqua" w:cs="Calibri"/>
          <w:b/>
          <w:i/>
          <w:sz w:val="24"/>
          <w:szCs w:val="24"/>
          <w:lang w:val="en-US"/>
        </w:rPr>
        <w:t>Clinical condition</w:t>
      </w:r>
    </w:p>
    <w:p w:rsidR="004A79F3" w:rsidRPr="003D034F" w:rsidRDefault="0008585C" w:rsidP="003D034F">
      <w:pPr>
        <w:spacing w:after="0" w:line="360" w:lineRule="auto"/>
        <w:jc w:val="both"/>
        <w:rPr>
          <w:rFonts w:ascii="Book Antiqua" w:hAnsi="Book Antiqua" w:cs="Calibri"/>
          <w:sz w:val="24"/>
          <w:szCs w:val="24"/>
          <w:lang w:val="en-US"/>
        </w:rPr>
      </w:pPr>
      <w:r w:rsidRPr="003D034F">
        <w:rPr>
          <w:rFonts w:ascii="Book Antiqua" w:hAnsi="Book Antiqua" w:cs="Calibri"/>
          <w:sz w:val="24"/>
          <w:szCs w:val="24"/>
          <w:lang w:val="en-US"/>
        </w:rPr>
        <w:t>In general</w:t>
      </w:r>
      <w:r w:rsidR="00892905" w:rsidRPr="003D034F">
        <w:rPr>
          <w:rFonts w:ascii="Book Antiqua" w:hAnsi="Book Antiqua" w:cs="Calibri"/>
          <w:sz w:val="24"/>
          <w:szCs w:val="24"/>
          <w:lang w:val="en-US"/>
        </w:rPr>
        <w:t>,</w:t>
      </w:r>
      <w:r w:rsidRPr="003D034F">
        <w:rPr>
          <w:rFonts w:ascii="Book Antiqua" w:hAnsi="Book Antiqua" w:cs="Calibri"/>
          <w:sz w:val="24"/>
          <w:szCs w:val="24"/>
          <w:lang w:val="en-US"/>
        </w:rPr>
        <w:t xml:space="preserve"> the patients are asymptomatic. Clinically symptomatic disease often arises at the same time or af</w:t>
      </w:r>
      <w:r w:rsidR="00DC494C" w:rsidRPr="003D034F">
        <w:rPr>
          <w:rFonts w:ascii="Book Antiqua" w:hAnsi="Book Antiqua" w:cs="Calibri"/>
          <w:sz w:val="24"/>
          <w:szCs w:val="24"/>
          <w:lang w:val="en-US"/>
        </w:rPr>
        <w:t>ter the onset of bowel symptoms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"856671", "author" : [ { "dropping-particle" : "", "family" : "Nugent", "given" : "F Warren", "non-dropping-particle" : "", "parse-names" : false, "suffix" : "" }, { "dropping-particle" : "", "family" : "Richmond", "given" : "M", "non-dropping-particle" : "", "parse-names" : false, "suffix" : "" }, { "dropping-particle" : "", "family" : "Park", "given" : "S K", "non-dropping-particle" : "", "parse-names" : false, "suffix" : "" } ], "container-title" : "Gut", "id" : "ITEM-1", "issue" : "August 1976", "issued" : { "date-parts" : [ [ "1977" ] ] }, "page" : "115-120", "title" : "Crohn's disease of the duodenum", "type" : "article-journal", "volume" : "18" }, "uris" : [ "http://www.mendeley.com/documents/?uuid=75ac6c48-5321-4150-bc39-3ca57955936d" ] } ], "mendeley" : { "formattedCitation" : "&lt;sup&gt;[25]&lt;/sup&gt;", "plainTextFormattedCitation" : "[25]", "previouslyFormattedCitation" : "&lt;sup&gt;[25]&lt;/sup&gt;"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[25]</w:t>
      </w:r>
      <w:r w:rsidR="00056AC0" w:rsidRPr="003D034F">
        <w:rPr>
          <w:rFonts w:ascii="Book Antiqua" w:hAnsi="Book Antiqua" w:cs="Calibri"/>
          <w:sz w:val="24"/>
          <w:szCs w:val="24"/>
          <w:lang w:val="en-US"/>
        </w:rPr>
        <w:fldChar w:fldCharType="end"/>
      </w:r>
      <w:r w:rsidR="006C3AE4" w:rsidRPr="003D034F">
        <w:rPr>
          <w:rFonts w:ascii="Book Antiqua" w:hAnsi="Book Antiqua" w:cs="Calibri"/>
          <w:sz w:val="24"/>
          <w:szCs w:val="24"/>
          <w:lang w:val="en-US"/>
        </w:rPr>
        <w:t xml:space="preserve">. </w:t>
      </w:r>
      <w:r w:rsidRPr="003D034F">
        <w:rPr>
          <w:rFonts w:ascii="Book Antiqua" w:hAnsi="Book Antiqua" w:cs="Calibri"/>
          <w:sz w:val="24"/>
          <w:szCs w:val="24"/>
          <w:lang w:val="en-US"/>
        </w:rPr>
        <w:t xml:space="preserve">The clinical picture includes abdominal pain, which can be localized in the epigastrium, nausea, vomiting, postprandial fullness, anorexia, </w:t>
      </w:r>
      <w:r w:rsidR="00892905" w:rsidRPr="003D034F">
        <w:rPr>
          <w:rFonts w:ascii="Book Antiqua" w:hAnsi="Book Antiqua" w:cs="Calibri"/>
          <w:sz w:val="24"/>
          <w:szCs w:val="24"/>
          <w:lang w:val="en-US"/>
        </w:rPr>
        <w:t xml:space="preserve">and </w:t>
      </w:r>
      <w:r w:rsidRPr="003D034F">
        <w:rPr>
          <w:rFonts w:ascii="Book Antiqua" w:hAnsi="Book Antiqua" w:cs="Calibri"/>
          <w:sz w:val="24"/>
          <w:szCs w:val="24"/>
          <w:lang w:val="en-US"/>
        </w:rPr>
        <w:t>fever. The presence of symptoms such as abdominal distension, postprandial vomiting, weight loss,</w:t>
      </w:r>
      <w:r w:rsidR="00892905" w:rsidRPr="003D034F">
        <w:rPr>
          <w:rFonts w:ascii="Book Antiqua" w:hAnsi="Book Antiqua" w:cs="Calibri"/>
          <w:sz w:val="24"/>
          <w:szCs w:val="24"/>
          <w:lang w:val="en-US"/>
        </w:rPr>
        <w:t xml:space="preserve"> and</w:t>
      </w:r>
      <w:r w:rsidRPr="003D034F">
        <w:rPr>
          <w:rFonts w:ascii="Book Antiqua" w:hAnsi="Book Antiqua" w:cs="Calibri"/>
          <w:sz w:val="24"/>
          <w:szCs w:val="24"/>
          <w:lang w:val="en-US"/>
        </w:rPr>
        <w:t xml:space="preserve"> early satiety may indicate more severe disease, usually due to stenosis obstruction</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"10.1159/000111028", "ISSN" : "0012-2823", "PMID" : "18239405", "abstract" : "Symptomatic gastroduodenal manifestations of Crohn's disease are rare, with less than 4% of patients being clinically symptomatic. Gastroduodenal involvement may, however, be found endoscopically in 20% and in up to 40% of cases histologically, most frequently as Helicobacter pylori-negative focal gastritis, usually in patients with concomitant distal ileal disease. In practice, the activity of concomitant distal Crohn's disease usually determines the indication for therapy, except in the presence of obstructive gastroduodenal symptoms. With the few data available, it seems correct to say that localized gastroduodenal disease should be treated with standard medical therapy used for more distal disease, with the exception of the galenic formulation of sulfasalazine and mesalazine with pH-dependent release. The presence of symptoms of obstruction needs aggressive therapy. If medical therapy with steroids and immunomodulatory drugs does not alleviate the symptoms, balloon dilation and surgery are the options to consider.", "author" : [ { "dropping-particle" : "", "family" : "Mottet C, Juillerat P, Pittet V, Gonvers JJ, Michetti P, Vader JP, Felley C", "given" : "Froehlich F.", "non-dropping-particle" : "", "parse-names" : false, "suffix" : "" } ], "container-title" : "Digestion", "id" : "ITEM-1", "issue" : "2", "issued" : { "date-parts" : [ [ "2007" ] ] }, "page" : "136-140", "title" : "Upper Gastrointestinal Crohn\u2019s Disease", "type" : "article-journal", "volume" : "76" }, "uris" : [ "http://www.mendeley.com/documents/?uuid=0b18f407-8252-4871-95d0-d0ca6c88b22a" ] } ], "mendeley" : { "formattedCitation" : "&lt;sup&gt;[53]&lt;/sup&gt;", "plainTextFormattedCitation" : "[53]", "previouslyFormattedCitation" : "&lt;sup&gt;[53]&lt;/sup&gt;"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[53]</w:t>
      </w:r>
      <w:r w:rsidR="00056AC0" w:rsidRPr="003D034F">
        <w:rPr>
          <w:rFonts w:ascii="Book Antiqua" w:hAnsi="Book Antiqua" w:cs="Calibri"/>
          <w:sz w:val="24"/>
          <w:szCs w:val="24"/>
          <w:lang w:val="en-US"/>
        </w:rPr>
        <w:fldChar w:fldCharType="end"/>
      </w:r>
      <w:r w:rsidR="00405BF7" w:rsidRPr="003D034F">
        <w:rPr>
          <w:rFonts w:ascii="Book Antiqua" w:hAnsi="Book Antiqua" w:cs="Calibri"/>
          <w:sz w:val="24"/>
          <w:szCs w:val="24"/>
          <w:lang w:val="en-US"/>
        </w:rPr>
        <w:t xml:space="preserve">. </w:t>
      </w:r>
      <w:r w:rsidRPr="003D034F">
        <w:rPr>
          <w:rFonts w:ascii="Book Antiqua" w:hAnsi="Book Antiqua" w:cs="Calibri"/>
          <w:sz w:val="24"/>
          <w:szCs w:val="24"/>
          <w:lang w:val="en-US"/>
        </w:rPr>
        <w:t xml:space="preserve">Gastroduodenal involvement usually manifests itself through insidious, gastritis-like symptoms, </w:t>
      </w:r>
      <w:r w:rsidR="00892905" w:rsidRPr="003D034F">
        <w:rPr>
          <w:rFonts w:ascii="Book Antiqua" w:hAnsi="Book Antiqua" w:cs="Calibri"/>
          <w:sz w:val="24"/>
          <w:szCs w:val="24"/>
          <w:lang w:val="en-US"/>
        </w:rPr>
        <w:t xml:space="preserve">but </w:t>
      </w:r>
      <w:r w:rsidRPr="003D034F">
        <w:rPr>
          <w:rFonts w:ascii="Book Antiqua" w:hAnsi="Book Antiqua" w:cs="Calibri"/>
          <w:sz w:val="24"/>
          <w:szCs w:val="24"/>
          <w:lang w:val="en-US"/>
        </w:rPr>
        <w:t>there are reports of atypical conditions, with rapid p</w:t>
      </w:r>
      <w:r w:rsidR="00DC1190" w:rsidRPr="003D034F">
        <w:rPr>
          <w:rFonts w:ascii="Book Antiqua" w:hAnsi="Book Antiqua" w:cs="Calibri"/>
          <w:sz w:val="24"/>
          <w:szCs w:val="24"/>
          <w:lang w:val="en-US"/>
        </w:rPr>
        <w:t>rogression to obstructive forms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"10.12998/wjcc.v1.i2.71", "ISSN" : "2307-8960", "PMID" : "24303469", "author" : [ { "dropping-particle" : "", "family" : "Ingle SB, Hinge CR, Dakhure S", "given" : "Bhosale SS", "non-dropping-particle" : "", "parse-names" : false, "suffix" : "" } ], "container-title" : "World Journal of Clinical Cases", "id" : "ITEM-1", "issue" : "2", "issued" : { "date-parts" : [ [ "2013" ] ] }, "page" : "71", "title" : "Isolated gastric Crohn\u2019s disease", "type" : "article-journal", "volume" : "1" }, "uris" : [ "http://www.mendeley.com/documents/?uuid=a8c1f162-b89e-4902-9332-9b63c7cff5ad" ] } ], "mendeley" : { "formattedCitation" : "&lt;sup&gt;[52]&lt;/sup&gt;", "plainTextFormattedCitation" : "[52]", "previouslyFormattedCitation" : "&lt;sup&gt;[52]&lt;/sup&gt;"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[52</w:t>
      </w:r>
      <w:r w:rsidR="00DC1190" w:rsidRPr="003D034F">
        <w:rPr>
          <w:rFonts w:ascii="Book Antiqua" w:hAnsi="Book Antiqua" w:cs="Calibri"/>
          <w:sz w:val="24"/>
          <w:szCs w:val="24"/>
          <w:vertAlign w:val="superscript"/>
          <w:lang w:val="en-US" w:eastAsia="zh-CN"/>
        </w:rPr>
        <w:t>,54</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573450" w:rsidRPr="003D034F">
        <w:rPr>
          <w:rFonts w:ascii="Book Antiqua" w:hAnsi="Book Antiqua" w:cs="Calibri"/>
          <w:sz w:val="24"/>
          <w:szCs w:val="24"/>
          <w:lang w:val="en-US"/>
        </w:rPr>
        <w:t>.</w:t>
      </w:r>
      <w:r w:rsidR="006C3AE4" w:rsidRPr="003D034F">
        <w:rPr>
          <w:rFonts w:ascii="Book Antiqua" w:hAnsi="Book Antiqua" w:cs="Calibri"/>
          <w:sz w:val="24"/>
          <w:szCs w:val="24"/>
          <w:lang w:val="en-US"/>
        </w:rPr>
        <w:t xml:space="preserve"> </w:t>
      </w:r>
      <w:r w:rsidRPr="003D034F">
        <w:rPr>
          <w:rFonts w:ascii="Book Antiqua" w:hAnsi="Book Antiqua" w:cs="Calibri"/>
          <w:sz w:val="24"/>
          <w:szCs w:val="24"/>
          <w:lang w:val="en-US"/>
        </w:rPr>
        <w:t>Less frequent presentations are upper gastrointestinal bleeding, delayed puberty, and chronic iron</w:t>
      </w:r>
      <w:r w:rsidR="00892905" w:rsidRPr="003D034F">
        <w:rPr>
          <w:rFonts w:ascii="Book Antiqua" w:hAnsi="Book Antiqua" w:cs="Calibri"/>
          <w:sz w:val="24"/>
          <w:szCs w:val="24"/>
          <w:lang w:val="en-US"/>
        </w:rPr>
        <w:t>-</w:t>
      </w:r>
      <w:r w:rsidRPr="003D034F">
        <w:rPr>
          <w:rFonts w:ascii="Book Antiqua" w:hAnsi="Book Antiqua" w:cs="Calibri"/>
          <w:sz w:val="24"/>
          <w:szCs w:val="24"/>
          <w:lang w:val="en-US"/>
        </w:rPr>
        <w:t>deficiency anemia</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"10.12998/wjcc.v3.i6.479", "ISSN" : "2307-8960", "PMID" : "26090366", "abstract" : "Crohn's disease (CD) is a chronic idiopathic inflammatory disease of gastrointestinal tract characterized by segmental and transmural involvement of gastrointestinal tract. Ileocolonic and colonic/anorectal is a most common and account for 40% of cases and involvement of small intestine is about 30%. Isolated involvement of stomach is an extremely unusual presentation of the disease accounting for less than 0.07% of all gastrointestinal CD. To date there are only a few documented case reports of adults with isolated gastric CD and no reports in the pediatric population. The diagnosis is difficult to establish in such cases with atypical presentation. In the absence of any other source of disease and in the presence of nonspecific upper gastrointestinal endoscopy and histological findings, serological testing can play a vital role in the diagnosis of atypical CD. Recent studies have suggested that perinuclear anti-neutrophil cytoplasmic antibody and anti-Saccharomycescervisia antibody may be used as additional diagnostic tools. The effectiveness of infliximab in isolated gastric CD is limited to only a few case reports of adult patients and the long-term outcome is unknown.", "author" : [ { "dropping-particle" : "", "family" : "Ingle", "given" : "S B", "non-dropping-particle" : "", "parse-names" : false, "suffix" : "" }, { "dropping-particle" : "", "family" : "Adgaonkar", "given" : "B D", "non-dropping-particle" : "", "parse-names" : false, "suffix" : "" }, { "dropping-particle" : "", "family" : "Jamadar", "given" : "N P", "non-dropping-particle" : "", "parse-names" : false, "suffix" : "" }, { "dropping-particle" : "", "family" : "Siddiqui", "given" : "S", "non-dropping-particle" : "", "parse-names" : false, "suffix" : "" }, { "dropping-particle" : "", "family" : "Hinge", "given" : "C R", "non-dropping-particle" : "", "parse-names" : false, "suffix" : "" } ], "container-title" : "World J Clin Cases", "id" : "ITEM-1", "issue" : "6", "issued" : { "date-parts" : [ [ "2015" ] ] }, "page" : "479-483", "title" : "Crohn's disease with gastroduodenal involvement: Diagnostic approach", "type" : "article-journal", "volume" : "3" }, "uris" : [ "http://www.mendeley.com/documents/?uuid=a4c306f3-2f5d-4587-8f14-14d91e2fd645" ] } ], "mendeley" : { "formattedCitation" : "&lt;sup&gt;[49]&lt;/sup&gt;", "plainTextFormattedCitation" : "[49]", "previouslyFormattedCitation" : "&lt;sup&gt;[49]&lt;/sup&gt;"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[49</w:t>
      </w:r>
      <w:r w:rsidR="00DC1190" w:rsidRPr="003D034F">
        <w:rPr>
          <w:rFonts w:ascii="Book Antiqua" w:hAnsi="Book Antiqua" w:cs="Calibri"/>
          <w:sz w:val="24"/>
          <w:szCs w:val="24"/>
          <w:vertAlign w:val="superscript"/>
          <w:lang w:val="en-US" w:eastAsia="zh-CN"/>
        </w:rPr>
        <w:t>,55</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2B5F4B" w:rsidRPr="003D034F">
        <w:rPr>
          <w:rFonts w:ascii="Book Antiqua" w:hAnsi="Book Antiqua" w:cs="Calibri"/>
          <w:sz w:val="24"/>
          <w:szCs w:val="24"/>
          <w:lang w:val="en-US"/>
        </w:rPr>
        <w:t>.</w:t>
      </w:r>
      <w:r w:rsidR="00381188" w:rsidRPr="003D034F">
        <w:rPr>
          <w:rFonts w:ascii="Book Antiqua" w:hAnsi="Book Antiqua" w:cs="Calibri"/>
          <w:sz w:val="24"/>
          <w:szCs w:val="24"/>
          <w:lang w:val="en-US"/>
        </w:rPr>
        <w:t xml:space="preserve"> </w:t>
      </w:r>
      <w:r w:rsidRPr="003D034F">
        <w:rPr>
          <w:rFonts w:ascii="Book Antiqua" w:hAnsi="Book Antiqua" w:cs="Calibri"/>
          <w:sz w:val="24"/>
          <w:szCs w:val="24"/>
          <w:lang w:val="en-US"/>
        </w:rPr>
        <w:t>Perforation, a frequent complication in peptic ulcer disease, is rare in gastroduodenal CD</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"11218159", "author" : [ { "dropping-particle" : "", "family" : "Reynolds", "given" : "Harry L", "non-dropping-particle" : "", "parse-names" : false, "suffix" : "" }, { "dropping-particle" : "", "family" : "Stellato", "given" : "Thomas A", "non-dropping-particle" : "", "parse-names" : false, "suffix" : "" } ], "container-title" : "Surgical Pathology Clinics", "id" : "ITEM-1", "issue" : "1", "issued" : { "date-parts" : [ [ "2001" ] ] }, "page" : "117-35", "title" : "Crohn\u2019s Disease of the Foregut", "type" : "article-journal", "volume" : "81" }, "uris" : [ "http://www.mendeley.com/documents/?uuid=78bd2599-5f0b-4081-8a8d-a911b865f218" ] } ], "mendeley" : { "formattedCitation" : "&lt;sup&gt;[56]&lt;/sup&gt;", "plainTextFormattedCitation" : "[56]", "previouslyFormattedCitation" : "&lt;sup&gt;[56]&lt;/sup&gt;"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[56]</w:t>
      </w:r>
      <w:r w:rsidR="00056AC0" w:rsidRPr="003D034F">
        <w:rPr>
          <w:rFonts w:ascii="Book Antiqua" w:hAnsi="Book Antiqua" w:cs="Calibri"/>
          <w:sz w:val="24"/>
          <w:szCs w:val="24"/>
          <w:lang w:val="en-US"/>
        </w:rPr>
        <w:fldChar w:fldCharType="end"/>
      </w:r>
      <w:r w:rsidR="007468E2" w:rsidRPr="003D034F">
        <w:rPr>
          <w:rFonts w:ascii="Book Antiqua" w:hAnsi="Book Antiqua" w:cs="Calibri"/>
          <w:sz w:val="24"/>
          <w:szCs w:val="24"/>
          <w:lang w:val="en-US"/>
        </w:rPr>
        <w:t xml:space="preserve">. </w:t>
      </w:r>
      <w:r w:rsidR="00217343" w:rsidRPr="003D034F">
        <w:rPr>
          <w:rFonts w:ascii="Book Antiqua" w:hAnsi="Book Antiqua" w:cs="Calibri"/>
          <w:sz w:val="24"/>
          <w:szCs w:val="24"/>
          <w:lang w:val="en-US"/>
        </w:rPr>
        <w:t>Gastroduodenal fistulas are uncommon and usually result from inflammatory activity in adjacent organs such as the transverse colon and ileocolonic anastomosis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"10.1080/003655299750025138", "ISBN" : "0036-5521 (Print)\\r0036-5521 (Linking)", "ISSN" : "00365521", "PMID" : "10563673", "abstract" : "BACKGROUND: This study was undertaken to assess the clinicopathologic features and management of gastroduodenal Crohn disease. METHODS: The medical records of 54 patients with gastroduodenal Crohn disease treated between 1958 and 1997 were reviewed. RESULTS: Gastroduodenal Crohn disease occurred in association with disease elsewhere in 52 patients (96%). The commonest pathology was stricture (n = 41), followed by ulceration (n = 4) and duodenocutaneous fistula (n = 2). Medical treatment was initially attempted in 31 patients, of whom 12 required no surgical treatment for gastroduodenal disease. Nineteen patients required surgery for gastroduodenal obstruction or fistula despite medical treatment. Overall, 33 patients (61%) required surgery; the indication was obstruction in 30, duodenocutaneous fistula in 2, and bleeding in 1. There was one postoperative death because of persistent bleeding and intraabdominal sepsis after oversewing of a bleeding ulcer. In obstructive disease 16 patients were treated by bypass surgery, 10 by strictureplasty, and 4 by gastrectomy. After surgery for obstructive disease anastomotic leak developed in three patients, and persistent gastric outlet obstruction was seen in six patients. In the long term 11 patients required reoperation for anastomotic obstruction (n = 9) or stomal ulceration (n = 2). For duodenocutaneous fistula one patient underwent simple closure of fistula, and the other patient duodenojejunostomy. Both of these patients developed an intra-abdominal abscess without evidence of leak. There has been no fistula recurrence. CONCLUSIONS: Gastroduodenal Crohn disease is a complex and difficult problem that is associated with serious complications and need for reoperation.", "author" : [ { "dropping-particle" : "", "family" : "Yamamoto", "given" : "T.", "non-dropping-particle" : "", "parse-names" : false, "suffix" : "" }, { "dropping-particle" : "", "family" : "Allan", "given" : "R. N.", "non-dropping-particle" : "", "parse-names" : false, "suffix" : "" }, { "dropping-particle" : "", "family" : "Keighley", "given" : "M. R B", "non-dropping-particle" : "", "parse-names" : false, "suffix" : "" } ], "container-title" : "Scandinavian Journal of Gastroenterology", "id" : "ITEM-1", "issue" : "10", "issued" : { "date-parts" : [ [ "1999" ] ] }, "page" : "1019-1024", "title" : "An audit of gastroduodenal Crohn disease: Clinicopathologic features and management", "type" : "article-journal", "volume" : "34" }, "uris" : [ "http://www.mendeley.com/documents/?uuid=bf7af457-e669-44d6-8af5-98967208d848" ] } ], "mendeley" : { "formattedCitation" : "&lt;sup&gt;[57]&lt;/sup&gt;", "plainTextFormattedCitation" : "[57]", "previouslyFormattedCitation" : "&lt;sup&gt;[57]&lt;/sup&gt;"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w:t>
      </w:r>
      <w:r w:rsidR="00DC1190" w:rsidRPr="003D034F">
        <w:rPr>
          <w:rFonts w:ascii="Book Antiqua" w:hAnsi="Book Antiqua" w:cs="Calibri"/>
          <w:sz w:val="24"/>
          <w:szCs w:val="24"/>
          <w:vertAlign w:val="superscript"/>
          <w:lang w:val="en-US" w:eastAsia="zh-CN"/>
        </w:rPr>
        <w:t>26,</w:t>
      </w:r>
      <w:r w:rsidR="00EE109A" w:rsidRPr="003D034F">
        <w:rPr>
          <w:rFonts w:ascii="Book Antiqua" w:hAnsi="Book Antiqua" w:cs="Calibri"/>
          <w:sz w:val="24"/>
          <w:szCs w:val="24"/>
          <w:vertAlign w:val="superscript"/>
          <w:lang w:val="en-US"/>
        </w:rPr>
        <w:t>57]</w:t>
      </w:r>
      <w:r w:rsidR="00056AC0" w:rsidRPr="003D034F">
        <w:rPr>
          <w:rFonts w:ascii="Book Antiqua" w:hAnsi="Book Antiqua" w:cs="Calibri"/>
          <w:sz w:val="24"/>
          <w:szCs w:val="24"/>
          <w:lang w:val="en-US"/>
        </w:rPr>
        <w:fldChar w:fldCharType="end"/>
      </w:r>
      <w:r w:rsidR="003B505F" w:rsidRPr="003D034F">
        <w:rPr>
          <w:rFonts w:ascii="Book Antiqua" w:hAnsi="Book Antiqua" w:cs="Calibri"/>
          <w:sz w:val="24"/>
          <w:szCs w:val="24"/>
          <w:lang w:val="en-US"/>
        </w:rPr>
        <w:t xml:space="preserve">. </w:t>
      </w:r>
      <w:bookmarkStart w:id="42" w:name="OLE_LINK14"/>
      <w:bookmarkStart w:id="43" w:name="OLE_LINK15"/>
      <w:proofErr w:type="spellStart"/>
      <w:r w:rsidR="00EF0595" w:rsidRPr="003D034F">
        <w:rPr>
          <w:rFonts w:ascii="Book Antiqua" w:hAnsi="Book Antiqua" w:cs="Calibri"/>
          <w:sz w:val="24"/>
          <w:szCs w:val="24"/>
          <w:lang w:val="en-US"/>
        </w:rPr>
        <w:t>Duodenopancreatic</w:t>
      </w:r>
      <w:bookmarkEnd w:id="42"/>
      <w:bookmarkEnd w:id="43"/>
      <w:proofErr w:type="spellEnd"/>
      <w:r w:rsidR="00EF0595" w:rsidRPr="003D034F">
        <w:rPr>
          <w:rFonts w:ascii="Book Antiqua" w:hAnsi="Book Antiqua" w:cs="Calibri"/>
          <w:sz w:val="24"/>
          <w:szCs w:val="24"/>
          <w:lang w:val="en-US"/>
        </w:rPr>
        <w:t xml:space="preserve"> fistula with refractory abdominal pain is rare</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"10.1159/000360844", "ISSN" : "16620631", "PMID" : "24748861", "abstract" : "Upper gastrointestinal (GI) tract involvement in adult Crohn's disease (CD) is rare and severe complications unusual. Stenosis has been reported, but gastroduodenal fistulae are seldom detected during surgery and most of the fistulae are cologastric or ileogastric. In complicated gastroduodenal CD, medical treatments are often effective and surgery is only considered in exceptional cases. We here report the unusual case of a 23-year-old patient with upper GI CD presenting a hyperalgic giant ulcer of the bulb fistulized in the pancreatic gland. The failure of steroids and two lines of combined treatment led us to a salvage surgical option. Abdominal exploration showed a plate stomach with an inflammatory bulboduodenal block. Cephalic duodenopancreatectomy and cholecystectomy were performed; histological analysis reported large fissuring pylorus ulceration with micro abscesses reaching the pancreas and the presence of non-caseating granulomas. Six months after the surgery, the patient had stopped antalgic treatment and did not have residual abdominal pain. He had gained 11 kg in weight and had no diarrhea with pancreatic enzymes. To our knowledge, we report the first case of an upper GI and fistulizing CD patient heavily treated with steroids and combined immunosuppressant agents requiring salvage cephalic duodenopancreatectomy. \u00a9 2014 S. Karger AG, Basel.", "author" : [ { "dropping-particle" : "", "family" : "Guellouz", "given" : "Sabra", "non-dropping-particle" : "", "parse-names" : false, "suffix" : "" }, { "dropping-particle" : "", "family" : "Pariente", "given" : "Benjamin", "non-dropping-particle" : "", "parse-names" : false, "suffix" : "" }, { "dropping-particle" : "", "family" : "Benet", "given" : "Claire", "non-dropping-particle" : "", "parse-names" : false, "suffix" : "" }, { "dropping-particle" : "", "family" : "Baudry", "given" : "Clotilde", "non-dropping-particle" : "", "parse-names" : false, "suffix" : "" }, { "dropping-particle" : "", "family" : "Lourenco", "given" : "Nelson", "non-dropping-particle" : "", "parse-names" : false, "suffix" : "" }, { "dropping-particle" : "", "family" : "Kraemer", "given" : "Aurore", "non-dropping-particle" : "", "parse-names" : false, "suffix" : "" }, { "dropping-particle" : "", "family" : "Allez", "given" : "Matthieu", "non-dropping-particle" : "", "parse-names" : false, "suffix" : "" }, { "dropping-particle" : "", "family" : "Gornet", "given" : "Jean Marc", "non-dropping-particle" : "", "parse-names" : false, "suffix" : "" } ], "container-title" : "Case Reports in Gastroenterology", "id" : "ITEM-1", "issue" : "1", "issued" : { "date-parts" : [ [ "2014" ] ] }, "page" : "72-76", "title" : "Cephalic duodenopancreatectomy for hyperalgic duodenal crohn's disease fistulized in the pancreatic gland", "type" : "article-journal", "volume" : "8" }, "uris" : [ "http://www.mendeley.com/documents/?uuid=c26fc77f-9f52-4b1d-9e8a-a29a3f1ae534" ] } ], "mendeley" : { "formattedCitation" : "&lt;sup&gt;[58]&lt;/sup&gt;", "plainTextFormattedCitation" : "[58]", "previouslyFormattedCitation" : "&lt;sup&gt;[58]&lt;/sup&gt;"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[58]</w:t>
      </w:r>
      <w:r w:rsidR="00056AC0" w:rsidRPr="003D034F">
        <w:rPr>
          <w:rFonts w:ascii="Book Antiqua" w:hAnsi="Book Antiqua" w:cs="Calibri"/>
          <w:sz w:val="24"/>
          <w:szCs w:val="24"/>
          <w:lang w:val="en-US"/>
        </w:rPr>
        <w:fldChar w:fldCharType="end"/>
      </w:r>
      <w:r w:rsidR="00A948AC" w:rsidRPr="003D034F">
        <w:rPr>
          <w:rFonts w:ascii="Book Antiqua" w:hAnsi="Book Antiqua" w:cs="Calibri"/>
          <w:sz w:val="24"/>
          <w:szCs w:val="24"/>
          <w:lang w:val="en-US"/>
        </w:rPr>
        <w:t xml:space="preserve">. </w:t>
      </w:r>
      <w:r w:rsidR="00EF0595" w:rsidRPr="003D034F">
        <w:rPr>
          <w:rFonts w:ascii="Book Antiqua" w:hAnsi="Book Antiqua" w:cs="Calibri"/>
          <w:sz w:val="24"/>
          <w:szCs w:val="24"/>
          <w:lang w:val="en-US"/>
        </w:rPr>
        <w:t xml:space="preserve">Duodenal CD may be a cause of acute or chronic pancreatitis due to the inflammatory </w:t>
      </w:r>
      <w:r w:rsidR="00EF0595" w:rsidRPr="003D034F">
        <w:rPr>
          <w:rFonts w:ascii="Book Antiqua" w:hAnsi="Book Antiqua" w:cs="Calibri"/>
          <w:sz w:val="24"/>
          <w:szCs w:val="24"/>
          <w:lang w:val="en-US"/>
        </w:rPr>
        <w:lastRenderedPageBreak/>
        <w:t xml:space="preserve">process and fibrosis in the region of the </w:t>
      </w:r>
      <w:proofErr w:type="spellStart"/>
      <w:r w:rsidR="00A11550" w:rsidRPr="003D034F">
        <w:rPr>
          <w:rFonts w:ascii="Book Antiqua" w:hAnsi="Book Antiqua" w:cs="Calibri"/>
          <w:sz w:val="24"/>
          <w:szCs w:val="24"/>
          <w:lang w:val="en-US"/>
        </w:rPr>
        <w:t>v</w:t>
      </w:r>
      <w:r w:rsidR="00EF0595" w:rsidRPr="003D034F">
        <w:rPr>
          <w:rFonts w:ascii="Book Antiqua" w:hAnsi="Book Antiqua" w:cs="Calibri"/>
          <w:sz w:val="24"/>
          <w:szCs w:val="24"/>
          <w:lang w:val="en-US"/>
        </w:rPr>
        <w:t>ater</w:t>
      </w:r>
      <w:proofErr w:type="spellEnd"/>
      <w:r w:rsidR="00EF0595" w:rsidRPr="003D034F">
        <w:rPr>
          <w:rFonts w:ascii="Book Antiqua" w:hAnsi="Book Antiqua" w:cs="Calibri"/>
          <w:sz w:val="24"/>
          <w:szCs w:val="24"/>
          <w:lang w:val="en-US"/>
        </w:rPr>
        <w:t xml:space="preserve"> ampulla</w:t>
      </w:r>
      <w:r w:rsidR="00255F8A" w:rsidRPr="003D034F">
        <w:rPr>
          <w:rFonts w:ascii="Book Antiqua" w:hAnsi="Book Antiqua" w:cs="Calibri"/>
          <w:sz w:val="24"/>
          <w:szCs w:val="24"/>
          <w:lang w:val="en-US"/>
        </w:rPr>
        <w:t>,</w:t>
      </w:r>
      <w:r w:rsidR="00EF0595" w:rsidRPr="003D034F">
        <w:rPr>
          <w:rFonts w:ascii="Book Antiqua" w:hAnsi="Book Antiqua" w:cs="Calibri"/>
          <w:sz w:val="24"/>
          <w:szCs w:val="24"/>
          <w:lang w:val="en-US"/>
        </w:rPr>
        <w:t xml:space="preserve"> with </w:t>
      </w:r>
      <w:proofErr w:type="spellStart"/>
      <w:r w:rsidR="00EF0595" w:rsidRPr="003D034F">
        <w:rPr>
          <w:rFonts w:ascii="Book Antiqua" w:hAnsi="Book Antiqua" w:cs="Calibri"/>
          <w:sz w:val="24"/>
          <w:szCs w:val="24"/>
          <w:lang w:val="en-US"/>
        </w:rPr>
        <w:t>duodenopancreatic</w:t>
      </w:r>
      <w:proofErr w:type="spellEnd"/>
      <w:r w:rsidR="00EF0595" w:rsidRPr="003D034F">
        <w:rPr>
          <w:rFonts w:ascii="Book Antiqua" w:hAnsi="Book Antiqua" w:cs="Calibri"/>
          <w:sz w:val="24"/>
          <w:szCs w:val="24"/>
          <w:lang w:val="en-US"/>
        </w:rPr>
        <w:t xml:space="preserve"> reflux or fistula</w:t>
      </w:r>
      <w:r w:rsidR="00255F8A" w:rsidRPr="003D034F">
        <w:rPr>
          <w:rFonts w:ascii="Book Antiqua" w:hAnsi="Book Antiqua" w:cs="Calibri"/>
          <w:sz w:val="24"/>
          <w:szCs w:val="24"/>
          <w:lang w:val="en-US"/>
        </w:rPr>
        <w:t>s</w:t>
      </w:r>
      <w:r w:rsidR="00EF0595" w:rsidRPr="003D034F">
        <w:rPr>
          <w:rFonts w:ascii="Book Antiqua" w:hAnsi="Book Antiqua" w:cs="Calibri"/>
          <w:sz w:val="24"/>
          <w:szCs w:val="24"/>
          <w:lang w:val="en-US"/>
        </w:rPr>
        <w:t xml:space="preserve"> between the duodenum and the pancreatic duct</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"10.1097/00054725-200111000-00010", "ISBN" : "1078-0998 (Print)\\r1078-0998 (Linking)", "ISSN" : "1078-0998", "PMID" : "11720325", "abstract" : "Crohn's disease in the proximal region of the digestive tract is uncommon. Better diagnostically procedures and more careful histologic examination has led to a higher detection of proximal Crohn's disease. The diagnosis is based on symptoms, endoscopy with serial sections, or double contrast radiography. The most common histologic finding for this diagnosis are granulomas in the mucosa in Helicobacter pylori-negative patients, but the granulomas are not always frequently detected. Endoscopic lesions in the proximal regions look like the lesions that could be found in the distal regions. Notching in the duodenal folds could be a strong indication for Crohn's desease. Radiological lesions are not always characteristic, but should be used in combination with endoscopy. Stenosis is an important complication, but fistula formation and pseudodiverticular formation is possible. There is no uniform medical therapy, but the regular anti-inflammatory management for Crohn's disease is most often used. Sometimes surgery is needed.", "author" : [ { "dropping-particle" : "van", "family" : "Hogezand", "given" : "Ruud A.", "non-dropping-particle" : "", "parse-names" : false, "suffix" : "" }, { "dropping-particle" : "", "family" : "Witte", "given" : "Anne Martin C", "non-dropping-particle" : "", "parse-names" : false, "suffix" : "" }, { "dropping-particle" : "", "family" : "Veenendaal", "given" : "Roeland A", "non-dropping-particle" : "", "parse-names" : false, "suffix" : "" }, { "dropping-particle" : "", "family" : "Wagtmans", "given" : "Martin J", "non-dropping-particle" : "", "parse-names" : false, "suffix" : "" }, { "dropping-particle" : "", "family" : "Lamers", "given" : "Cornelis B H", "non-dropping-particle" : "", "parse-names" : false, "suffix" : "" } ], "container-title" : "Inflamm Bowel Dis", "id" : "ITEM-1", "issue" : "4", "issued" : { "date-parts" : [ [ "2001" ] ] }, "page" : "328-337", "title" : "Proximal Crohn's disease: review of the clinicopathologic features and therapy", "type" : "article-journal", "volume" : "7" }, "uris" : [ "http://www.mendeley.com/documents/?uuid=93df4dd2-dd6f-4cd5-ab52-6265de6411bd" ] } ], "mendeley" : { "formattedCitation" : "&lt;sup&gt;[26]&lt;/sup&gt;", "plainTextFormattedCitation" : "[26]", "previouslyFormattedCitation" : "&lt;sup&gt;[26]&lt;/sup&gt;"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[26</w:t>
      </w:r>
      <w:r w:rsidR="00A11550" w:rsidRPr="003D034F">
        <w:rPr>
          <w:rFonts w:ascii="Book Antiqua" w:hAnsi="Book Antiqua" w:cs="Calibri"/>
          <w:sz w:val="24"/>
          <w:szCs w:val="24"/>
          <w:vertAlign w:val="superscript"/>
          <w:lang w:val="en-US" w:eastAsia="zh-CN"/>
        </w:rPr>
        <w:t>,59,60</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FE3151" w:rsidRPr="003D034F">
        <w:rPr>
          <w:rFonts w:ascii="Book Antiqua" w:hAnsi="Book Antiqua" w:cs="Calibri"/>
          <w:sz w:val="24"/>
          <w:szCs w:val="24"/>
          <w:lang w:val="en-US"/>
        </w:rPr>
        <w:t>.</w:t>
      </w:r>
      <w:r w:rsidR="00D13AAD" w:rsidRPr="003D034F">
        <w:rPr>
          <w:rFonts w:ascii="Book Antiqua" w:hAnsi="Book Antiqua" w:cs="Calibri"/>
          <w:sz w:val="24"/>
          <w:szCs w:val="24"/>
          <w:lang w:val="en-US"/>
        </w:rPr>
        <w:t xml:space="preserve"> </w:t>
      </w:r>
    </w:p>
    <w:p w:rsidR="00B9550A" w:rsidRPr="003D034F" w:rsidRDefault="00B9550A" w:rsidP="003D034F">
      <w:pPr>
        <w:spacing w:after="0" w:line="360" w:lineRule="auto"/>
        <w:jc w:val="both"/>
        <w:rPr>
          <w:rFonts w:ascii="Book Antiqua" w:hAnsi="Book Antiqua" w:cs="Calibri"/>
          <w:i/>
          <w:sz w:val="24"/>
          <w:szCs w:val="24"/>
          <w:lang w:val="en-US"/>
        </w:rPr>
      </w:pPr>
    </w:p>
    <w:p w:rsidR="00EF0595" w:rsidRPr="003D034F" w:rsidRDefault="00A11550" w:rsidP="003D034F">
      <w:pPr>
        <w:spacing w:after="0" w:line="360" w:lineRule="auto"/>
        <w:jc w:val="both"/>
        <w:rPr>
          <w:rFonts w:ascii="Book Antiqua" w:hAnsi="Book Antiqua" w:cs="Calibri"/>
          <w:b/>
          <w:i/>
          <w:sz w:val="24"/>
          <w:szCs w:val="24"/>
          <w:lang w:val="en-US"/>
        </w:rPr>
      </w:pPr>
      <w:r w:rsidRPr="003D034F">
        <w:rPr>
          <w:rFonts w:ascii="Book Antiqua" w:hAnsi="Book Antiqua" w:cs="Calibri"/>
          <w:b/>
          <w:i/>
          <w:sz w:val="24"/>
          <w:szCs w:val="24"/>
          <w:lang w:val="en-US"/>
        </w:rPr>
        <w:t>Radiology</w:t>
      </w:r>
    </w:p>
    <w:p w:rsidR="00441FA2" w:rsidRPr="003D034F" w:rsidRDefault="00D742A7" w:rsidP="003D034F">
      <w:pPr>
        <w:spacing w:after="0" w:line="360" w:lineRule="auto"/>
        <w:jc w:val="both"/>
        <w:rPr>
          <w:rFonts w:ascii="Book Antiqua" w:hAnsi="Book Antiqua" w:cs="Calibri"/>
          <w:sz w:val="24"/>
          <w:szCs w:val="24"/>
          <w:lang w:val="en-US"/>
        </w:rPr>
      </w:pPr>
      <w:r w:rsidRPr="003D034F">
        <w:rPr>
          <w:rFonts w:ascii="Book Antiqua" w:hAnsi="Book Antiqua" w:cs="Calibri"/>
          <w:sz w:val="24"/>
          <w:szCs w:val="24"/>
          <w:lang w:val="en-US"/>
        </w:rPr>
        <w:t xml:space="preserve">With the advancement of the digestive endoscopy, the radiological examinations </w:t>
      </w:r>
      <w:r w:rsidR="00342742" w:rsidRPr="003D034F">
        <w:rPr>
          <w:rFonts w:ascii="Book Antiqua" w:hAnsi="Book Antiqua" w:cs="Calibri"/>
          <w:sz w:val="24"/>
          <w:szCs w:val="24"/>
          <w:lang w:val="en-US"/>
        </w:rPr>
        <w:t xml:space="preserve">have </w:t>
      </w:r>
      <w:r w:rsidRPr="003D034F">
        <w:rPr>
          <w:rFonts w:ascii="Book Antiqua" w:hAnsi="Book Antiqua" w:cs="Calibri"/>
          <w:sz w:val="24"/>
          <w:szCs w:val="24"/>
          <w:lang w:val="en-US"/>
        </w:rPr>
        <w:t>bec</w:t>
      </w:r>
      <w:r w:rsidR="00342742" w:rsidRPr="003D034F">
        <w:rPr>
          <w:rFonts w:ascii="Book Antiqua" w:hAnsi="Book Antiqua" w:cs="Calibri"/>
          <w:sz w:val="24"/>
          <w:szCs w:val="24"/>
          <w:lang w:val="en-US"/>
        </w:rPr>
        <w:t>o</w:t>
      </w:r>
      <w:r w:rsidRPr="003D034F">
        <w:rPr>
          <w:rFonts w:ascii="Book Antiqua" w:hAnsi="Book Antiqua" w:cs="Calibri"/>
          <w:sz w:val="24"/>
          <w:szCs w:val="24"/>
          <w:lang w:val="en-US"/>
        </w:rPr>
        <w:t>me less</w:t>
      </w:r>
      <w:r w:rsidR="00342742" w:rsidRPr="003D034F">
        <w:rPr>
          <w:rFonts w:ascii="Book Antiqua" w:hAnsi="Book Antiqua" w:cs="Calibri"/>
          <w:sz w:val="24"/>
          <w:szCs w:val="24"/>
          <w:lang w:val="en-US"/>
        </w:rPr>
        <w:t xml:space="preserve"> often</w:t>
      </w:r>
      <w:r w:rsidRPr="003D034F">
        <w:rPr>
          <w:rFonts w:ascii="Book Antiqua" w:hAnsi="Book Antiqua" w:cs="Calibri"/>
          <w:sz w:val="24"/>
          <w:szCs w:val="24"/>
          <w:lang w:val="en-US"/>
        </w:rPr>
        <w:t xml:space="preserve"> used for the diagnostic evaluation of the UGT. The most frequent radiological findings are thickening of the folds, nodularity or cobblestone appearance, ulcerations, asymmetrical irregularities, </w:t>
      </w:r>
      <w:bookmarkStart w:id="44" w:name="OLE_LINK16"/>
      <w:bookmarkStart w:id="45" w:name="OLE_LINK17"/>
      <w:proofErr w:type="spellStart"/>
      <w:r w:rsidRPr="003D034F">
        <w:rPr>
          <w:rFonts w:ascii="Book Antiqua" w:hAnsi="Book Antiqua" w:cs="Calibri"/>
          <w:sz w:val="24"/>
          <w:szCs w:val="24"/>
          <w:lang w:val="en-US"/>
        </w:rPr>
        <w:t>p</w:t>
      </w:r>
      <w:r w:rsidR="00F41837" w:rsidRPr="003D034F">
        <w:rPr>
          <w:rFonts w:ascii="Book Antiqua" w:hAnsi="Book Antiqua" w:cs="Calibri"/>
          <w:sz w:val="24"/>
          <w:szCs w:val="24"/>
          <w:lang w:val="en-US"/>
        </w:rPr>
        <w:t>y</w:t>
      </w:r>
      <w:r w:rsidRPr="003D034F">
        <w:rPr>
          <w:rFonts w:ascii="Book Antiqua" w:hAnsi="Book Antiqua" w:cs="Calibri"/>
          <w:sz w:val="24"/>
          <w:szCs w:val="24"/>
          <w:lang w:val="en-US"/>
        </w:rPr>
        <w:t>loroduodenal</w:t>
      </w:r>
      <w:bookmarkEnd w:id="44"/>
      <w:bookmarkEnd w:id="45"/>
      <w:proofErr w:type="spellEnd"/>
      <w:r w:rsidRPr="003D034F">
        <w:rPr>
          <w:rFonts w:ascii="Book Antiqua" w:hAnsi="Book Antiqua" w:cs="Calibri"/>
          <w:sz w:val="24"/>
          <w:szCs w:val="24"/>
          <w:lang w:val="en-US"/>
        </w:rPr>
        <w:t xml:space="preserve"> deformity, </w:t>
      </w:r>
      <w:proofErr w:type="spellStart"/>
      <w:r w:rsidRPr="003D034F">
        <w:rPr>
          <w:rFonts w:ascii="Book Antiqua" w:hAnsi="Book Antiqua" w:cs="Calibri"/>
          <w:sz w:val="24"/>
          <w:szCs w:val="24"/>
          <w:lang w:val="en-US"/>
        </w:rPr>
        <w:t>stenoses</w:t>
      </w:r>
      <w:proofErr w:type="spellEnd"/>
      <w:r w:rsidRPr="003D034F">
        <w:rPr>
          <w:rFonts w:ascii="Book Antiqua" w:hAnsi="Book Antiqua" w:cs="Calibri"/>
          <w:sz w:val="24"/>
          <w:szCs w:val="24"/>
          <w:lang w:val="en-US"/>
        </w:rPr>
        <w:t xml:space="preserve">, fissures and </w:t>
      </w:r>
      <w:r w:rsidR="00705E5B" w:rsidRPr="003D034F">
        <w:rPr>
          <w:rFonts w:ascii="Book Antiqua" w:hAnsi="Book Antiqua" w:cs="Calibri"/>
          <w:iCs/>
          <w:sz w:val="24"/>
          <w:szCs w:val="24"/>
        </w:rPr>
        <w:t>pseudodiverticula</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"5511778", "author" : [ { "dropping-particle" : "", "family" : "Fielding", "given" : "JF", "non-dropping-particle" : "", "parse-names" : false, "suffix" : "" }, { "dropping-particle" : "", "family" : "Toye", "given" : "DKM", "non-dropping-particle" : "", "parse-names" : false, "suffix" : "" }, { "dropping-particle" : "", "family" : "Beton", "given" : "DC", "non-dropping-particle" : "", "parse-names" : false, "suffix" : "" }, { "dropping-particle" : "", "family" : "Cooke", "given" : "WT", "non-dropping-particle" : "", "parse-names" : false, "suffix" : "" } ], "container-title" : "Gut", "id" : "ITEM-1", "issue" : "12", "issued" : { "date-parts" : [ [ "1970" ] ] }, "page" : "1001-1006", "title" : "Crohn \u2019 s Disease of the Stomach and Duodenum", "type" : "article-journal", "volume" : "11" }, "uris" : [ "http://www.mendeley.com/documents/?uuid=ae64411f-4915-4a31-bbb3-2030b0985d28" ] } ], "mendeley" : { "formattedCitation" : "&lt;sup&gt;[61]&lt;/sup&gt;", "plainTextFormattedCitation" : "[61]", "previouslyFormattedCitation" : "&lt;sup&gt;[61]&lt;/sup&gt;"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[61</w:t>
      </w:r>
      <w:r w:rsidR="00705E5B" w:rsidRPr="003D034F">
        <w:rPr>
          <w:rFonts w:ascii="Book Antiqua" w:hAnsi="Book Antiqua" w:cs="Calibri"/>
          <w:sz w:val="24"/>
          <w:szCs w:val="24"/>
          <w:vertAlign w:val="superscript"/>
          <w:lang w:val="en-US" w:eastAsia="zh-CN"/>
        </w:rPr>
        <w:t>,62</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AF4BAA" w:rsidRPr="003D034F">
        <w:rPr>
          <w:rFonts w:ascii="Book Antiqua" w:hAnsi="Book Antiqua" w:cs="Calibri"/>
          <w:sz w:val="24"/>
          <w:szCs w:val="24"/>
          <w:lang w:val="en-US"/>
        </w:rPr>
        <w:t xml:space="preserve">. </w:t>
      </w:r>
      <w:r w:rsidRPr="003D034F">
        <w:rPr>
          <w:rFonts w:ascii="Book Antiqua" w:hAnsi="Book Antiqua" w:cs="Calibri"/>
          <w:sz w:val="24"/>
          <w:szCs w:val="24"/>
          <w:lang w:val="en-US"/>
        </w:rPr>
        <w:t xml:space="preserve">The antrum and the duodenal bulb may be rigid and have a reduced peristalsis. The descending duodenum stenosis can be identified through the radiological finding called </w:t>
      </w:r>
      <w:r w:rsidR="00705E5B" w:rsidRPr="003D034F">
        <w:rPr>
          <w:rFonts w:ascii="Book Antiqua" w:hAnsi="Book Antiqua" w:cs="Calibri"/>
          <w:sz w:val="24"/>
          <w:szCs w:val="24"/>
          <w:lang w:val="en-US" w:eastAsia="zh-CN"/>
        </w:rPr>
        <w:t>“</w:t>
      </w:r>
      <w:r w:rsidRPr="003D034F">
        <w:rPr>
          <w:rFonts w:ascii="Book Antiqua" w:hAnsi="Book Antiqua" w:cs="Calibri"/>
          <w:sz w:val="24"/>
          <w:szCs w:val="24"/>
          <w:lang w:val="en-US"/>
        </w:rPr>
        <w:t>string sing</w:t>
      </w:r>
      <w:r w:rsidR="00705E5B" w:rsidRPr="003D034F">
        <w:rPr>
          <w:rFonts w:ascii="Book Antiqua" w:hAnsi="Book Antiqua" w:cs="Calibri"/>
          <w:sz w:val="24"/>
          <w:szCs w:val="24"/>
          <w:lang w:val="en-US" w:eastAsia="zh-CN"/>
        </w:rPr>
        <w:t>”</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"10.1097/00054725-200111000-00010", "ISBN" : "1078-0998 (Print)\\r1078-0998 (Linking)", "ISSN" : "1078-0998", "PMID" : "11720325", "abstract" : "Crohn's disease in the proximal region of the digestive tract is uncommon. Better diagnostically procedures and more careful histologic examination has led to a higher detection of proximal Crohn's disease. The diagnosis is based on symptoms, endoscopy with serial sections, or double contrast radiography. The most common histologic finding for this diagnosis are granulomas in the mucosa in Helicobacter pylori-negative patients, but the granulomas are not always frequently detected. Endoscopic lesions in the proximal regions look like the lesions that could be found in the distal regions. Notching in the duodenal folds could be a strong indication for Crohn's desease. Radiological lesions are not always characteristic, but should be used in combination with endoscopy. Stenosis is an important complication, but fistula formation and pseudodiverticular formation is possible. There is no uniform medical therapy, but the regular anti-inflammatory management for Crohn's disease is most often used. Sometimes surgery is needed.", "author" : [ { "dropping-particle" : "van", "family" : "Hogezand", "given" : "Ruud A.", "non-dropping-particle" : "", "parse-names" : false, "suffix" : "" }, { "dropping-particle" : "", "family" : "Witte", "given" : "Anne Martin C", "non-dropping-particle" : "", "parse-names" : false, "suffix" : "" }, { "dropping-particle" : "", "family" : "Veenendaal", "given" : "Roeland A", "non-dropping-particle" : "", "parse-names" : false, "suffix" : "" }, { "dropping-particle" : "", "family" : "Wagtmans", "given" : "Martin J", "non-dropping-particle" : "", "parse-names" : false, "suffix" : "" }, { "dropping-particle" : "", "family" : "Lamers", "given" : "Cornelis B H", "non-dropping-particle" : "", "parse-names" : false, "suffix" : "" } ], "container-title" : "Inflamm Bowel Dis", "id" : "ITEM-1", "issue" : "4", "issued" : { "date-parts" : [ [ "2001" ] ] }, "page" : "328-337", "title" : "Proximal Crohn's disease: review of the clinicopathologic features and therapy", "type" : "article-journal", "volume" : "7" }, "uris" : [ "http://www.mendeley.com/documents/?uuid=93df4dd2-dd6f-4cd5-ab52-6265de6411bd" ] } ], "mendeley" : { "formattedCitation" : "&lt;sup&gt;[26]&lt;/sup&gt;", "plainTextFormattedCitation" : "[26]", "previouslyFormattedCitation" : "&lt;sup&gt;[26]&lt;/sup&gt;"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[26]</w:t>
      </w:r>
      <w:r w:rsidR="00056AC0" w:rsidRPr="003D034F">
        <w:rPr>
          <w:rFonts w:ascii="Book Antiqua" w:hAnsi="Book Antiqua" w:cs="Calibri"/>
          <w:sz w:val="24"/>
          <w:szCs w:val="24"/>
          <w:lang w:val="en-US"/>
        </w:rPr>
        <w:fldChar w:fldCharType="end"/>
      </w:r>
      <w:r w:rsidR="00580E73" w:rsidRPr="003D034F">
        <w:rPr>
          <w:rFonts w:ascii="Book Antiqua" w:hAnsi="Book Antiqua" w:cs="Calibri"/>
          <w:sz w:val="24"/>
          <w:szCs w:val="24"/>
          <w:lang w:val="en-US"/>
        </w:rPr>
        <w:t>.</w:t>
      </w:r>
    </w:p>
    <w:p w:rsidR="00AF4BAA" w:rsidRPr="003D034F" w:rsidRDefault="00987457" w:rsidP="003D034F">
      <w:pPr>
        <w:spacing w:after="0" w:line="360" w:lineRule="auto"/>
        <w:ind w:firstLineChars="100" w:firstLine="240"/>
        <w:jc w:val="both"/>
        <w:rPr>
          <w:rFonts w:ascii="Book Antiqua" w:hAnsi="Book Antiqua" w:cs="Calibri"/>
          <w:sz w:val="24"/>
          <w:szCs w:val="24"/>
          <w:lang w:val="en-US"/>
        </w:rPr>
      </w:pPr>
      <w:r w:rsidRPr="003D034F">
        <w:rPr>
          <w:rFonts w:ascii="Book Antiqua" w:hAnsi="Book Antiqua" w:cs="Calibri"/>
          <w:sz w:val="24"/>
          <w:szCs w:val="24"/>
          <w:lang w:val="en-US"/>
        </w:rPr>
        <w:t xml:space="preserve">Gastroduodenal involvement with progressive pyloric stenosis can produce two radiological features: the </w:t>
      </w:r>
      <w:r w:rsidR="00705E5B" w:rsidRPr="003D034F">
        <w:rPr>
          <w:rFonts w:ascii="Book Antiqua" w:hAnsi="Book Antiqua" w:cs="Calibri"/>
          <w:sz w:val="24"/>
          <w:szCs w:val="24"/>
          <w:lang w:val="en-US" w:eastAsia="zh-CN"/>
        </w:rPr>
        <w:t>“</w:t>
      </w:r>
      <w:r w:rsidRPr="003D034F">
        <w:rPr>
          <w:rFonts w:ascii="Book Antiqua" w:hAnsi="Book Antiqua" w:cs="Calibri"/>
          <w:sz w:val="24"/>
          <w:szCs w:val="24"/>
          <w:lang w:val="en-US"/>
        </w:rPr>
        <w:t>pseudo</w:t>
      </w:r>
      <w:r w:rsidR="00053422" w:rsidRPr="003D034F">
        <w:rPr>
          <w:rFonts w:ascii="Book Antiqua" w:hAnsi="Book Antiqua" w:cs="Calibri"/>
          <w:sz w:val="24"/>
          <w:szCs w:val="24"/>
          <w:lang w:val="en-US"/>
        </w:rPr>
        <w:t>-</w:t>
      </w:r>
      <w:proofErr w:type="spellStart"/>
      <w:r w:rsidRPr="003D034F">
        <w:rPr>
          <w:rFonts w:ascii="Book Antiqua" w:hAnsi="Book Antiqua" w:cs="Calibri"/>
          <w:sz w:val="24"/>
          <w:szCs w:val="24"/>
          <w:lang w:val="en-US"/>
        </w:rPr>
        <w:t>Billroth</w:t>
      </w:r>
      <w:proofErr w:type="spellEnd"/>
      <w:r w:rsidRPr="003D034F">
        <w:rPr>
          <w:rFonts w:ascii="Book Antiqua" w:hAnsi="Book Antiqua" w:cs="Calibri"/>
          <w:sz w:val="24"/>
          <w:szCs w:val="24"/>
          <w:lang w:val="en-US"/>
        </w:rPr>
        <w:t xml:space="preserve"> I</w:t>
      </w:r>
      <w:r w:rsidR="00705E5B" w:rsidRPr="003D034F">
        <w:rPr>
          <w:rFonts w:ascii="Book Antiqua" w:hAnsi="Book Antiqua" w:cs="Calibri"/>
          <w:sz w:val="24"/>
          <w:szCs w:val="24"/>
          <w:lang w:val="en-US" w:eastAsia="zh-CN"/>
        </w:rPr>
        <w:t>”</w:t>
      </w:r>
      <w:r w:rsidRPr="003D034F">
        <w:rPr>
          <w:rFonts w:ascii="Book Antiqua" w:hAnsi="Book Antiqua" w:cs="Calibri"/>
          <w:sz w:val="24"/>
          <w:szCs w:val="24"/>
          <w:lang w:val="en-US"/>
        </w:rPr>
        <w:t xml:space="preserve"> characterized by the tubular appearance of the antrum, pylorus and duodenum, and the </w:t>
      </w:r>
      <w:r w:rsidR="00053422" w:rsidRPr="003D034F">
        <w:rPr>
          <w:rFonts w:ascii="Book Antiqua" w:hAnsi="Book Antiqua" w:cs="Calibri"/>
          <w:sz w:val="24"/>
          <w:szCs w:val="24"/>
          <w:lang w:val="en-US"/>
        </w:rPr>
        <w:t>r</w:t>
      </w:r>
      <w:r w:rsidRPr="003D034F">
        <w:rPr>
          <w:rFonts w:ascii="Book Antiqua" w:hAnsi="Book Antiqua" w:cs="Calibri"/>
          <w:sz w:val="24"/>
          <w:szCs w:val="24"/>
          <w:lang w:val="en-US"/>
        </w:rPr>
        <w:t>am</w:t>
      </w:r>
      <w:r w:rsidR="00705E5B" w:rsidRPr="003D034F">
        <w:rPr>
          <w:rFonts w:ascii="Book Antiqua" w:hAnsi="Book Antiqua" w:cs="Calibri"/>
          <w:sz w:val="24"/>
          <w:szCs w:val="24"/>
          <w:lang w:val="en-US" w:eastAsia="zh-CN"/>
        </w:rPr>
        <w:t>’</w:t>
      </w:r>
      <w:r w:rsidRPr="003D034F">
        <w:rPr>
          <w:rFonts w:ascii="Book Antiqua" w:hAnsi="Book Antiqua" w:cs="Calibri"/>
          <w:sz w:val="24"/>
          <w:szCs w:val="24"/>
          <w:lang w:val="en-US"/>
        </w:rPr>
        <w:t>s horn sign, characterized by distensibility of the proximal stomach and rigid and stenotic aspect of the antrum and duodenum</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"1115302", "author" : [ { "dropping-particle" : "", "family" : "Farman, Jack; Faegenburg, David; Dallemand, Serge; Chen", "given" : "Clark-Kuo.", "non-dropping-particle" : "", "parse-names" : false, "suffix" : "" } ], "container-title" : "Am J Roentgenol", "id" : "ITEM-1", "issued" : { "date-parts" : [ [ "1975" ] ] }, "page" : "242-251", "title" : "Crohn's Disease of the stomach: the \"Ram's Horn\" sign.", "type" : "article-journal", "volume" : "123" }, "uris" : [ "http://www.mendeley.com/documents/?uuid=d1301e8a-a30e-4df1-b9d0-d90007c50315" ] } ], "mendeley" : { "formattedCitation" : "&lt;sup&gt;[63]&lt;/sup&gt;", "plainTextFormattedCitation" : "[63]", "previouslyFormattedCitation" : "&lt;sup&gt;[63]&lt;/sup&gt;"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[63]</w:t>
      </w:r>
      <w:r w:rsidR="00056AC0" w:rsidRPr="003D034F">
        <w:rPr>
          <w:rFonts w:ascii="Book Antiqua" w:hAnsi="Book Antiqua" w:cs="Calibri"/>
          <w:sz w:val="24"/>
          <w:szCs w:val="24"/>
          <w:lang w:val="en-US"/>
        </w:rPr>
        <w:fldChar w:fldCharType="end"/>
      </w:r>
      <w:r w:rsidR="00AF4BAA" w:rsidRPr="003D034F">
        <w:rPr>
          <w:rFonts w:ascii="Book Antiqua" w:hAnsi="Book Antiqua" w:cs="Calibri"/>
          <w:sz w:val="24"/>
          <w:szCs w:val="24"/>
          <w:lang w:val="en-US"/>
        </w:rPr>
        <w:t>.</w:t>
      </w:r>
      <w:r w:rsidR="00BC6874" w:rsidRPr="003D034F">
        <w:rPr>
          <w:rFonts w:ascii="Book Antiqua" w:hAnsi="Book Antiqua" w:cs="Calibri"/>
          <w:sz w:val="24"/>
          <w:szCs w:val="24"/>
          <w:lang w:val="en-US"/>
        </w:rPr>
        <w:t xml:space="preserve"> </w:t>
      </w:r>
      <w:r w:rsidR="00EE2E28" w:rsidRPr="003D034F">
        <w:rPr>
          <w:rFonts w:ascii="Book Antiqua" w:hAnsi="Book Antiqua" w:cs="Calibri"/>
          <w:sz w:val="24"/>
          <w:szCs w:val="24"/>
          <w:lang w:val="en-US"/>
        </w:rPr>
        <w:t>The radiological study of the upper tract detects only one third of the gastrocolic fistulas, with barium enema being the examination of choice</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"11218159", "author" : [ { "dropping-particle" : "", "family" : "Reynolds", "given" : "Harry L", "non-dropping-particle" : "", "parse-names" : false, "suffix" : "" }, { "dropping-particle" : "", "family" : "Stellato", "given" : "Thomas A", "non-dropping-particle" : "", "parse-names" : false, "suffix" : "" } ], "container-title" : "Surgical Pathology Clinics", "id" : "ITEM-1", "issue" : "1", "issued" : { "date-parts" : [ [ "2001" ] ] }, "page" : "117-35", "title" : "Crohn\u2019s Disease of the Foregut", "type" : "article-journal", "volume" : "81" }, "uris" : [ "http://www.mendeley.com/documents/?uuid=78bd2599-5f0b-4081-8a8d-a911b865f218" ] } ], "mendeley" : { "formattedCitation" : "&lt;sup&gt;[56]&lt;/sup&gt;", "plainTextFormattedCitation" : "[56]", "previouslyFormattedCitation" : "&lt;sup&gt;[56]&lt;/sup&gt;"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[56</w:t>
      </w:r>
      <w:r w:rsidR="00705E5B" w:rsidRPr="003D034F">
        <w:rPr>
          <w:rFonts w:ascii="Book Antiqua" w:hAnsi="Book Antiqua" w:cs="Calibri"/>
          <w:sz w:val="24"/>
          <w:szCs w:val="24"/>
          <w:vertAlign w:val="superscript"/>
          <w:lang w:val="en-US" w:eastAsia="zh-CN"/>
        </w:rPr>
        <w:t>,64</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AF37A8" w:rsidRPr="003D034F">
        <w:rPr>
          <w:rFonts w:ascii="Book Antiqua" w:hAnsi="Book Antiqua" w:cs="Calibri"/>
          <w:sz w:val="24"/>
          <w:szCs w:val="24"/>
          <w:lang w:val="en-US"/>
        </w:rPr>
        <w:t>.</w:t>
      </w:r>
      <w:r w:rsidR="00ED2949" w:rsidRPr="003D034F">
        <w:rPr>
          <w:rFonts w:ascii="Book Antiqua" w:hAnsi="Book Antiqua" w:cs="Calibri"/>
          <w:sz w:val="24"/>
          <w:szCs w:val="24"/>
          <w:lang w:val="en-US"/>
        </w:rPr>
        <w:t xml:space="preserve"> </w:t>
      </w:r>
      <w:r w:rsidR="001B70BB" w:rsidRPr="003D034F">
        <w:rPr>
          <w:rFonts w:ascii="Book Antiqua" w:hAnsi="Book Antiqua" w:cs="Calibri"/>
          <w:sz w:val="24"/>
          <w:szCs w:val="24"/>
          <w:lang w:val="en-US"/>
        </w:rPr>
        <w:t>Gastric fistulas often originate from the transverse colon and duodenal fistulae are derived from the colon or anastomosis colonic ileus. Primary gastroduodenal fistulas are rare and generally enterocutaneous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"11218159", "author" : [ { "dropping-particle" : "", "family" : "Reynolds", "given" : "Harry L", "non-dropping-particle" : "", "parse-names" : false, "suffix" : "" }, { "dropping-particle" : "", "family" : "Stellato", "given" : "Thomas A", "non-dropping-particle" : "", "parse-names" : false, "suffix" : "" } ], "container-title" : "Surgical Pathology Clinics", "id" : "ITEM-1", "issue" : "1", "issued" : { "date-parts" : [ [ "2001" ] ] }, "page" : "117-35", "title" : "Crohn\u2019s Disease of the Foregut", "type" : "article-journal", "volume" : "81" }, "uris" : [ "http://www.mendeley.com/documents/?uuid=78bd2599-5f0b-4081-8a8d-a911b865f218" ] } ], "mendeley" : { "formattedCitation" : "&lt;sup&gt;[56]&lt;/sup&gt;", "plainTextFormattedCitation" : "[56]", "previouslyFormattedCitation" : "&lt;sup&gt;[56]&lt;/sup&gt;"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[56]</w:t>
      </w:r>
      <w:r w:rsidR="00056AC0" w:rsidRPr="003D034F">
        <w:rPr>
          <w:rFonts w:ascii="Book Antiqua" w:hAnsi="Book Antiqua" w:cs="Calibri"/>
          <w:sz w:val="24"/>
          <w:szCs w:val="24"/>
          <w:lang w:val="en-US"/>
        </w:rPr>
        <w:fldChar w:fldCharType="end"/>
      </w:r>
      <w:r w:rsidR="00115684" w:rsidRPr="003D034F">
        <w:rPr>
          <w:rFonts w:ascii="Book Antiqua" w:hAnsi="Book Antiqua" w:cs="Calibri"/>
          <w:sz w:val="24"/>
          <w:szCs w:val="24"/>
          <w:lang w:val="en-US"/>
        </w:rPr>
        <w:t>.</w:t>
      </w:r>
      <w:r w:rsidR="00705E5B" w:rsidRPr="003D034F">
        <w:rPr>
          <w:rFonts w:ascii="Book Antiqua" w:hAnsi="Book Antiqua" w:cs="Calibri"/>
          <w:sz w:val="24"/>
          <w:szCs w:val="24"/>
          <w:lang w:val="en-US" w:eastAsia="zh-CN"/>
        </w:rPr>
        <w:t xml:space="preserve"> </w:t>
      </w:r>
      <w:r w:rsidR="0069245A" w:rsidRPr="003D034F">
        <w:rPr>
          <w:rFonts w:ascii="Book Antiqua" w:hAnsi="Book Antiqua" w:cs="Calibri"/>
          <w:sz w:val="24"/>
          <w:szCs w:val="24"/>
          <w:lang w:val="en-US"/>
        </w:rPr>
        <w:t xml:space="preserve">The three major radiological patterns of disease in the duodenum, in the case series described by Nugent </w:t>
      </w:r>
      <w:r w:rsidR="00AC0CB3" w:rsidRPr="003D034F">
        <w:rPr>
          <w:rFonts w:ascii="Book Antiqua" w:hAnsi="Book Antiqua" w:cs="Calibri"/>
          <w:i/>
          <w:sz w:val="24"/>
          <w:szCs w:val="24"/>
          <w:lang w:val="en-US"/>
        </w:rPr>
        <w:t>et al</w:t>
      </w:r>
      <w:r w:rsidR="00AC0CB3" w:rsidRPr="003D034F">
        <w:rPr>
          <w:rFonts w:ascii="Book Antiqua" w:hAnsi="Book Antiqua" w:cs="Calibri"/>
          <w:sz w:val="24"/>
          <w:szCs w:val="24"/>
        </w:rPr>
        <w:fldChar w:fldCharType="begin" w:fldLock="1"/>
      </w:r>
      <w:r w:rsidR="00AC0CB3" w:rsidRPr="003D034F">
        <w:rPr>
          <w:rFonts w:ascii="Book Antiqua" w:hAnsi="Book Antiqua" w:cs="Calibri"/>
          <w:sz w:val="24"/>
          <w:szCs w:val="24"/>
          <w:lang w:val="en-US"/>
        </w:rPr>
        <w:instrText>ADDIN CSL_CITATION { "citationItems" : [ { "id" : "ITEM-1", "itemData" : { "PMID" : "856671", "author" : [ { "dropping-particle" : "", "family" : "Nugent", "given" : "F Warren", "non-dropping-particle" : "", "parse-names" : false, "suffix" : "" }, { "dropping-particle" : "", "family" : "Richmond", "given" : "M", "non-dropping-particle" : "", "parse-names" : false, "suffix" : "" }, { "dropping-particle" : "", "family" : "Park", "given" : "S K", "non-dropping-particle" : "", "parse-names" : false, "suffix" : "" } ], "container-title" : "Gut", "id" : "ITEM-1", "issue" : "August 1976", "issued" : { "date-parts" : [ [ "1977" ] ] }, "page" : "115-120", "title" : "Crohn's disease of the duodenum", "type" : "article-journal", "volume" : "18" }, "uris" : [ "http://www.mendeley.com/documents/?uuid=75ac6c48-5321-4150-bc39-3ca57955936d" ] } ], "mendeley" : { "formattedCitation" : "&lt;sup&gt;[25]&lt;/sup&gt;", "plainTextFormattedCitation" : "[25]", "previouslyFormattedCitation" : "&lt;sup&gt;[25]&lt;/sup&gt;" }, "properties" : {  }, "schema" : "https://github.com/citation-style-language/schema/raw/master/csl-citation.json" }</w:instrText>
      </w:r>
      <w:r w:rsidR="00AC0CB3" w:rsidRPr="003D034F">
        <w:rPr>
          <w:rFonts w:ascii="Book Antiqua" w:hAnsi="Book Antiqua" w:cs="Calibri"/>
          <w:sz w:val="24"/>
          <w:szCs w:val="24"/>
        </w:rPr>
        <w:fldChar w:fldCharType="separate"/>
      </w:r>
      <w:r w:rsidR="00AC0CB3" w:rsidRPr="003D034F">
        <w:rPr>
          <w:rFonts w:ascii="Book Antiqua" w:hAnsi="Book Antiqua" w:cs="Calibri"/>
          <w:noProof/>
          <w:sz w:val="24"/>
          <w:szCs w:val="24"/>
          <w:vertAlign w:val="superscript"/>
          <w:lang w:val="en-US"/>
        </w:rPr>
        <w:t>[25]</w:t>
      </w:r>
      <w:r w:rsidR="00AC0CB3" w:rsidRPr="003D034F">
        <w:rPr>
          <w:rFonts w:ascii="Book Antiqua" w:hAnsi="Book Antiqua" w:cs="Calibri"/>
          <w:sz w:val="24"/>
          <w:szCs w:val="24"/>
        </w:rPr>
        <w:fldChar w:fldCharType="end"/>
      </w:r>
      <w:r w:rsidR="0069245A" w:rsidRPr="003D034F">
        <w:rPr>
          <w:rFonts w:ascii="Book Antiqua" w:hAnsi="Book Antiqua" w:cs="Calibri"/>
          <w:sz w:val="24"/>
          <w:szCs w:val="24"/>
          <w:lang w:val="en-US"/>
        </w:rPr>
        <w:t>, were the contiguous involvement of the proximal antrum and duodenum</w:t>
      </w:r>
      <w:r w:rsidR="00053422" w:rsidRPr="003D034F">
        <w:rPr>
          <w:rFonts w:ascii="Book Antiqua" w:hAnsi="Book Antiqua" w:cs="Calibri"/>
          <w:sz w:val="24"/>
          <w:szCs w:val="24"/>
          <w:lang w:val="en-US"/>
        </w:rPr>
        <w:t>,</w:t>
      </w:r>
      <w:r w:rsidR="0069245A" w:rsidRPr="003D034F">
        <w:rPr>
          <w:rFonts w:ascii="Book Antiqua" w:hAnsi="Book Antiqua" w:cs="Calibri"/>
          <w:sz w:val="24"/>
          <w:szCs w:val="24"/>
          <w:lang w:val="en-US"/>
        </w:rPr>
        <w:t xml:space="preserve"> followed by the isolated involvement of the descending duodenum and the distal duodenum</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"856671", "author" : [ { "dropping-particle" : "", "family" : "Nugent", "given" : "F Warren", "non-dropping-particle" : "", "parse-names" : false, "suffix" : "" }, { "dropping-particle" : "", "family" : "Richmond", "given" : "M", "non-dropping-particle" : "", "parse-names" : false, "suffix" : "" }, { "dropping-particle" : "", "family" : "Park", "given" : "S K", "non-dropping-particle" : "", "parse-names" : false, "suffix" : "" } ], "container-title" : "Gut", "id" : "ITEM-1", "issue" : "August 1976", "issued" : { "date-parts" : [ [ "1977" ] ] }, "page" : "115-120", "title" : "Crohn's disease of the duodenum", "type" : "article-journal", "volume" : "18" }, "uris" : [ "http://www.mendeley.com/documents/?uuid=75ac6c48-5321-4150-bc39-3ca57955936d" ] } ], "mendeley" : { "formattedCitation" : "&lt;sup&gt;[25]&lt;/sup&gt;", "plainTextFormattedCitation" : "[25]", "previouslyFormattedCitation" : "&lt;sup&gt;[25]&lt;/sup&gt;"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[25]</w:t>
      </w:r>
      <w:r w:rsidR="00056AC0" w:rsidRPr="003D034F">
        <w:rPr>
          <w:rFonts w:ascii="Book Antiqua" w:hAnsi="Book Antiqua" w:cs="Calibri"/>
          <w:sz w:val="24"/>
          <w:szCs w:val="24"/>
          <w:lang w:val="en-US"/>
        </w:rPr>
        <w:fldChar w:fldCharType="end"/>
      </w:r>
      <w:r w:rsidR="00A232DC" w:rsidRPr="003D034F">
        <w:rPr>
          <w:rFonts w:ascii="Book Antiqua" w:hAnsi="Book Antiqua" w:cs="Calibri"/>
          <w:sz w:val="24"/>
          <w:szCs w:val="24"/>
          <w:lang w:val="en-US"/>
        </w:rPr>
        <w:t>.</w:t>
      </w:r>
      <w:r w:rsidR="00ED2949" w:rsidRPr="003D034F">
        <w:rPr>
          <w:rFonts w:ascii="Book Antiqua" w:hAnsi="Book Antiqua" w:cs="Calibri"/>
          <w:sz w:val="24"/>
          <w:szCs w:val="24"/>
          <w:lang w:val="en-US"/>
        </w:rPr>
        <w:t xml:space="preserve"> </w:t>
      </w:r>
    </w:p>
    <w:p w:rsidR="00B9550A" w:rsidRPr="003D034F" w:rsidRDefault="00B9550A" w:rsidP="003D034F">
      <w:pPr>
        <w:spacing w:after="0" w:line="360" w:lineRule="auto"/>
        <w:jc w:val="both"/>
        <w:rPr>
          <w:rFonts w:ascii="Book Antiqua" w:hAnsi="Book Antiqua" w:cs="Calibri"/>
          <w:i/>
          <w:sz w:val="24"/>
          <w:szCs w:val="24"/>
          <w:lang w:val="en-US"/>
        </w:rPr>
      </w:pPr>
    </w:p>
    <w:p w:rsidR="0069245A" w:rsidRPr="003D034F" w:rsidRDefault="00705E5B" w:rsidP="003D034F">
      <w:pPr>
        <w:spacing w:after="0" w:line="360" w:lineRule="auto"/>
        <w:jc w:val="both"/>
        <w:rPr>
          <w:rFonts w:ascii="Book Antiqua" w:hAnsi="Book Antiqua" w:cs="Calibri"/>
          <w:b/>
          <w:i/>
          <w:sz w:val="24"/>
          <w:szCs w:val="24"/>
          <w:lang w:val="en-US"/>
        </w:rPr>
      </w:pPr>
      <w:r w:rsidRPr="003D034F">
        <w:rPr>
          <w:rFonts w:ascii="Book Antiqua" w:hAnsi="Book Antiqua" w:cs="Calibri"/>
          <w:b/>
          <w:i/>
          <w:sz w:val="24"/>
          <w:szCs w:val="24"/>
          <w:lang w:val="en-US"/>
        </w:rPr>
        <w:t>Endoscopic aspects</w:t>
      </w:r>
    </w:p>
    <w:p w:rsidR="009612C1" w:rsidRPr="003D034F" w:rsidRDefault="009612C1" w:rsidP="003D034F">
      <w:pPr>
        <w:spacing w:after="0" w:line="360" w:lineRule="auto"/>
        <w:jc w:val="both"/>
        <w:rPr>
          <w:rFonts w:ascii="Book Antiqua" w:hAnsi="Book Antiqua" w:cs="Calibri"/>
          <w:sz w:val="24"/>
          <w:szCs w:val="24"/>
          <w:lang w:val="en-US" w:eastAsia="zh-CN"/>
        </w:rPr>
      </w:pPr>
      <w:r w:rsidRPr="003D034F">
        <w:rPr>
          <w:rFonts w:ascii="Book Antiqua" w:hAnsi="Book Antiqua" w:cs="Calibri"/>
          <w:sz w:val="24"/>
          <w:szCs w:val="24"/>
          <w:lang w:val="en-US"/>
        </w:rPr>
        <w:t>Endoscopic findings are similar to those described in other segments of the gastrointestinal tract, such as edema, enanthem, longitudinal or irregular erosions, ulcers that may be superficial or deep</w:t>
      </w:r>
      <w:r w:rsidR="00F41837" w:rsidRPr="003D034F">
        <w:rPr>
          <w:rFonts w:ascii="Book Antiqua" w:hAnsi="Book Antiqua" w:cs="Calibri"/>
          <w:sz w:val="24"/>
          <w:szCs w:val="24"/>
          <w:lang w:val="en-US"/>
        </w:rPr>
        <w:t xml:space="preserve"> or</w:t>
      </w:r>
      <w:r w:rsidRPr="003D034F">
        <w:rPr>
          <w:rFonts w:ascii="Book Antiqua" w:hAnsi="Book Antiqua" w:cs="Calibri"/>
          <w:sz w:val="24"/>
          <w:szCs w:val="24"/>
          <w:lang w:val="en-US"/>
        </w:rPr>
        <w:t xml:space="preserve"> </w:t>
      </w:r>
      <w:proofErr w:type="spellStart"/>
      <w:r w:rsidRPr="003D034F">
        <w:rPr>
          <w:rFonts w:ascii="Book Antiqua" w:hAnsi="Book Antiqua" w:cs="Calibri"/>
          <w:sz w:val="24"/>
          <w:szCs w:val="24"/>
          <w:lang w:val="en-US"/>
        </w:rPr>
        <w:t>a</w:t>
      </w:r>
      <w:r w:rsidR="00222646" w:rsidRPr="003D034F">
        <w:rPr>
          <w:rFonts w:ascii="Book Antiqua" w:hAnsi="Book Antiqua" w:cs="Calibri"/>
          <w:sz w:val="24"/>
          <w:szCs w:val="24"/>
          <w:lang w:val="en-US"/>
        </w:rPr>
        <w:t>ph</w:t>
      </w:r>
      <w:r w:rsidRPr="003D034F">
        <w:rPr>
          <w:rFonts w:ascii="Book Antiqua" w:hAnsi="Book Antiqua" w:cs="Calibri"/>
          <w:sz w:val="24"/>
          <w:szCs w:val="24"/>
          <w:lang w:val="en-US"/>
        </w:rPr>
        <w:t>t</w:t>
      </w:r>
      <w:r w:rsidR="00222646" w:rsidRPr="003D034F">
        <w:rPr>
          <w:rFonts w:ascii="Book Antiqua" w:hAnsi="Book Antiqua" w:cs="Calibri"/>
          <w:sz w:val="24"/>
          <w:szCs w:val="24"/>
          <w:lang w:val="en-US"/>
        </w:rPr>
        <w:t>h</w:t>
      </w:r>
      <w:r w:rsidRPr="003D034F">
        <w:rPr>
          <w:rFonts w:ascii="Book Antiqua" w:hAnsi="Book Antiqua" w:cs="Calibri"/>
          <w:sz w:val="24"/>
          <w:szCs w:val="24"/>
          <w:lang w:val="en-US"/>
        </w:rPr>
        <w:t>oid</w:t>
      </w:r>
      <w:proofErr w:type="spellEnd"/>
      <w:r w:rsidRPr="003D034F">
        <w:rPr>
          <w:rFonts w:ascii="Book Antiqua" w:hAnsi="Book Antiqua" w:cs="Calibri"/>
          <w:sz w:val="24"/>
          <w:szCs w:val="24"/>
          <w:lang w:val="en-US"/>
        </w:rPr>
        <w:t>, linear or serpen</w:t>
      </w:r>
      <w:r w:rsidR="00F41837" w:rsidRPr="003D034F">
        <w:rPr>
          <w:rFonts w:ascii="Book Antiqua" w:hAnsi="Book Antiqua" w:cs="Calibri"/>
          <w:sz w:val="24"/>
          <w:szCs w:val="24"/>
          <w:lang w:val="en-US"/>
        </w:rPr>
        <w:t>t</w:t>
      </w:r>
      <w:r w:rsidRPr="003D034F">
        <w:rPr>
          <w:rFonts w:ascii="Book Antiqua" w:hAnsi="Book Antiqua" w:cs="Calibri"/>
          <w:sz w:val="24"/>
          <w:szCs w:val="24"/>
          <w:lang w:val="en-US"/>
        </w:rPr>
        <w:t xml:space="preserve">ine; </w:t>
      </w:r>
      <w:r w:rsidRPr="003D034F">
        <w:rPr>
          <w:rFonts w:ascii="Book Antiqua" w:hAnsi="Book Antiqua" w:cs="Calibri"/>
          <w:sz w:val="24"/>
          <w:szCs w:val="24"/>
          <w:lang w:val="en-US"/>
        </w:rPr>
        <w:lastRenderedPageBreak/>
        <w:t>nodularity of the mucosa</w:t>
      </w:r>
      <w:r w:rsidR="00222646" w:rsidRPr="003D034F">
        <w:rPr>
          <w:rFonts w:ascii="Book Antiqua" w:hAnsi="Book Antiqua" w:cs="Calibri"/>
          <w:sz w:val="24"/>
          <w:szCs w:val="24"/>
          <w:lang w:val="en-US"/>
        </w:rPr>
        <w:t xml:space="preserve"> and</w:t>
      </w:r>
      <w:r w:rsidRPr="003D034F">
        <w:rPr>
          <w:rFonts w:ascii="Book Antiqua" w:hAnsi="Book Antiqua" w:cs="Calibri"/>
          <w:sz w:val="24"/>
          <w:szCs w:val="24"/>
          <w:lang w:val="en-US"/>
        </w:rPr>
        <w:t xml:space="preserve"> thickening or narrowing of the antrum, with reduction of distensibility; </w:t>
      </w:r>
      <w:r w:rsidR="00B146E1" w:rsidRPr="003D034F">
        <w:rPr>
          <w:rFonts w:ascii="Book Antiqua" w:hAnsi="Book Antiqua" w:cs="Calibri"/>
          <w:sz w:val="24"/>
          <w:szCs w:val="24"/>
          <w:lang w:val="en-US" w:eastAsia="zh-CN"/>
        </w:rPr>
        <w:t>“</w:t>
      </w:r>
      <w:r w:rsidRPr="003D034F">
        <w:rPr>
          <w:rFonts w:ascii="Book Antiqua" w:hAnsi="Book Antiqua" w:cs="Calibri"/>
          <w:sz w:val="24"/>
          <w:szCs w:val="24"/>
          <w:lang w:val="en-US"/>
        </w:rPr>
        <w:t>cobblestone</w:t>
      </w:r>
      <w:r w:rsidR="00B146E1" w:rsidRPr="003D034F">
        <w:rPr>
          <w:rFonts w:ascii="Book Antiqua" w:hAnsi="Book Antiqua" w:cs="Calibri"/>
          <w:sz w:val="24"/>
          <w:szCs w:val="24"/>
          <w:lang w:val="en-US" w:eastAsia="zh-CN"/>
        </w:rPr>
        <w:t>”</w:t>
      </w:r>
      <w:r w:rsidR="00222646" w:rsidRPr="003D034F">
        <w:rPr>
          <w:rFonts w:ascii="Book Antiqua" w:hAnsi="Book Antiqua" w:cs="Calibri"/>
          <w:sz w:val="24"/>
          <w:szCs w:val="24"/>
          <w:lang w:val="en-US"/>
        </w:rPr>
        <w:t xml:space="preserve"> appearance</w:t>
      </w:r>
      <w:r w:rsidRPr="003D034F">
        <w:rPr>
          <w:rFonts w:ascii="Book Antiqua" w:hAnsi="Book Antiqua" w:cs="Calibri"/>
          <w:sz w:val="24"/>
          <w:szCs w:val="24"/>
          <w:lang w:val="en-US"/>
        </w:rPr>
        <w:t xml:space="preserve">, duodenal stenosis, </w:t>
      </w:r>
      <w:r w:rsidR="00B146E1" w:rsidRPr="003D034F">
        <w:rPr>
          <w:rFonts w:ascii="Book Antiqua" w:hAnsi="Book Antiqua" w:cs="Calibri"/>
          <w:sz w:val="24"/>
          <w:szCs w:val="24"/>
          <w:lang w:val="en-US" w:eastAsia="zh-CN"/>
        </w:rPr>
        <w:t>“</w:t>
      </w:r>
      <w:r w:rsidRPr="003D034F">
        <w:rPr>
          <w:rFonts w:ascii="Book Antiqua" w:hAnsi="Book Antiqua" w:cs="Calibri"/>
          <w:sz w:val="24"/>
          <w:szCs w:val="24"/>
          <w:lang w:val="en-US"/>
        </w:rPr>
        <w:t>notching</w:t>
      </w:r>
      <w:r w:rsidR="00B146E1" w:rsidRPr="003D034F">
        <w:rPr>
          <w:rFonts w:ascii="Book Antiqua" w:hAnsi="Book Antiqua" w:cs="Calibri"/>
          <w:sz w:val="24"/>
          <w:szCs w:val="24"/>
          <w:lang w:val="en-US" w:eastAsia="zh-CN"/>
        </w:rPr>
        <w:t>”</w:t>
      </w:r>
      <w:r w:rsidRPr="003D034F">
        <w:rPr>
          <w:rFonts w:ascii="Book Antiqua" w:hAnsi="Book Antiqua" w:cs="Calibri"/>
          <w:sz w:val="24"/>
          <w:szCs w:val="24"/>
          <w:lang w:val="en-US"/>
        </w:rPr>
        <w:t xml:space="preserve"> of the duodenal folds, protruding lesions in the bulb and second duodenal portion and </w:t>
      </w:r>
      <w:r w:rsidR="00222646" w:rsidRPr="003D034F">
        <w:rPr>
          <w:rFonts w:ascii="Book Antiqua" w:hAnsi="Book Antiqua" w:cs="Calibri"/>
          <w:sz w:val="24"/>
          <w:szCs w:val="24"/>
          <w:lang w:val="en-US"/>
        </w:rPr>
        <w:t>a</w:t>
      </w:r>
      <w:r w:rsidRPr="003D034F">
        <w:rPr>
          <w:rFonts w:ascii="Book Antiqua" w:hAnsi="Book Antiqua" w:cs="Calibri"/>
          <w:sz w:val="24"/>
          <w:szCs w:val="24"/>
          <w:lang w:val="en-US"/>
        </w:rPr>
        <w:t xml:space="preserve"> </w:t>
      </w:r>
      <w:r w:rsidR="00B146E1" w:rsidRPr="003D034F">
        <w:rPr>
          <w:rFonts w:ascii="Book Antiqua" w:hAnsi="Book Antiqua" w:cs="Calibri"/>
          <w:sz w:val="24"/>
          <w:szCs w:val="24"/>
          <w:lang w:val="en-US" w:eastAsia="zh-CN"/>
        </w:rPr>
        <w:t>“</w:t>
      </w:r>
      <w:r w:rsidRPr="003D034F">
        <w:rPr>
          <w:rFonts w:ascii="Book Antiqua" w:hAnsi="Book Antiqua" w:cs="Calibri"/>
          <w:sz w:val="24"/>
          <w:szCs w:val="24"/>
          <w:lang w:val="en-US"/>
        </w:rPr>
        <w:t>bamboo-joint-like</w:t>
      </w:r>
      <w:r w:rsidR="00B146E1" w:rsidRPr="003D034F">
        <w:rPr>
          <w:rFonts w:ascii="Book Antiqua" w:hAnsi="Book Antiqua" w:cs="Calibri"/>
          <w:sz w:val="24"/>
          <w:szCs w:val="24"/>
          <w:lang w:val="en-US" w:eastAsia="zh-CN"/>
        </w:rPr>
        <w:t xml:space="preserve"> (BJL)”</w:t>
      </w:r>
      <w:r w:rsidR="00222646" w:rsidRPr="003D034F">
        <w:rPr>
          <w:rFonts w:ascii="Book Antiqua" w:hAnsi="Book Antiqua" w:cs="Calibri"/>
          <w:sz w:val="24"/>
          <w:szCs w:val="24"/>
          <w:lang w:val="en-US"/>
        </w:rPr>
        <w:t xml:space="preserve"> appearance</w:t>
      </w:r>
      <w:r w:rsidR="00056AC0" w:rsidRPr="003D034F">
        <w:rPr>
          <w:rFonts w:ascii="Book Antiqua" w:hAnsi="Book Antiqua" w:cs="Calibri"/>
          <w:sz w:val="24"/>
          <w:szCs w:val="24"/>
          <w:lang w:val="en-US"/>
        </w:rPr>
        <w:fldChar w:fldCharType="begin" w:fldLock="1"/>
      </w:r>
      <w:r w:rsidR="00FA1D23" w:rsidRPr="003D034F">
        <w:rPr>
          <w:rFonts w:ascii="Book Antiqua" w:hAnsi="Book Antiqua" w:cs="Calibri"/>
          <w:sz w:val="24"/>
          <w:szCs w:val="24"/>
          <w:lang w:val="en-US"/>
        </w:rPr>
        <w:instrText>ADDIN CSL_CITATION { "citationItems" : [ { "id" : "ITEM-1", "itemData" : { "DOI" : "10.1016/j.suc.2015.07.004", "ISBN" : "9780323402729", "ISSN" : "15583171", "PMID" : "26596921", "abstract" : "Proximal intestinal Crohn's disease is likely more common than previously recognized, and the incidence of diagnosis depends on the diligence with which it is sought. The majority of patients with proximal Crohn's disease has concurrent disease distally or will likely develop it in the future. Patients that have demonstrated colonic or ileocolic disease that complain of upper abdominal complaints such as pain, gastric reflux, or dysphagia should be evaluated with an upper endoscopy and biopsy. The most common surgical indication for gastroduodenal disease is for obstructive symptoms. These patents are adequately served with strictureplasty, but have a higher recurrence rate than with intestinal bypass procedures that can safely be performed laparoscopically. There is no definitive benefit to adding vagotomy in these patients. Fistulas most commonly originate in the colon or distal small intestine and are best prevented or treated with resection and duodenal or gastric closure.", "author" : [ { "dropping-particle" : "", "family" : "Davis", "given" : "Kurt G.", "non-dropping-particle" : "", "parse-names" : false, "suffix" : "" } ], "container-title" : "Surgical Clinics of North America", "id" : "ITEM-1", "issue" : "6", "issued" : { "date-parts" : [ [ "2015" ] ] }, "page" : "1183-1193", "publisher" : "Elsevier Inc", "title" : "Crohn's Disease of the Foregut", "type" : "article-journal", "volume" : "95" }, "uris" : [ "http://www.mendeley.com/documents/?uuid=595ad8e1-6cf4-4f0e-a945-d878bff5a16c" ] } ], "mendeley" : { "formattedCitation" : "&lt;sup&gt;[4]&lt;/sup&gt;", "plainTextFormattedCitation" : "[4]", "previouslyFormattedCitation" : "&lt;sup&gt;[4]&lt;/sup&gt;"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FA1D23" w:rsidRPr="003D034F">
        <w:rPr>
          <w:rFonts w:ascii="Book Antiqua" w:hAnsi="Book Antiqua" w:cs="Calibri"/>
          <w:sz w:val="24"/>
          <w:szCs w:val="24"/>
          <w:vertAlign w:val="superscript"/>
          <w:lang w:val="en-US"/>
        </w:rPr>
        <w:t>[4</w:t>
      </w:r>
      <w:r w:rsidR="00B146E1" w:rsidRPr="003D034F">
        <w:rPr>
          <w:rFonts w:ascii="Book Antiqua" w:hAnsi="Book Antiqua" w:cs="Calibri"/>
          <w:sz w:val="24"/>
          <w:szCs w:val="24"/>
          <w:vertAlign w:val="superscript"/>
          <w:lang w:val="en-US" w:eastAsia="zh-CN"/>
        </w:rPr>
        <w:t>,38,49,65,66</w:t>
      </w:r>
      <w:r w:rsidR="00FA1D23"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A90798" w:rsidRPr="003D034F">
        <w:rPr>
          <w:rFonts w:ascii="Book Antiqua" w:hAnsi="Book Antiqua" w:cs="Calibri"/>
          <w:sz w:val="24"/>
          <w:szCs w:val="24"/>
          <w:lang w:val="en-US"/>
        </w:rPr>
        <w:t>.</w:t>
      </w:r>
      <w:r w:rsidR="006B7680" w:rsidRPr="003D034F">
        <w:rPr>
          <w:rFonts w:ascii="Book Antiqua" w:hAnsi="Book Antiqua" w:cs="Calibri"/>
          <w:sz w:val="24"/>
          <w:szCs w:val="24"/>
          <w:lang w:val="en-US"/>
        </w:rPr>
        <w:t xml:space="preserve"> </w:t>
      </w:r>
      <w:r w:rsidRPr="003D034F">
        <w:rPr>
          <w:rFonts w:ascii="Book Antiqua" w:hAnsi="Book Antiqua" w:cs="Calibri"/>
          <w:sz w:val="24"/>
          <w:szCs w:val="24"/>
          <w:lang w:val="en-US"/>
        </w:rPr>
        <w:t xml:space="preserve">The protruding lesions may have a longitudinal arrangement described as </w:t>
      </w:r>
      <w:r w:rsidR="00B146E1" w:rsidRPr="003D034F">
        <w:rPr>
          <w:rFonts w:ascii="Book Antiqua" w:hAnsi="Book Antiqua" w:cs="Calibri"/>
          <w:sz w:val="24"/>
          <w:szCs w:val="24"/>
          <w:lang w:val="en-US" w:eastAsia="zh-CN"/>
        </w:rPr>
        <w:t>“</w:t>
      </w:r>
      <w:r w:rsidRPr="003D034F">
        <w:rPr>
          <w:rFonts w:ascii="Book Antiqua" w:hAnsi="Book Antiqua" w:cs="Calibri"/>
          <w:sz w:val="24"/>
          <w:szCs w:val="24"/>
          <w:lang w:val="en-US"/>
        </w:rPr>
        <w:t>rosary-like protuber</w:t>
      </w:r>
      <w:r w:rsidR="00F41837" w:rsidRPr="003D034F">
        <w:rPr>
          <w:rFonts w:ascii="Book Antiqua" w:hAnsi="Book Antiqua" w:cs="Calibri"/>
          <w:sz w:val="24"/>
          <w:szCs w:val="24"/>
          <w:lang w:val="en-US"/>
        </w:rPr>
        <w:t>ant</w:t>
      </w:r>
      <w:r w:rsidRPr="003D034F">
        <w:rPr>
          <w:rFonts w:ascii="Book Antiqua" w:hAnsi="Book Antiqua" w:cs="Calibri"/>
          <w:sz w:val="24"/>
          <w:szCs w:val="24"/>
          <w:lang w:val="en-US"/>
        </w:rPr>
        <w:t xml:space="preserve"> lesions</w:t>
      </w:r>
      <w:r w:rsidR="00B146E1" w:rsidRPr="003D034F">
        <w:rPr>
          <w:rFonts w:ascii="Book Antiqua" w:hAnsi="Book Antiqua" w:cs="Calibri"/>
          <w:sz w:val="24"/>
          <w:szCs w:val="24"/>
          <w:lang w:val="en-US" w:eastAsia="zh-CN"/>
        </w:rPr>
        <w:t>”</w:t>
      </w:r>
      <w:r w:rsidRPr="003D034F">
        <w:rPr>
          <w:rFonts w:ascii="Book Antiqua" w:hAnsi="Book Antiqua" w:cs="Calibri"/>
          <w:sz w:val="24"/>
          <w:szCs w:val="24"/>
          <w:lang w:val="en-US"/>
        </w:rPr>
        <w:t xml:space="preserve">. Erosions may be circular or longitudinally aligned, usually located in the antrum and difficult to differentiate </w:t>
      </w:r>
      <w:r w:rsidR="00222646" w:rsidRPr="003D034F">
        <w:rPr>
          <w:rFonts w:ascii="Book Antiqua" w:hAnsi="Book Antiqua" w:cs="Calibri"/>
          <w:sz w:val="24"/>
          <w:szCs w:val="24"/>
          <w:lang w:val="en-US"/>
        </w:rPr>
        <w:t xml:space="preserve">from </w:t>
      </w:r>
      <w:r w:rsidRPr="003D034F">
        <w:rPr>
          <w:rFonts w:ascii="Book Antiqua" w:hAnsi="Book Antiqua" w:cs="Calibri"/>
          <w:sz w:val="24"/>
          <w:szCs w:val="24"/>
          <w:lang w:val="en-US"/>
        </w:rPr>
        <w:t>other types of gastritis not associated with CD, so that the sensitivity of this finding is low</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"10.1007/s12328-017-0759-7", "ISSN" : "18657265", "PMID" : "28695451", "abstract" : "Crohn's disease (CD) is a type of chronic inflammatory bowel disease (IBD) associated with ulceration, and the main foci of the inflammation in CD patients are typically the terminal ileum and colon. However, in the upper gastrointestinal tract (GIT), including the esophagus, stomach and duodenum, inflammatory lesions are also detected as well, with a relatively high frequency (30--75{%}). Recent advances in imaging modalities, including endoscopy, have aided in the diagnosis of CD. Various lesions, including aphtha, erosion, ulcers, bamboo-joint-like appearance and notch-like appearance, are detected in the upper GI of CD patients. Of these lesions, the bamboo-joint-like appearance in the gastric cardiac region and notch-like appearance in the second portion of the duodenum are highly specific for CD, regardless of the disease activity at other sites. These two findings, particularly a bamboo-joint-like appearance, have therefore been considered as potential biomarkers for CD. Although proton pump inhibitors (PPIs) are administered as an initial treatment for upper GIT lesions of CD, the efficacy of this treatment remains controversial. The administration of mesalazine, steroids, immunosuppressant and biologic agents is expected to be effective for treating such lesions.", "author" : [ { "dropping-particle" : "", "family" : "Nomura", "given" : "Yoshiki", "non-dropping-particle" : "", "parse-names" : false, "suffix" : "" }, { "dropping-particle" : "", "family" : "Moriichi", "given" : "Kentaro", "non-dropping-particle" : "", "parse-names" : false, "suffix" : "" }, { "dropping-particle" : "", "family" : "Fujiya", "given" : "Mikihiro", "non-dropping-particle" : "", "parse-names" : false, "suffix" : "" }, { "dropping-particle" : "", "family" : "Okumura", "given" : "Toshikatsu", "non-dropping-particle" : "", "parse-names" : false, "suffix" : "" } ], "container-title" : "Clinical Journal of Gastroenterology", "id" : "ITEM-1", "issue" : "4", "issued" : { "date-parts" : [ [ "2017" ] ] }, "page" : "289-296", "publisher" : "Springer Japan", "title" : "The endoscopic findings of the upper gastrointestinal tract in patients with Crohn\u2019s disease", "type" : "article-journal", "volume" : "10" }, "uris" : [ "http://www.mendeley.com/documents/?uuid=d17ae756-c05c-472f-8c15-d4035bc4dc1a" ] } ], "mendeley" : { "formattedCitation" : "&lt;sup&gt;[38]&lt;/sup&gt;", "plainTextFormattedCitation" : "[38]", "previouslyFormattedCitation" : "&lt;sup&gt;[38]&lt;/sup&gt;"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[38]</w:t>
      </w:r>
      <w:r w:rsidR="00056AC0" w:rsidRPr="003D034F">
        <w:rPr>
          <w:rFonts w:ascii="Book Antiqua" w:hAnsi="Book Antiqua" w:cs="Calibri"/>
          <w:sz w:val="24"/>
          <w:szCs w:val="24"/>
          <w:lang w:val="en-US"/>
        </w:rPr>
        <w:fldChar w:fldCharType="end"/>
      </w:r>
      <w:r w:rsidR="00B146E1" w:rsidRPr="003D034F">
        <w:rPr>
          <w:rFonts w:ascii="Book Antiqua" w:hAnsi="Book Antiqua" w:cs="Calibri"/>
          <w:sz w:val="24"/>
          <w:szCs w:val="24"/>
          <w:lang w:val="en-US"/>
        </w:rPr>
        <w:t>.</w:t>
      </w:r>
    </w:p>
    <w:p w:rsidR="00F23E06" w:rsidRPr="003D034F" w:rsidRDefault="009612C1" w:rsidP="003D034F">
      <w:pPr>
        <w:spacing w:after="0" w:line="360" w:lineRule="auto"/>
        <w:ind w:firstLineChars="100" w:firstLine="240"/>
        <w:jc w:val="both"/>
        <w:rPr>
          <w:rFonts w:ascii="Book Antiqua" w:hAnsi="Book Antiqua" w:cs="Calibri"/>
          <w:sz w:val="24"/>
          <w:szCs w:val="24"/>
          <w:lang w:val="en-US" w:eastAsia="zh-CN"/>
        </w:rPr>
      </w:pPr>
      <w:r w:rsidRPr="003D034F">
        <w:rPr>
          <w:rFonts w:ascii="Book Antiqua" w:hAnsi="Book Antiqua" w:cs="Calibri"/>
          <w:sz w:val="24"/>
          <w:szCs w:val="24"/>
          <w:lang w:val="en-US"/>
        </w:rPr>
        <w:t xml:space="preserve">The </w:t>
      </w:r>
      <w:r w:rsidR="00222646" w:rsidRPr="003D034F">
        <w:rPr>
          <w:rFonts w:ascii="Book Antiqua" w:hAnsi="Book Antiqua" w:cs="Calibri"/>
          <w:sz w:val="24"/>
          <w:szCs w:val="24"/>
          <w:lang w:val="en-US"/>
        </w:rPr>
        <w:t xml:space="preserve">places </w:t>
      </w:r>
      <w:r w:rsidRPr="003D034F">
        <w:rPr>
          <w:rFonts w:ascii="Book Antiqua" w:hAnsi="Book Antiqua" w:cs="Calibri"/>
          <w:sz w:val="24"/>
          <w:szCs w:val="24"/>
          <w:lang w:val="en-US"/>
        </w:rPr>
        <w:t>most frequently affected by gastroduodenal CD are the antrum, pylorus and proximal duodenum, while the proximal stomach is usually preserved</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"16278730", "author" : [ { "dropping-particle" : "", "family" : "Kefalas", "given" : "Costas H.", "non-dropping-particle" : "", "parse-names" : false, "suffix" : "" } ], "container-title" : "BUMC Proceedings.", "id" : "ITEM-1", "issue" : "2", "issued" : { "date-parts" : [ [ "2003" ] ] }, "page" : "147-151", "title" : "Gastroduodenal Crohn's disease", "type" : "article-journal", "volume" : "16" }, "uris" : [ "http://www.mendeley.com/documents/?uuid=b2d2af11-d48d-423a-b188-ad803e388336" ] } ], "mendeley" : { "formattedCitation" : "&lt;sup&gt;[64]&lt;/sup&gt;", "plainTextFormattedCitation" : "[64]", "previouslyFormattedCitation" : "&lt;sup&gt;[64]&lt;/sup&gt;"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[64</w:t>
      </w:r>
      <w:r w:rsidR="00B146E1" w:rsidRPr="003D034F">
        <w:rPr>
          <w:rFonts w:ascii="Book Antiqua" w:hAnsi="Book Antiqua" w:cs="Calibri"/>
          <w:sz w:val="24"/>
          <w:szCs w:val="24"/>
          <w:vertAlign w:val="superscript"/>
          <w:lang w:val="en-US" w:eastAsia="zh-CN"/>
        </w:rPr>
        <w:t>,66</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8955D6" w:rsidRPr="003D034F">
        <w:rPr>
          <w:rFonts w:ascii="Book Antiqua" w:hAnsi="Book Antiqua" w:cs="Calibri"/>
          <w:sz w:val="24"/>
          <w:szCs w:val="24"/>
          <w:lang w:val="en-US"/>
        </w:rPr>
        <w:t xml:space="preserve">. </w:t>
      </w:r>
      <w:r w:rsidRPr="003D034F">
        <w:rPr>
          <w:rFonts w:ascii="Book Antiqua" w:hAnsi="Book Antiqua" w:cs="Calibri"/>
          <w:sz w:val="24"/>
          <w:szCs w:val="24"/>
          <w:lang w:val="en-US"/>
        </w:rPr>
        <w:t xml:space="preserve">A retrospective cohort study of 138 CD patients submitted to HDE for investigation of high gastroduodenal symptoms or as part of the diagnostic investigation demonstrated that the ratio of specific CD lesions </w:t>
      </w:r>
      <w:r w:rsidR="002718FF" w:rsidRPr="003D034F">
        <w:rPr>
          <w:rFonts w:ascii="Book Antiqua" w:hAnsi="Book Antiqua" w:cs="Calibri"/>
          <w:sz w:val="24"/>
          <w:szCs w:val="24"/>
          <w:lang w:val="en-US"/>
        </w:rPr>
        <w:t>were higher in</w:t>
      </w:r>
      <w:r w:rsidRPr="003D034F">
        <w:rPr>
          <w:rFonts w:ascii="Book Antiqua" w:hAnsi="Book Antiqua" w:cs="Calibri"/>
          <w:sz w:val="24"/>
          <w:szCs w:val="24"/>
          <w:lang w:val="en-US"/>
        </w:rPr>
        <w:t xml:space="preserve"> upper</w:t>
      </w:r>
      <w:r w:rsidR="00222646" w:rsidRPr="003D034F">
        <w:rPr>
          <w:rFonts w:ascii="Book Antiqua" w:hAnsi="Book Antiqua" w:cs="Calibri"/>
          <w:sz w:val="24"/>
          <w:szCs w:val="24"/>
          <w:lang w:val="en-US"/>
        </w:rPr>
        <w:t>-</w:t>
      </w:r>
      <w:r w:rsidR="002718FF" w:rsidRPr="003D034F">
        <w:rPr>
          <w:rFonts w:ascii="Book Antiqua" w:hAnsi="Book Antiqua" w:cs="Calibri"/>
          <w:sz w:val="24"/>
          <w:szCs w:val="24"/>
          <w:lang w:val="en-US"/>
        </w:rPr>
        <w:t xml:space="preserve">middle (47.8%), lower (24.6%) and </w:t>
      </w:r>
      <w:r w:rsidRPr="003D034F">
        <w:rPr>
          <w:rFonts w:ascii="Book Antiqua" w:hAnsi="Book Antiqua" w:cs="Calibri"/>
          <w:sz w:val="24"/>
          <w:szCs w:val="24"/>
          <w:lang w:val="en-US"/>
        </w:rPr>
        <w:t>bulb</w:t>
      </w:r>
      <w:r w:rsidR="002718FF" w:rsidRPr="003D034F">
        <w:rPr>
          <w:rFonts w:ascii="Book Antiqua" w:hAnsi="Book Antiqua" w:cs="Calibri"/>
          <w:sz w:val="24"/>
          <w:szCs w:val="24"/>
          <w:lang w:val="en-US"/>
        </w:rPr>
        <w:t xml:space="preserve"> (31.9%)</w:t>
      </w:r>
      <w:r w:rsidR="00056AC0" w:rsidRPr="003D034F">
        <w:rPr>
          <w:rFonts w:ascii="Book Antiqua" w:hAnsi="Book Antiqua" w:cs="Calibri"/>
          <w:sz w:val="24"/>
          <w:szCs w:val="24"/>
          <w:lang w:val="en-US"/>
        </w:rPr>
        <w:fldChar w:fldCharType="begin" w:fldLock="1"/>
      </w:r>
      <w:r w:rsidR="0025673C" w:rsidRPr="003D034F">
        <w:rPr>
          <w:rFonts w:ascii="Book Antiqua" w:hAnsi="Book Antiqua" w:cs="Calibri"/>
          <w:sz w:val="24"/>
          <w:szCs w:val="24"/>
          <w:lang w:val="en-US"/>
        </w:rPr>
        <w:instrText>ADDIN CSL_CITATION { "citationItems" : [ { "id" : "ITEM-1", "itemData" : { "DOI" : "10.1155/2014/610767", "ISBN" : "2314-6133", "PMID" : "24672792", "abstract" : "Background. Crohn's disease (CD) may involve any part of the gastrointestinal tract. We assessed the prevalence and features of upper gastrointestinal (UGI) lesions in CD. Methods. This was a retrospective study that included 138 CD patients that underwent esophagogastroduodenoscopy (EGD). The rate of Crohn's specific endoscopic lesions in the esophagus, stomach, and duodenum was assessed, and immunohistochemical analysis was performed. Changes in the UGI lesions were assessed in those who had two or more EGD. Results. Of 138 patients, 51.3% had Crohn's specific UGI lesions. The rates of Crohn's specific lesion in the esophagus, upper-to-middle stomach, lower stomach, duodenal bulb, and 2nd portion of the duodenum were 6.5%, 47.8%, 24.6%, 31.9%, and 18.1%, respectively. Granulomas were detected in 6.1%, 25.0%, and 11.4% in the upper-to-middle stomach, lower stomach, and duodenal bulb, respectively, but none in the esophagus and 2nd portion of the duodenum. Thirty-seven were analyzed for Helicobacter pylori and 4 were positive (10.8%). Improvements of UGI lesions were seen in 14 out of 49 (28.5%) and were unchanged in 59.2% and worsened in 12.2%. Conclusions. The prevalence of Crohn's specific UGI lesions was common in our case series, and immunohistochemical studies suggested that the majority was unrelated to Helicobacter pylori infection. Worsening of UGI lesions over the course was rare. 2014 Atsushi Sakuraba et al.", "author" : [ { "dropping-particle" : "", "family" : "Sakuraba", "given" : "A", "non-dropping-particle" : "", "parse-names" : false, "suffix" : "" }, { "dropping-particle" : "", "family" : "Iwao", "given" : "Y", "non-dropping-particle" : "", "parse-names" : false, "suffix" : "" }, { "dropping-particle" : "", "family" : "Matsuoka", "given" : "K", "non-dropping-particle" : "", "parse-names" : false, "suffix" : "" }, { "dropping-particle" : "", "family" : "Naganuma", "given" : "M", "non-dropping-particle" : "", "parse-names" : false, "suffix" : "" }, { "dropping-particle" : "", "family" : "Ogata", "given" : "H", "non-dropping-particle" : "", "parse-names" : false, "suffix" : "" }, { "dropping-particle" : "", "family" : "Kanai", "given" : "T", "non-dropping-particle" : "", "parse-names" : false, "suffix" : "" }, { "dropping-particle" : "", "family" : "Hibi", "given" : "T", "non-dropping-particle" : "", "parse-names" : false, "suffix" : "" } ], "container-title" : "BioMed Research International", "id" : "ITEM-1", "issue" : "610767", "issued" : { "date-parts" : [ [ "2014" ] ] }, "title" : "Endoscopic and pathologic changes of the upper gastrointestinal tract in Crohn's disease", "type" : "article-journal", "volume" : "2014" }, "uris" : [ "http://www.mendeley.com/documents/?uuid=7e06c1d2-1bab-4d9f-93c5-f09cbfab043d" ] } ], "mendeley" : { "formattedCitation" : "&lt;sup&gt;[15]&lt;/sup&gt;", "plainTextFormattedCitation" : "[15]", "previouslyFormattedCitation" : "&lt;sup&gt;[15]&lt;/sup&gt;"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25673C" w:rsidRPr="003D034F">
        <w:rPr>
          <w:rFonts w:ascii="Book Antiqua" w:hAnsi="Book Antiqua" w:cs="Calibri"/>
          <w:sz w:val="24"/>
          <w:szCs w:val="24"/>
          <w:vertAlign w:val="superscript"/>
          <w:lang w:val="en-US"/>
        </w:rPr>
        <w:t>[15]</w:t>
      </w:r>
      <w:r w:rsidR="00056AC0" w:rsidRPr="003D034F">
        <w:rPr>
          <w:rFonts w:ascii="Book Antiqua" w:hAnsi="Book Antiqua" w:cs="Calibri"/>
          <w:sz w:val="24"/>
          <w:szCs w:val="24"/>
          <w:lang w:val="en-US"/>
        </w:rPr>
        <w:fldChar w:fldCharType="end"/>
      </w:r>
      <w:r w:rsidR="00E47871" w:rsidRPr="003D034F">
        <w:rPr>
          <w:rFonts w:ascii="Book Antiqua" w:hAnsi="Book Antiqua" w:cs="Calibri"/>
          <w:sz w:val="24"/>
          <w:szCs w:val="24"/>
          <w:lang w:val="en-US"/>
        </w:rPr>
        <w:t xml:space="preserve">. </w:t>
      </w:r>
      <w:r w:rsidR="00E77BE5" w:rsidRPr="003D034F">
        <w:rPr>
          <w:rFonts w:ascii="Book Antiqua" w:hAnsi="Book Antiqua" w:cs="Calibri"/>
          <w:sz w:val="24"/>
          <w:szCs w:val="24"/>
          <w:lang w:val="en-US"/>
        </w:rPr>
        <w:t xml:space="preserve">The </w:t>
      </w:r>
      <w:r w:rsidR="00B146E1" w:rsidRPr="003D034F">
        <w:rPr>
          <w:rFonts w:ascii="Book Antiqua" w:hAnsi="Book Antiqua" w:cs="Calibri"/>
          <w:sz w:val="24"/>
          <w:szCs w:val="24"/>
          <w:lang w:val="en-US"/>
        </w:rPr>
        <w:t>BJL</w:t>
      </w:r>
      <w:r w:rsidR="00E77BE5" w:rsidRPr="003D034F">
        <w:rPr>
          <w:rFonts w:ascii="Book Antiqua" w:hAnsi="Book Antiqua" w:cs="Calibri"/>
          <w:sz w:val="24"/>
          <w:szCs w:val="24"/>
          <w:lang w:val="en-US"/>
        </w:rPr>
        <w:t xml:space="preserve"> appearance was first described by Yokota </w:t>
      </w:r>
      <w:r w:rsidR="00B146E1" w:rsidRPr="003D034F">
        <w:rPr>
          <w:rFonts w:ascii="Book Antiqua" w:hAnsi="Book Antiqua" w:cs="Calibri"/>
          <w:i/>
          <w:sz w:val="24"/>
          <w:szCs w:val="24"/>
          <w:lang w:val="en-US" w:eastAsia="zh-CN"/>
        </w:rPr>
        <w:t>et al</w:t>
      </w:r>
      <w:r w:rsidR="00B146E1" w:rsidRPr="003D034F">
        <w:rPr>
          <w:rFonts w:ascii="Book Antiqua" w:hAnsi="Book Antiqua" w:cs="Calibri"/>
          <w:sz w:val="24"/>
          <w:szCs w:val="24"/>
          <w:lang w:val="en-US"/>
        </w:rPr>
        <w:fldChar w:fldCharType="begin" w:fldLock="1"/>
      </w:r>
      <w:r w:rsidR="00B146E1" w:rsidRPr="003D034F">
        <w:rPr>
          <w:rFonts w:ascii="Book Antiqua" w:hAnsi="Book Antiqua" w:cs="Calibri"/>
          <w:sz w:val="24"/>
          <w:szCs w:val="24"/>
          <w:lang w:val="en-US"/>
        </w:rPr>
        <w:instrText>ADDIN CSL_CITATION { "citationItems" : [ { "id" : "ITEM-1", "itemData" : { "DOI" : "10.1055/s", "ISBN" : "2005915467", "ISSN" : "00309346", "PMID" : "18828076", "abstract" : "(VT)\\nDer Morbus Scheuermann (Synonyme: Scheuermann's disease, Adoleszentenkyphose, Osteochondrosis vertebralis, juvenile osteochondrotische Kyphose, idiopathische Kyphose) ist eine h\u00e4ufige Erkrankung des Jugendlichen mit der Ausbildung einer strukturellen Kyphose. Diese Kyphose f\u00fchrt in einer Vielzahl der F\u00e4lle, jedoch keineswegs immer, zu klinischen Symptomen, die einer \u00e4rztlichen Behandlung bed\u00fcrfen. Die \u00c4tiopathogenese der Erkrankung ist bis heute nicht vollst\u00e4ndig gekl\u00e4rt. Die Ver\u00e4nderungen treten typischerweise im Bereich der Brustwirbels\u00e4ule (Morbus Scheuermann Typ I), seltener im Bereich der Lendenwirbels\u00e4ule und des thorakolumbalen \u00dcberganges (Morbus Scheuermann Typ II) auf und f\u00fchren zur charakteristischen rigiden Kyphose des sp\u00e4ten Kindesalters. Klinisch werden die Jugendlichen vor allem durch den progredienten Rundr\u00fccken auff\u00e4llig. Mit zunehmendem Krankheitsverlauf k\u00f6nnen R\u00fcckenschmerzen hinzutreten, die sowohl den betroffenen Bereich der Wirbels\u00e4ule als auch kompensatorisch ver\u00e4nderte Areale betreffen. Die Diagnosestellung erfolgt klinisch, in sp\u00e4teren Stadien radiologisch. Die Prognose der Erkrankung ist gut. Die klinische Symptomatik h\u00e4ngt aber wesentlich vom Ausma\u00df der Deformit\u00e4t ab. Bewegungseinschr\u00e4nkungen der betroffenen Wirbels\u00e4ule mit der M\u00f6glichkeit der anterioren Verkn\u00f6cherung und kompensatorische Hyperlordosen der benachbarten Wirbels\u00e4ulenabschnitte mit entsprechenden Funktionsst\u00f6rungen sind m\u00f6glich. Die Entwicklung von neurologischen Defiziten ist extrem selten. Bei einem Ausma\u00df der Kyphose von mehr als 1008 k\u00f6nnen kardiopulmonale St\u00f6rungen (thorakaler Typ) auftreten. Kombinationen mit Skoliosen oder Spondylolysen sind h\u00e4ufig. Behandlungskonsequenzen ergeben sich aus diesen Entit\u00e4ten zumeist nicht. Absolute Behandlungsindikationen sind neurologische Defizite. Als relative Indikation zur Therapie gelten die Progredienz der Deformit\u00e4t und Schmerzen. Es stehen konservative und operative Behandlungsverfahren zur Verf\u00fcgung. Die konservativen Verfahren gliedern sich in antiinflammatorische Medikation, krankengymnastische Ma\u00dfnahmen und aufrichtende Korsettversorgungen. Operative Ma\u00dfnahmen sind selten notwendig und k\u00f6nnen - je nach Alter und Ausma\u00df der Deformit\u00e4t - als dorsale Fusionen in situ oder als kombinierte ventrodorsale Korrekturspondylodesen durchgef\u00fchrt werden. Je nach Verfahren werden Korrekturen von 20 - 40\u00b0 erreicht. Die operative Aufrichtung von fixierten Scheuermann\u2212Kyphosen ist mit erheblichen Risiken verbunden und sollt\u2026", "author" : [ { "dropping-particle" : "", "family" : "Hokama A, Nakamura M, Ihama Y, Chinen H, Kishimoto K, Kinjo F", "given" : "Fujita J.", "non-dropping-particle" : "", "parse-names" : false, "suffix" : "" } ], "container-title" : "Endoscopy", "id" : "ITEM-1", "issue" : "Suppl 2", "issued" : { "date-parts" : [ [ "2008" ] ] }, "page" : "E151", "title" : "Nothed sign and bamboo-joint-like appearence in duodenal Crohn's disease", "type" : "article-journal", "volume" : "40" }, "uris" : [ "http://www.mendeley.com/documents/?uuid=6c473381-f479-4e20-8339-5c7a0637f6e5" ] } ], "mendeley" : { "formattedCitation" : "&lt;sup&gt;[67]&lt;/sup&gt;", "plainTextFormattedCitation" : "[67]", "previouslyFormattedCitation" : "&lt;sup&gt;[67]&lt;/sup&gt;" }, "properties" : {  }, "schema" : "https://github.com/citation-style-language/schema/raw/master/csl-citation.json" }</w:instrText>
      </w:r>
      <w:r w:rsidR="00B146E1" w:rsidRPr="003D034F">
        <w:rPr>
          <w:rFonts w:ascii="Book Antiqua" w:hAnsi="Book Antiqua" w:cs="Calibri"/>
          <w:sz w:val="24"/>
          <w:szCs w:val="24"/>
          <w:lang w:val="en-US"/>
        </w:rPr>
        <w:fldChar w:fldCharType="separate"/>
      </w:r>
      <w:r w:rsidR="00B146E1" w:rsidRPr="003D034F">
        <w:rPr>
          <w:rFonts w:ascii="Book Antiqua" w:hAnsi="Book Antiqua" w:cs="Calibri"/>
          <w:sz w:val="24"/>
          <w:szCs w:val="24"/>
          <w:vertAlign w:val="superscript"/>
          <w:lang w:val="en-US"/>
        </w:rPr>
        <w:t>[67]</w:t>
      </w:r>
      <w:r w:rsidR="00B146E1" w:rsidRPr="003D034F">
        <w:rPr>
          <w:rFonts w:ascii="Book Antiqua" w:hAnsi="Book Antiqua" w:cs="Calibri"/>
          <w:sz w:val="24"/>
          <w:szCs w:val="24"/>
          <w:lang w:val="en-US"/>
        </w:rPr>
        <w:fldChar w:fldCharType="end"/>
      </w:r>
      <w:r w:rsidR="00B146E1" w:rsidRPr="003D034F">
        <w:rPr>
          <w:rFonts w:ascii="Book Antiqua" w:hAnsi="Book Antiqua" w:cs="Calibri"/>
          <w:sz w:val="24"/>
          <w:szCs w:val="24"/>
          <w:lang w:val="en-US" w:eastAsia="zh-CN"/>
        </w:rPr>
        <w:t xml:space="preserve"> </w:t>
      </w:r>
      <w:r w:rsidR="00E77BE5" w:rsidRPr="003D034F">
        <w:rPr>
          <w:rFonts w:ascii="Book Antiqua" w:hAnsi="Book Antiqua" w:cs="Calibri"/>
          <w:sz w:val="24"/>
          <w:szCs w:val="24"/>
          <w:lang w:val="en-US"/>
        </w:rPr>
        <w:t>in 1997 and is characterized by linear fissures or grooves that cross the longitudinal folds of the small curvature of the cardia and upper gastric body. Although this finding can be identified by white light, it can be better observed through indigo carmin</w:t>
      </w:r>
      <w:r w:rsidR="00F41837" w:rsidRPr="003D034F">
        <w:rPr>
          <w:rFonts w:ascii="Book Antiqua" w:hAnsi="Book Antiqua" w:cs="Calibri"/>
          <w:sz w:val="24"/>
          <w:szCs w:val="24"/>
          <w:lang w:val="en-US"/>
        </w:rPr>
        <w:t>e</w:t>
      </w:r>
      <w:r w:rsidR="00E77BE5" w:rsidRPr="003D034F">
        <w:rPr>
          <w:rFonts w:ascii="Book Antiqua" w:hAnsi="Book Antiqua" w:cs="Calibri"/>
          <w:sz w:val="24"/>
          <w:szCs w:val="24"/>
          <w:lang w:val="en-US"/>
        </w:rPr>
        <w:t xml:space="preserve"> </w:t>
      </w:r>
      <w:proofErr w:type="spellStart"/>
      <w:r w:rsidR="00E77BE5" w:rsidRPr="003D034F">
        <w:rPr>
          <w:rFonts w:ascii="Book Antiqua" w:hAnsi="Book Antiqua" w:cs="Calibri"/>
          <w:sz w:val="24"/>
          <w:szCs w:val="24"/>
          <w:lang w:val="en-US"/>
        </w:rPr>
        <w:t>chromoscopy</w:t>
      </w:r>
      <w:proofErr w:type="spellEnd"/>
      <w:r w:rsidR="00C64E66" w:rsidRPr="003D034F">
        <w:rPr>
          <w:rFonts w:ascii="Book Antiqua" w:hAnsi="Book Antiqua" w:cs="Calibri"/>
          <w:sz w:val="24"/>
          <w:szCs w:val="24"/>
          <w:lang w:val="en-US"/>
        </w:rPr>
        <w:t xml:space="preserve">. </w:t>
      </w:r>
      <w:r w:rsidR="00ED0A6A" w:rsidRPr="003D034F">
        <w:rPr>
          <w:rFonts w:ascii="Book Antiqua" w:hAnsi="Book Antiqua" w:cs="Calibri"/>
          <w:sz w:val="24"/>
          <w:szCs w:val="24"/>
          <w:lang w:val="en-US"/>
        </w:rPr>
        <w:t xml:space="preserve">A retrospective study by </w:t>
      </w:r>
      <w:proofErr w:type="spellStart"/>
      <w:r w:rsidR="00B146E1" w:rsidRPr="003D034F">
        <w:rPr>
          <w:rFonts w:ascii="Book Antiqua" w:hAnsi="Book Antiqua"/>
          <w:sz w:val="24"/>
          <w:szCs w:val="24"/>
          <w:lang w:val="en-US"/>
        </w:rPr>
        <w:t>Kuriyama</w:t>
      </w:r>
      <w:proofErr w:type="spellEnd"/>
      <w:r w:rsidR="00ED0A6A" w:rsidRPr="003D034F">
        <w:rPr>
          <w:rFonts w:ascii="Book Antiqua" w:hAnsi="Book Antiqua" w:cs="Calibri"/>
          <w:sz w:val="24"/>
          <w:szCs w:val="24"/>
          <w:lang w:val="en-US"/>
        </w:rPr>
        <w:t xml:space="preserve"> </w:t>
      </w:r>
      <w:r w:rsidR="00ED0A6A" w:rsidRPr="003D034F">
        <w:rPr>
          <w:rFonts w:ascii="Book Antiqua" w:hAnsi="Book Antiqua" w:cs="Calibri"/>
          <w:i/>
          <w:sz w:val="24"/>
          <w:szCs w:val="24"/>
          <w:lang w:val="en-US"/>
        </w:rPr>
        <w:t>et al</w:t>
      </w:r>
      <w:r w:rsidR="00B146E1" w:rsidRPr="003D034F">
        <w:rPr>
          <w:rFonts w:ascii="Book Antiqua" w:hAnsi="Book Antiqua" w:cs="Calibri"/>
          <w:sz w:val="24"/>
          <w:szCs w:val="24"/>
          <w:lang w:val="en-US"/>
        </w:rPr>
        <w:fldChar w:fldCharType="begin" w:fldLock="1"/>
      </w:r>
      <w:r w:rsidR="00B146E1" w:rsidRPr="003D034F">
        <w:rPr>
          <w:rFonts w:ascii="Book Antiqua" w:hAnsi="Book Antiqua" w:cs="Calibri"/>
          <w:sz w:val="24"/>
          <w:szCs w:val="24"/>
          <w:lang w:val="en-US"/>
        </w:rPr>
        <w:instrText>ADDIN CSL_CITATION { "citationItems" : [ { "id" : "ITEM-1", "itemData" : { "DOI" : "10.1016/j.dld.2008.01.008", "ISSN" : "15908658", "PMID" : "18328794", "abstract" : "Background: Crohn's disease patients often carry gastroduodenal lesions. However, few reports have addressed specific gastroduodenoscopic findings in Crohn's disease patients. Methods: The gastroduodenoscopic findings of 63 Crohn's disease patients were examined. Those of 62 ulcerative colitis and 63 age- and gender-matched gastroesophageal reflux disease patients were also reviewed as controls. Findings of bamboo-joint-like appearance, gastric antral erosions, and duodenal lesions were the specific findings that were highlighted. Results: Of 63 Crohn's disease patients, 47 (75%) had at least one of the specific gastroduodenoscopic findings, and the prevalence of these findings was significantly higher in Crohn's disease patients than in ulcerative colitis and gastroesophageal reflux disease patients (ulcerative colitis, 24/62, 39%; gastroesophageal reflux disease, 15/63, 24%, P &lt; 0.0001). In particular, bamboo-joint-like appearance was almost unique to Crohn's disease patients (Crohn's disease, 28/63, 44%; ulcerative colitis, 3/62, 5%; gastroesophageal reflux disease, 0/63, 0%, P &lt; 0.0001). Analysis of the relationship between the Crohn's disease patient's background and gastrodunodenoscopic findings revealed that both patients with disease affecting the ileum and those with previous gut operations were more likely to exhibit the specific gastroduodenoscopic findings (P = 0.030 and P = 0.043, respectively). Conclusion: Specific gastroduodenoscopic findings were observed in Crohn's disease patients. In particular, bamboo-joint-like appearance could be a unique marker of Crohn's disease. \u00a9 2008 Editrice Gastroenterologica Italiana S.r.l.", "author" : [ { "dropping-particle" : "", "family" : "Kuriyama", "given" : "M.", "non-dropping-particle" : "", "parse-names" : false, "suffix" : "" }, { "dropping-particle" : "", "family" : "Kato", "given" : "J.", "non-dropping-particle" : "", "parse-names" : false, "suffix" : "" }, { "dropping-particle" : "", "family" : "Morimoto", "given" : "N.", "non-dropping-particle" : "", "parse-names" : false, "suffix" : "" }, { "dropping-particle" : "", "family" : "Fujimoto", "given" : "T.", "non-dropping-particle" : "", "parse-names" : false, "suffix" : "" }, { "dropping-particle" : "", "family" : "Okada", "given" : "H.", "non-dropping-particle" : "", "parse-names" : false, "suffix" : "" }, { "dropping-particle" : "", "family" : "Yamamoto", "given" : "K.", "non-dropping-particle" : "", "parse-names" : false, "suffix" : "" } ], "container-title" : "Digestive and Liver Disease", "id" : "ITEM-1", "issue" : "6", "issued" : { "date-parts" : [ [ "2008" ] ] }, "page" : "468-475", "title" : "Specific gastroduodenoscopic findings in Crohn's disease: Comparison with findings in patients with ulcerative colitis and gastroesophageal reflux disease", "type" : "article-journal", "volume" : "40" }, "uris" : [ "http://www.mendeley.com/documents/?uuid=afe8d376-378b-4d6f-b2a9-5ba1fda7a38f" ] } ], "mendeley" : { "formattedCitation" : "&lt;sup&gt;[66]&lt;/sup&gt;", "plainTextFormattedCitation" : "[66]", "previouslyFormattedCitation" : "&lt;sup&gt;[66]&lt;/sup&gt;" }, "properties" : {  }, "schema" : "https://github.com/citation-style-language/schema/raw/master/csl-citation.json" }</w:instrText>
      </w:r>
      <w:r w:rsidR="00B146E1" w:rsidRPr="003D034F">
        <w:rPr>
          <w:rFonts w:ascii="Book Antiqua" w:hAnsi="Book Antiqua" w:cs="Calibri"/>
          <w:sz w:val="24"/>
          <w:szCs w:val="24"/>
          <w:lang w:val="en-US"/>
        </w:rPr>
        <w:fldChar w:fldCharType="separate"/>
      </w:r>
      <w:r w:rsidR="00B146E1" w:rsidRPr="003D034F">
        <w:rPr>
          <w:rFonts w:ascii="Book Antiqua" w:hAnsi="Book Antiqua" w:cs="Calibri"/>
          <w:sz w:val="24"/>
          <w:szCs w:val="24"/>
          <w:vertAlign w:val="superscript"/>
          <w:lang w:val="en-US"/>
        </w:rPr>
        <w:t>[66]</w:t>
      </w:r>
      <w:r w:rsidR="00B146E1" w:rsidRPr="003D034F">
        <w:rPr>
          <w:rFonts w:ascii="Book Antiqua" w:hAnsi="Book Antiqua" w:cs="Calibri"/>
          <w:sz w:val="24"/>
          <w:szCs w:val="24"/>
          <w:lang w:val="en-US"/>
        </w:rPr>
        <w:fldChar w:fldCharType="end"/>
      </w:r>
      <w:r w:rsidR="00ED0A6A" w:rsidRPr="003D034F">
        <w:rPr>
          <w:rFonts w:ascii="Book Antiqua" w:hAnsi="Book Antiqua" w:cs="Calibri"/>
          <w:sz w:val="24"/>
          <w:szCs w:val="24"/>
          <w:lang w:val="en-US"/>
        </w:rPr>
        <w:t xml:space="preserve"> in Japan suggests that the BJL appearance may be a specific finding of CD (sensitivity: 44% and specificity: 95%). The detection rate was 44% in patients with CD, whereas in patients with UC and GERD, it was 5% and 0%, respectively</w:t>
      </w:r>
      <w:r w:rsidR="00B00BF2" w:rsidRPr="003D034F">
        <w:rPr>
          <w:rFonts w:ascii="Book Antiqua" w:hAnsi="Book Antiqua" w:cs="Calibri"/>
          <w:sz w:val="24"/>
          <w:szCs w:val="24"/>
          <w:lang w:val="en-US"/>
        </w:rPr>
        <w:t xml:space="preserve">. </w:t>
      </w:r>
      <w:r w:rsidR="00ED0A6A" w:rsidRPr="003D034F">
        <w:rPr>
          <w:rFonts w:ascii="Book Antiqua" w:hAnsi="Book Antiqua" w:cs="Calibri"/>
          <w:sz w:val="24"/>
          <w:szCs w:val="24"/>
          <w:lang w:val="en-US"/>
        </w:rPr>
        <w:t xml:space="preserve">Fujiya </w:t>
      </w:r>
      <w:r w:rsidR="00ED0A6A" w:rsidRPr="003D034F">
        <w:rPr>
          <w:rFonts w:ascii="Book Antiqua" w:hAnsi="Book Antiqua" w:cs="Calibri"/>
          <w:i/>
          <w:sz w:val="24"/>
          <w:szCs w:val="24"/>
          <w:lang w:val="en-US"/>
        </w:rPr>
        <w:t>et al</w:t>
      </w:r>
      <w:r w:rsidR="00B744FC" w:rsidRPr="003D034F">
        <w:rPr>
          <w:rFonts w:ascii="Book Antiqua" w:hAnsi="Book Antiqua" w:cs="Calibri"/>
          <w:sz w:val="24"/>
          <w:szCs w:val="24"/>
          <w:lang w:val="en-US"/>
        </w:rPr>
        <w:fldChar w:fldCharType="begin" w:fldLock="1"/>
      </w:r>
      <w:r w:rsidR="00B744FC" w:rsidRPr="003D034F">
        <w:rPr>
          <w:rFonts w:ascii="Book Antiqua" w:hAnsi="Book Antiqua" w:cs="Calibri"/>
          <w:sz w:val="24"/>
          <w:szCs w:val="24"/>
          <w:lang w:val="en-US"/>
        </w:rPr>
        <w:instrText>ADDIN CSL_CITATION { "citationItems" : [ { "id" : "ITEM-1", "itemData" : { "DOI" : "10.1097/MD.0000000000001500", "ISBN" : "0000000000", "ISSN" : "15365964", "PMID" : "26376393", "abstract" : "The clinical importance of Crohn's disease (CD)-specific lesions in the upper gastrointestinal tract (upper GIT) has not been sufficiently established. The aim of this case-control study is to investigate the characteristic findings of CD in the upper GIT. In 2740 patients who underwent gastroduodenoscopy at Asahikawa Medical University between April 2011 and December 2012, 81 CD patients, 81 gender- and age-matched non-IBD patients, and 66 ulcerative colitis (UC) patients were investigated in the present study. (1) The diagnostic ability and odds ratio of each endoscopic finding (a bamboo joint-like appearance in the cardia, erosions, and/or ulcers in the antrum, notched signs, and erosions and/or ulcers in the duodenum) were compared between the CD and non-IBD patients or UC patients. (2) The interobserver agreement of the diagnosis based on the endoscopic findings was evaluated by 3 experienced and 3 less-experienced endoscopists. The incidence of detecting a bamboo joint-like appearance, notched signs, and erosions and/or ulcers in the duodenum was significantly higher in the CD patients than in the non-IBD and UC patients. In addition, the diagnostic ability and odds ratio of a bamboo joint-like appearance for CD were higher than those for the other findings. Kendall's coefficients of concordance in the group of experienced and less-experienced endoscopists were relatively high for a bamboo joint-like appearance (0.748 and 0.692, respectively). A cardiac bamboo joint-like appearance is a useful finding for identifying high-risk groups of CD patients using only gastroduodenoscopy.", "author" : [ { "dropping-particle" : "", "family" : "Fujiya", "given" : "Mikihiro", "non-dropping-particle" : "", "parse-names" : false, "suffix" : "" }, { "dropping-particle" : "", "family" : "Sakatani", "given" : "Aki", "non-dropping-particle" : "", "parse-names" : false, "suffix" : "" }, { "dropping-particle" : "", "family" : "Dokoshi", "given" : "Tatsuya", "non-dropping-particle" : "", "parse-names" : false, "suffix" : "" }, { "dropping-particle" : "", "family" : "Tanaka", "given" : "Kazuyuki", "non-dropping-particle" : "", "parse-names" : false, "suffix" : "" }, { "dropping-particle" : "", "family" : "Ando", "given" : "Katsuyoshi", "non-dropping-particle" : "", "parse-names" : false, "suffix" : "" }, { "dropping-particle" : "", "family" : "Ueno", "given" : "Nobuhiro", "non-dropping-particle" : "", "parse-names" : false, "suffix" : "" }, { "dropping-particle" : "", "family" : "Gotoh", "given" : "Takuma", "non-dropping-particle" : "", "parse-names" : false, "suffix" : "" }, { "dropping-particle" : "", "family" : "Kashima", "given" : "Shin", "non-dropping-particle" : "", "parse-names" : false, "suffix" : "" }, { "dropping-particle" : "", "family" : "Tominaga", "given" : "Motoya", "non-dropping-particle" : "", "parse-names" : false, "suffix" : "" }, { "dropping-particle" : "", "family" : "Inaba", "given" : "Yuhei", "non-dropping-particle" : "", "parse-names" : false, "suffix" : "" }, { "dropping-particle" : "", "family" : "Ito", "given" : "Takahiro", "non-dropping-particle" : "", "parse-names" : false, "suffix" : "" }, { "dropping-particle" : "", "family" : "Moriichi", "given" : "Kentaro", "non-dropping-particle" : "", "parse-names" : false, "suffix" : "" }, { "dropping-particle" : "", "family" : "Tanabe", "given" : "Hiroki", "non-dropping-particle" : "", "parse-names" : false, "suffix" : "" }, { "dropping-particle" : "", "family" : "Ikuta", "given" : "Katsuya", "non-dropping-particle" : "", "parse-names" : false, "suffix" : "" }, { "dropping-particle" : "", "family" : "Ohtake", "given" : "Takaaki", "non-dropping-particle" : "", "parse-names" : false, "suffix" : "" }, { "dropping-particle" : "", "family" : "Yokota", "given" : "Kinnichi", "non-dropping-particle" : "", "parse-names" : false, "suffix" : "" }, { "dropping-particle" : "", "family" : "Watari", "given" : "Jiro", "non-dropping-particle" : "", "parse-names" : false, "suffix" : "" }, { "dropping-particle" : "", "family" : "Saitoh", "given" : "Yusuke", "non-dropping-particle" : "", "parse-names" : false, "suffix" : "" }, { "dropping-particle" : "", "family" : "Kohgo", "given" : "Yutaka", "non-dropping-particle" : "", "parse-names" : false, "suffix" : "" } ], "container-title" : "Medicine", "id" : "ITEM-1", "issue" : "37", "issued" : { "date-parts" : [ [ "2015" ] ] }, "page" : "e1500", "title" : "A Bamboo Joint-Like Appearance is a Characteristic Finding in the Upper Gastrointestinal Tract of Crohn's Disease Patients: A Case-Control Study", "type" : "article-journal", "volume" : "94" }, "uris" : [ "http://www.mendeley.com/documents/?uuid=69cdff43-c0db-43b0-a6ac-4201b4cf176c" ] } ], "mendeley" : { "formattedCitation" : "&lt;sup&gt;[68]&lt;/sup&gt;", "plainTextFormattedCitation" : "[68]", "previouslyFormattedCitation" : "&lt;sup&gt;[68]&lt;/sup&gt;" }, "properties" : {  }, "schema" : "https://github.com/citation-style-language/schema/raw/master/csl-citation.json" }</w:instrText>
      </w:r>
      <w:r w:rsidR="00B744FC" w:rsidRPr="003D034F">
        <w:rPr>
          <w:rFonts w:ascii="Book Antiqua" w:hAnsi="Book Antiqua" w:cs="Calibri"/>
          <w:sz w:val="24"/>
          <w:szCs w:val="24"/>
          <w:lang w:val="en-US"/>
        </w:rPr>
        <w:fldChar w:fldCharType="separate"/>
      </w:r>
      <w:r w:rsidR="00B744FC" w:rsidRPr="003D034F">
        <w:rPr>
          <w:rFonts w:ascii="Book Antiqua" w:hAnsi="Book Antiqua" w:cs="Calibri"/>
          <w:sz w:val="24"/>
          <w:szCs w:val="24"/>
          <w:vertAlign w:val="superscript"/>
          <w:lang w:val="en-US"/>
        </w:rPr>
        <w:t>[68]</w:t>
      </w:r>
      <w:r w:rsidR="00B744FC" w:rsidRPr="003D034F">
        <w:rPr>
          <w:rFonts w:ascii="Book Antiqua" w:hAnsi="Book Antiqua" w:cs="Calibri"/>
          <w:sz w:val="24"/>
          <w:szCs w:val="24"/>
          <w:lang w:val="en-US"/>
        </w:rPr>
        <w:fldChar w:fldCharType="end"/>
      </w:r>
      <w:r w:rsidR="00ED0A6A" w:rsidRPr="003D034F">
        <w:rPr>
          <w:rFonts w:ascii="Book Antiqua" w:hAnsi="Book Antiqua" w:cs="Calibri"/>
          <w:sz w:val="24"/>
          <w:szCs w:val="24"/>
          <w:lang w:val="en-US"/>
        </w:rPr>
        <w:t xml:space="preserve"> demonstrated in a case</w:t>
      </w:r>
      <w:r w:rsidR="00222646" w:rsidRPr="003D034F">
        <w:rPr>
          <w:rFonts w:ascii="Book Antiqua" w:hAnsi="Book Antiqua" w:cs="Calibri"/>
          <w:sz w:val="24"/>
          <w:szCs w:val="24"/>
          <w:lang w:val="en-US"/>
        </w:rPr>
        <w:t>–control</w:t>
      </w:r>
      <w:r w:rsidR="00ED0A6A" w:rsidRPr="003D034F">
        <w:rPr>
          <w:rFonts w:ascii="Book Antiqua" w:hAnsi="Book Antiqua" w:cs="Calibri"/>
          <w:sz w:val="24"/>
          <w:szCs w:val="24"/>
          <w:lang w:val="en-US"/>
        </w:rPr>
        <w:t xml:space="preserve"> study that included 81 CD patients, 81 non-IBD patients and 66 U</w:t>
      </w:r>
      <w:r w:rsidR="00175850" w:rsidRPr="003D034F">
        <w:rPr>
          <w:rFonts w:ascii="Book Antiqua" w:hAnsi="Book Antiqua" w:cs="Calibri"/>
          <w:sz w:val="24"/>
          <w:szCs w:val="24"/>
          <w:lang w:val="en-US"/>
        </w:rPr>
        <w:t>C</w:t>
      </w:r>
      <w:r w:rsidR="00ED0A6A" w:rsidRPr="003D034F">
        <w:rPr>
          <w:rFonts w:ascii="Book Antiqua" w:hAnsi="Book Antiqua" w:cs="Calibri"/>
          <w:sz w:val="24"/>
          <w:szCs w:val="24"/>
          <w:lang w:val="en-US"/>
        </w:rPr>
        <w:t xml:space="preserve"> patients that in</w:t>
      </w:r>
      <w:r w:rsidR="000D0D29" w:rsidRPr="003D034F">
        <w:rPr>
          <w:rFonts w:ascii="Book Antiqua" w:hAnsi="Book Antiqua" w:cs="Calibri"/>
          <w:sz w:val="24"/>
          <w:szCs w:val="24"/>
          <w:lang w:val="en-US"/>
        </w:rPr>
        <w:t xml:space="preserve"> those with</w:t>
      </w:r>
      <w:r w:rsidR="00ED0A6A" w:rsidRPr="003D034F">
        <w:rPr>
          <w:rFonts w:ascii="Book Antiqua" w:hAnsi="Book Antiqua" w:cs="Calibri"/>
          <w:sz w:val="24"/>
          <w:szCs w:val="24"/>
          <w:lang w:val="en-US"/>
        </w:rPr>
        <w:t xml:space="preserve"> CD </w:t>
      </w:r>
      <w:r w:rsidR="000D0D29" w:rsidRPr="003D034F">
        <w:rPr>
          <w:rFonts w:ascii="Book Antiqua" w:hAnsi="Book Antiqua" w:cs="Calibri"/>
          <w:sz w:val="24"/>
          <w:szCs w:val="24"/>
          <w:lang w:val="en-US"/>
        </w:rPr>
        <w:t>the incidence of BJL in the stomach was higher</w:t>
      </w:r>
      <w:r w:rsidR="00ED0A6A" w:rsidRPr="003D034F">
        <w:rPr>
          <w:rFonts w:ascii="Book Antiqua" w:hAnsi="Book Antiqua" w:cs="Calibri"/>
          <w:sz w:val="24"/>
          <w:szCs w:val="24"/>
          <w:lang w:val="en-US"/>
        </w:rPr>
        <w:t xml:space="preserve"> (</w:t>
      </w:r>
      <w:r w:rsidR="001700DC" w:rsidRPr="003D034F">
        <w:rPr>
          <w:rFonts w:ascii="Book Antiqua" w:hAnsi="Book Antiqua" w:cs="Calibri"/>
          <w:i/>
          <w:sz w:val="24"/>
          <w:szCs w:val="24"/>
          <w:lang w:val="en-US"/>
        </w:rPr>
        <w:t>P</w:t>
      </w:r>
      <w:r w:rsidR="00ED0A6A" w:rsidRPr="003D034F">
        <w:rPr>
          <w:rFonts w:ascii="Book Antiqua" w:hAnsi="Book Antiqua" w:cs="Calibri"/>
          <w:sz w:val="24"/>
          <w:szCs w:val="24"/>
          <w:lang w:val="en-US"/>
        </w:rPr>
        <w:t xml:space="preserve"> &lt;</w:t>
      </w:r>
      <w:r w:rsidR="001700DC" w:rsidRPr="003D034F">
        <w:rPr>
          <w:rFonts w:ascii="Book Antiqua" w:hAnsi="Book Antiqua" w:cs="Calibri"/>
          <w:sz w:val="24"/>
          <w:szCs w:val="24"/>
          <w:lang w:val="en-US" w:eastAsia="zh-CN"/>
        </w:rPr>
        <w:t xml:space="preserve"> </w:t>
      </w:r>
      <w:r w:rsidR="00ED0A6A" w:rsidRPr="003D034F">
        <w:rPr>
          <w:rFonts w:ascii="Book Antiqua" w:hAnsi="Book Antiqua" w:cs="Calibri"/>
          <w:sz w:val="24"/>
          <w:szCs w:val="24"/>
          <w:lang w:val="en-US"/>
        </w:rPr>
        <w:t xml:space="preserve">0.001), suggesting that this finding may be characteristic of gastroduodenal CD. The accuracy, sensitivity and specificity of this endoscopic finding were 67.9%, 38.3% and 97.5%, respectively </w:t>
      </w:r>
      <w:r w:rsidR="001700DC" w:rsidRPr="003D034F">
        <w:rPr>
          <w:rFonts w:ascii="Book Antiqua" w:hAnsi="Book Antiqua" w:cs="Calibri"/>
          <w:sz w:val="24"/>
          <w:szCs w:val="24"/>
          <w:lang w:val="en-US" w:eastAsia="zh-CN"/>
        </w:rPr>
        <w:t>[</w:t>
      </w:r>
      <w:r w:rsidR="001700DC" w:rsidRPr="003D034F">
        <w:rPr>
          <w:rFonts w:ascii="Book Antiqua" w:hAnsi="Book Antiqua" w:cs="Calibri"/>
          <w:sz w:val="24"/>
          <w:szCs w:val="24"/>
          <w:lang w:val="en-US"/>
        </w:rPr>
        <w:t>odds ratio (OR)</w:t>
      </w:r>
      <w:r w:rsidR="00ED0A6A" w:rsidRPr="003D034F">
        <w:rPr>
          <w:rFonts w:ascii="Book Antiqua" w:hAnsi="Book Antiqua" w:cs="Calibri"/>
          <w:sz w:val="24"/>
          <w:szCs w:val="24"/>
          <w:lang w:val="en-US"/>
        </w:rPr>
        <w:t xml:space="preserve"> 24.49</w:t>
      </w:r>
      <w:r w:rsidR="00175850" w:rsidRPr="003D034F">
        <w:rPr>
          <w:rFonts w:ascii="Book Antiqua" w:hAnsi="Book Antiqua" w:cs="Calibri"/>
          <w:sz w:val="24"/>
          <w:szCs w:val="24"/>
          <w:lang w:val="en-US"/>
        </w:rPr>
        <w:t>;</w:t>
      </w:r>
      <w:r w:rsidR="001700DC" w:rsidRPr="003D034F">
        <w:rPr>
          <w:rFonts w:ascii="Book Antiqua" w:hAnsi="Book Antiqua" w:cs="Calibri"/>
          <w:sz w:val="24"/>
          <w:szCs w:val="24"/>
          <w:lang w:val="en-US"/>
        </w:rPr>
        <w:t xml:space="preserve"> 95% </w:t>
      </w:r>
      <w:bookmarkStart w:id="46" w:name="OLE_LINK311"/>
      <w:bookmarkStart w:id="47" w:name="OLE_LINK312"/>
      <w:bookmarkStart w:id="48" w:name="OLE_LINK289"/>
      <w:bookmarkStart w:id="49" w:name="OLE_LINK290"/>
      <w:r w:rsidR="001700DC" w:rsidRPr="003D034F">
        <w:rPr>
          <w:rFonts w:ascii="Book Antiqua" w:hAnsi="Book Antiqua" w:cs="Calibri"/>
          <w:sz w:val="24"/>
          <w:szCs w:val="24"/>
          <w:lang w:val="en-US"/>
        </w:rPr>
        <w:t>confidence interval</w:t>
      </w:r>
      <w:bookmarkEnd w:id="46"/>
      <w:bookmarkEnd w:id="47"/>
      <w:r w:rsidR="001700DC" w:rsidRPr="003D034F">
        <w:rPr>
          <w:rFonts w:ascii="Book Antiqua" w:hAnsi="Book Antiqua" w:cs="Calibri"/>
          <w:sz w:val="24"/>
          <w:szCs w:val="24"/>
          <w:lang w:val="en-US"/>
        </w:rPr>
        <w:t xml:space="preserve"> (CI)</w:t>
      </w:r>
      <w:bookmarkEnd w:id="48"/>
      <w:bookmarkEnd w:id="49"/>
      <w:r w:rsidR="001700DC" w:rsidRPr="003D034F">
        <w:rPr>
          <w:rFonts w:ascii="Book Antiqua" w:hAnsi="Book Antiqua" w:cs="Calibri"/>
          <w:sz w:val="24"/>
          <w:szCs w:val="24"/>
          <w:lang w:val="en-US"/>
        </w:rPr>
        <w:t xml:space="preserve"> 5.61-106.85</w:t>
      </w:r>
      <w:r w:rsidR="001700DC" w:rsidRPr="003D034F">
        <w:rPr>
          <w:rFonts w:ascii="Book Antiqua" w:hAnsi="Book Antiqua" w:cs="Calibri"/>
          <w:sz w:val="24"/>
          <w:szCs w:val="24"/>
          <w:lang w:val="en-US" w:eastAsia="zh-CN"/>
        </w:rPr>
        <w:t>]</w:t>
      </w:r>
      <w:r w:rsidR="007E0773" w:rsidRPr="003D034F">
        <w:rPr>
          <w:rFonts w:ascii="Book Antiqua" w:hAnsi="Book Antiqua" w:cs="Calibri"/>
          <w:sz w:val="24"/>
          <w:szCs w:val="24"/>
          <w:lang w:val="en-US"/>
        </w:rPr>
        <w:t xml:space="preserve">. </w:t>
      </w:r>
      <w:r w:rsidR="0054747E" w:rsidRPr="003D034F">
        <w:rPr>
          <w:rFonts w:ascii="Book Antiqua" w:hAnsi="Book Antiqua" w:cs="Calibri"/>
          <w:sz w:val="24"/>
          <w:szCs w:val="24"/>
          <w:lang w:val="en-US"/>
        </w:rPr>
        <w:t>The authors described that the notch-like appearance and erosions and/or ulcerations had an incidence of 9.9% and 32.1% respectively</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"10.1097/MD.0000000000001500", "ISBN" : "0000000000", "ISSN" : "15365964", "PMID" : "26376393", "abstract" : "The clinical importance of Crohn's disease (CD)-specific lesions in the upper gastrointestinal tract (upper GIT) has not been sufficiently established. The aim of this case-control study is to investigate the characteristic findings of CD in the upper GIT. In 2740 patients who underwent gastroduodenoscopy at Asahikawa Medical University between April 2011 and December 2012, 81 CD patients, 81 gender- and age-matched non-IBD patients, and 66 ulcerative colitis (UC) patients were investigated in the present study. (1) The diagnostic ability and odds ratio of each endoscopic finding (a bamboo joint-like appearance in the cardia, erosions, and/or ulcers in the antrum, notched signs, and erosions and/or ulcers in the duodenum) were compared between the CD and non-IBD patients or UC patients. (2) The interobserver agreement of the diagnosis based on the endoscopic findings was evaluated by 3 experienced and 3 less-experienced endoscopists. The incidence of detecting a bamboo joint-like appearance, notched signs, and erosions and/or ulcers in the duodenum was significantly higher in the CD patients than in the non-IBD and UC patients. In addition, the diagnostic ability and odds ratio of a bamboo joint-like appearance for CD were higher than those for the other findings. Kendall's coefficients of concordance in the group of experienced and less-experienced endoscopists were relatively high for a bamboo joint-like appearance (0.748 and 0.692, respectively). A cardiac bamboo joint-like appearance is a useful finding for identifying high-risk groups of CD patients using only gastroduodenoscopy.", "author" : [ { "dropping-particle" : "", "family" : "Fujiya", "given" : "Mikihiro", "non-dropping-particle" : "", "parse-names" : false, "suffix" : "" }, { "dropping-particle" : "", "family" : "Sakatani", "given" : "Aki", "non-dropping-particle" : "", "parse-names" : false, "suffix" : "" }, { "dropping-particle" : "", "family" : "Dokoshi", "given" : "Tatsuya", "non-dropping-particle" : "", "parse-names" : false, "suffix" : "" }, { "dropping-particle" : "", "family" : "Tanaka", "given" : "Kazuyuki", "non-dropping-particle" : "", "parse-names" : false, "suffix" : "" }, { "dropping-particle" : "", "family" : "Ando", "given" : "Katsuyoshi", "non-dropping-particle" : "", "parse-names" : false, "suffix" : "" }, { "dropping-particle" : "", "family" : "Ueno", "given" : "Nobuhiro", "non-dropping-particle" : "", "parse-names" : false, "suffix" : "" }, { "dropping-particle" : "", "family" : "Gotoh", "given" : "Takuma", "non-dropping-particle" : "", "parse-names" : false, "suffix" : "" }, { "dropping-particle" : "", "family" : "Kashima", "given" : "Shin", "non-dropping-particle" : "", "parse-names" : false, "suffix" : "" }, { "dropping-particle" : "", "family" : "Tominaga", "given" : "Motoya", "non-dropping-particle" : "", "parse-names" : false, "suffix" : "" }, { "dropping-particle" : "", "family" : "Inaba", "given" : "Yuhei", "non-dropping-particle" : "", "parse-names" : false, "suffix" : "" }, { "dropping-particle" : "", "family" : "Ito", "given" : "Takahiro", "non-dropping-particle" : "", "parse-names" : false, "suffix" : "" }, { "dropping-particle" : "", "family" : "Moriichi", "given" : "Kentaro", "non-dropping-particle" : "", "parse-names" : false, "suffix" : "" }, { "dropping-particle" : "", "family" : "Tanabe", "given" : "Hiroki", "non-dropping-particle" : "", "parse-names" : false, "suffix" : "" }, { "dropping-particle" : "", "family" : "Ikuta", "given" : "Katsuya", "non-dropping-particle" : "", "parse-names" : false, "suffix" : "" }, { "dropping-particle" : "", "family" : "Ohtake", "given" : "Takaaki", "non-dropping-particle" : "", "parse-names" : false, "suffix" : "" }, { "dropping-particle" : "", "family" : "Yokota", "given" : "Kinnichi", "non-dropping-particle" : "", "parse-names" : false, "suffix" : "" }, { "dropping-particle" : "", "family" : "Watari", "given" : "Jiro", "non-dropping-particle" : "", "parse-names" : false, "suffix" : "" }, { "dropping-particle" : "", "family" : "Saitoh", "given" : "Yusuke", "non-dropping-particle" : "", "parse-names" : false, "suffix" : "" }, { "dropping-particle" : "", "family" : "Kohgo", "given" : "Yutaka", "non-dropping-particle" : "", "parse-names" : false, "suffix" : "" } ], "container-title" : "Medicine", "id" : "ITEM-1", "issue" : "37", "issued" : { "date-parts" : [ [ "2015" ] ] }, "page" : "e1500", "title" : "A Bamboo Joint-Like Appearance is a Characteristic Finding in the Upper Gastrointestinal Tract of Crohn's Disease Patients: A Case-Control Study", "type" : "article-journal", "volume" : "94" }, "uris" : [ "http://www.mendeley.com/documents/?uuid=69cdff43-c0db-43b0-a6ac-4201b4cf176c" ] } ], "mendeley" : { "formattedCitation" : "&lt;sup&gt;[68]&lt;/sup&gt;", "plainTextFormattedCitation" : "[68]", "previouslyFormattedCitation" : "&lt;sup&gt;[68]&lt;/sup&gt;"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[68]</w:t>
      </w:r>
      <w:r w:rsidR="00056AC0" w:rsidRPr="003D034F">
        <w:rPr>
          <w:rFonts w:ascii="Book Antiqua" w:hAnsi="Book Antiqua" w:cs="Calibri"/>
          <w:sz w:val="24"/>
          <w:szCs w:val="24"/>
          <w:lang w:val="en-US"/>
        </w:rPr>
        <w:fldChar w:fldCharType="end"/>
      </w:r>
      <w:r w:rsidR="003406E2" w:rsidRPr="003D034F">
        <w:rPr>
          <w:rFonts w:ascii="Book Antiqua" w:hAnsi="Book Antiqua" w:cs="Calibri"/>
          <w:sz w:val="24"/>
          <w:szCs w:val="24"/>
          <w:lang w:val="en-US"/>
        </w:rPr>
        <w:t xml:space="preserve">. </w:t>
      </w:r>
      <w:r w:rsidR="0054747E" w:rsidRPr="003D034F">
        <w:rPr>
          <w:rFonts w:ascii="Book Antiqua" w:hAnsi="Book Antiqua" w:cs="Calibri"/>
          <w:sz w:val="24"/>
          <w:szCs w:val="24"/>
          <w:lang w:val="en-US"/>
        </w:rPr>
        <w:t>This endoscopic aspect is also described in patients with the disease in remission</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"10.4253/wjge.v4.i3.96", "ISSN" : "1948-5190", "PMID" : "22442748", "abstract" : "A 39-year-old patient with Crohn's disease (CD) was referred to our hospital for maintenance treatment of CD. He was diagnosed as having CD of the small and large intestines at 32 years old. He underwent par-tial resection of the ileum at 35 years old because of ileal perforation. He had received enteral nutritional supplement (1200 kcal/d) and metronidazole prepara-tion (500 mg/d), and was in remission Crohn's disease activity index 73. We performed a routine gastroduo-denal endoscopic examination, which revealed the representative endoscopic findings of gastroduodenal lesions in CD, namely, bamboo-joint-like appearance of the gastric body and cardia and a notched sign in the duodenum. These findings were clearly observed by using indigo carmine dye spraying. In our patient, typi-cal gastroduodenal findings were observed even in the remission stage, suggesting that these findings would contribute to the early diagnosis of CD not only in the active stage but also during remission.", "author" : [ { "dropping-particle" : "", "family" : "Iizuka", "given" : "Masahiro", "non-dropping-particle" : "", "parse-names" : false, "suffix" : "" }, { "dropping-particle" : "", "family" : "Harada", "given" : "Taku", "non-dropping-particle" : "", "parse-names" : false, "suffix" : "" }, { "dropping-particle" : "", "family" : "Yamano", "given" : "Hiro O", "non-dropping-particle" : "", "parse-names" : false, "suffix" : "" }, { "dropping-particle" : "", "family" : "Etou", "given" : "Takeshi", "non-dropping-particle" : "", "parse-names" : false, "suffix" : "" }, { "dropping-particle" : "", "family" : "Sagara", "given" : "Shiho", "non-dropping-particle" : "", "parse-names" : false, "suffix" : "" } ], "container-title" : "World Journal of Gastrointestinal Endoscopy", "id" : "ITEM-1", "issue" : "3", "issued" : { "date-parts" : [ [ "2012" ] ] }, "page" : "96-98", "title" : "Typical gastroduodenal endoscopic findings in a Crohn's disease patient in remission stage", "type" : "article-journal", "volume" : "4" }, "uris" : [ "http://www.mendeley.com/documents/?uuid=6f8ba174-7dde-4bc4-80cb-61d642382e79" ] } ], "mendeley" : { "formattedCitation" : "&lt;sup&gt;[69]&lt;/sup&gt;", "plainTextFormattedCitation" : "[69]", "previouslyFormattedCitation" : "&lt;sup&gt;[69]&lt;/sup&gt;"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[69]</w:t>
      </w:r>
      <w:r w:rsidR="00056AC0" w:rsidRPr="003D034F">
        <w:rPr>
          <w:rFonts w:ascii="Book Antiqua" w:hAnsi="Book Antiqua" w:cs="Calibri"/>
          <w:sz w:val="24"/>
          <w:szCs w:val="24"/>
          <w:lang w:val="en-US"/>
        </w:rPr>
        <w:fldChar w:fldCharType="end"/>
      </w:r>
      <w:r w:rsidR="001700DC" w:rsidRPr="003D034F">
        <w:rPr>
          <w:rFonts w:ascii="Book Antiqua" w:hAnsi="Book Antiqua" w:cs="Calibri"/>
          <w:sz w:val="24"/>
          <w:szCs w:val="24"/>
          <w:lang w:val="en-US"/>
        </w:rPr>
        <w:t>.</w:t>
      </w:r>
    </w:p>
    <w:p w:rsidR="00F23E06" w:rsidRPr="003D034F" w:rsidRDefault="00F23E06" w:rsidP="003D034F">
      <w:pPr>
        <w:spacing w:after="0" w:line="360" w:lineRule="auto"/>
        <w:jc w:val="both"/>
        <w:rPr>
          <w:rFonts w:ascii="Book Antiqua" w:hAnsi="Book Antiqua" w:cs="Calibri"/>
          <w:i/>
          <w:sz w:val="24"/>
          <w:szCs w:val="24"/>
          <w:lang w:val="en-US"/>
        </w:rPr>
      </w:pPr>
    </w:p>
    <w:p w:rsidR="005406EF" w:rsidRPr="003D034F" w:rsidRDefault="001700DC" w:rsidP="003D034F">
      <w:pPr>
        <w:spacing w:after="0" w:line="360" w:lineRule="auto"/>
        <w:jc w:val="both"/>
        <w:rPr>
          <w:rFonts w:ascii="Book Antiqua" w:hAnsi="Book Antiqua" w:cs="Calibri"/>
          <w:b/>
          <w:i/>
          <w:sz w:val="24"/>
          <w:szCs w:val="24"/>
          <w:lang w:val="en-US"/>
        </w:rPr>
      </w:pPr>
      <w:r w:rsidRPr="003D034F">
        <w:rPr>
          <w:rFonts w:ascii="Book Antiqua" w:hAnsi="Book Antiqua" w:cs="Calibri"/>
          <w:b/>
          <w:i/>
          <w:sz w:val="24"/>
          <w:szCs w:val="24"/>
          <w:lang w:val="en-US"/>
        </w:rPr>
        <w:t>Histology</w:t>
      </w:r>
    </w:p>
    <w:p w:rsidR="00194FA9" w:rsidRPr="003D034F" w:rsidRDefault="00585F86" w:rsidP="003D034F">
      <w:pPr>
        <w:spacing w:after="0" w:line="360" w:lineRule="auto"/>
        <w:jc w:val="both"/>
        <w:rPr>
          <w:rFonts w:ascii="Book Antiqua" w:hAnsi="Book Antiqua" w:cs="Calibri"/>
          <w:sz w:val="24"/>
          <w:szCs w:val="24"/>
          <w:lang w:val="en-US"/>
        </w:rPr>
      </w:pPr>
      <w:r w:rsidRPr="003D034F">
        <w:rPr>
          <w:rFonts w:ascii="Book Antiqua" w:hAnsi="Book Antiqua" w:cs="Calibri"/>
          <w:sz w:val="24"/>
          <w:szCs w:val="24"/>
          <w:lang w:val="en-US"/>
        </w:rPr>
        <w:t xml:space="preserve">The main histological findings described in </w:t>
      </w:r>
      <w:r w:rsidR="00B12037" w:rsidRPr="003D034F">
        <w:rPr>
          <w:rFonts w:ascii="Book Antiqua" w:hAnsi="Book Antiqua" w:cs="Calibri"/>
          <w:sz w:val="24"/>
          <w:szCs w:val="24"/>
          <w:lang w:val="en-US"/>
        </w:rPr>
        <w:t>CD</w:t>
      </w:r>
      <w:r w:rsidRPr="003D034F">
        <w:rPr>
          <w:rFonts w:ascii="Book Antiqua" w:hAnsi="Book Antiqua" w:cs="Calibri"/>
          <w:sz w:val="24"/>
          <w:szCs w:val="24"/>
          <w:lang w:val="en-US"/>
        </w:rPr>
        <w:t xml:space="preserve"> of the stomach and duodenum are </w:t>
      </w:r>
      <w:r w:rsidR="008320D3" w:rsidRPr="003D034F">
        <w:rPr>
          <w:rFonts w:ascii="Book Antiqua" w:hAnsi="Book Antiqua" w:cs="Calibri"/>
          <w:sz w:val="24"/>
          <w:szCs w:val="24"/>
          <w:lang w:val="en-US"/>
        </w:rPr>
        <w:t>nons</w:t>
      </w:r>
      <w:r w:rsidRPr="003D034F">
        <w:rPr>
          <w:rFonts w:ascii="Book Antiqua" w:hAnsi="Book Antiqua" w:cs="Calibri"/>
          <w:sz w:val="24"/>
          <w:szCs w:val="24"/>
          <w:lang w:val="en-US"/>
        </w:rPr>
        <w:t xml:space="preserve">pecific acute and chronic inflammation, focal inflammatory changes, lymphoid aggregates, mucosal-muscular fibrosis, chronic </w:t>
      </w:r>
      <w:r w:rsidRPr="003D034F">
        <w:rPr>
          <w:rFonts w:ascii="Book Antiqua" w:hAnsi="Book Antiqua" w:cs="Calibri"/>
          <w:i/>
          <w:sz w:val="24"/>
          <w:szCs w:val="24"/>
          <w:lang w:val="en-US"/>
        </w:rPr>
        <w:t>Helicobacter pylori</w:t>
      </w:r>
      <w:r w:rsidR="005A1C67" w:rsidRPr="003D034F">
        <w:rPr>
          <w:rFonts w:ascii="Book Antiqua" w:hAnsi="Book Antiqua" w:cs="Calibri"/>
          <w:sz w:val="24"/>
          <w:szCs w:val="24"/>
          <w:lang w:val="en-US" w:eastAsia="zh-CN"/>
        </w:rPr>
        <w:t xml:space="preserve"> (</w:t>
      </w:r>
      <w:r w:rsidR="005A1C67" w:rsidRPr="003D034F">
        <w:rPr>
          <w:rFonts w:ascii="Book Antiqua" w:hAnsi="Book Antiqua" w:cs="Calibri"/>
          <w:i/>
          <w:sz w:val="24"/>
          <w:szCs w:val="24"/>
          <w:lang w:val="en-US" w:eastAsia="zh-CN"/>
        </w:rPr>
        <w:t xml:space="preserve">H. </w:t>
      </w:r>
      <w:r w:rsidR="005A1C67" w:rsidRPr="003D034F">
        <w:rPr>
          <w:rFonts w:ascii="Book Antiqua" w:hAnsi="Book Antiqua" w:cs="Calibri"/>
          <w:i/>
          <w:sz w:val="24"/>
          <w:szCs w:val="24"/>
          <w:lang w:val="en-US"/>
        </w:rPr>
        <w:t>pylori</w:t>
      </w:r>
      <w:r w:rsidR="005A1C67" w:rsidRPr="003D034F">
        <w:rPr>
          <w:rFonts w:ascii="Book Antiqua" w:hAnsi="Book Antiqua" w:cs="Calibri"/>
          <w:sz w:val="24"/>
          <w:szCs w:val="24"/>
          <w:lang w:val="en-US" w:eastAsia="zh-CN"/>
        </w:rPr>
        <w:t xml:space="preserve">) </w:t>
      </w:r>
      <w:r w:rsidRPr="003D034F">
        <w:rPr>
          <w:rFonts w:ascii="Book Antiqua" w:hAnsi="Book Antiqua" w:cs="Calibri"/>
          <w:sz w:val="24"/>
          <w:szCs w:val="24"/>
          <w:lang w:val="en-US"/>
        </w:rPr>
        <w:t xml:space="preserve">negative gastritis, focal gastritis, epithelioid granulomas, </w:t>
      </w:r>
      <w:r w:rsidR="00222646" w:rsidRPr="003D034F">
        <w:rPr>
          <w:rFonts w:ascii="Book Antiqua" w:hAnsi="Book Antiqua" w:cs="Calibri"/>
          <w:sz w:val="24"/>
          <w:szCs w:val="24"/>
          <w:lang w:val="en-US"/>
        </w:rPr>
        <w:t xml:space="preserve">and </w:t>
      </w:r>
      <w:r w:rsidRPr="003D034F">
        <w:rPr>
          <w:rFonts w:ascii="Book Antiqua" w:hAnsi="Book Antiqua" w:cs="Calibri"/>
          <w:sz w:val="24"/>
          <w:szCs w:val="24"/>
          <w:lang w:val="en-US"/>
        </w:rPr>
        <w:t xml:space="preserve">duodenitis with or without granulomas. The biopsies should be done in endoscopically normal areas and in altered areas, since the disease presents </w:t>
      </w:r>
      <w:r w:rsidR="00222646" w:rsidRPr="003D034F">
        <w:rPr>
          <w:rFonts w:ascii="Book Antiqua" w:hAnsi="Book Antiqua" w:cs="Calibri"/>
          <w:sz w:val="24"/>
          <w:szCs w:val="24"/>
          <w:lang w:val="en-US"/>
        </w:rPr>
        <w:t xml:space="preserve">a </w:t>
      </w:r>
      <w:r w:rsidRPr="003D034F">
        <w:rPr>
          <w:rFonts w:ascii="Book Antiqua" w:hAnsi="Book Antiqua" w:cs="Calibri"/>
          <w:sz w:val="24"/>
          <w:szCs w:val="24"/>
          <w:lang w:val="en-US"/>
        </w:rPr>
        <w:t>focal distribution</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"16278730", "author" : [ { "dropping-particle" : "", "family" : "Kefalas", "given" : "Costas H.", "non-dropping-particle" : "", "parse-names" : false, "suffix" : "" } ], "container-title" : "BUMC Proceedings.", "id" : "ITEM-1", "issue" : "2", "issued" : { "date-parts" : [ [ "2003" ] ] }, "page" : "147-151", "title" : "Gastroduodenal Crohn's disease", "type" : "article-journal", "volume" : "16" }, "uris" : [ "http://www.mendeley.com/documents/?uuid=b2d2af11-d48d-423a-b188-ad803e388336" ] } ], "mendeley" : { "formattedCitation" : "&lt;sup&gt;[64]&lt;/sup&gt;", "plainTextFormattedCitation" : "[64]", "previouslyFormattedCitation" : "&lt;sup&gt;[64]&lt;/sup&gt;"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[64]</w:t>
      </w:r>
      <w:r w:rsidR="00056AC0" w:rsidRPr="003D034F">
        <w:rPr>
          <w:rFonts w:ascii="Book Antiqua" w:hAnsi="Book Antiqua" w:cs="Calibri"/>
          <w:sz w:val="24"/>
          <w:szCs w:val="24"/>
          <w:lang w:val="en-US"/>
        </w:rPr>
        <w:fldChar w:fldCharType="end"/>
      </w:r>
      <w:r w:rsidR="004E24CC" w:rsidRPr="003D034F">
        <w:rPr>
          <w:rFonts w:ascii="Book Antiqua" w:hAnsi="Book Antiqua" w:cs="Calibri"/>
          <w:sz w:val="24"/>
          <w:szCs w:val="24"/>
          <w:lang w:val="en-US"/>
        </w:rPr>
        <w:t xml:space="preserve">. </w:t>
      </w:r>
      <w:r w:rsidRPr="003D034F">
        <w:rPr>
          <w:rFonts w:ascii="Book Antiqua" w:hAnsi="Book Antiqua" w:cs="Calibri"/>
          <w:sz w:val="24"/>
          <w:szCs w:val="24"/>
          <w:lang w:val="en-US"/>
        </w:rPr>
        <w:t>Removal of several fragments is recommended</w:t>
      </w:r>
      <w:r w:rsidR="00A90798" w:rsidRPr="003D034F">
        <w:rPr>
          <w:rFonts w:ascii="Book Antiqua" w:hAnsi="Book Antiqua" w:cs="Calibri"/>
          <w:sz w:val="24"/>
          <w:szCs w:val="24"/>
          <w:lang w:val="en-US"/>
        </w:rPr>
        <w:t xml:space="preserve">. </w:t>
      </w:r>
      <w:r w:rsidR="00C2629D" w:rsidRPr="003D034F">
        <w:rPr>
          <w:rFonts w:ascii="Book Antiqua" w:hAnsi="Book Antiqua" w:cs="Calibri"/>
          <w:sz w:val="24"/>
          <w:szCs w:val="24"/>
          <w:lang w:val="en-US"/>
        </w:rPr>
        <w:t xml:space="preserve"> </w:t>
      </w:r>
    </w:p>
    <w:p w:rsidR="00922450" w:rsidRPr="003D034F" w:rsidRDefault="008320D3" w:rsidP="003D034F">
      <w:pPr>
        <w:spacing w:after="0" w:line="360" w:lineRule="auto"/>
        <w:ind w:firstLineChars="100" w:firstLine="240"/>
        <w:jc w:val="both"/>
        <w:rPr>
          <w:rFonts w:ascii="Book Antiqua" w:hAnsi="Book Antiqua" w:cs="Calibri"/>
          <w:sz w:val="24"/>
          <w:szCs w:val="24"/>
          <w:lang w:val="en-US"/>
        </w:rPr>
      </w:pPr>
      <w:r w:rsidRPr="003D034F">
        <w:rPr>
          <w:rFonts w:ascii="Book Antiqua" w:hAnsi="Book Antiqua" w:cs="Calibri"/>
          <w:sz w:val="24"/>
          <w:szCs w:val="24"/>
          <w:lang w:val="en-US"/>
        </w:rPr>
        <w:t>Nonc</w:t>
      </w:r>
      <w:r w:rsidR="00585F86" w:rsidRPr="003D034F">
        <w:rPr>
          <w:rFonts w:ascii="Book Antiqua" w:hAnsi="Book Antiqua" w:cs="Calibri"/>
          <w:sz w:val="24"/>
          <w:szCs w:val="24"/>
          <w:lang w:val="en-US"/>
        </w:rPr>
        <w:t>aseous granuloma, although a mark</w:t>
      </w:r>
      <w:r w:rsidR="00222646" w:rsidRPr="003D034F">
        <w:rPr>
          <w:rFonts w:ascii="Book Antiqua" w:hAnsi="Book Antiqua" w:cs="Calibri"/>
          <w:sz w:val="24"/>
          <w:szCs w:val="24"/>
          <w:lang w:val="en-US"/>
        </w:rPr>
        <w:t>er</w:t>
      </w:r>
      <w:r w:rsidR="00585F86" w:rsidRPr="003D034F">
        <w:rPr>
          <w:rFonts w:ascii="Book Antiqua" w:hAnsi="Book Antiqua" w:cs="Calibri"/>
          <w:sz w:val="24"/>
          <w:szCs w:val="24"/>
          <w:lang w:val="en-US"/>
        </w:rPr>
        <w:t xml:space="preserve"> of the disease, has a very variable prevalence in the literature, occurring </w:t>
      </w:r>
      <w:r w:rsidR="00222646" w:rsidRPr="003D034F">
        <w:rPr>
          <w:rFonts w:ascii="Book Antiqua" w:hAnsi="Book Antiqua" w:cs="Calibri"/>
          <w:sz w:val="24"/>
          <w:szCs w:val="24"/>
          <w:lang w:val="en-US"/>
        </w:rPr>
        <w:t xml:space="preserve">in </w:t>
      </w:r>
      <w:r w:rsidR="00585F86" w:rsidRPr="003D034F">
        <w:rPr>
          <w:rFonts w:ascii="Book Antiqua" w:hAnsi="Book Antiqua" w:cs="Calibri"/>
          <w:sz w:val="24"/>
          <w:szCs w:val="24"/>
          <w:lang w:val="en-US"/>
        </w:rPr>
        <w:t xml:space="preserve">0% </w:t>
      </w:r>
      <w:r w:rsidR="00222646" w:rsidRPr="003D034F">
        <w:rPr>
          <w:rFonts w:ascii="Book Antiqua" w:hAnsi="Book Antiqua" w:cs="Calibri"/>
          <w:sz w:val="24"/>
          <w:szCs w:val="24"/>
          <w:lang w:val="en-US"/>
        </w:rPr>
        <w:t>to</w:t>
      </w:r>
      <w:r w:rsidR="00585F86" w:rsidRPr="003D034F">
        <w:rPr>
          <w:rFonts w:ascii="Book Antiqua" w:hAnsi="Book Antiqua" w:cs="Calibri"/>
          <w:sz w:val="24"/>
          <w:szCs w:val="24"/>
          <w:lang w:val="en-US"/>
        </w:rPr>
        <w:t xml:space="preserve"> 83% of the cases, since some studies only include histological analysis </w:t>
      </w:r>
      <w:r w:rsidR="00222646" w:rsidRPr="003D034F">
        <w:rPr>
          <w:rFonts w:ascii="Book Antiqua" w:hAnsi="Book Antiqua" w:cs="Calibri"/>
          <w:sz w:val="24"/>
          <w:szCs w:val="24"/>
          <w:lang w:val="en-US"/>
        </w:rPr>
        <w:t xml:space="preserve">of </w:t>
      </w:r>
      <w:r w:rsidR="00585F86" w:rsidRPr="003D034F">
        <w:rPr>
          <w:rFonts w:ascii="Book Antiqua" w:hAnsi="Book Antiqua" w:cs="Calibri"/>
          <w:sz w:val="24"/>
          <w:szCs w:val="24"/>
          <w:lang w:val="en-US"/>
        </w:rPr>
        <w:t xml:space="preserve">biopsies </w:t>
      </w:r>
      <w:r w:rsidR="00222646" w:rsidRPr="003D034F">
        <w:rPr>
          <w:rFonts w:ascii="Book Antiqua" w:hAnsi="Book Antiqua" w:cs="Calibri"/>
          <w:sz w:val="24"/>
          <w:szCs w:val="24"/>
          <w:lang w:val="en-US"/>
        </w:rPr>
        <w:t xml:space="preserve">and </w:t>
      </w:r>
      <w:r w:rsidR="00585F86" w:rsidRPr="003D034F">
        <w:rPr>
          <w:rFonts w:ascii="Book Antiqua" w:hAnsi="Book Antiqua" w:cs="Calibri"/>
          <w:sz w:val="24"/>
          <w:szCs w:val="24"/>
          <w:lang w:val="en-US"/>
        </w:rPr>
        <w:t xml:space="preserve">others </w:t>
      </w:r>
      <w:r w:rsidR="00222646" w:rsidRPr="003D034F">
        <w:rPr>
          <w:rFonts w:ascii="Book Antiqua" w:hAnsi="Book Antiqua" w:cs="Calibri"/>
          <w:sz w:val="24"/>
          <w:szCs w:val="24"/>
          <w:lang w:val="en-US"/>
        </w:rPr>
        <w:t xml:space="preserve">of </w:t>
      </w:r>
      <w:r w:rsidR="00585F86" w:rsidRPr="003D034F">
        <w:rPr>
          <w:rFonts w:ascii="Book Antiqua" w:hAnsi="Book Antiqua" w:cs="Calibri"/>
          <w:sz w:val="24"/>
          <w:szCs w:val="24"/>
          <w:lang w:val="en-US"/>
        </w:rPr>
        <w:t>surgical specimen</w:t>
      </w:r>
      <w:r w:rsidR="00222646" w:rsidRPr="003D034F">
        <w:rPr>
          <w:rFonts w:ascii="Book Antiqua" w:hAnsi="Book Antiqua" w:cs="Calibri"/>
          <w:sz w:val="24"/>
          <w:szCs w:val="24"/>
          <w:lang w:val="en-US"/>
        </w:rPr>
        <w:t>s</w:t>
      </w:r>
      <w:r w:rsidR="00585F86" w:rsidRPr="003D034F">
        <w:rPr>
          <w:rFonts w:ascii="Book Antiqua" w:hAnsi="Book Antiqua" w:cs="Calibri"/>
          <w:sz w:val="24"/>
          <w:szCs w:val="24"/>
          <w:lang w:val="en-US"/>
        </w:rPr>
        <w:t xml:space="preserve"> or both</w:t>
      </w:r>
      <w:r w:rsidR="00056AC0" w:rsidRPr="003D034F">
        <w:rPr>
          <w:rFonts w:ascii="Book Antiqua" w:hAnsi="Book Antiqua" w:cs="Calibri"/>
          <w:sz w:val="24"/>
          <w:szCs w:val="24"/>
          <w:lang w:val="en-US"/>
        </w:rPr>
        <w:fldChar w:fldCharType="begin" w:fldLock="1"/>
      </w:r>
      <w:r w:rsidR="00FA1D23" w:rsidRPr="003D034F">
        <w:rPr>
          <w:rFonts w:ascii="Book Antiqua" w:hAnsi="Book Antiqua" w:cs="Calibri"/>
          <w:sz w:val="24"/>
          <w:szCs w:val="24"/>
          <w:lang w:val="en-US"/>
        </w:rPr>
        <w:instrText>ADDIN CSL_CITATION { "citationItems" : [ { "id" : "ITEM-1", "itemData" : { "DOI" : "10.1016/j.suc.2015.07.004", "ISBN" : "9780323402729", "ISSN" : "15583171", "PMID" : "26596921", "abstract" : "Proximal intestinal Crohn's disease is likely more common than previously recognized, and the incidence of diagnosis depends on the diligence with which it is sought. The majority of patients with proximal Crohn's disease has concurrent disease distally or will likely develop it in the future. Patients that have demonstrated colonic or ileocolic disease that complain of upper abdominal complaints such as pain, gastric reflux, or dysphagia should be evaluated with an upper endoscopy and biopsy. The most common surgical indication for gastroduodenal disease is for obstructive symptoms. These patents are adequately served with strictureplasty, but have a higher recurrence rate than with intestinal bypass procedures that can safely be performed laparoscopically. There is no definitive benefit to adding vagotomy in these patients. Fistulas most commonly originate in the colon or distal small intestine and are best prevented or treated with resection and duodenal or gastric closure.", "author" : [ { "dropping-particle" : "", "family" : "Davis", "given" : "Kurt G.", "non-dropping-particle" : "", "parse-names" : false, "suffix" : "" } ], "container-title" : "Surgical Clinics of North America", "id" : "ITEM-1", "issue" : "6", "issued" : { "date-parts" : [ [ "2015" ] ] }, "page" : "1183-1193", "publisher" : "Elsevier Inc", "title" : "Crohn's Disease of the Foregut", "type" : "article-journal", "volume" : "95" }, "uris" : [ "http://www.mendeley.com/documents/?uuid=595ad8e1-6cf4-4f0e-a945-d878bff5a16c" ] } ], "mendeley" : { "formattedCitation" : "&lt;sup&gt;[4]&lt;/sup&gt;", "plainTextFormattedCitation" : "[4]", "previouslyFormattedCitation" : "&lt;sup&gt;[4]&lt;/sup&gt;"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FA1D23" w:rsidRPr="003D034F">
        <w:rPr>
          <w:rFonts w:ascii="Book Antiqua" w:hAnsi="Book Antiqua" w:cs="Calibri"/>
          <w:sz w:val="24"/>
          <w:szCs w:val="24"/>
          <w:vertAlign w:val="superscript"/>
          <w:lang w:val="en-US"/>
        </w:rPr>
        <w:t>[4</w:t>
      </w:r>
      <w:r w:rsidR="005260F8" w:rsidRPr="003D034F">
        <w:rPr>
          <w:rFonts w:ascii="Book Antiqua" w:hAnsi="Book Antiqua" w:cs="Calibri"/>
          <w:sz w:val="24"/>
          <w:szCs w:val="24"/>
          <w:vertAlign w:val="superscript"/>
          <w:lang w:val="en-US" w:eastAsia="zh-CN"/>
        </w:rPr>
        <w:t>,52,70</w:t>
      </w:r>
      <w:r w:rsidR="00FA1D23"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5B0BB2" w:rsidRPr="003D034F">
        <w:rPr>
          <w:rFonts w:ascii="Book Antiqua" w:hAnsi="Book Antiqua" w:cs="Calibri"/>
          <w:sz w:val="24"/>
          <w:szCs w:val="24"/>
          <w:lang w:val="en-US"/>
        </w:rPr>
        <w:t>.</w:t>
      </w:r>
      <w:r w:rsidR="00FB099D" w:rsidRPr="003D034F">
        <w:rPr>
          <w:rFonts w:ascii="Book Antiqua" w:hAnsi="Book Antiqua" w:cs="Calibri"/>
          <w:sz w:val="24"/>
          <w:szCs w:val="24"/>
          <w:lang w:val="en-US"/>
        </w:rPr>
        <w:t xml:space="preserve"> </w:t>
      </w:r>
      <w:r w:rsidR="00AC50ED" w:rsidRPr="003D034F">
        <w:rPr>
          <w:rFonts w:ascii="Book Antiqua" w:hAnsi="Book Antiqua" w:cs="Calibri"/>
          <w:sz w:val="24"/>
          <w:szCs w:val="24"/>
          <w:lang w:val="en-US"/>
        </w:rPr>
        <w:t xml:space="preserve">Epithelioid granuloma is characterized by the </w:t>
      </w:r>
      <w:r w:rsidR="002A58B2" w:rsidRPr="003D034F">
        <w:rPr>
          <w:rFonts w:ascii="Book Antiqua" w:hAnsi="Book Antiqua" w:cs="Calibri"/>
          <w:sz w:val="24"/>
          <w:szCs w:val="24"/>
          <w:lang w:val="en-US"/>
        </w:rPr>
        <w:t xml:space="preserve">capacity </w:t>
      </w:r>
      <w:r w:rsidR="00AC50ED" w:rsidRPr="003D034F">
        <w:rPr>
          <w:rFonts w:ascii="Book Antiqua" w:hAnsi="Book Antiqua" w:cs="Calibri"/>
          <w:sz w:val="24"/>
          <w:szCs w:val="24"/>
          <w:lang w:val="en-US"/>
        </w:rPr>
        <w:t xml:space="preserve">of secreting </w:t>
      </w:r>
      <w:r w:rsidR="00877021" w:rsidRPr="003D034F">
        <w:rPr>
          <w:rFonts w:ascii="Book Antiqua" w:hAnsi="Book Antiqua" w:cs="Calibri"/>
          <w:sz w:val="24"/>
          <w:szCs w:val="24"/>
          <w:lang w:val="en-US"/>
        </w:rPr>
        <w:t xml:space="preserve">such </w:t>
      </w:r>
      <w:r w:rsidR="00AC50ED" w:rsidRPr="003D034F">
        <w:rPr>
          <w:rFonts w:ascii="Book Antiqua" w:hAnsi="Book Antiqua" w:cs="Calibri"/>
          <w:sz w:val="24"/>
          <w:szCs w:val="24"/>
          <w:lang w:val="en-US"/>
        </w:rPr>
        <w:t xml:space="preserve">cytokines as IL1, TNF-alpha and </w:t>
      </w:r>
      <w:r w:rsidR="00256D06" w:rsidRPr="003D034F">
        <w:rPr>
          <w:rFonts w:ascii="Book Antiqua" w:hAnsi="Book Antiqua" w:cs="Calibri"/>
          <w:sz w:val="24"/>
          <w:szCs w:val="24"/>
          <w:lang w:val="en-US"/>
        </w:rPr>
        <w:t>TGF-</w:t>
      </w:r>
      <w:r w:rsidR="00AC50ED" w:rsidRPr="003D034F">
        <w:rPr>
          <w:rFonts w:ascii="Book Antiqua" w:hAnsi="Book Antiqua" w:cs="Calibri"/>
          <w:sz w:val="24"/>
          <w:szCs w:val="24"/>
          <w:lang w:val="en-US"/>
        </w:rPr>
        <w:t>beta</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"10.1038/cti.2016.75", "ISSN" : "2050-0068", "PMID" : "28090320", "abstract" : "Granulomas are clusters of immune cells. These structures can be formed in reaction to infection and display signs of necrosis, such as in tuberculosis. Alternatively, in several immune disorders, such as sarcoidosis, Crohn's disease and common variable immunodeficiency, non-caseating granulomas are formed without an obvious infectious trigger. Despite advances in our understanding of the human immune system, the pathogenesis underlying these non-caseating granulomas in chronic inflammatory diseases is still poorly understood. Here, we review the current knowledge about the immunopathogenesis of granulomas, and we discuss how the involved immune cells can be targeted with novel therapeutics.", "author" : [ { "dropping-particle" : "", "family" : "Timmermans", "given" : "Wilhelmina Maria Cornelia", "non-dropping-particle" : "", "parse-names" : false, "suffix" : "" }, { "dropping-particle" : "", "family" : "Laar", "given" : "Jan Alexander Michael", "non-dropping-particle" : "van", "parse-names" : false, "suffix" : "" }, { "dropping-particle" : "", "family" : "Hagen", "given" : "Petrus Martinus", "non-dropping-particle" : "van", "parse-names" : false, "suffix" : "" }, { "dropping-particle" : "", "family" : "Zelm", "given" : "Menno Cornelis", "non-dropping-particle" : "van", "parse-names" : false, "suffix" : "" } ], "container-title" : "Clinical &amp; Translational Immunology", "id" : "ITEM-1", "issue" : "12", "issued" : { "date-parts" : [ [ "2016" ] ] }, "page" : "e118", "publisher" : "Nature Publishing Group", "title" : "Immunopathogenesis of granulomas in chronic autoinflammatory diseases", "type" : "article-journal", "volume" : "5" }, "uris" : [ "http://www.mendeley.com/documents/?uuid=007f1d34-47af-45c2-b043-611d3e19b7aa" ] } ], "mendeley" : { "formattedCitation" : "&lt;sup&gt;[71]&lt;/sup&gt;", "plainTextFormattedCitation" : "[71]", "previouslyFormattedCitation" : "&lt;sup&gt;[71]&lt;/sup&gt;"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[71]</w:t>
      </w:r>
      <w:r w:rsidR="00056AC0" w:rsidRPr="003D034F">
        <w:rPr>
          <w:rFonts w:ascii="Book Antiqua" w:hAnsi="Book Antiqua" w:cs="Calibri"/>
          <w:sz w:val="24"/>
          <w:szCs w:val="24"/>
          <w:lang w:val="en-US"/>
        </w:rPr>
        <w:fldChar w:fldCharType="end"/>
      </w:r>
      <w:r w:rsidRPr="003D034F">
        <w:rPr>
          <w:rFonts w:ascii="Book Antiqua" w:hAnsi="Book Antiqua" w:cs="Calibri"/>
          <w:sz w:val="24"/>
          <w:szCs w:val="24"/>
          <w:lang w:val="en-US"/>
        </w:rPr>
        <w:t>. S</w:t>
      </w:r>
      <w:r w:rsidR="009448F6" w:rsidRPr="003D034F">
        <w:rPr>
          <w:rFonts w:ascii="Book Antiqua" w:hAnsi="Book Antiqua" w:cs="Calibri"/>
          <w:sz w:val="24"/>
          <w:szCs w:val="24"/>
          <w:lang w:val="en-US"/>
        </w:rPr>
        <w:t>everal studies have shown that the presence of epithelioid granuloma may be associated with a worse prognosis, however the results regarding the frequency and clinical significance are conflicting</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"10.3748/wjg.v11.i20.3118", "ISBN" : "1007-9327 (Print)", "ISSN" : "10079327", "PMID" : "15918200", "abstract" : "AIM Granuloma is considered the hallmark of microscopic diagnosis in Crohn's disease (CD), but granulomas can be detected in only 21-60% of CD patients. The aim of this study was to evaluate the frequency of granulomas by multiple endoscopic biopsies in patients with CD and to examine whether group of patients with or without granuloma exhibit a different clinical course. METHODS Fifty-six patients with newly diagnosed CD were included in the study. Jejunoscopy, enteroclysis and ileo-colonoscopy were performed in all patients. At least two biopsy specimens from each examined gastrointestinal segment were examined microscopically searching granuloma. The clinical course was followed in all patients, and extraintestinal manifestations as well as details of any immunosuppressive therapy and surgical intervention were noted. RESULTS Granuloma was found in 44.6% of the cases (25 patients). Patients with granuloma had higher activity parameters at the time of the biopsies. Extraintestinal manifestations were observed and surgical interventions were performed more often in the granuloma group. The need of immunosuppressive therapy was significantly more frequent in the patients with granuloma. Granuloma formation is more often seen in younger patients, and mainly in the severe, active penetrating disease. CONCLUSION The significantly higher frequency of surgical interventions and immunosuppressive therapy suggests that granuloma formation is associated with a more severe disease course during the first years of CD.", "author" : [ { "dropping-particle" : "", "family" : "Moln\u00e1r", "given" : "Tam\u00e1s", "non-dropping-particle" : "", "parse-names" : false, "suffix" : "" }, { "dropping-particle" : "", "family" : "Tiszlavicz", "given" : "L\u00e1szl\u00f3", "non-dropping-particle" : "", "parse-names" : false, "suffix" : "" }, { "dropping-particle" : "", "family" : "Gyulai", "given" : "Csaba", "non-dropping-particle" : "", "parse-names" : false, "suffix" : "" }, { "dropping-particle" : "", "family" : "Nagy", "given" : "Ferenc", "non-dropping-particle" : "", "parse-names" : false, "suffix" : "" }, { "dropping-particle" : "", "family" : "Lonovics", "given" : "J\u00e1nos", "non-dropping-particle" : "", "parse-names" : false, "suffix" : "" } ], "container-title" : "World Journal of Gastroenterology", "id" : "ITEM-1", "issue" : "20", "issued" : { "date-parts" : [ [ "2005" ] ] }, "page" : "3118-3121", "title" : "Clinical significance of granuloma in Crohn's disease", "type" : "article-journal", "volume" : "11" }, "uris" : [ "http://www.mendeley.com/documents/?uuid=3deaf68f-ae9e-4cbc-b626-a6b95c05839d" ] } ], "mendeley" : { "formattedCitation" : "&lt;sup&gt;[72]&lt;/sup&gt;", "plainTextFormattedCitation" : "[72]", "previouslyFormattedCitation" : "&lt;sup&gt;[72]&lt;/sup&gt;"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[72</w:t>
      </w:r>
      <w:r w:rsidR="005260F8" w:rsidRPr="003D034F">
        <w:rPr>
          <w:rFonts w:ascii="Book Antiqua" w:hAnsi="Book Antiqua" w:cs="Calibri"/>
          <w:sz w:val="24"/>
          <w:szCs w:val="24"/>
          <w:vertAlign w:val="superscript"/>
          <w:lang w:val="en-US" w:eastAsia="zh-CN"/>
        </w:rPr>
        <w:t>-76</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A825F9" w:rsidRPr="003D034F">
        <w:rPr>
          <w:rFonts w:ascii="Book Antiqua" w:hAnsi="Book Antiqua" w:cs="Calibri"/>
          <w:sz w:val="24"/>
          <w:szCs w:val="24"/>
          <w:lang w:val="en-US"/>
        </w:rPr>
        <w:t xml:space="preserve">. </w:t>
      </w:r>
      <w:r w:rsidR="002E7FAA" w:rsidRPr="003D034F">
        <w:rPr>
          <w:rFonts w:ascii="Book Antiqua" w:hAnsi="Book Antiqua" w:cs="Calibri"/>
          <w:sz w:val="24"/>
          <w:szCs w:val="24"/>
          <w:lang w:val="en-US"/>
        </w:rPr>
        <w:t>In the UGT, granulomas are located more frequently in the stomach than in the duodenum and</w:t>
      </w:r>
      <w:r w:rsidR="00C92F9A" w:rsidRPr="003D034F">
        <w:rPr>
          <w:rFonts w:ascii="Book Antiqua" w:hAnsi="Book Antiqua" w:cs="Calibri"/>
          <w:sz w:val="24"/>
          <w:szCs w:val="24"/>
          <w:lang w:val="en-US"/>
        </w:rPr>
        <w:t xml:space="preserve"> more frequently in</w:t>
      </w:r>
      <w:r w:rsidR="002E7FAA" w:rsidRPr="003D034F">
        <w:rPr>
          <w:rFonts w:ascii="Book Antiqua" w:hAnsi="Book Antiqua" w:cs="Calibri"/>
          <w:sz w:val="24"/>
          <w:szCs w:val="24"/>
          <w:lang w:val="en-US"/>
        </w:rPr>
        <w:t xml:space="preserve"> the </w:t>
      </w:r>
      <w:r w:rsidR="005260F8" w:rsidRPr="003D034F">
        <w:rPr>
          <w:rFonts w:ascii="Book Antiqua" w:hAnsi="Book Antiqua" w:cs="Calibri"/>
          <w:sz w:val="24"/>
          <w:szCs w:val="24"/>
          <w:lang w:val="en-US"/>
        </w:rPr>
        <w:t>antrum than in the stomach body</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"10.1053/gast.1997.v112.agast971031", "ISSN" : "00165085", "PMID" : "9041268", "author" : [ { "dropping-particle" : "", "family" : "Yardley", "given" : "J. H.", "non-dropping-particle" : "", "parse-names" : false, "suffix" : "" }, { "dropping-particle" : "", "family" : "Hendrix", "given" : "T. R.", "non-dropping-particle" : "", "parse-names" : false, "suffix" : "" } ], "container-title" : "Gastroenterology", "id" : "ITEM-1", "issue" : "3", "issued" : { "date-parts" : [ [ "1997" ] ] }, "page" : "1031-1033", "title" : "Gastroduodenal Crohn's disease: The focus is on focality", "type" : "article-journal", "volume" : "112" }, "uris" : [ "http://www.mendeley.com/documents/?uuid=b2ef7d23-ceb5-4a63-a216-311e012e8872" ] } ], "mendeley" : { "formattedCitation" : "&lt;sup&gt;[65]&lt;/sup&gt;", "plainTextFormattedCitation" : "[65]", "previouslyFormattedCitation" : "&lt;sup&gt;[65]&lt;/sup&gt;"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[65]</w:t>
      </w:r>
      <w:r w:rsidR="00056AC0" w:rsidRPr="003D034F">
        <w:rPr>
          <w:rFonts w:ascii="Book Antiqua" w:hAnsi="Book Antiqua" w:cs="Calibri"/>
          <w:sz w:val="24"/>
          <w:szCs w:val="24"/>
          <w:lang w:val="en-US"/>
        </w:rPr>
        <w:fldChar w:fldCharType="end"/>
      </w:r>
      <w:r w:rsidR="00164EA1" w:rsidRPr="003D034F">
        <w:rPr>
          <w:rFonts w:ascii="Book Antiqua" w:hAnsi="Book Antiqua" w:cs="Calibri"/>
          <w:sz w:val="24"/>
          <w:szCs w:val="24"/>
          <w:lang w:val="en-US"/>
        </w:rPr>
        <w:t xml:space="preserve"> </w:t>
      </w:r>
      <w:r w:rsidR="00922450" w:rsidRPr="003D034F">
        <w:rPr>
          <w:rFonts w:ascii="Book Antiqua" w:hAnsi="Book Antiqua" w:cs="Calibri"/>
          <w:sz w:val="24"/>
          <w:szCs w:val="24"/>
          <w:lang w:val="en-US"/>
        </w:rPr>
        <w:t xml:space="preserve">and can be detected in both </w:t>
      </w:r>
      <w:r w:rsidR="00C92F9A" w:rsidRPr="003D034F">
        <w:rPr>
          <w:rFonts w:ascii="Book Antiqua" w:hAnsi="Book Antiqua" w:cs="Calibri"/>
          <w:sz w:val="24"/>
          <w:szCs w:val="24"/>
          <w:lang w:val="en-US"/>
        </w:rPr>
        <w:t xml:space="preserve">normal-appearing and altered </w:t>
      </w:r>
      <w:r w:rsidR="005260F8" w:rsidRPr="003D034F">
        <w:rPr>
          <w:rFonts w:ascii="Book Antiqua" w:hAnsi="Book Antiqua" w:cs="Calibri"/>
          <w:sz w:val="24"/>
          <w:szCs w:val="24"/>
          <w:lang w:val="en-US"/>
        </w:rPr>
        <w:t>mucosa</w:t>
      </w:r>
      <w:r w:rsidR="00056AC0" w:rsidRPr="003D034F">
        <w:rPr>
          <w:rFonts w:ascii="Book Antiqua" w:hAnsi="Book Antiqua" w:cs="Calibri"/>
          <w:sz w:val="24"/>
          <w:szCs w:val="24"/>
          <w:lang w:val="en-US"/>
        </w:rPr>
        <w:fldChar w:fldCharType="begin" w:fldLock="1"/>
      </w:r>
      <w:r w:rsidR="00FA1D23" w:rsidRPr="003D034F">
        <w:rPr>
          <w:rFonts w:ascii="Book Antiqua" w:hAnsi="Book Antiqua" w:cs="Calibri"/>
          <w:sz w:val="24"/>
          <w:szCs w:val="24"/>
          <w:lang w:val="en-US"/>
        </w:rPr>
        <w:instrText>ADDIN CSL_CITATION { "citationItems" : [ { "id" : "ITEM-1", "itemData" : { "DOI" : "10.1016/j.suc.2015.07.004", "ISBN" : "9780323402729", "ISSN" : "15583171", "PMID" : "26596921", "abstract" : "Proximal intestinal Crohn's disease is likely more common than previously recognized, and the incidence of diagnosis depends on the diligence with which it is sought. The majority of patients with proximal Crohn's disease has concurrent disease distally or will likely develop it in the future. Patients that have demonstrated colonic or ileocolic disease that complain of upper abdominal complaints such as pain, gastric reflux, or dysphagia should be evaluated with an upper endoscopy and biopsy. The most common surgical indication for gastroduodenal disease is for obstructive symptoms. These patents are adequately served with strictureplasty, but have a higher recurrence rate than with intestinal bypass procedures that can safely be performed laparoscopically. There is no definitive benefit to adding vagotomy in these patients. Fistulas most commonly originate in the colon or distal small intestine and are best prevented or treated with resection and duodenal or gastric closure.", "author" : [ { "dropping-particle" : "", "family" : "Davis", "given" : "Kurt G.", "non-dropping-particle" : "", "parse-names" : false, "suffix" : "" } ], "container-title" : "Surgical Clinics of North America", "id" : "ITEM-1", "issue" : "6", "issued" : { "date-parts" : [ [ "2015" ] ] }, "page" : "1183-1193", "publisher" : "Elsevier Inc", "title" : "Crohn's Disease of the Foregut", "type" : "article-journal", "volume" : "95" }, "uris" : [ "http://www.mendeley.com/documents/?uuid=595ad8e1-6cf4-4f0e-a945-d878bff5a16c" ] } ], "mendeley" : { "formattedCitation" : "&lt;sup&gt;[4]&lt;/sup&gt;", "plainTextFormattedCitation" : "[4]", "previouslyFormattedCitation" : "&lt;sup&gt;[4]&lt;/sup&gt;"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FA1D23" w:rsidRPr="003D034F">
        <w:rPr>
          <w:rFonts w:ascii="Book Antiqua" w:hAnsi="Book Antiqua" w:cs="Calibri"/>
          <w:sz w:val="24"/>
          <w:szCs w:val="24"/>
          <w:vertAlign w:val="superscript"/>
          <w:lang w:val="en-US"/>
        </w:rPr>
        <w:t>[4</w:t>
      </w:r>
      <w:r w:rsidR="005260F8" w:rsidRPr="003D034F">
        <w:rPr>
          <w:rFonts w:ascii="Book Antiqua" w:hAnsi="Book Antiqua" w:cs="Calibri"/>
          <w:sz w:val="24"/>
          <w:szCs w:val="24"/>
          <w:vertAlign w:val="superscript"/>
          <w:lang w:val="en-US" w:eastAsia="zh-CN"/>
        </w:rPr>
        <w:t>,26</w:t>
      </w:r>
      <w:r w:rsidR="00FA1D23"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BB2433" w:rsidRPr="003D034F">
        <w:rPr>
          <w:rFonts w:ascii="Book Antiqua" w:hAnsi="Book Antiqua" w:cs="Calibri"/>
          <w:sz w:val="24"/>
          <w:szCs w:val="24"/>
          <w:lang w:val="en-US"/>
        </w:rPr>
        <w:t xml:space="preserve">. </w:t>
      </w:r>
    </w:p>
    <w:p w:rsidR="00F37526" w:rsidRPr="003D034F" w:rsidRDefault="00F37526" w:rsidP="003D034F">
      <w:pPr>
        <w:spacing w:after="0" w:line="360" w:lineRule="auto"/>
        <w:ind w:firstLineChars="100" w:firstLine="240"/>
        <w:jc w:val="both"/>
        <w:rPr>
          <w:rFonts w:ascii="Book Antiqua" w:hAnsi="Book Antiqua" w:cs="Calibri"/>
          <w:sz w:val="24"/>
          <w:szCs w:val="24"/>
          <w:lang w:val="en-US"/>
        </w:rPr>
      </w:pPr>
      <w:r w:rsidRPr="003D034F">
        <w:rPr>
          <w:rFonts w:ascii="Book Antiqua" w:hAnsi="Book Antiqua" w:cs="Calibri"/>
          <w:sz w:val="24"/>
          <w:szCs w:val="24"/>
          <w:lang w:val="en-US"/>
        </w:rPr>
        <w:t>The prevalence of granuloma detection may vary according to the type and location of the lesions, being identified in less than 25% of the esophageal lesions, 7</w:t>
      </w:r>
      <w:r w:rsidR="005260F8" w:rsidRPr="003D034F">
        <w:rPr>
          <w:rFonts w:ascii="Book Antiqua" w:hAnsi="Book Antiqua" w:cs="Calibri"/>
          <w:sz w:val="24"/>
          <w:szCs w:val="24"/>
          <w:lang w:val="en-US" w:eastAsia="zh-CN"/>
        </w:rPr>
        <w:t>%</w:t>
      </w:r>
      <w:r w:rsidRPr="003D034F">
        <w:rPr>
          <w:rFonts w:ascii="Book Antiqua" w:hAnsi="Book Antiqua" w:cs="Calibri"/>
          <w:sz w:val="24"/>
          <w:szCs w:val="24"/>
          <w:lang w:val="en-US"/>
        </w:rPr>
        <w:t>-87.7% of the gastric lesions, 14</w:t>
      </w:r>
      <w:r w:rsidR="00C92F9A" w:rsidRPr="003D034F">
        <w:rPr>
          <w:rFonts w:ascii="Book Antiqua" w:hAnsi="Book Antiqua" w:cs="Calibri"/>
          <w:sz w:val="24"/>
          <w:szCs w:val="24"/>
          <w:lang w:val="en-US"/>
        </w:rPr>
        <w:t>.</w:t>
      </w:r>
      <w:r w:rsidRPr="003D034F">
        <w:rPr>
          <w:rFonts w:ascii="Book Antiqua" w:hAnsi="Book Antiqua" w:cs="Calibri"/>
          <w:sz w:val="24"/>
          <w:szCs w:val="24"/>
          <w:lang w:val="en-US"/>
        </w:rPr>
        <w:t>3</w:t>
      </w:r>
      <w:r w:rsidR="005260F8" w:rsidRPr="003D034F">
        <w:rPr>
          <w:rFonts w:ascii="Book Antiqua" w:hAnsi="Book Antiqua" w:cs="Calibri"/>
          <w:sz w:val="24"/>
          <w:szCs w:val="24"/>
          <w:lang w:val="en-US" w:eastAsia="zh-CN"/>
        </w:rPr>
        <w:t>%</w:t>
      </w:r>
      <w:r w:rsidRPr="003D034F">
        <w:rPr>
          <w:rFonts w:ascii="Book Antiqua" w:hAnsi="Book Antiqua" w:cs="Calibri"/>
          <w:sz w:val="24"/>
          <w:szCs w:val="24"/>
          <w:lang w:val="en-US"/>
        </w:rPr>
        <w:t>-45</w:t>
      </w:r>
      <w:r w:rsidR="00C92F9A" w:rsidRPr="003D034F">
        <w:rPr>
          <w:rFonts w:ascii="Book Antiqua" w:hAnsi="Book Antiqua" w:cs="Calibri"/>
          <w:sz w:val="24"/>
          <w:szCs w:val="24"/>
          <w:lang w:val="en-US"/>
        </w:rPr>
        <w:t>.</w:t>
      </w:r>
      <w:r w:rsidRPr="003D034F">
        <w:rPr>
          <w:rFonts w:ascii="Book Antiqua" w:hAnsi="Book Antiqua" w:cs="Calibri"/>
          <w:sz w:val="24"/>
          <w:szCs w:val="24"/>
          <w:lang w:val="en-US"/>
        </w:rPr>
        <w:t>5% of the lesions with appearance in BJL and 0-49% of duodenal lesions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"10.1007/s12328-017-0759-7", "ISSN" : "18657265", "PMID" : "28695451", "abstract" : "Crohn's disease (CD) is a type of chronic inflammatory bowel disease (IBD) associated with ulceration, and the main foci of the inflammation in CD patients are typically the terminal ileum and colon. However, in the upper gastrointestinal tract (GIT), including the esophagus, stomach and duodenum, inflammatory lesions are also detected as well, with a relatively high frequency (30--75{%}). Recent advances in imaging modalities, including endoscopy, have aided in the diagnosis of CD. Various lesions, including aphtha, erosion, ulcers, bamboo-joint-like appearance and notch-like appearance, are detected in the upper GI of CD patients. Of these lesions, the bamboo-joint-like appearance in the gastric cardiac region and notch-like appearance in the second portion of the duodenum are highly specific for CD, regardless of the disease activity at other sites. These two findings, particularly a bamboo-joint-like appearance, have therefore been considered as potential biomarkers for CD. Although proton pump inhibitors (PPIs) are administered as an initial treatment for upper GIT lesions of CD, the efficacy of this treatment remains controversial. The administration of mesalazine, steroids, immunosuppressant and biologic agents is expected to be effective for treating such lesions.", "author" : [ { "dropping-particle" : "", "family" : "Nomura", "given" : "Yoshiki", "non-dropping-particle" : "", "parse-names" : false, "suffix" : "" }, { "dropping-particle" : "", "family" : "Moriichi", "given" : "Kentaro", "non-dropping-particle" : "", "parse-names" : false, "suffix" : "" }, { "dropping-particle" : "", "family" : "Fujiya", "given" : "Mikihiro", "non-dropping-particle" : "", "parse-names" : false, "suffix" : "" }, { "dropping-particle" : "", "family" : "Okumura", "given" : "Toshikatsu", "non-dropping-particle" : "", "parse-names" : false, "suffix" : "" } ], "container-title" : "Clinical Journal of Gastroenterology", "id" : "ITEM-1", "issue" : "4", "issued" : { "date-parts" : [ [ "2017" ] ] }, "page" : "289-296", "publisher" : "Springer Japan", "title" : "The endoscopic findings of the upper gastrointestinal tract in patients with Crohn\u2019s disease", "type" : "article-journal", "volume" : "10" }, "uris" : [ "http://www.mendeley.com/documents/?uuid=d17ae756-c05c-472f-8c15-d4035bc4dc1a" ] } ], "mendeley" : { "formattedCitation" : "&lt;sup&gt;[38]&lt;/sup&gt;", "plainTextFormattedCitation" : "[38]", "previouslyFormattedCitation" : "&lt;sup&gt;[38]&lt;/sup&gt;"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[38]</w:t>
      </w:r>
      <w:r w:rsidR="00056AC0" w:rsidRPr="003D034F">
        <w:rPr>
          <w:rFonts w:ascii="Book Antiqua" w:hAnsi="Book Antiqua" w:cs="Calibri"/>
          <w:sz w:val="24"/>
          <w:szCs w:val="24"/>
          <w:lang w:val="en-US"/>
        </w:rPr>
        <w:fldChar w:fldCharType="end"/>
      </w:r>
      <w:r w:rsidR="002C0C8D" w:rsidRPr="003D034F">
        <w:rPr>
          <w:rFonts w:ascii="Book Antiqua" w:hAnsi="Book Antiqua" w:cs="Calibri"/>
          <w:sz w:val="24"/>
          <w:szCs w:val="24"/>
          <w:lang w:val="en-US"/>
        </w:rPr>
        <w:t>.</w:t>
      </w:r>
      <w:r w:rsidR="00F64DD6" w:rsidRPr="003D034F">
        <w:rPr>
          <w:rFonts w:ascii="Book Antiqua" w:hAnsi="Book Antiqua" w:cs="Calibri"/>
          <w:sz w:val="24"/>
          <w:szCs w:val="24"/>
          <w:lang w:val="en-US"/>
        </w:rPr>
        <w:t xml:space="preserve"> </w:t>
      </w:r>
      <w:r w:rsidRPr="003D034F">
        <w:rPr>
          <w:rFonts w:ascii="Book Antiqua" w:hAnsi="Book Antiqua" w:cs="Calibri"/>
          <w:sz w:val="24"/>
          <w:szCs w:val="24"/>
          <w:lang w:val="en-US"/>
        </w:rPr>
        <w:t>Similar results are reported in the pediatric population</w:t>
      </w:r>
      <w:r w:rsidR="00056AC0" w:rsidRPr="003D034F">
        <w:rPr>
          <w:rFonts w:ascii="Book Antiqua" w:hAnsi="Book Antiqua" w:cs="Calibri"/>
          <w:sz w:val="24"/>
          <w:szCs w:val="24"/>
          <w:lang w:val="en-US"/>
        </w:rPr>
        <w:fldChar w:fldCharType="begin" w:fldLock="1"/>
      </w:r>
      <w:r w:rsidR="00D652FA" w:rsidRPr="003D034F">
        <w:rPr>
          <w:rFonts w:ascii="Book Antiqua" w:hAnsi="Book Antiqua" w:cs="Calibri"/>
          <w:sz w:val="24"/>
          <w:szCs w:val="24"/>
          <w:lang w:val="en-US"/>
        </w:rPr>
        <w:instrText>ADDIN CSL_CITATION { "citationItems" : [ { "id" : "ITEM-1", "itemData" : { "DOI" : "10.1097/00005176-200211000-00009", "ISBN" : "0277-2116", "ISSN" : "02772116", "PMID" : "12454578", "abstract" : "OBJECTIVES: To assess the role of esophagogastroduodenoscopy in the evaluation of children with suspected inflammatory bowel disease. METHODS: All children with inflammatory bowel disease who underwent esophagogastroduodenoscopy during their initial evaluation at our institution during a 7-year period (December 1993 to November 2000) were included in the study. RESULTS: The study included 115 patients: 81 with Crohn disease (mean age, 11.34 years; 42 males) and 34 with ulcerative colitis (mean age, 11.79 years; 20 males). Abnormal findings on esophagogastroduodenoscopy were noted in 64% of patients with Crohn disease and 50% of children with ulcerative colitis; histologic abnormalities were found in 81.6% and 70.6% of the patients, respectively. Granulomas were found in the upper gastrointestinal tracts of 23 of 81 patients (28.4%), with the most common site being the gastric mucosa. Nine of these 23 patients had granulomas solely in the upper gastrointestinal tract. Additional unsuspected pathology noted included: candidiasis, hiatal hernia, Helicobacter pylori infection, and giardiasis. CONCLUSIONS: Endoscopic and histologic abnormalities were found in the upper gastrointestinal tracts of a significant number of children with inflammatory bowel disease. While the mechanism(s) underlying these abnormalities in patients with ulcerative colitis is unclear, the pathology can contribute to the patient's clinical condition. Pathology in the upper gastrointestinal tract should not exclude a diagnosis of ulcerative colitis. Granulomas, confirming the diagnosis of Crohn disease, were found in the upper gastrointestinal tracts of 28% of our patients with Crohn disease. In some cases, granulomas were found solely in the upper gastrointestinal tracts. Based on our data, esophagogastroduodenoscopy with biopsy should be performed in all pediatric patients with suspected inflammatory bowel disease.", "author" : [ { "dropping-particle" : "", "family" : "Abdullah", "given" : "Bisher A.", "non-dropping-particle" : "", "parse-names" : false, "suffix" : "" }, { "dropping-particle" : "", "family" : "Gupta", "given" : "Sandeep K.", "non-dropping-particle" : "", "parse-names" : false, "suffix" : "" }, { "dropping-particle" : "", "family" : "Croffie", "given" : "Joseph M.", "non-dropping-particle" : "", "parse-names" : false, "suffix" : "" }, { "dropping-particle" : "", "family" : "Pfefferkorn", "given" : "Marian D.", "non-dropping-particle" : "", "parse-names" : false, "suffix" : "" }, { "dropping-particle" : "", "family" : "Molleston", "given" : "Jean Pappas", "non-dropping-particle" : "", "parse-names" : false, "suffix" : "" }, { "dropping-particle" : "", "family" : "Corkins", "given" : "Mark R.", "non-dropping-particle" : "", "parse-names" : false, "suffix" : "" }, { "dropping-particle" : "", "family" : "Fitzgerald", "given" : "Joseph F.", "non-dropping-particle" : "", "parse-names" : false, "suffix" : "" } ], "container-title" : "Journal of Pediatric Gastroenterology and Nutrition", "id" : "ITEM-1", "issue" : "5", "issued" : { "date-parts" : [ [ "2002" ] ] }, "page" : "636-640", "title" : "The role of esophagogastroduodenoscopy in the initial evaluation of childhood inflammatory bowel disease: A 7-year study", "type" : "article-journal", "volume" : "35" }, "uris" : [ "http://www.mendeley.com/documents/?uuid=9e088f2d-48bd-42cc-bed5-6f1cf6542e77" ] } ], "mendeley" : { "formattedCitation" : "&lt;sup&gt;[17]&lt;/sup&gt;", "plainTextFormattedCitation" : "[17]", "previouslyFormattedCitation" : "&lt;sup&gt;[17]&lt;/sup&gt;"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D652FA" w:rsidRPr="003D034F">
        <w:rPr>
          <w:rFonts w:ascii="Book Antiqua" w:hAnsi="Book Antiqua" w:cs="Calibri"/>
          <w:sz w:val="24"/>
          <w:szCs w:val="24"/>
          <w:vertAlign w:val="superscript"/>
          <w:lang w:val="en-US"/>
        </w:rPr>
        <w:t>[17]</w:t>
      </w:r>
      <w:r w:rsidR="00056AC0" w:rsidRPr="003D034F">
        <w:rPr>
          <w:rFonts w:ascii="Book Antiqua" w:hAnsi="Book Antiqua" w:cs="Calibri"/>
          <w:sz w:val="24"/>
          <w:szCs w:val="24"/>
          <w:lang w:val="en-US"/>
        </w:rPr>
        <w:fldChar w:fldCharType="end"/>
      </w:r>
      <w:r w:rsidR="00B976FB" w:rsidRPr="003D034F">
        <w:rPr>
          <w:rFonts w:ascii="Book Antiqua" w:hAnsi="Book Antiqua" w:cs="Calibri"/>
          <w:sz w:val="24"/>
          <w:szCs w:val="24"/>
          <w:lang w:val="en-US"/>
        </w:rPr>
        <w:t xml:space="preserve">. </w:t>
      </w:r>
      <w:r w:rsidR="002D6684" w:rsidRPr="003D034F">
        <w:rPr>
          <w:rFonts w:ascii="Book Antiqua" w:hAnsi="Book Antiqua" w:cs="Calibri"/>
          <w:sz w:val="24"/>
          <w:szCs w:val="24"/>
          <w:lang w:val="en-US"/>
        </w:rPr>
        <w:t xml:space="preserve">One study showed that granulomas occur more in the stomach (9.4%), with a prevalence of 3.4% in the duodenum and 4.9% in both stomach and duodenum. </w:t>
      </w:r>
      <w:r w:rsidRPr="003D034F">
        <w:rPr>
          <w:rFonts w:ascii="Book Antiqua" w:hAnsi="Book Antiqua" w:cs="Calibri"/>
          <w:sz w:val="24"/>
          <w:szCs w:val="24"/>
          <w:lang w:val="en-US"/>
        </w:rPr>
        <w:t xml:space="preserve">The incidence of granulomas was higher in patients with </w:t>
      </w:r>
      <w:proofErr w:type="spellStart"/>
      <w:r w:rsidRPr="003D034F">
        <w:rPr>
          <w:rFonts w:ascii="Book Antiqua" w:hAnsi="Book Antiqua" w:cs="Calibri"/>
          <w:sz w:val="24"/>
          <w:szCs w:val="24"/>
          <w:lang w:val="en-US"/>
        </w:rPr>
        <w:t>enterocolonic</w:t>
      </w:r>
      <w:proofErr w:type="spellEnd"/>
      <w:r w:rsidRPr="003D034F">
        <w:rPr>
          <w:rFonts w:ascii="Book Antiqua" w:hAnsi="Book Antiqua" w:cs="Calibri"/>
          <w:sz w:val="24"/>
          <w:szCs w:val="24"/>
          <w:lang w:val="en-US"/>
        </w:rPr>
        <w:t xml:space="preserve"> disease and shorter duration of disease</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"3983016", "author" : [ { "dropping-particle" : "", "family" : "Schmitz-Moormann", "given" : "P", "non-dropping-particle" : "", "parse-names" : false, "suffix" : "" }, { "dropping-particle" : "", "family" : "Malchow", "given" : "H", "non-dropping-particle" : "", "parse-names" : false, "suffix" : "" }, { "dropping-particle" : "", "family" : "Pittner", "given" : "PM", "non-dropping-particle" : "", "parse-names" : false, "suffix" : "" } ], "container-title" : "Pathology, research and practice", "id" : "ITEM-1", "issue" : "3", "issued" : { "date-parts" : [ [ "1985" ] ] }, "page" : "377-387", "title" : "Endoscopic and bioptic study of the upper gastrointestinal tract in Crohn's disease patientes.", "type" : "article-journal", "volume" : "179" }, "uris" : [ "http://www.mendeley.com/documents/?uuid=5baa0cba-4c14-4f68-98dd-8c8f7080671f" ] } ], "mendeley" : { "formattedCitation" : "&lt;sup&gt;[77]&lt;/sup&gt;", "plainTextFormattedCitation" : "[77]", "previouslyFormattedCitation" : "&lt;sup&gt;[77]&lt;/sup&gt;"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[77]</w:t>
      </w:r>
      <w:r w:rsidR="00056AC0" w:rsidRPr="003D034F">
        <w:rPr>
          <w:rFonts w:ascii="Book Antiqua" w:hAnsi="Book Antiqua" w:cs="Calibri"/>
          <w:sz w:val="24"/>
          <w:szCs w:val="24"/>
          <w:lang w:val="en-US"/>
        </w:rPr>
        <w:fldChar w:fldCharType="end"/>
      </w:r>
      <w:r w:rsidR="00214FFE" w:rsidRPr="003D034F">
        <w:rPr>
          <w:rFonts w:ascii="Book Antiqua" w:hAnsi="Book Antiqua" w:cs="Calibri"/>
          <w:sz w:val="24"/>
          <w:szCs w:val="24"/>
          <w:lang w:val="en-US"/>
        </w:rPr>
        <w:t xml:space="preserve">. </w:t>
      </w:r>
      <w:r w:rsidR="00EC33DB" w:rsidRPr="003D034F">
        <w:rPr>
          <w:rFonts w:ascii="Book Antiqua" w:hAnsi="Book Antiqua" w:cs="Calibri"/>
          <w:sz w:val="24"/>
          <w:szCs w:val="24"/>
          <w:lang w:val="en-US"/>
        </w:rPr>
        <w:t>A r</w:t>
      </w:r>
      <w:r w:rsidRPr="003D034F">
        <w:rPr>
          <w:rFonts w:ascii="Book Antiqua" w:hAnsi="Book Antiqua" w:cs="Calibri"/>
          <w:sz w:val="24"/>
          <w:szCs w:val="24"/>
          <w:lang w:val="en-US"/>
        </w:rPr>
        <w:t xml:space="preserve">etrospective cohort </w:t>
      </w:r>
      <w:r w:rsidR="00EC33DB" w:rsidRPr="003D034F">
        <w:rPr>
          <w:rFonts w:ascii="Book Antiqua" w:hAnsi="Book Antiqua" w:cs="Calibri"/>
          <w:sz w:val="24"/>
          <w:szCs w:val="24"/>
          <w:lang w:val="en-US"/>
        </w:rPr>
        <w:t xml:space="preserve">study </w:t>
      </w:r>
      <w:r w:rsidRPr="003D034F">
        <w:rPr>
          <w:rFonts w:ascii="Book Antiqua" w:hAnsi="Book Antiqua" w:cs="Calibri"/>
          <w:sz w:val="24"/>
          <w:szCs w:val="24"/>
          <w:lang w:val="en-US"/>
        </w:rPr>
        <w:t xml:space="preserve">showed that </w:t>
      </w:r>
      <w:r w:rsidR="008320D3" w:rsidRPr="003D034F">
        <w:rPr>
          <w:rFonts w:ascii="Book Antiqua" w:hAnsi="Book Antiqua" w:cs="Calibri"/>
          <w:sz w:val="24"/>
          <w:szCs w:val="24"/>
          <w:lang w:val="en-US"/>
        </w:rPr>
        <w:t>nonc</w:t>
      </w:r>
      <w:r w:rsidRPr="003D034F">
        <w:rPr>
          <w:rFonts w:ascii="Book Antiqua" w:hAnsi="Book Antiqua" w:cs="Calibri"/>
          <w:sz w:val="24"/>
          <w:szCs w:val="24"/>
          <w:lang w:val="en-US"/>
        </w:rPr>
        <w:t xml:space="preserve">aseous granulomas were detected in 10.9% of the patients, mainly in the lower stomach (25%) and duodenal bulb (11.4%). However, this study did not evaluate other histological </w:t>
      </w:r>
      <w:r w:rsidRPr="003D034F">
        <w:rPr>
          <w:rFonts w:ascii="Book Antiqua" w:hAnsi="Book Antiqua" w:cs="Calibri"/>
          <w:sz w:val="24"/>
          <w:szCs w:val="24"/>
          <w:lang w:val="en-US"/>
        </w:rPr>
        <w:lastRenderedPageBreak/>
        <w:t>changes</w:t>
      </w:r>
      <w:r w:rsidR="00EC33DB" w:rsidRPr="003D034F">
        <w:rPr>
          <w:rFonts w:ascii="Book Antiqua" w:hAnsi="Book Antiqua" w:cs="Calibri"/>
          <w:sz w:val="24"/>
          <w:szCs w:val="24"/>
          <w:lang w:val="en-US"/>
        </w:rPr>
        <w:t>,</w:t>
      </w:r>
      <w:r w:rsidRPr="003D034F">
        <w:rPr>
          <w:rFonts w:ascii="Book Antiqua" w:hAnsi="Book Antiqua" w:cs="Calibri"/>
          <w:sz w:val="24"/>
          <w:szCs w:val="24"/>
          <w:lang w:val="en-US"/>
        </w:rPr>
        <w:t xml:space="preserve"> such as focal gastritis</w:t>
      </w:r>
      <w:r w:rsidR="00EC33DB" w:rsidRPr="003D034F">
        <w:rPr>
          <w:rFonts w:ascii="Book Antiqua" w:hAnsi="Book Antiqua" w:cs="Calibri"/>
          <w:sz w:val="24"/>
          <w:szCs w:val="24"/>
          <w:lang w:val="en-US"/>
        </w:rPr>
        <w:t>,</w:t>
      </w:r>
      <w:r w:rsidRPr="003D034F">
        <w:rPr>
          <w:rFonts w:ascii="Book Antiqua" w:hAnsi="Book Antiqua" w:cs="Calibri"/>
          <w:sz w:val="24"/>
          <w:szCs w:val="24"/>
          <w:lang w:val="en-US"/>
        </w:rPr>
        <w:t xml:space="preserve"> and not all patients were evaluated for the presence of </w:t>
      </w:r>
      <w:r w:rsidR="005A1C67" w:rsidRPr="003D034F">
        <w:rPr>
          <w:rFonts w:ascii="Book Antiqua" w:hAnsi="Book Antiqua" w:cs="Calibri"/>
          <w:i/>
          <w:sz w:val="24"/>
          <w:szCs w:val="24"/>
          <w:lang w:val="en-US" w:eastAsia="zh-CN"/>
        </w:rPr>
        <w:t xml:space="preserve">H. </w:t>
      </w:r>
      <w:r w:rsidR="005A1C67" w:rsidRPr="003D034F">
        <w:rPr>
          <w:rFonts w:ascii="Book Antiqua" w:hAnsi="Book Antiqua" w:cs="Calibri"/>
          <w:i/>
          <w:sz w:val="24"/>
          <w:szCs w:val="24"/>
          <w:lang w:val="en-US"/>
        </w:rPr>
        <w:t>pylori</w:t>
      </w:r>
      <w:r w:rsidR="00056AC0" w:rsidRPr="003D034F">
        <w:rPr>
          <w:rFonts w:ascii="Book Antiqua" w:hAnsi="Book Antiqua" w:cs="Calibri"/>
          <w:sz w:val="24"/>
          <w:szCs w:val="24"/>
          <w:lang w:val="en-US"/>
        </w:rPr>
        <w:fldChar w:fldCharType="begin" w:fldLock="1"/>
      </w:r>
      <w:r w:rsidR="0025673C" w:rsidRPr="003D034F">
        <w:rPr>
          <w:rFonts w:ascii="Book Antiqua" w:hAnsi="Book Antiqua" w:cs="Calibri"/>
          <w:sz w:val="24"/>
          <w:szCs w:val="24"/>
          <w:lang w:val="en-US"/>
        </w:rPr>
        <w:instrText>ADDIN CSL_CITATION { "citationItems" : [ { "id" : "ITEM-1", "itemData" : { "DOI" : "10.1155/2014/610767", "ISBN" : "2314-6133", "PMID" : "24672792", "abstract" : "Background. Crohn's disease (CD) may involve any part of the gastrointestinal tract. We assessed the prevalence and features of upper gastrointestinal (UGI) lesions in CD. Methods. This was a retrospective study that included 138 CD patients that underwent esophagogastroduodenoscopy (EGD). The rate of Crohn's specific endoscopic lesions in the esophagus, stomach, and duodenum was assessed, and immunohistochemical analysis was performed. Changes in the UGI lesions were assessed in those who had two or more EGD. Results. Of 138 patients, 51.3% had Crohn's specific UGI lesions. The rates of Crohn's specific lesion in the esophagus, upper-to-middle stomach, lower stomach, duodenal bulb, and 2nd portion of the duodenum were 6.5%, 47.8%, 24.6%, 31.9%, and 18.1%, respectively. Granulomas were detected in 6.1%, 25.0%, and 11.4% in the upper-to-middle stomach, lower stomach, and duodenal bulb, respectively, but none in the esophagus and 2nd portion of the duodenum. Thirty-seven were analyzed for Helicobacter pylori and 4 were positive (10.8%). Improvements of UGI lesions were seen in 14 out of 49 (28.5%) and were unchanged in 59.2% and worsened in 12.2%. Conclusions. The prevalence of Crohn's specific UGI lesions was common in our case series, and immunohistochemical studies suggested that the majority was unrelated to Helicobacter pylori infection. Worsening of UGI lesions over the course was rare. 2014 Atsushi Sakuraba et al.", "author" : [ { "dropping-particle" : "", "family" : "Sakuraba", "given" : "A", "non-dropping-particle" : "", "parse-names" : false, "suffix" : "" }, { "dropping-particle" : "", "family" : "Iwao", "given" : "Y", "non-dropping-particle" : "", "parse-names" : false, "suffix" : "" }, { "dropping-particle" : "", "family" : "Matsuoka", "given" : "K", "non-dropping-particle" : "", "parse-names" : false, "suffix" : "" }, { "dropping-particle" : "", "family" : "Naganuma", "given" : "M", "non-dropping-particle" : "", "parse-names" : false, "suffix" : "" }, { "dropping-particle" : "", "family" : "Ogata", "given" : "H", "non-dropping-particle" : "", "parse-names" : false, "suffix" : "" }, { "dropping-particle" : "", "family" : "Kanai", "given" : "T", "non-dropping-particle" : "", "parse-names" : false, "suffix" : "" }, { "dropping-particle" : "", "family" : "Hibi", "given" : "T", "non-dropping-particle" : "", "parse-names" : false, "suffix" : "" } ], "container-title" : "BioMed Research International", "id" : "ITEM-1", "issue" : "610767", "issued" : { "date-parts" : [ [ "2014" ] ] }, "title" : "Endoscopic and pathologic changes of the upper gastrointestinal tract in Crohn's disease", "type" : "article-journal", "volume" : "2014" }, "uris" : [ "http://www.mendeley.com/documents/?uuid=7e06c1d2-1bab-4d9f-93c5-f09cbfab043d" ] } ], "mendeley" : { "formattedCitation" : "&lt;sup&gt;[15]&lt;/sup&gt;", "plainTextFormattedCitation" : "[15]", "previouslyFormattedCitation" : "&lt;sup&gt;[15]&lt;/sup&gt;"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25673C" w:rsidRPr="003D034F">
        <w:rPr>
          <w:rFonts w:ascii="Book Antiqua" w:hAnsi="Book Antiqua" w:cs="Calibri"/>
          <w:sz w:val="24"/>
          <w:szCs w:val="24"/>
          <w:vertAlign w:val="superscript"/>
          <w:lang w:val="en-US"/>
        </w:rPr>
        <w:t>[15]</w:t>
      </w:r>
      <w:r w:rsidR="00056AC0" w:rsidRPr="003D034F">
        <w:rPr>
          <w:rFonts w:ascii="Book Antiqua" w:hAnsi="Book Antiqua" w:cs="Calibri"/>
          <w:sz w:val="24"/>
          <w:szCs w:val="24"/>
          <w:lang w:val="en-US"/>
        </w:rPr>
        <w:fldChar w:fldCharType="end"/>
      </w:r>
      <w:r w:rsidR="008320D3" w:rsidRPr="003D034F">
        <w:rPr>
          <w:rFonts w:ascii="Book Antiqua" w:hAnsi="Book Antiqua" w:cs="Calibri"/>
          <w:sz w:val="24"/>
          <w:szCs w:val="24"/>
          <w:lang w:val="en-US"/>
        </w:rPr>
        <w:t>. T</w:t>
      </w:r>
      <w:r w:rsidRPr="003D034F">
        <w:rPr>
          <w:rFonts w:ascii="Book Antiqua" w:hAnsi="Book Antiqua" w:cs="Calibri"/>
          <w:sz w:val="24"/>
          <w:szCs w:val="24"/>
          <w:lang w:val="en-US"/>
        </w:rPr>
        <w:t xml:space="preserve">he variation between these results may be related to the biopsied site, the number of biopsies, the number of cuts performed, </w:t>
      </w:r>
      <w:r w:rsidR="00EC33DB" w:rsidRPr="003D034F">
        <w:rPr>
          <w:rFonts w:ascii="Book Antiqua" w:hAnsi="Book Antiqua" w:cs="Calibri"/>
          <w:sz w:val="24"/>
          <w:szCs w:val="24"/>
          <w:lang w:val="en-US"/>
        </w:rPr>
        <w:t xml:space="preserve">the use of </w:t>
      </w:r>
      <w:r w:rsidRPr="003D034F">
        <w:rPr>
          <w:rFonts w:ascii="Book Antiqua" w:hAnsi="Book Antiqua" w:cs="Calibri"/>
          <w:sz w:val="24"/>
          <w:szCs w:val="24"/>
          <w:lang w:val="en-US"/>
        </w:rPr>
        <w:t>serial sections and the pathologist's proficiency</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"10.1007/s12328-017-0759-7", "ISSN" : "18657265", "PMID" : "28695451", "abstract" : "Crohn's disease (CD) is a type of chronic inflammatory bowel disease (IBD) associated with ulceration, and the main foci of the inflammation in CD patients are typically the terminal ileum and colon. However, in the upper gastrointestinal tract (GIT), including the esophagus, stomach and duodenum, inflammatory lesions are also detected as well, with a relatively high frequency (30--75{%}). Recent advances in imaging modalities, including endoscopy, have aided in the diagnosis of CD. Various lesions, including aphtha, erosion, ulcers, bamboo-joint-like appearance and notch-like appearance, are detected in the upper GI of CD patients. Of these lesions, the bamboo-joint-like appearance in the gastric cardiac region and notch-like appearance in the second portion of the duodenum are highly specific for CD, regardless of the disease activity at other sites. These two findings, particularly a bamboo-joint-like appearance, have therefore been considered as potential biomarkers for CD. Although proton pump inhibitors (PPIs) are administered as an initial treatment for upper GIT lesions of CD, the efficacy of this treatment remains controversial. The administration of mesalazine, steroids, immunosuppressant and biologic agents is expected to be effective for treating such lesions.", "author" : [ { "dropping-particle" : "", "family" : "Nomura", "given" : "Yoshiki", "non-dropping-particle" : "", "parse-names" : false, "suffix" : "" }, { "dropping-particle" : "", "family" : "Moriichi", "given" : "Kentaro", "non-dropping-particle" : "", "parse-names" : false, "suffix" : "" }, { "dropping-particle" : "", "family" : "Fujiya", "given" : "Mikihiro", "non-dropping-particle" : "", "parse-names" : false, "suffix" : "" }, { "dropping-particle" : "", "family" : "Okumura", "given" : "Toshikatsu", "non-dropping-particle" : "", "parse-names" : false, "suffix" : "" } ], "container-title" : "Clinical Journal of Gastroenterology", "id" : "ITEM-1", "issue" : "4", "issued" : { "date-parts" : [ [ "2017" ] ] }, "page" : "289-296", "publisher" : "Springer Japan", "title" : "The endoscopic findings of the upper gastrointestinal tract in patients with Crohn\u2019s disease", "type" : "article-journal", "volume" : "10" }, "uris" : [ "http://www.mendeley.com/documents/?uuid=d17ae756-c05c-472f-8c15-d4035bc4dc1a" ] } ], "mendeley" : { "formattedCitation" : "&lt;sup&gt;[38]&lt;/sup&gt;", "plainTextFormattedCitation" : "[38]", "previouslyFormattedCitation" : "&lt;sup&gt;[38]&lt;/sup&gt;"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[38</w:t>
      </w:r>
      <w:r w:rsidR="005260F8" w:rsidRPr="003D034F">
        <w:rPr>
          <w:rFonts w:ascii="Book Antiqua" w:hAnsi="Book Antiqua" w:cs="Calibri"/>
          <w:sz w:val="24"/>
          <w:szCs w:val="24"/>
          <w:vertAlign w:val="superscript"/>
          <w:lang w:val="en-US" w:eastAsia="zh-CN"/>
        </w:rPr>
        <w:t>,78</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5260F8" w:rsidRPr="003D034F">
        <w:rPr>
          <w:rFonts w:ascii="Book Antiqua" w:hAnsi="Book Antiqua" w:cs="Calibri"/>
          <w:sz w:val="24"/>
          <w:szCs w:val="24"/>
          <w:lang w:val="en-US" w:eastAsia="zh-CN"/>
        </w:rPr>
        <w:t>.</w:t>
      </w:r>
      <w:r w:rsidR="005260F8" w:rsidRPr="003D034F">
        <w:rPr>
          <w:rFonts w:ascii="Book Antiqua" w:hAnsi="Book Antiqua" w:cs="Calibri"/>
          <w:sz w:val="24"/>
          <w:szCs w:val="24"/>
          <w:lang w:val="en-US"/>
        </w:rPr>
        <w:t xml:space="preserve"> </w:t>
      </w:r>
    </w:p>
    <w:p w:rsidR="00823ECB" w:rsidRPr="003D034F" w:rsidRDefault="00F37526" w:rsidP="003D034F">
      <w:pPr>
        <w:spacing w:after="0" w:line="360" w:lineRule="auto"/>
        <w:ind w:firstLineChars="100" w:firstLine="240"/>
        <w:jc w:val="both"/>
        <w:rPr>
          <w:rFonts w:ascii="Book Antiqua" w:hAnsi="Book Antiqua" w:cs="Calibri"/>
          <w:sz w:val="24"/>
          <w:szCs w:val="24"/>
          <w:lang w:val="en-US"/>
        </w:rPr>
      </w:pPr>
      <w:r w:rsidRPr="003D034F">
        <w:rPr>
          <w:rFonts w:ascii="Book Antiqua" w:hAnsi="Book Antiqua" w:cs="Calibri"/>
          <w:sz w:val="24"/>
          <w:szCs w:val="24"/>
          <w:lang w:val="en-US"/>
        </w:rPr>
        <w:t xml:space="preserve">A study </w:t>
      </w:r>
      <w:r w:rsidR="005260F8" w:rsidRPr="003D034F">
        <w:rPr>
          <w:rFonts w:ascii="Book Antiqua" w:hAnsi="Book Antiqua" w:cs="Calibri"/>
          <w:sz w:val="24"/>
          <w:szCs w:val="24"/>
          <w:lang w:val="en-US"/>
        </w:rPr>
        <w:t>by Yao</w:t>
      </w:r>
      <w:r w:rsidRPr="003D034F">
        <w:rPr>
          <w:rFonts w:ascii="Book Antiqua" w:hAnsi="Book Antiqua" w:cs="Calibri"/>
          <w:sz w:val="24"/>
          <w:szCs w:val="24"/>
          <w:lang w:val="en-US"/>
        </w:rPr>
        <w:t xml:space="preserve"> </w:t>
      </w:r>
      <w:r w:rsidRPr="003D034F">
        <w:rPr>
          <w:rFonts w:ascii="Book Antiqua" w:hAnsi="Book Antiqua" w:cs="Calibri"/>
          <w:i/>
          <w:sz w:val="24"/>
          <w:szCs w:val="24"/>
          <w:lang w:val="en-US"/>
        </w:rPr>
        <w:t>et al</w:t>
      </w:r>
      <w:r w:rsidR="005260F8" w:rsidRPr="003D034F">
        <w:rPr>
          <w:rFonts w:ascii="Book Antiqua" w:hAnsi="Book Antiqua" w:cs="Calibri"/>
          <w:sz w:val="24"/>
          <w:szCs w:val="24"/>
          <w:lang w:val="en-US"/>
        </w:rPr>
        <w:fldChar w:fldCharType="begin" w:fldLock="1"/>
      </w:r>
      <w:r w:rsidR="005260F8" w:rsidRPr="003D034F">
        <w:rPr>
          <w:rFonts w:ascii="Book Antiqua" w:hAnsi="Book Antiqua" w:cs="Calibri"/>
          <w:sz w:val="24"/>
          <w:szCs w:val="24"/>
          <w:lang w:val="en-US"/>
        </w:rPr>
        <w:instrText>ADDIN CSL_CITATION { "citationItems" : [ { "id" : "ITEM-1", "itemData" : { "DOI" : "10.1016/S0002-9270(00)01050-9", "ISBN" : "0002-9270 (Print)\\r0002-9270 (Linking)", "ISSN" : "00029270", "PMID" : "10950044", "abstract" : "Objective: In 10% of cases it may be difficult to differentiate Crohn's colitis from ulcerative colitis. Distinguishing the two conditions is important because they are distinct entities with different therapeutic implications. Noncaseating granulomas are usually considered diagnostic of Crohn's disease. We previously reported that the presence of a microaggregate of immunostained macrophages within the noninflamed gastroduodenal mucosa was a characteristic finding of Crohn's disease. The aim of this study was to determine whether a microaggregate of immunostained macrophages can be a reliable marker for differentiating Crohn's colitis from ulcerative colitis. Methods: We investigated the presence of microaggregates of immunostained macrophages and epithelioid cell granulomas in biopsy specimens taken from the noninflamed gastroduodenal mucosa of 22 known Crohn's colitis patients and 23 established ulcerative colitis patients. The incidence of microaggregates and granulomas was compared between these two groups. Results: Microaggregates and granulomas were detected only in the Crohn's colitis patients. In addition, the presence of microaggregates was more frequent than that of granulomas in Crohn's colitis patients (54.5% and 18.2%, respectively, 95% confidence interval for the difference: 10.0-62.7%). Conclusion: Detecting a microaggregate of immunostained macrophages in a biopsy specimen taken from non-inflamed gastroduodenal mucosa seems to be a useful method for differentiating Crohn's colitis from ulcerative colitis. (C) 2000 by Am. Coll. of Gastroenterology.", "author" : [ { "dropping-particle" : "", "family" : "Yao", "given" : "Kenshi", "non-dropping-particle" : "", "parse-names" : false, "suffix" : "" }, { "dropping-particle" : "", "family" : "Yao", "given" : "Tsuneyoshi", "non-dropping-particle" : "", "parse-names" : false, "suffix" : "" }, { "dropping-particle" : "", "family" : "Iwashita", "given" : "Akinori", "non-dropping-particle" : "", "parse-names" : false, "suffix" : "" }, { "dropping-particle" : "", "family" : "Matsui", "given" : "Toshiyuki", "non-dropping-particle" : "", "parse-names" : false, "suffix" : "" }, { "dropping-particle" : "", "family" : "Kamachi", "given" : "Shino", "non-dropping-particle" : "", "parse-names" : false, "suffix" : "" } ], "container-title" : "American Journal of Gastroenterology", "id" : "ITEM-1", "issue" : "8", "issued" : { "date-parts" : [ [ "2000" ] ] }, "page" : "1967-1973", "title" : "Microaggregate of immunostained macrophages in noninflamed gastroduodenal mucosa: A new useful histological marker for differentiating Crohn's colitis from ulcerative colitis", "type" : "article-journal", "volume" : "95" }, "uris" : [ "http://www.mendeley.com/documents/?uuid=32ca50de-7dbd-4084-be0a-622fda897fec" ] } ], "mendeley" : { "formattedCitation" : "&lt;sup&gt;[79]&lt;/sup&gt;", "plainTextFormattedCitation" : "[79]", "previouslyFormattedCitation" : "&lt;sup&gt;[79]&lt;/sup&gt;" }, "properties" : {  }, "schema" : "https://github.com/citation-style-language/schema/raw/master/csl-citation.json" }</w:instrText>
      </w:r>
      <w:r w:rsidR="005260F8" w:rsidRPr="003D034F">
        <w:rPr>
          <w:rFonts w:ascii="Book Antiqua" w:hAnsi="Book Antiqua" w:cs="Calibri"/>
          <w:sz w:val="24"/>
          <w:szCs w:val="24"/>
          <w:lang w:val="en-US"/>
        </w:rPr>
        <w:fldChar w:fldCharType="separate"/>
      </w:r>
      <w:r w:rsidR="005260F8" w:rsidRPr="003D034F">
        <w:rPr>
          <w:rFonts w:ascii="Book Antiqua" w:hAnsi="Book Antiqua" w:cs="Calibri"/>
          <w:sz w:val="24"/>
          <w:szCs w:val="24"/>
          <w:vertAlign w:val="superscript"/>
          <w:lang w:val="en-US"/>
        </w:rPr>
        <w:t>[79]</w:t>
      </w:r>
      <w:r w:rsidR="005260F8" w:rsidRPr="003D034F">
        <w:rPr>
          <w:rFonts w:ascii="Book Antiqua" w:hAnsi="Book Antiqua" w:cs="Calibri"/>
          <w:sz w:val="24"/>
          <w:szCs w:val="24"/>
          <w:lang w:val="en-US"/>
        </w:rPr>
        <w:fldChar w:fldCharType="end"/>
      </w:r>
      <w:r w:rsidRPr="003D034F">
        <w:rPr>
          <w:rFonts w:ascii="Book Antiqua" w:hAnsi="Book Antiqua" w:cs="Calibri"/>
          <w:sz w:val="24"/>
          <w:szCs w:val="24"/>
          <w:lang w:val="en-US"/>
        </w:rPr>
        <w:t xml:space="preserve"> evaluated </w:t>
      </w:r>
      <w:r w:rsidR="008320D3" w:rsidRPr="003D034F">
        <w:rPr>
          <w:rFonts w:ascii="Book Antiqua" w:hAnsi="Book Antiqua" w:cs="Calibri"/>
          <w:sz w:val="24"/>
          <w:szCs w:val="24"/>
          <w:lang w:val="en-US"/>
        </w:rPr>
        <w:t>noni</w:t>
      </w:r>
      <w:r w:rsidRPr="003D034F">
        <w:rPr>
          <w:rFonts w:ascii="Book Antiqua" w:hAnsi="Book Antiqua" w:cs="Calibri"/>
          <w:sz w:val="24"/>
          <w:szCs w:val="24"/>
          <w:lang w:val="en-US"/>
        </w:rPr>
        <w:t xml:space="preserve">nflamed gastroduodenal mucosa through histological and immunohistochemical </w:t>
      </w:r>
      <w:r w:rsidR="00EC33DB" w:rsidRPr="003D034F">
        <w:rPr>
          <w:rFonts w:ascii="Book Antiqua" w:hAnsi="Book Antiqua" w:cs="Calibri"/>
          <w:sz w:val="24"/>
          <w:szCs w:val="24"/>
          <w:lang w:val="en-US"/>
        </w:rPr>
        <w:t xml:space="preserve">analysis </w:t>
      </w:r>
      <w:r w:rsidRPr="003D034F">
        <w:rPr>
          <w:rFonts w:ascii="Book Antiqua" w:hAnsi="Book Antiqua" w:cs="Calibri"/>
          <w:sz w:val="24"/>
          <w:szCs w:val="24"/>
          <w:lang w:val="en-US"/>
        </w:rPr>
        <w:t xml:space="preserve">and identified that microaggregates of macrophages and epithelioid granulomas were present only in CD patients </w:t>
      </w:r>
      <w:r w:rsidR="00952342" w:rsidRPr="003D034F">
        <w:rPr>
          <w:rFonts w:ascii="Book Antiqua" w:hAnsi="Book Antiqua" w:cs="Calibri"/>
          <w:sz w:val="24"/>
          <w:szCs w:val="24"/>
          <w:lang w:val="en-US"/>
        </w:rPr>
        <w:t>and not</w:t>
      </w:r>
      <w:r w:rsidRPr="003D034F">
        <w:rPr>
          <w:rFonts w:ascii="Book Antiqua" w:hAnsi="Book Antiqua" w:cs="Calibri"/>
          <w:sz w:val="24"/>
          <w:szCs w:val="24"/>
          <w:lang w:val="en-US"/>
        </w:rPr>
        <w:t xml:space="preserve"> patients with UC, so that this finding helped differentiate between the two diseases. Microaggregates of macrophages were more frequent than epithelioid granulomas in this population (54.5% </w:t>
      </w:r>
      <w:r w:rsidR="005260F8" w:rsidRPr="003D034F">
        <w:rPr>
          <w:rFonts w:ascii="Book Antiqua" w:hAnsi="Book Antiqua" w:cs="Calibri"/>
          <w:sz w:val="24"/>
          <w:szCs w:val="24"/>
          <w:lang w:val="en-US"/>
        </w:rPr>
        <w:t>×</w:t>
      </w:r>
      <w:r w:rsidRPr="003D034F">
        <w:rPr>
          <w:rFonts w:ascii="Book Antiqua" w:hAnsi="Book Antiqua" w:cs="Calibri"/>
          <w:sz w:val="24"/>
          <w:szCs w:val="24"/>
          <w:lang w:val="en-US"/>
        </w:rPr>
        <w:t xml:space="preserve"> 18.2%, respectively)</w:t>
      </w:r>
      <w:r w:rsidR="004D4003" w:rsidRPr="003D034F">
        <w:rPr>
          <w:rFonts w:ascii="Book Antiqua" w:hAnsi="Book Antiqua" w:cs="Calibri"/>
          <w:sz w:val="24"/>
          <w:szCs w:val="24"/>
          <w:lang w:val="en-US"/>
        </w:rPr>
        <w:t>.</w:t>
      </w:r>
      <w:r w:rsidR="00823ECB" w:rsidRPr="003D034F">
        <w:rPr>
          <w:rFonts w:ascii="Book Antiqua" w:hAnsi="Book Antiqua" w:cs="Calibri"/>
          <w:sz w:val="24"/>
          <w:szCs w:val="24"/>
          <w:lang w:val="en-US"/>
        </w:rPr>
        <w:t xml:space="preserve"> </w:t>
      </w:r>
    </w:p>
    <w:p w:rsidR="00892F07" w:rsidRPr="003D034F" w:rsidRDefault="00B9207F" w:rsidP="003D034F">
      <w:pPr>
        <w:spacing w:after="0" w:line="360" w:lineRule="auto"/>
        <w:ind w:firstLineChars="100" w:firstLine="240"/>
        <w:jc w:val="both"/>
        <w:rPr>
          <w:rFonts w:ascii="Book Antiqua" w:hAnsi="Book Antiqua" w:cs="Calibri"/>
          <w:sz w:val="24"/>
          <w:szCs w:val="24"/>
          <w:lang w:val="en-US"/>
        </w:rPr>
      </w:pPr>
      <w:r w:rsidRPr="003D034F">
        <w:rPr>
          <w:rFonts w:ascii="Book Antiqua" w:hAnsi="Book Antiqua" w:cs="Calibri"/>
          <w:sz w:val="24"/>
          <w:szCs w:val="24"/>
          <w:lang w:val="en-US"/>
        </w:rPr>
        <w:t xml:space="preserve">Focal gastritis is characterized by infiltrating inflammatory cells in a </w:t>
      </w:r>
      <w:bookmarkStart w:id="50" w:name="OLE_LINK20"/>
      <w:bookmarkStart w:id="51" w:name="OLE_LINK21"/>
      <w:proofErr w:type="spellStart"/>
      <w:r w:rsidRPr="003D034F">
        <w:rPr>
          <w:rFonts w:ascii="Book Antiqua" w:hAnsi="Book Antiqua" w:cs="Calibri"/>
          <w:sz w:val="24"/>
          <w:szCs w:val="24"/>
          <w:lang w:val="en-US"/>
        </w:rPr>
        <w:t>foveolus</w:t>
      </w:r>
      <w:bookmarkEnd w:id="50"/>
      <w:bookmarkEnd w:id="51"/>
      <w:proofErr w:type="spellEnd"/>
      <w:r w:rsidRPr="003D034F">
        <w:rPr>
          <w:rFonts w:ascii="Book Antiqua" w:hAnsi="Book Antiqua" w:cs="Calibri"/>
          <w:sz w:val="24"/>
          <w:szCs w:val="24"/>
          <w:lang w:val="en-US"/>
        </w:rPr>
        <w:t xml:space="preserve"> or small groups of </w:t>
      </w:r>
      <w:proofErr w:type="spellStart"/>
      <w:r w:rsidRPr="003D034F">
        <w:rPr>
          <w:rFonts w:ascii="Book Antiqua" w:hAnsi="Book Antiqua" w:cs="Calibri"/>
          <w:sz w:val="24"/>
          <w:szCs w:val="24"/>
          <w:lang w:val="en-US"/>
        </w:rPr>
        <w:t>foveol</w:t>
      </w:r>
      <w:r w:rsidR="00F41837" w:rsidRPr="003D034F">
        <w:rPr>
          <w:rFonts w:ascii="Book Antiqua" w:hAnsi="Book Antiqua" w:cs="Calibri"/>
          <w:sz w:val="24"/>
          <w:szCs w:val="24"/>
          <w:lang w:val="en-US"/>
        </w:rPr>
        <w:t>ae</w:t>
      </w:r>
      <w:proofErr w:type="spellEnd"/>
      <w:r w:rsidRPr="003D034F">
        <w:rPr>
          <w:rFonts w:ascii="Book Antiqua" w:hAnsi="Book Antiqua" w:cs="Calibri"/>
          <w:sz w:val="24"/>
          <w:szCs w:val="24"/>
          <w:lang w:val="en-US"/>
        </w:rPr>
        <w:t xml:space="preserve"> or gastric glands and has been described in several studies as a finding suggesting gastric </w:t>
      </w:r>
      <w:r w:rsidR="00B12037" w:rsidRPr="003D034F">
        <w:rPr>
          <w:rFonts w:ascii="Book Antiqua" w:hAnsi="Book Antiqua" w:cs="Calibri"/>
          <w:sz w:val="24"/>
          <w:szCs w:val="24"/>
          <w:lang w:val="en-US"/>
        </w:rPr>
        <w:t>CD</w:t>
      </w:r>
      <w:r w:rsidR="00AF373E" w:rsidRPr="003D034F">
        <w:rPr>
          <w:rFonts w:ascii="Book Antiqua" w:hAnsi="Book Antiqua" w:cs="Calibri"/>
          <w:sz w:val="24"/>
          <w:szCs w:val="24"/>
          <w:lang w:val="en-US" w:eastAsia="zh-CN"/>
        </w:rPr>
        <w:t xml:space="preserve"> (Figure </w:t>
      </w:r>
      <w:r w:rsidR="006642C3" w:rsidRPr="003D034F">
        <w:rPr>
          <w:rFonts w:ascii="Book Antiqua" w:hAnsi="Book Antiqua" w:cs="Calibri"/>
          <w:sz w:val="24"/>
          <w:szCs w:val="24"/>
          <w:lang w:val="en-US" w:eastAsia="zh-CN"/>
        </w:rPr>
        <w:t>3</w:t>
      </w:r>
      <w:r w:rsidR="00AF373E" w:rsidRPr="003D034F">
        <w:rPr>
          <w:rFonts w:ascii="Book Antiqua" w:hAnsi="Book Antiqua" w:cs="Calibri"/>
          <w:sz w:val="24"/>
          <w:szCs w:val="24"/>
          <w:lang w:val="en-US" w:eastAsia="zh-CN"/>
        </w:rPr>
        <w:t>)</w:t>
      </w:r>
      <w:r w:rsidRPr="003D034F">
        <w:rPr>
          <w:rFonts w:ascii="Book Antiqua" w:hAnsi="Book Antiqua" w:cs="Calibri"/>
          <w:sz w:val="24"/>
          <w:szCs w:val="24"/>
          <w:lang w:val="en-US"/>
        </w:rPr>
        <w:t xml:space="preserve">. </w:t>
      </w:r>
      <w:proofErr w:type="spellStart"/>
      <w:r w:rsidR="005A1C67" w:rsidRPr="003D034F">
        <w:rPr>
          <w:rFonts w:ascii="Book Antiqua" w:hAnsi="Book Antiqua" w:cs="Calibri"/>
          <w:sz w:val="24"/>
          <w:szCs w:val="24"/>
          <w:lang w:val="en-US"/>
        </w:rPr>
        <w:t>Magalhães</w:t>
      </w:r>
      <w:proofErr w:type="spellEnd"/>
      <w:r w:rsidR="005A1C67" w:rsidRPr="003D034F">
        <w:rPr>
          <w:rFonts w:ascii="Book Antiqua" w:hAnsi="Book Antiqua" w:cs="Calibri"/>
          <w:sz w:val="24"/>
          <w:szCs w:val="24"/>
          <w:lang w:val="en-US"/>
        </w:rPr>
        <w:t xml:space="preserve">-Costa </w:t>
      </w:r>
      <w:r w:rsidRPr="003D034F">
        <w:rPr>
          <w:rFonts w:ascii="Book Antiqua" w:hAnsi="Book Antiqua" w:cs="Calibri"/>
          <w:i/>
          <w:sz w:val="24"/>
          <w:szCs w:val="24"/>
          <w:lang w:val="en-US"/>
        </w:rPr>
        <w:t>et al</w:t>
      </w:r>
      <w:r w:rsidR="005A1C67" w:rsidRPr="003D034F">
        <w:rPr>
          <w:rFonts w:ascii="Book Antiqua" w:hAnsi="Book Antiqua" w:cs="Calibri"/>
          <w:sz w:val="24"/>
          <w:szCs w:val="24"/>
          <w:lang w:val="en-US"/>
        </w:rPr>
        <w:fldChar w:fldCharType="begin" w:fldLock="1"/>
      </w:r>
      <w:r w:rsidR="005A1C67" w:rsidRPr="003D034F">
        <w:rPr>
          <w:rFonts w:ascii="Book Antiqua" w:hAnsi="Book Antiqua" w:cs="Calibri"/>
          <w:sz w:val="24"/>
          <w:szCs w:val="24"/>
          <w:lang w:val="en-US"/>
        </w:rPr>
        <w:instrText>ADDIN CSL_CITATION { "citationItems" : [ { "id" : "ITEM-1", "itemData" : { "DOI" : "10.1590/S0004-28032014000400003", "ISSN" : "16784219", "PMID" : "25591154", "abstract" : "CONTEXT AND OBJECTIVES: Focally enhanced gastritis and macrophage microaggregates are found in the upper gastrointestinal involvement of Crohn's disease, and may reflect an underlying defective innate immunity. These features, however, are also described in patients with Helicobacter pylori infection. The role of these gastric abnormalities in the diagnosis of Crohn's disease was assessed in a population with high prevalence of H. pylori infection.\\n\\nMETHODS: Thirty-seven Crohn's disease, 26 ulcerative colitis, and 30 control patients were included. The H. pylori status was evaluated by the rapid urease test and histology. The presence of focally enhanced gastritis and macrophage microaggregates was recorded.\\n\\nRESULTS: Focally enhanced gastritis was present in 24% of Crohn's disease patients, 4% of ulcerative colitis patients and 11.5% of controls, presenting an overall sensitivity and specificity for Crohn's disease of 24% and 88%, respectively. Macrophage microaggregates were found in all groups, but were only detected in ulcerative colitis and controls in association with H. pylori infection, with an overall sensitivity and specificity for Crohn's disease of 61% and 69%, respectively. In the absence of H. pylori infection, focally enhanced gastritis and macrophage microaggregates were significantly associated with Crohn's disease (P&lt;0.02 and P = 0.001 respectively).\\n\\nCONCLUSIONS: Focally gastritis and macrophage microaggregates are suggestive of Crohn's disease only in H. pylori-negative specimens.", "author" : [ { "dropping-particle" : "", "family" : "Magalh\u00e3es-Costa", "given" : "Marcia Henriques", "non-dropping-particle" : "", "parse-names" : false, "suffix" : "" }, { "dropping-particle" : "", "family" : "Reis", "given" : "Beatriz Ribeiro", "non-dropping-particle" : "", "parse-names" : false, "suffix" : "" }, { "dropping-particle" : "", "family" : "Chagas", "given" : "Vera L\u00facia Antunes", "non-dropping-particle" : "", "parse-names" : false, "suffix" : "" }, { "dropping-particle" : "", "family" : "Nunes", "given" : "Tiago", "non-dropping-particle" : "", "parse-names" : false, "suffix" : "" }, { "dropping-particle" : "", "family" : "Souza", "given" : "Heitor Siffert Pereira", "non-dropping-particle" : "", "parse-names" : false, "suffix" : "" }, { "dropping-particle" : "", "family" : "Zaltman", "given" : "Cyrla", "non-dropping-particle" : "", "parse-names" : false, "suffix" : "" } ], "container-title" : "Arquivos de Gastroenterologia", "id" : "ITEM-1", "issue" : "4", "issued" : { "date-parts" : [ [ "2014" ] ] }, "page" : "276-282", "title" : "Focal enhanced gastritis and macrophage microaggregates in thegastric mucosa: Potential role in the differential diagnosis between Crohn's disease and ulcerative colitis", "type" : "article-journal", "volume" : "51" }, "uris" : [ "http://www.mendeley.com/documents/?uuid=05a5c7fd-99e8-4dac-8554-ba8c5b63f379" ] } ], "mendeley" : { "formattedCitation" : "&lt;sup&gt;[80]&lt;/sup&gt;", "plainTextFormattedCitation" : "[80]", "previouslyFormattedCitation" : "&lt;sup&gt;[80]&lt;/sup&gt;" }, "properties" : {  }, "schema" : "https://github.com/citation-style-language/schema/raw/master/csl-citation.json" }</w:instrText>
      </w:r>
      <w:r w:rsidR="005A1C67" w:rsidRPr="003D034F">
        <w:rPr>
          <w:rFonts w:ascii="Book Antiqua" w:hAnsi="Book Antiqua" w:cs="Calibri"/>
          <w:sz w:val="24"/>
          <w:szCs w:val="24"/>
          <w:lang w:val="en-US"/>
        </w:rPr>
        <w:fldChar w:fldCharType="separate"/>
      </w:r>
      <w:r w:rsidR="005A1C67" w:rsidRPr="003D034F">
        <w:rPr>
          <w:rFonts w:ascii="Book Antiqua" w:hAnsi="Book Antiqua" w:cs="Calibri"/>
          <w:sz w:val="24"/>
          <w:szCs w:val="24"/>
          <w:vertAlign w:val="superscript"/>
          <w:lang w:val="en-US"/>
        </w:rPr>
        <w:t>[80]</w:t>
      </w:r>
      <w:r w:rsidR="005A1C67" w:rsidRPr="003D034F">
        <w:rPr>
          <w:rFonts w:ascii="Book Antiqua" w:hAnsi="Book Antiqua" w:cs="Calibri"/>
          <w:sz w:val="24"/>
          <w:szCs w:val="24"/>
          <w:lang w:val="en-US"/>
        </w:rPr>
        <w:fldChar w:fldCharType="end"/>
      </w:r>
      <w:r w:rsidRPr="003D034F">
        <w:rPr>
          <w:rFonts w:ascii="Book Antiqua" w:hAnsi="Book Antiqua" w:cs="Calibri"/>
          <w:sz w:val="24"/>
          <w:szCs w:val="24"/>
          <w:lang w:val="en-US"/>
        </w:rPr>
        <w:t xml:space="preserve"> demonstrated that focal active gastritis and the presence of macro</w:t>
      </w:r>
      <w:r w:rsidR="00952342" w:rsidRPr="003D034F">
        <w:rPr>
          <w:rFonts w:ascii="Book Antiqua" w:hAnsi="Book Antiqua" w:cs="Calibri"/>
          <w:sz w:val="24"/>
          <w:szCs w:val="24"/>
          <w:lang w:val="en-US"/>
        </w:rPr>
        <w:t>phage</w:t>
      </w:r>
      <w:r w:rsidRPr="003D034F">
        <w:rPr>
          <w:rFonts w:ascii="Book Antiqua" w:hAnsi="Book Antiqua" w:cs="Calibri"/>
          <w:sz w:val="24"/>
          <w:szCs w:val="24"/>
          <w:lang w:val="en-US"/>
        </w:rPr>
        <w:t xml:space="preserve"> microaggregates were associated with CD, once </w:t>
      </w:r>
      <w:r w:rsidRPr="003D034F">
        <w:rPr>
          <w:rFonts w:ascii="Book Antiqua" w:hAnsi="Book Antiqua" w:cs="Calibri"/>
          <w:i/>
          <w:sz w:val="24"/>
          <w:szCs w:val="24"/>
          <w:lang w:val="en-US"/>
        </w:rPr>
        <w:t>H</w:t>
      </w:r>
      <w:r w:rsidR="007857E6" w:rsidRPr="003D034F">
        <w:rPr>
          <w:rFonts w:ascii="Book Antiqua" w:hAnsi="Book Antiqua" w:cs="Calibri"/>
          <w:i/>
          <w:sz w:val="24"/>
          <w:szCs w:val="24"/>
          <w:lang w:val="en-US"/>
        </w:rPr>
        <w:t>.</w:t>
      </w:r>
      <w:r w:rsidRPr="003D034F">
        <w:rPr>
          <w:rFonts w:ascii="Book Antiqua" w:hAnsi="Book Antiqua" w:cs="Calibri"/>
          <w:i/>
          <w:sz w:val="24"/>
          <w:szCs w:val="24"/>
          <w:lang w:val="en-US"/>
        </w:rPr>
        <w:t xml:space="preserve"> pylori</w:t>
      </w:r>
      <w:r w:rsidRPr="003D034F">
        <w:rPr>
          <w:rFonts w:ascii="Book Antiqua" w:hAnsi="Book Antiqua" w:cs="Calibri"/>
          <w:sz w:val="24"/>
          <w:szCs w:val="24"/>
          <w:lang w:val="en-US"/>
        </w:rPr>
        <w:t xml:space="preserve"> infection was excluded</w:t>
      </w:r>
      <w:r w:rsidR="008320D3" w:rsidRPr="003D034F">
        <w:rPr>
          <w:rFonts w:ascii="Book Antiqua" w:hAnsi="Book Antiqua" w:cs="Calibri"/>
          <w:sz w:val="24"/>
          <w:szCs w:val="24"/>
          <w:lang w:val="en-US"/>
        </w:rPr>
        <w:t>. A</w:t>
      </w:r>
      <w:r w:rsidR="00861B87" w:rsidRPr="003D034F">
        <w:rPr>
          <w:rFonts w:ascii="Book Antiqua" w:hAnsi="Book Antiqua" w:cs="Calibri"/>
          <w:sz w:val="24"/>
          <w:szCs w:val="24"/>
          <w:lang w:val="en-US"/>
        </w:rPr>
        <w:t xml:space="preserve"> prospective study evaluating the histology of gastric mucosa in 75 patients with </w:t>
      </w:r>
      <w:r w:rsidR="00B12037" w:rsidRPr="003D034F">
        <w:rPr>
          <w:rFonts w:ascii="Book Antiqua" w:hAnsi="Book Antiqua" w:cs="Calibri"/>
          <w:sz w:val="24"/>
          <w:szCs w:val="24"/>
          <w:lang w:val="en-US"/>
        </w:rPr>
        <w:t>CD</w:t>
      </w:r>
      <w:r w:rsidR="00861B87" w:rsidRPr="003D034F">
        <w:rPr>
          <w:rFonts w:ascii="Book Antiqua" w:hAnsi="Book Antiqua" w:cs="Calibri"/>
          <w:sz w:val="24"/>
          <w:szCs w:val="24"/>
          <w:lang w:val="en-US"/>
        </w:rPr>
        <w:t xml:space="preserve"> of the small intestine or colon demonstrated that focal active gastritis was found in 76% of </w:t>
      </w:r>
      <w:r w:rsidR="00861B87" w:rsidRPr="003D034F">
        <w:rPr>
          <w:rFonts w:ascii="Book Antiqua" w:hAnsi="Book Antiqua" w:cs="Calibri"/>
          <w:i/>
          <w:sz w:val="24"/>
          <w:szCs w:val="24"/>
          <w:lang w:val="en-US"/>
        </w:rPr>
        <w:t>H. pylori</w:t>
      </w:r>
      <w:r w:rsidR="00952342" w:rsidRPr="003D034F">
        <w:rPr>
          <w:rFonts w:ascii="Book Antiqua" w:hAnsi="Book Antiqua" w:cs="Calibri"/>
          <w:sz w:val="24"/>
          <w:szCs w:val="24"/>
          <w:lang w:val="en-US"/>
        </w:rPr>
        <w:t>–</w:t>
      </w:r>
      <w:r w:rsidR="00861B87" w:rsidRPr="003D034F">
        <w:rPr>
          <w:rFonts w:ascii="Book Antiqua" w:hAnsi="Book Antiqua" w:cs="Calibri"/>
          <w:sz w:val="24"/>
          <w:szCs w:val="24"/>
          <w:lang w:val="en-US"/>
        </w:rPr>
        <w:t xml:space="preserve">negative patients, with a positive predictive value of 97.5%. </w:t>
      </w:r>
      <w:r w:rsidR="00952342" w:rsidRPr="003D034F">
        <w:rPr>
          <w:rFonts w:ascii="Book Antiqua" w:hAnsi="Book Antiqua" w:cs="Calibri"/>
          <w:sz w:val="24"/>
          <w:szCs w:val="24"/>
          <w:lang w:val="en-US"/>
        </w:rPr>
        <w:t xml:space="preserve">It was </w:t>
      </w:r>
      <w:r w:rsidR="00861B87" w:rsidRPr="003D034F">
        <w:rPr>
          <w:rFonts w:ascii="Book Antiqua" w:hAnsi="Book Antiqua" w:cs="Calibri"/>
          <w:sz w:val="24"/>
          <w:szCs w:val="24"/>
          <w:lang w:val="en-US"/>
        </w:rPr>
        <w:t xml:space="preserve">located more frequently in the antrum than in the body. The immunohistochemical study aided in the differentiation between the type of inflammatory infiltrate in active focal gastritis of </w:t>
      </w:r>
      <w:r w:rsidR="00B12037" w:rsidRPr="003D034F">
        <w:rPr>
          <w:rFonts w:ascii="Book Antiqua" w:hAnsi="Book Antiqua" w:cs="Calibri"/>
          <w:sz w:val="24"/>
          <w:szCs w:val="24"/>
          <w:lang w:val="en-US"/>
        </w:rPr>
        <w:t>CD</w:t>
      </w:r>
      <w:r w:rsidR="00861B87" w:rsidRPr="003D034F">
        <w:rPr>
          <w:rFonts w:ascii="Book Antiqua" w:hAnsi="Book Antiqua" w:cs="Calibri"/>
          <w:sz w:val="24"/>
          <w:szCs w:val="24"/>
          <w:lang w:val="en-US"/>
        </w:rPr>
        <w:t xml:space="preserve"> compared to the control group. An important feature was the presence of accumulations of CD68</w:t>
      </w:r>
      <w:r w:rsidR="00861B87" w:rsidRPr="003D034F">
        <w:rPr>
          <w:rFonts w:ascii="Book Antiqua" w:hAnsi="Book Antiqua" w:cs="Calibri"/>
          <w:sz w:val="24"/>
          <w:szCs w:val="24"/>
          <w:vertAlign w:val="superscript"/>
          <w:lang w:val="en-US"/>
        </w:rPr>
        <w:t>+</w:t>
      </w:r>
      <w:r w:rsidR="00861B87" w:rsidRPr="003D034F">
        <w:rPr>
          <w:rFonts w:ascii="Book Antiqua" w:hAnsi="Book Antiqua" w:cs="Calibri"/>
          <w:sz w:val="24"/>
          <w:szCs w:val="24"/>
          <w:lang w:val="en-US"/>
        </w:rPr>
        <w:t xml:space="preserve"> and CD68R</w:t>
      </w:r>
      <w:r w:rsidR="00952342" w:rsidRPr="003D034F">
        <w:rPr>
          <w:rFonts w:ascii="Book Antiqua" w:hAnsi="Book Antiqua" w:cs="Calibri"/>
          <w:sz w:val="24"/>
          <w:szCs w:val="24"/>
          <w:vertAlign w:val="superscript"/>
          <w:lang w:val="en-US"/>
        </w:rPr>
        <w:t>+</w:t>
      </w:r>
      <w:r w:rsidR="00861B87" w:rsidRPr="003D034F">
        <w:rPr>
          <w:rFonts w:ascii="Book Antiqua" w:hAnsi="Book Antiqua" w:cs="Calibri"/>
          <w:sz w:val="24"/>
          <w:szCs w:val="24"/>
          <w:lang w:val="en-US"/>
        </w:rPr>
        <w:t xml:space="preserve"> histiocytes and peripheral or </w:t>
      </w:r>
      <w:proofErr w:type="spellStart"/>
      <w:r w:rsidR="00861B87" w:rsidRPr="003D034F">
        <w:rPr>
          <w:rFonts w:ascii="Book Antiqua" w:hAnsi="Book Antiqua" w:cs="Calibri"/>
          <w:sz w:val="24"/>
          <w:szCs w:val="24"/>
          <w:lang w:val="en-US"/>
        </w:rPr>
        <w:t>periglandular</w:t>
      </w:r>
      <w:proofErr w:type="spellEnd"/>
      <w:r w:rsidR="00861B87" w:rsidRPr="003D034F">
        <w:rPr>
          <w:rFonts w:ascii="Book Antiqua" w:hAnsi="Book Antiqua" w:cs="Calibri"/>
          <w:sz w:val="24"/>
          <w:szCs w:val="24"/>
          <w:lang w:val="en-US"/>
        </w:rPr>
        <w:t xml:space="preserve"> CD3</w:t>
      </w:r>
      <w:r w:rsidR="00952342" w:rsidRPr="003D034F">
        <w:rPr>
          <w:rFonts w:ascii="Book Antiqua" w:hAnsi="Book Antiqua" w:cs="Calibri"/>
          <w:sz w:val="24"/>
          <w:szCs w:val="24"/>
          <w:vertAlign w:val="superscript"/>
          <w:lang w:val="en-US"/>
        </w:rPr>
        <w:t>+</w:t>
      </w:r>
      <w:r w:rsidR="00861B87" w:rsidRPr="003D034F">
        <w:rPr>
          <w:rFonts w:ascii="Book Antiqua" w:hAnsi="Book Antiqua" w:cs="Calibri"/>
          <w:sz w:val="24"/>
          <w:szCs w:val="24"/>
          <w:lang w:val="en-US"/>
        </w:rPr>
        <w:t xml:space="preserve"> lymphocytes, findings</w:t>
      </w:r>
      <w:r w:rsidR="00952342" w:rsidRPr="003D034F">
        <w:rPr>
          <w:rFonts w:ascii="Book Antiqua" w:hAnsi="Book Antiqua" w:cs="Calibri"/>
          <w:sz w:val="24"/>
          <w:szCs w:val="24"/>
          <w:lang w:val="en-US"/>
        </w:rPr>
        <w:t xml:space="preserve"> not seen</w:t>
      </w:r>
      <w:r w:rsidR="00861B87" w:rsidRPr="003D034F">
        <w:rPr>
          <w:rFonts w:ascii="Book Antiqua" w:hAnsi="Book Antiqua" w:cs="Calibri"/>
          <w:sz w:val="24"/>
          <w:szCs w:val="24"/>
          <w:lang w:val="en-US"/>
        </w:rPr>
        <w:t xml:space="preserve"> in the control group</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"10.1053/gast.1997.v112.pm9041230", "ISBN" : "0016-5085 (Print)\\n0016-5085 (Linking)", "ISSN" : "00165085", "PMID" : "9041230", "abstract" : "Background and Aims: Gastric histology is not well studied in patients with Crohn's disease. The aim of this study was to analyze the histological appearance of gastric mucosa in patients with Crohn's disease. Methods: In a prospective study, biopsy specimens taken from the antrum and body of 75 patients with known Crohn's disease of the large and/or small bowel and 200 Crohn's disease-free controls were evaluated by histology and immunohistochemistry. Results: Helicobacter pylori-associated gastritis was found in 25 patients with Crohn's disease (33.3%) and 78 controls (39%). In H. pylori-negative patients with Crohn's disease, a characteristic type of gastritis was found in antral biopsy specimens of 36 patients (48%) and in body biopsy specimens of 18 patients (24%). It was characterized by a focal infiltration of CD3+lymphocytes, CD68R+histiocytes, and, in 80% of cases, of granulocytes. Granulomas were found in 11 patients. Overall, granulomas and/or focally enhanced gastritis were observed in 76% of H. pylori-negative patients with Crohn's disease and in 0.8% of controls. There were no correlations between the occurrence of focally enhanced gastritis and clinical and laboratory findings. Conclusions: Focally enhanced gastritis is common in Crohn's disease. Its recognition should guide the clinician into further investigations in patients not yet known to have Crohn's disease.", "author" : [ { "dropping-particle" : "", "family" : "Oberhuber", "given" : "G.", "non-dropping-particle" : "", "parse-names" : false, "suffix" : "" }, { "dropping-particle" : "", "family" : "Puspok", "given" : "A.", "non-dropping-particle" : "", "parse-names" : false, "suffix" : "" }, { "dropping-particle" : "", "family" : "Oesterreicher", "given" : "C.", "non-dropping-particle" : "", "parse-names" : false, "suffix" : "" }, { "dropping-particle" : "", "family" : "Novacek", "given" : "G.", "non-dropping-particle" : "", "parse-names" : false, "suffix" : "" }, { "dropping-particle" : "", "family" : "Zauner", "given" : "C.", "non-dropping-particle" : "", "parse-names" : false, "suffix" : "" }, { "dropping-particle" : "", "family" : "Burghuber", "given" : "M.", "non-dropping-particle" : "", "parse-names" : false, "suffix" : "" }, { "dropping-particle" : "", "family" : "Vogelsang", "given" : "H.", "non-dropping-particle" : "", "parse-names" : false, "suffix" : "" }, { "dropping-particle" : "", "family" : "Potzi", "given" : "R.", "non-dropping-particle" : "", "parse-names" : false, "suffix" : "" }, { "dropping-particle" : "", "family" : "Stolte", "given" : "M.", "non-dropping-particle" : "", "parse-names" : false, "suffix" : "" }, { "dropping-particle" : "", "family" : "Wrba", "given" : "F.", "non-dropping-particle" : "", "parse-names" : false, "suffix" : "" } ], "container-title" : "Gastroenterology", "id" : "ITEM-1", "issue" : "3", "issued" : { "date-parts" : [ [ "1997" ] ] }, "page" : "698-706", "title" : "Focally enhanced gastritis: A frequent type of gastritis in patients with Crohn's disease", "type" : "article-journal", "volume" : "112" }, "uris" : [ "http://www.mendeley.com/documents/?uuid=d12e4369-bddb-4cc6-8853-001342b65c81" ] } ], "mendeley" : { "formattedCitation" : "&lt;sup&gt;[81]&lt;/sup&gt;", "plainTextFormattedCitation" : "[81]", "previouslyFormattedCitation" : "&lt;sup&gt;[81]&lt;/sup&gt;"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[81]</w:t>
      </w:r>
      <w:r w:rsidR="00056AC0" w:rsidRPr="003D034F">
        <w:rPr>
          <w:rFonts w:ascii="Book Antiqua" w:hAnsi="Book Antiqua" w:cs="Calibri"/>
          <w:sz w:val="24"/>
          <w:szCs w:val="24"/>
          <w:lang w:val="en-US"/>
        </w:rPr>
        <w:fldChar w:fldCharType="end"/>
      </w:r>
      <w:r w:rsidR="00756C8D" w:rsidRPr="003D034F">
        <w:rPr>
          <w:rFonts w:ascii="Book Antiqua" w:hAnsi="Book Antiqua" w:cs="Calibri"/>
          <w:sz w:val="24"/>
          <w:szCs w:val="24"/>
          <w:lang w:val="en-US"/>
        </w:rPr>
        <w:t xml:space="preserve">. </w:t>
      </w:r>
      <w:r w:rsidR="00F70682" w:rsidRPr="003D034F">
        <w:rPr>
          <w:rFonts w:ascii="Book Antiqua" w:hAnsi="Book Antiqua" w:cs="Calibri"/>
          <w:sz w:val="24"/>
          <w:szCs w:val="24"/>
          <w:lang w:val="en-US"/>
        </w:rPr>
        <w:t>A case</w:t>
      </w:r>
      <w:r w:rsidR="00952342" w:rsidRPr="003D034F">
        <w:rPr>
          <w:rFonts w:ascii="Book Antiqua" w:hAnsi="Book Antiqua" w:cs="Calibri"/>
          <w:sz w:val="24"/>
          <w:szCs w:val="24"/>
          <w:lang w:val="en-US"/>
        </w:rPr>
        <w:t>–control</w:t>
      </w:r>
      <w:r w:rsidR="00F70682" w:rsidRPr="003D034F">
        <w:rPr>
          <w:rFonts w:ascii="Book Antiqua" w:hAnsi="Book Antiqua" w:cs="Calibri"/>
          <w:sz w:val="24"/>
          <w:szCs w:val="24"/>
          <w:lang w:val="en-US"/>
        </w:rPr>
        <w:t xml:space="preserve"> study conducted by </w:t>
      </w:r>
      <w:proofErr w:type="spellStart"/>
      <w:r w:rsidR="00F70682" w:rsidRPr="003D034F">
        <w:rPr>
          <w:rFonts w:ascii="Book Antiqua" w:hAnsi="Book Antiqua" w:cs="Calibri"/>
          <w:sz w:val="24"/>
          <w:szCs w:val="24"/>
          <w:lang w:val="en-US"/>
        </w:rPr>
        <w:t>Parente</w:t>
      </w:r>
      <w:proofErr w:type="spellEnd"/>
      <w:r w:rsidR="00F70682" w:rsidRPr="003D034F">
        <w:rPr>
          <w:rFonts w:ascii="Book Antiqua" w:hAnsi="Book Antiqua" w:cs="Calibri"/>
          <w:sz w:val="24"/>
          <w:szCs w:val="24"/>
          <w:lang w:val="en-US"/>
        </w:rPr>
        <w:t xml:space="preserve"> </w:t>
      </w:r>
      <w:r w:rsidR="00F70682" w:rsidRPr="003D034F">
        <w:rPr>
          <w:rFonts w:ascii="Book Antiqua" w:hAnsi="Book Antiqua" w:cs="Calibri"/>
          <w:i/>
          <w:sz w:val="24"/>
          <w:szCs w:val="24"/>
          <w:lang w:val="en-US"/>
        </w:rPr>
        <w:t>et al</w:t>
      </w:r>
      <w:r w:rsidR="005A1C67" w:rsidRPr="003D034F">
        <w:rPr>
          <w:rFonts w:ascii="Book Antiqua" w:hAnsi="Book Antiqua" w:cs="Calibri"/>
          <w:sz w:val="24"/>
          <w:szCs w:val="24"/>
          <w:lang w:val="en-US"/>
        </w:rPr>
        <w:fldChar w:fldCharType="begin" w:fldLock="1"/>
      </w:r>
      <w:r w:rsidR="005A1C67" w:rsidRPr="003D034F">
        <w:rPr>
          <w:rFonts w:ascii="Book Antiqua" w:hAnsi="Book Antiqua" w:cs="Calibri"/>
          <w:sz w:val="24"/>
          <w:szCs w:val="24"/>
          <w:lang w:val="en-US"/>
        </w:rPr>
        <w:instrText>ADDIN CSL_CITATION { "citationItems" : [ { "id" : "ITEM-1", "itemData" : { "DOI" : "10.1111/j.1572-0241.2000.01851.x", "PMID" : "10710061", "author" : [ { "dropping-particle" : "", "family" : "Parente", "given" : "Fabrizio", "non-dropping-particle" : "", "parse-names" : false, "suffix" : "" }, { "dropping-particle" : "", "family" : "Cucino", "given" : "Claudia", "non-dropping-particle" : "", "parse-names" : false, "suffix" : "" }, { "dropping-particle" : "", "family" : "Bollani", "given" : "Simona", "non-dropping-particle" : "", "parse-names" : false, "suffix" : "" }, { "dropping-particle" : "", "family" : "Imbesi", "given" : "Venerina", "non-dropping-particle" : "", "parse-names" : false, "suffix" : "" }, { "dropping-particle" : "", "family" : "Maconi", "given" : "Giovanni", "non-dropping-particle" : "", "parse-names" : false, "suffix" : "" }, { "dropping-particle" : "", "family" : "Bonetto", "given" : "Sara", "non-dropping-particle" : "", "parse-names" : false, "suffix" : "" }, { "dropping-particle" : "", "family" : "Vago", "given" : "Luca", "non-dropping-particle" : "", "parse-names" : false, "suffix" : "" }, { "dropping-particle" : "", "family" : "Porro", "given" : "Gabriele Bianchi", "non-dropping-particle" : "", "parse-names" : false, "suffix" : "" } ], "container-title" : "The American Journal of Gastroenterology", "id" : "ITEM-1", "issue" : "3", "issued" : { "date-parts" : [ [ "2000" ] ] }, "page" : "705-711", "title" : "Focal Gastric Inflammatory Infiltrates in Inflammatory Bowel Diseases: Prevalence, Immunohistochemical Characteristics, and Diagnostic Role", "type" : "article-journal", "volume" : "95" }, "uris" : [ "http://www.mendeley.com/documents/?uuid=87a484cc-d994-4998-ba5c-30a9c25ab4a2" ] } ], "mendeley" : { "formattedCitation" : "&lt;sup&gt;[82]&lt;/sup&gt;", "plainTextFormattedCitation" : "[82]", "previouslyFormattedCitation" : "&lt;sup&gt;[82]&lt;/sup&gt;" }, "properties" : {  }, "schema" : "https://github.com/citation-style-language/schema/raw/master/csl-citation.json" }</w:instrText>
      </w:r>
      <w:r w:rsidR="005A1C67" w:rsidRPr="003D034F">
        <w:rPr>
          <w:rFonts w:ascii="Book Antiqua" w:hAnsi="Book Antiqua" w:cs="Calibri"/>
          <w:sz w:val="24"/>
          <w:szCs w:val="24"/>
          <w:lang w:val="en-US"/>
        </w:rPr>
        <w:fldChar w:fldCharType="separate"/>
      </w:r>
      <w:r w:rsidR="005A1C67" w:rsidRPr="003D034F">
        <w:rPr>
          <w:rFonts w:ascii="Book Antiqua" w:hAnsi="Book Antiqua" w:cs="Calibri"/>
          <w:sz w:val="24"/>
          <w:szCs w:val="24"/>
          <w:vertAlign w:val="superscript"/>
          <w:lang w:val="en-US"/>
        </w:rPr>
        <w:t>[82]</w:t>
      </w:r>
      <w:r w:rsidR="005A1C67" w:rsidRPr="003D034F">
        <w:rPr>
          <w:rFonts w:ascii="Book Antiqua" w:hAnsi="Book Antiqua" w:cs="Calibri"/>
          <w:sz w:val="24"/>
          <w:szCs w:val="24"/>
          <w:lang w:val="en-US"/>
        </w:rPr>
        <w:fldChar w:fldCharType="end"/>
      </w:r>
      <w:r w:rsidR="00F70682" w:rsidRPr="003D034F">
        <w:rPr>
          <w:rFonts w:ascii="Book Antiqua" w:hAnsi="Book Antiqua" w:cs="Calibri"/>
          <w:sz w:val="24"/>
          <w:szCs w:val="24"/>
          <w:lang w:val="en-US"/>
        </w:rPr>
        <w:t xml:space="preserve"> showed that among 94 patients with CD who were </w:t>
      </w:r>
      <w:r w:rsidR="00F70682" w:rsidRPr="003D034F">
        <w:rPr>
          <w:rFonts w:ascii="Book Antiqua" w:hAnsi="Book Antiqua" w:cs="Calibri"/>
          <w:i/>
          <w:sz w:val="24"/>
          <w:szCs w:val="24"/>
          <w:lang w:val="en-US"/>
        </w:rPr>
        <w:t>H. pylori</w:t>
      </w:r>
      <w:r w:rsidR="00F70682" w:rsidRPr="003D034F">
        <w:rPr>
          <w:rFonts w:ascii="Book Antiqua" w:hAnsi="Book Antiqua" w:cs="Calibri"/>
          <w:sz w:val="24"/>
          <w:szCs w:val="24"/>
          <w:lang w:val="en-US"/>
        </w:rPr>
        <w:t xml:space="preserve"> negative, 40 (43%) had focal gastritis, compared to 5 of the 52 patients with UA (12%) and 11 of the 57 control patients (19%). Among the patients with focal </w:t>
      </w:r>
      <w:r w:rsidR="00F70682" w:rsidRPr="003D034F">
        <w:rPr>
          <w:rFonts w:ascii="Book Antiqua" w:hAnsi="Book Antiqua" w:cs="Calibri"/>
          <w:i/>
          <w:sz w:val="24"/>
          <w:szCs w:val="24"/>
          <w:lang w:val="en-US"/>
        </w:rPr>
        <w:t>H. pylori</w:t>
      </w:r>
      <w:r w:rsidR="00952342" w:rsidRPr="003D034F">
        <w:rPr>
          <w:rFonts w:ascii="Book Antiqua" w:hAnsi="Book Antiqua" w:cs="Calibri"/>
          <w:sz w:val="24"/>
          <w:szCs w:val="24"/>
          <w:lang w:val="en-US"/>
        </w:rPr>
        <w:t>–</w:t>
      </w:r>
      <w:r w:rsidR="00F70682" w:rsidRPr="003D034F">
        <w:rPr>
          <w:rFonts w:ascii="Book Antiqua" w:hAnsi="Book Antiqua" w:cs="Calibri"/>
          <w:sz w:val="24"/>
          <w:szCs w:val="24"/>
          <w:lang w:val="en-US"/>
        </w:rPr>
        <w:t>negative gastritis, only 4 presented granulomas. The main immunohistochemical finding of focal gastritis in CD patients was the accumulation of CD8</w:t>
      </w:r>
      <w:r w:rsidR="00952342" w:rsidRPr="003D034F">
        <w:rPr>
          <w:rFonts w:ascii="Book Antiqua" w:hAnsi="Book Antiqua" w:cs="Calibri"/>
          <w:sz w:val="24"/>
          <w:szCs w:val="24"/>
          <w:vertAlign w:val="superscript"/>
          <w:lang w:val="en-US"/>
        </w:rPr>
        <w:t>+</w:t>
      </w:r>
      <w:r w:rsidR="00F70682" w:rsidRPr="003D034F">
        <w:rPr>
          <w:rFonts w:ascii="Book Antiqua" w:hAnsi="Book Antiqua" w:cs="Calibri"/>
          <w:sz w:val="24"/>
          <w:szCs w:val="24"/>
          <w:lang w:val="en-US"/>
        </w:rPr>
        <w:t xml:space="preserve"> and CD4</w:t>
      </w:r>
      <w:r w:rsidR="00952342" w:rsidRPr="003D034F">
        <w:rPr>
          <w:rFonts w:ascii="Book Antiqua" w:hAnsi="Book Antiqua" w:cs="Calibri"/>
          <w:sz w:val="24"/>
          <w:szCs w:val="24"/>
          <w:vertAlign w:val="superscript"/>
          <w:lang w:val="en-US"/>
        </w:rPr>
        <w:t>+</w:t>
      </w:r>
      <w:r w:rsidR="00F70682" w:rsidRPr="003D034F">
        <w:rPr>
          <w:rFonts w:ascii="Book Antiqua" w:hAnsi="Book Antiqua" w:cs="Calibri"/>
          <w:sz w:val="24"/>
          <w:szCs w:val="24"/>
          <w:lang w:val="en-US"/>
        </w:rPr>
        <w:t xml:space="preserve"> lymphocytes and histiocytes, with a </w:t>
      </w:r>
      <w:r w:rsidR="00F70682" w:rsidRPr="003D034F">
        <w:rPr>
          <w:rFonts w:ascii="Book Antiqua" w:hAnsi="Book Antiqua" w:cs="Calibri"/>
          <w:sz w:val="24"/>
          <w:szCs w:val="24"/>
          <w:lang w:val="en-US"/>
        </w:rPr>
        <w:lastRenderedPageBreak/>
        <w:t>predominance of CD68</w:t>
      </w:r>
      <w:r w:rsidR="00F70682" w:rsidRPr="003D034F">
        <w:rPr>
          <w:rFonts w:ascii="Book Antiqua" w:hAnsi="Book Antiqua" w:cs="Calibri"/>
          <w:sz w:val="24"/>
          <w:szCs w:val="24"/>
          <w:vertAlign w:val="superscript"/>
          <w:lang w:val="en-US"/>
        </w:rPr>
        <w:t>+</w:t>
      </w:r>
      <w:r w:rsidR="00F70682" w:rsidRPr="003D034F">
        <w:rPr>
          <w:rFonts w:ascii="Book Antiqua" w:hAnsi="Book Antiqua" w:cs="Calibri"/>
          <w:sz w:val="24"/>
          <w:szCs w:val="24"/>
          <w:lang w:val="en-US"/>
        </w:rPr>
        <w:t xml:space="preserve"> cells, a similar finding in UC, whereas in controls without IBD, there was a predominance of T and B lymphocytes, histiocytes and CD8</w:t>
      </w:r>
      <w:r w:rsidR="00952342" w:rsidRPr="003D034F">
        <w:rPr>
          <w:rFonts w:ascii="Book Antiqua" w:hAnsi="Book Antiqua" w:cs="Calibri"/>
          <w:sz w:val="24"/>
          <w:szCs w:val="24"/>
          <w:vertAlign w:val="superscript"/>
          <w:lang w:val="en-US"/>
        </w:rPr>
        <w:t>+</w:t>
      </w:r>
      <w:r w:rsidR="00F70682" w:rsidRPr="003D034F">
        <w:rPr>
          <w:rFonts w:ascii="Book Antiqua" w:hAnsi="Book Antiqua" w:cs="Calibri"/>
          <w:sz w:val="24"/>
          <w:szCs w:val="24"/>
          <w:lang w:val="en-US"/>
        </w:rPr>
        <w:t xml:space="preserve"> lymphocytes</w:t>
      </w:r>
      <w:r w:rsidR="00FD7710" w:rsidRPr="003D034F">
        <w:rPr>
          <w:rFonts w:ascii="Book Antiqua" w:hAnsi="Book Antiqua" w:cs="Calibri"/>
          <w:sz w:val="24"/>
          <w:szCs w:val="24"/>
          <w:lang w:val="en-US"/>
        </w:rPr>
        <w:t xml:space="preserve">. </w:t>
      </w:r>
      <w:r w:rsidR="00F70682" w:rsidRPr="003D034F">
        <w:rPr>
          <w:rFonts w:ascii="Book Antiqua" w:hAnsi="Book Antiqua" w:cs="Calibri"/>
          <w:sz w:val="24"/>
          <w:szCs w:val="24"/>
          <w:lang w:val="en-US"/>
        </w:rPr>
        <w:t>Other authors have also demonstrated that, although active focal gastritis is more common in CD, it may also be present in UC</w:t>
      </w:r>
      <w:r w:rsidR="00056AC0" w:rsidRPr="003D034F">
        <w:rPr>
          <w:rFonts w:ascii="Book Antiqua" w:hAnsi="Book Antiqua" w:cs="Calibri"/>
          <w:sz w:val="24"/>
          <w:szCs w:val="24"/>
          <w:lang w:val="en-US"/>
        </w:rPr>
        <w:fldChar w:fldCharType="begin" w:fldLock="1"/>
      </w:r>
      <w:r w:rsidR="0025673C" w:rsidRPr="003D034F">
        <w:rPr>
          <w:rFonts w:ascii="Book Antiqua" w:hAnsi="Book Antiqua" w:cs="Calibri"/>
          <w:sz w:val="24"/>
          <w:szCs w:val="24"/>
          <w:lang w:val="en-US"/>
        </w:rPr>
        <w:instrText>ADDIN CSL_CITATION { "citationItems" : [ { "id" : "ITEM-1", "itemData" : { "DOI" : "10.1097/MIB.0000000000000786", "ISBN" : "1536-4844 (Electronic)\\r1078-0998 (Linking)", "ISSN" : "1078-0998", "PMID" : "27057685", "abstract" : "BACKGROUND The prevalence of upper gastrointestinal (GI) involvement in adult inflammatory bowel disease has mostly been studied in patients with long-standing disease. The aim of this study was to prospectively evaluate the prevalence of upper GI involvement in a consecutive series of newly diagnosed, treatment-naive adult patients with inflammatory bowel disease, irrespective of upper GI tract symptoms. METHODS Consecutive patients with suspected inflammatory bowel disease underwent combined ileocolonoscopy and upper endoscopy with biopsies. Patients diagnosed with either Crohn's disease (CD) or ulcerative colitis (UC), denying use of nonsteroidal anti-inflammatory drug, were included in the study. Helicobacter pylori infection was diagnosed histologically and positive patients were excluded from the analysis. Endoscopic and histologic lesions in the stomach and duodenum were recorded. Upper GI location (+L4) was defined as a combination of endoscopic and histological lesions. RESULTS A total of 152 patients (108 CD and 44 UC) were analyzed. Endoscopic lesions were only seen in patients with CD (60 of 108, 55%). Histological lesions were present in both patients with CD and patients with UC: focally enhanced gastritis in 58 CD (54%) and 10 UC (23%), granulomas in 30 CD (28%). Upper GI disease location was diagnosed in 44 patients with CD (41%) and no patients with UC. Upper GI tract symptoms were reported in 14 of 44 patients (32%) with upper GI location. CONCLUSIONS A high prevalence of upper GI involvement was observed in newly diagnosed patients with CD, with a majority of the patients being asymptomatic. Focally enhanced gastritis was common in both patients with CD and patients with UC, whereas granulomatous inflammation was restricted to patients with CD.", "author" : [ { "dropping-particle" : "", "family" : "Horje", "given" : "Carmen S. Horjus", "non-dropping-particle" : "", "parse-names" : false, "suffix" : "" }, { "dropping-particle" : "", "family" : "Meijer", "given" : "Jos", "non-dropping-particle" : "", "parse-names" : false, "suffix" : "" }, { "dropping-particle" : "", "family" : "Rovers", "given" : "Lian", "non-dropping-particle" : "", "parse-names" : false, "suffix" : "" }, { "dropping-particle" : "", "family" : "Lochem", "given" : "Ellen G.", "non-dropping-particle" : "", "parse-names" : false, "suffix" : "" }, { "dropping-particle" : "", "family" : "Groenen", "given" : "Marcel J. M.", "non-dropping-particle" : "", "parse-names" : false, "suffix" : "" }, { "dropping-particle" : "", "family" : "Wahab", "given" : "Peter J.", "non-dropping-particle" : "", "parse-names" : false, "suffix" : "" } ], "container-title" : "Inflammatory Bowel Diseases", "id" : "ITEM-1", "issue" : "8", "issued" : { "date-parts" : [ [ "2016" ] ] }, "page" : "1896-1901", "title" : "Prevalence of Upper Gastrointestinal Lesions at Primary Diagnosis in Adults with Inflammatory Bowel Disease", "type" : "article-journal", "volume" : "22" }, "uris" : [ "http://www.mendeley.com/documents/?uuid=b5557c13-5e62-45a2-8681-d89819b0c745" ] } ], "mendeley" : { "formattedCitation" : "&lt;sup&gt;[16]&lt;/sup&gt;", "plainTextFormattedCitation" : "[16]", "previouslyFormattedCitation" : "&lt;sup&gt;[16]&lt;/sup&gt;"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25673C" w:rsidRPr="003D034F">
        <w:rPr>
          <w:rFonts w:ascii="Book Antiqua" w:hAnsi="Book Antiqua" w:cs="Calibri"/>
          <w:sz w:val="24"/>
          <w:szCs w:val="24"/>
          <w:vertAlign w:val="superscript"/>
          <w:lang w:val="en-US"/>
        </w:rPr>
        <w:t>[16</w:t>
      </w:r>
      <w:r w:rsidR="005A1C67" w:rsidRPr="003D034F">
        <w:rPr>
          <w:rFonts w:ascii="Book Antiqua" w:hAnsi="Book Antiqua" w:cs="Calibri"/>
          <w:sz w:val="24"/>
          <w:szCs w:val="24"/>
          <w:vertAlign w:val="superscript"/>
          <w:lang w:val="en-US" w:eastAsia="zh-CN"/>
        </w:rPr>
        <w:t>,83</w:t>
      </w:r>
      <w:r w:rsidR="0025673C"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4A3FC2" w:rsidRPr="003D034F">
        <w:rPr>
          <w:rFonts w:ascii="Book Antiqua" w:hAnsi="Book Antiqua" w:cs="Calibri"/>
          <w:sz w:val="24"/>
          <w:szCs w:val="24"/>
          <w:lang w:val="en-US"/>
        </w:rPr>
        <w:t>.</w:t>
      </w:r>
      <w:r w:rsidR="00FD7710" w:rsidRPr="003D034F">
        <w:rPr>
          <w:rFonts w:ascii="Book Antiqua" w:hAnsi="Book Antiqua" w:cs="Calibri"/>
          <w:sz w:val="24"/>
          <w:szCs w:val="24"/>
          <w:lang w:val="en-US"/>
        </w:rPr>
        <w:t xml:space="preserve"> </w:t>
      </w:r>
      <w:r w:rsidR="00BA17AB" w:rsidRPr="003D034F">
        <w:rPr>
          <w:rFonts w:ascii="Book Antiqua" w:hAnsi="Book Antiqua" w:cs="Calibri"/>
          <w:sz w:val="24"/>
          <w:szCs w:val="24"/>
          <w:lang w:val="en-US"/>
        </w:rPr>
        <w:t xml:space="preserve">The main histological findings described in the BJL appearance are </w:t>
      </w:r>
      <w:r w:rsidR="00952342" w:rsidRPr="003D034F">
        <w:rPr>
          <w:rFonts w:ascii="Book Antiqua" w:hAnsi="Book Antiqua" w:cs="Calibri"/>
          <w:sz w:val="24"/>
          <w:szCs w:val="24"/>
          <w:lang w:val="en-US"/>
        </w:rPr>
        <w:t xml:space="preserve">the </w:t>
      </w:r>
      <w:r w:rsidR="00BA17AB" w:rsidRPr="003D034F">
        <w:rPr>
          <w:rFonts w:ascii="Book Antiqua" w:hAnsi="Book Antiqua" w:cs="Calibri"/>
          <w:sz w:val="24"/>
          <w:szCs w:val="24"/>
          <w:lang w:val="en-US"/>
        </w:rPr>
        <w:t xml:space="preserve">presence of </w:t>
      </w:r>
      <w:r w:rsidR="009A3660" w:rsidRPr="003D034F">
        <w:rPr>
          <w:rFonts w:ascii="Book Antiqua" w:hAnsi="Book Antiqua" w:cs="Calibri"/>
          <w:sz w:val="24"/>
          <w:szCs w:val="24"/>
          <w:lang w:val="en-US"/>
        </w:rPr>
        <w:t xml:space="preserve">fissure-like </w:t>
      </w:r>
      <w:r w:rsidR="00BA17AB" w:rsidRPr="003D034F">
        <w:rPr>
          <w:rFonts w:ascii="Book Antiqua" w:hAnsi="Book Antiqua" w:cs="Calibri"/>
          <w:sz w:val="24"/>
          <w:szCs w:val="24"/>
          <w:lang w:val="en-US"/>
        </w:rPr>
        <w:t>erosions</w:t>
      </w:r>
      <w:r w:rsidR="00885735" w:rsidRPr="003D034F">
        <w:rPr>
          <w:rFonts w:ascii="Book Antiqua" w:hAnsi="Book Antiqua" w:cs="Calibri"/>
          <w:sz w:val="24"/>
          <w:szCs w:val="24"/>
          <w:lang w:val="en-US"/>
        </w:rPr>
        <w:t xml:space="preserve">, </w:t>
      </w:r>
      <w:r w:rsidR="008D274E" w:rsidRPr="003D034F">
        <w:rPr>
          <w:rFonts w:ascii="Book Antiqua" w:hAnsi="Book Antiqua" w:cs="Calibri"/>
          <w:sz w:val="24"/>
          <w:szCs w:val="24"/>
          <w:lang w:val="en-US"/>
        </w:rPr>
        <w:t xml:space="preserve">edema, </w:t>
      </w:r>
      <w:r w:rsidR="00BA17AB" w:rsidRPr="003D034F">
        <w:rPr>
          <w:rFonts w:ascii="Book Antiqua" w:hAnsi="Book Antiqua" w:cs="Calibri"/>
          <w:sz w:val="24"/>
          <w:szCs w:val="24"/>
          <w:lang w:val="en-US"/>
        </w:rPr>
        <w:t>eosinophil</w:t>
      </w:r>
      <w:r w:rsidR="00885735" w:rsidRPr="003D034F">
        <w:rPr>
          <w:rFonts w:ascii="Book Antiqua" w:hAnsi="Book Antiqua" w:cs="Calibri"/>
          <w:sz w:val="24"/>
          <w:szCs w:val="24"/>
          <w:lang w:val="en-US"/>
        </w:rPr>
        <w:t>s and</w:t>
      </w:r>
      <w:r w:rsidR="00BA17AB" w:rsidRPr="003D034F">
        <w:rPr>
          <w:rFonts w:ascii="Book Antiqua" w:hAnsi="Book Antiqua" w:cs="Calibri"/>
          <w:sz w:val="24"/>
          <w:szCs w:val="24"/>
          <w:lang w:val="en-US"/>
        </w:rPr>
        <w:t xml:space="preserve"> lymphoid </w:t>
      </w:r>
      <w:r w:rsidR="00885735" w:rsidRPr="003D034F">
        <w:rPr>
          <w:rFonts w:ascii="Book Antiqua" w:hAnsi="Book Antiqua" w:cs="Arial"/>
          <w:sz w:val="24"/>
          <w:szCs w:val="24"/>
          <w:lang w:val="en-US"/>
        </w:rPr>
        <w:t>follicles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"10.1097/MD.0000000000001500", "ISBN" : "0000000000", "ISSN" : "15365964", "PMID" : "26376393", "abstract" : "The clinical importance of Crohn's disease (CD)-specific lesions in the upper gastrointestinal tract (upper GIT) has not been sufficiently established. The aim of this case-control study is to investigate the characteristic findings of CD in the upper GIT. In 2740 patients who underwent gastroduodenoscopy at Asahikawa Medical University between April 2011 and December 2012, 81 CD patients, 81 gender- and age-matched non-IBD patients, and 66 ulcerative colitis (UC) patients were investigated in the present study. (1) The diagnostic ability and odds ratio of each endoscopic finding (a bamboo joint-like appearance in the cardia, erosions, and/or ulcers in the antrum, notched signs, and erosions and/or ulcers in the duodenum) were compared between the CD and non-IBD patients or UC patients. (2) The interobserver agreement of the diagnosis based on the endoscopic findings was evaluated by 3 experienced and 3 less-experienced endoscopists. The incidence of detecting a bamboo joint-like appearance, notched signs, and erosions and/or ulcers in the duodenum was significantly higher in the CD patients than in the non-IBD and UC patients. In addition, the diagnostic ability and odds ratio of a bamboo joint-like appearance for CD were higher than those for the other findings. Kendall's coefficients of concordance in the group of experienced and less-experienced endoscopists were relatively high for a bamboo joint-like appearance (0.748 and 0.692, respectively). A cardiac bamboo joint-like appearance is a useful finding for identifying high-risk groups of CD patients using only gastroduodenoscopy.", "author" : [ { "dropping-particle" : "", "family" : "Fujiya", "given" : "Mikihiro", "non-dropping-particle" : "", "parse-names" : false, "suffix" : "" }, { "dropping-particle" : "", "family" : "Sakatani", "given" : "Aki", "non-dropping-particle" : "", "parse-names" : false, "suffix" : "" }, { "dropping-particle" : "", "family" : "Dokoshi", "given" : "Tatsuya", "non-dropping-particle" : "", "parse-names" : false, "suffix" : "" }, { "dropping-particle" : "", "family" : "Tanaka", "given" : "Kazuyuki", "non-dropping-particle" : "", "parse-names" : false, "suffix" : "" }, { "dropping-particle" : "", "family" : "Ando", "given" : "Katsuyoshi", "non-dropping-particle" : "", "parse-names" : false, "suffix" : "" }, { "dropping-particle" : "", "family" : "Ueno", "given" : "Nobuhiro", "non-dropping-particle" : "", "parse-names" : false, "suffix" : "" }, { "dropping-particle" : "", "family" : "Gotoh", "given" : "Takuma", "non-dropping-particle" : "", "parse-names" : false, "suffix" : "" }, { "dropping-particle" : "", "family" : "Kashima", "given" : "Shin", "non-dropping-particle" : "", "parse-names" : false, "suffix" : "" }, { "dropping-particle" : "", "family" : "Tominaga", "given" : "Motoya", "non-dropping-particle" : "", "parse-names" : false, "suffix" : "" }, { "dropping-particle" : "", "family" : "Inaba", "given" : "Yuhei", "non-dropping-particle" : "", "parse-names" : false, "suffix" : "" }, { "dropping-particle" : "", "family" : "Ito", "given" : "Takahiro", "non-dropping-particle" : "", "parse-names" : false, "suffix" : "" }, { "dropping-particle" : "", "family" : "Moriichi", "given" : "Kentaro", "non-dropping-particle" : "", "parse-names" : false, "suffix" : "" }, { "dropping-particle" : "", "family" : "Tanabe", "given" : "Hiroki", "non-dropping-particle" : "", "parse-names" : false, "suffix" : "" }, { "dropping-particle" : "", "family" : "Ikuta", "given" : "Katsuya", "non-dropping-particle" : "", "parse-names" : false, "suffix" : "" }, { "dropping-particle" : "", "family" : "Ohtake", "given" : "Takaaki", "non-dropping-particle" : "", "parse-names" : false, "suffix" : "" }, { "dropping-particle" : "", "family" : "Yokota", "given" : "Kinnichi", "non-dropping-particle" : "", "parse-names" : false, "suffix" : "" }, { "dropping-particle" : "", "family" : "Watari", "given" : "Jiro", "non-dropping-particle" : "", "parse-names" : false, "suffix" : "" }, { "dropping-particle" : "", "family" : "Saitoh", "given" : "Yusuke", "non-dropping-particle" : "", "parse-names" : false, "suffix" : "" }, { "dropping-particle" : "", "family" : "Kohgo", "given" : "Yutaka", "non-dropping-particle" : "", "parse-names" : false, "suffix" : "" } ], "container-title" : "Medicine", "id" : "ITEM-1", "issue" : "37", "issued" : { "date-parts" : [ [ "2015" ] ] }, "page" : "e1500", "title" : "A Bamboo Joint-Like Appearance is a Characteristic Finding in the Upper Gastrointestinal Tract of Crohn's Disease Patients: A Case-Control Study", "type" : "article-journal", "volume" : "94" }, "uris" : [ "http://www.mendeley.com/documents/?uuid=69cdff43-c0db-43b0-a6ac-4201b4cf176c" ] } ], "mendeley" : { "formattedCitation" : "&lt;sup&gt;[68]&lt;/sup&gt;", "plainTextFormattedCitation" : "[68]", "previouslyFormattedCitation" : "&lt;sup&gt;[68]&lt;/sup&gt;"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[68]</w:t>
      </w:r>
      <w:r w:rsidR="00056AC0" w:rsidRPr="003D034F">
        <w:rPr>
          <w:rFonts w:ascii="Book Antiqua" w:hAnsi="Book Antiqua" w:cs="Calibri"/>
          <w:sz w:val="24"/>
          <w:szCs w:val="24"/>
          <w:lang w:val="en-US"/>
        </w:rPr>
        <w:fldChar w:fldCharType="end"/>
      </w:r>
      <w:r w:rsidR="00F12C97" w:rsidRPr="003D034F">
        <w:rPr>
          <w:rFonts w:ascii="Book Antiqua" w:hAnsi="Book Antiqua" w:cs="Calibri"/>
          <w:sz w:val="24"/>
          <w:szCs w:val="24"/>
          <w:lang w:val="en-US"/>
        </w:rPr>
        <w:t xml:space="preserve">. </w:t>
      </w:r>
      <w:r w:rsidR="00BA17AB" w:rsidRPr="003D034F">
        <w:rPr>
          <w:rFonts w:ascii="Book Antiqua" w:hAnsi="Book Antiqua" w:cs="Calibri"/>
          <w:sz w:val="24"/>
          <w:szCs w:val="24"/>
          <w:lang w:val="en-US"/>
        </w:rPr>
        <w:t xml:space="preserve">Hirokawa </w:t>
      </w:r>
      <w:r w:rsidR="00BA17AB" w:rsidRPr="003D034F">
        <w:rPr>
          <w:rFonts w:ascii="Book Antiqua" w:hAnsi="Book Antiqua" w:cs="Calibri"/>
          <w:i/>
          <w:sz w:val="24"/>
          <w:szCs w:val="24"/>
          <w:lang w:val="en-US"/>
        </w:rPr>
        <w:t>et al</w:t>
      </w:r>
      <w:r w:rsidR="005A1C67" w:rsidRPr="003D034F">
        <w:rPr>
          <w:rFonts w:ascii="Book Antiqua" w:hAnsi="Book Antiqua" w:cs="Calibri"/>
          <w:sz w:val="24"/>
          <w:szCs w:val="24"/>
          <w:lang w:val="en-US"/>
        </w:rPr>
        <w:fldChar w:fldCharType="begin" w:fldLock="1"/>
      </w:r>
      <w:r w:rsidR="005A1C67" w:rsidRPr="003D034F">
        <w:rPr>
          <w:rFonts w:ascii="Book Antiqua" w:hAnsi="Book Antiqua" w:cs="Calibri"/>
          <w:sz w:val="24"/>
          <w:szCs w:val="24"/>
          <w:lang w:val="en-US"/>
        </w:rPr>
        <w:instrText>ADDIN CSL_CITATION { "citationItems" : [ { "id" : "ITEM-1", "itemData" : { "ISSN" : "0903-4641", "PMID" : "10549593", "abstract" : "A bamboo joint-like (BJL) appearance is an endoscopic finding characterized by swollen longitudinal folds transversed by erosive fissures or linear furrows, and it seems to be associated with Crohn's disease (CD). We performed gastroduodenoscopy in 1781 patients, and found BJL lesions in 15 (65.2%) of 23 CD patients and 20 (1.1%) of 1758 non-CD patients. Histological examination of the biopsy specimens showed sharp, fissure-like erosion or mucosal cleft in 7 (50%) out of 14 CD patients and one (20%) out of 5 non-CD patients. All cases with fissure-like erosion or, mucosal cleft revealed lymphoid aggregates, eosinophilic infiltration and edema in the superficial portion of the surrounding lamina propria. Epithelioid granuloma was seen at the base of the fissure-like erosion in two cases with CD. Our results indicated that fissure-like erosion or mucosal cleft in gastric biopsy specimens reflects the BJL appearance, and that such findings may provide a diagnostic clue to CD.", "author" : [ { "dropping-particle" : "", "family" : "Hirokawa", "given" : "M", "non-dropping-particle" : "", "parse-names" : false, "suffix" : "" }, { "dropping-particle" : "", "family" : "Shimizu", "given" : "M", "non-dropping-particle" : "", "parse-names" : false, "suffix" : "" }, { "dropping-particle" : "", "family" : "Terayama", "given" : "K", "non-dropping-particle" : "", "parse-names" : false, "suffix" : "" }, { "dropping-particle" : "", "family" : "Tamai", "given" : "M", "non-dropping-particle" : "", "parse-names" : false, "suffix" : "" }, { "dropping-particle" : "", "family" : "Takeda", "given" : "M", "non-dropping-particle" : "", "parse-names" : false, "suffix" : "" }, { "dropping-particle" : "", "family" : "Iida", "given" : "M", "non-dropping-particle" : "", "parse-names" : false, "suffix" : "" }, { "dropping-particle" : "", "family" : "Manabe", "given" : "T", "non-dropping-particle" : "", "parse-names" : false, "suffix" : "" } ], "container-title" : "APMIS : acta pathologica, microbiologica, et immunologica Scandinavica", "id" : "ITEM-1", "issue" : "10", "issued" : { "date-parts" : [ [ "1999" ] ] }, "page" : "951-6", "title" : "Bamboo-joint-like appearance of the stomach: a histopathological study.", "type" : "article-journal", "volume" : "107" }, "uris" : [ "http://www.mendeley.com/documents/?uuid=c30b842e-5691-4308-9e32-1e94f3bddc91" ] } ], "mendeley" : { "formattedCitation" : "&lt;sup&gt;[84]&lt;/sup&gt;", "plainTextFormattedCitation" : "[84]", "previouslyFormattedCitation" : "&lt;sup&gt;[84]&lt;/sup&gt;" }, "properties" : {  }, "schema" : "https://github.com/citation-style-language/schema/raw/master/csl-citation.json" }</w:instrText>
      </w:r>
      <w:r w:rsidR="005A1C67" w:rsidRPr="003D034F">
        <w:rPr>
          <w:rFonts w:ascii="Book Antiqua" w:hAnsi="Book Antiqua" w:cs="Calibri"/>
          <w:sz w:val="24"/>
          <w:szCs w:val="24"/>
          <w:lang w:val="en-US"/>
        </w:rPr>
        <w:fldChar w:fldCharType="separate"/>
      </w:r>
      <w:r w:rsidR="005A1C67" w:rsidRPr="003D034F">
        <w:rPr>
          <w:rFonts w:ascii="Book Antiqua" w:hAnsi="Book Antiqua" w:cs="Calibri"/>
          <w:sz w:val="24"/>
          <w:szCs w:val="24"/>
          <w:vertAlign w:val="superscript"/>
          <w:lang w:val="en-US"/>
        </w:rPr>
        <w:t>[84]</w:t>
      </w:r>
      <w:r w:rsidR="005A1C67" w:rsidRPr="003D034F">
        <w:rPr>
          <w:rFonts w:ascii="Book Antiqua" w:hAnsi="Book Antiqua" w:cs="Calibri"/>
          <w:sz w:val="24"/>
          <w:szCs w:val="24"/>
          <w:lang w:val="en-US"/>
        </w:rPr>
        <w:fldChar w:fldCharType="end"/>
      </w:r>
      <w:r w:rsidR="00BA17AB" w:rsidRPr="003D034F">
        <w:rPr>
          <w:rFonts w:ascii="Book Antiqua" w:hAnsi="Book Antiqua" w:cs="Calibri"/>
          <w:sz w:val="24"/>
          <w:szCs w:val="24"/>
          <w:lang w:val="en-US"/>
        </w:rPr>
        <w:t xml:space="preserve"> demonstrated similar histological</w:t>
      </w:r>
      <w:r w:rsidR="008D274E" w:rsidRPr="003D034F">
        <w:rPr>
          <w:rFonts w:ascii="Book Antiqua" w:hAnsi="Book Antiqua" w:cs="Calibri"/>
          <w:sz w:val="24"/>
          <w:szCs w:val="24"/>
          <w:lang w:val="en-US"/>
        </w:rPr>
        <w:t>,</w:t>
      </w:r>
      <w:r w:rsidR="00BA17AB" w:rsidRPr="003D034F">
        <w:rPr>
          <w:rFonts w:ascii="Book Antiqua" w:hAnsi="Book Antiqua" w:cs="Calibri"/>
          <w:sz w:val="24"/>
          <w:szCs w:val="24"/>
          <w:lang w:val="en-US"/>
        </w:rPr>
        <w:t xml:space="preserve"> including cleft-like erosions and/or mucosal clefts in 7 (50%) of the 14 CD patients and 1 (20%) of the 5 non-CD patients. Metaplasia, atrophy of fundic glands and abscesses of crypts were not identified</w:t>
      </w:r>
      <w:r w:rsidR="00DE12D6" w:rsidRPr="003D034F">
        <w:rPr>
          <w:rFonts w:ascii="Book Antiqua" w:hAnsi="Book Antiqua" w:cs="Calibri"/>
          <w:sz w:val="24"/>
          <w:szCs w:val="24"/>
          <w:lang w:val="en-US"/>
        </w:rPr>
        <w:t>.</w:t>
      </w:r>
    </w:p>
    <w:p w:rsidR="00245262" w:rsidRPr="003D034F" w:rsidRDefault="00892F07" w:rsidP="003D034F">
      <w:pPr>
        <w:spacing w:after="0" w:line="360" w:lineRule="auto"/>
        <w:ind w:firstLineChars="100" w:firstLine="240"/>
        <w:jc w:val="both"/>
        <w:rPr>
          <w:rFonts w:ascii="Book Antiqua" w:hAnsi="Book Antiqua" w:cs="Calibri"/>
          <w:sz w:val="24"/>
          <w:szCs w:val="24"/>
          <w:lang w:val="en-US" w:eastAsia="zh-CN"/>
        </w:rPr>
      </w:pPr>
      <w:r w:rsidRPr="003D034F">
        <w:rPr>
          <w:rFonts w:ascii="Book Antiqua" w:hAnsi="Book Antiqua" w:cs="Calibri"/>
          <w:sz w:val="24"/>
          <w:szCs w:val="24"/>
          <w:lang w:val="en-US"/>
        </w:rPr>
        <w:t xml:space="preserve">Chronic </w:t>
      </w:r>
      <w:r w:rsidRPr="003D034F">
        <w:rPr>
          <w:rFonts w:ascii="Book Antiqua" w:hAnsi="Book Antiqua" w:cs="Calibri"/>
          <w:i/>
          <w:sz w:val="24"/>
          <w:szCs w:val="24"/>
          <w:lang w:val="en-US"/>
        </w:rPr>
        <w:t>H. pylori</w:t>
      </w:r>
      <w:r w:rsidR="00952342" w:rsidRPr="003D034F">
        <w:rPr>
          <w:rFonts w:ascii="Book Antiqua" w:hAnsi="Book Antiqua" w:cs="Calibri"/>
          <w:sz w:val="24"/>
          <w:szCs w:val="24"/>
          <w:lang w:val="en-US"/>
        </w:rPr>
        <w:t>–negative</w:t>
      </w:r>
      <w:r w:rsidRPr="003D034F">
        <w:rPr>
          <w:rFonts w:ascii="Book Antiqua" w:hAnsi="Book Antiqua" w:cs="Calibri"/>
          <w:sz w:val="24"/>
          <w:szCs w:val="24"/>
          <w:lang w:val="en-US"/>
        </w:rPr>
        <w:t xml:space="preserve"> gastritis is a common finding and has been reported at a high frequency in patients with CD</w:t>
      </w:r>
      <w:r w:rsidR="00056AC0" w:rsidRPr="003D034F">
        <w:rPr>
          <w:rFonts w:ascii="Book Antiqua" w:hAnsi="Book Antiqua" w:cs="Calibri"/>
          <w:sz w:val="24"/>
          <w:szCs w:val="24"/>
          <w:lang w:val="en-US"/>
        </w:rPr>
        <w:fldChar w:fldCharType="begin" w:fldLock="1"/>
      </w:r>
      <w:r w:rsidR="0025673C" w:rsidRPr="003D034F">
        <w:rPr>
          <w:rFonts w:ascii="Book Antiqua" w:hAnsi="Book Antiqua" w:cs="Calibri"/>
          <w:sz w:val="24"/>
          <w:szCs w:val="24"/>
          <w:lang w:val="en-US"/>
        </w:rPr>
        <w:instrText>ADDIN CSL_CITATION { "citationItems" : [ { "id" : "ITEM-1", "itemData" : { "ISBN" : "0017-5749", "ISSN" : "0017-5749", "PMID" : "8675090", "abstract" : "The frequency of gastric Crohn's disease has been considered low. This study was undertaken to determine the prevalence of chronic gastritis and Helicobacter pylori infection in patients with Crohn's disease. Oesophagogastroduodenoscopy was performed on 62 consecutive patients suffering from ileocolonic Crohn's disease. Biopsy specimens from the antrum and corpus were processed for both histological and bacteriological examinations. H pylori antibodies of IgG and IgA classes were measured in serum samples by enzyme immunoassay. Six patients (9.7%) were infected with H pylori, as shown by histology, and in five of them the infection was also verified by serology. Twenty one patients (32%) had chronic H pylori negative gastritis (negative by both histology and serology) and one of them also had atrophy in the antrum and corpus. Granulomas were found in four patients. The characteristic appearance of H pylori negative gastritis was focal and mostly mild inflammation resembling the inflammatory changes seen in the gut in Crohn's disease. Patients with H pylori negative chronic gastritis had a significantly more active disease in their gut than those with normal gastric mucosa (p &lt; 0.01). It is concluded that H pylori positive gastritis is rare, while H pylori negative gastritis is relatively common in patients with Crohn's disease. H pylori negative 'Crohn's gastritis' seems to be associated with active Crohn's disease.", "author" : [ { "dropping-particle" : "", "family" : "Halme", "given" : "L", "non-dropping-particle" : "", "parse-names" : false, "suffix" : "" }, { "dropping-particle" : "", "family" : "Karkkainen", "given" : "P", "non-dropping-particle" : "", "parse-names" : false, "suffix" : "" }, { "dropping-particle" : "", "family" : "Rautelin", "given" : "H", "non-dropping-particle" : "", "parse-names" : false, "suffix" : "" }, { "dropping-particle" : "", "family" : "Kosunen", "given" : "T U", "non-dropping-particle" : "", "parse-names" : false, "suffix" : "" }, { "dropping-particle" : "", "family" : "Sipponen", "given" : "P", "non-dropping-particle" : "", "parse-names" : false, "suffix" : "" } ], "container-title" : "Gut", "id" : "ITEM-1", "issue" : "3", "issued" : { "date-parts" : [ [ "1996" ] ] }, "page" : "379-383", "title" : "High frequency of helicobacter negative gastritis in patients with Crohn's disease", "type" : "article-journal", "volume" : "38" }, "uris" : [ "http://www.mendeley.com/documents/?uuid=f2f8457f-4ead-4cc0-9b91-b1ea2df08e42" ] } ], "mendeley" : { "formattedCitation" : "&lt;sup&gt;[13]&lt;/sup&gt;", "plainTextFormattedCitation" : "[13]", "previouslyFormattedCitation" : "&lt;sup&gt;[13]&lt;/sup&gt;"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25673C" w:rsidRPr="003D034F">
        <w:rPr>
          <w:rFonts w:ascii="Book Antiqua" w:hAnsi="Book Antiqua" w:cs="Calibri"/>
          <w:sz w:val="24"/>
          <w:szCs w:val="24"/>
          <w:vertAlign w:val="superscript"/>
          <w:lang w:val="en-US"/>
        </w:rPr>
        <w:t>[13</w:t>
      </w:r>
      <w:r w:rsidR="005A1C67" w:rsidRPr="003D034F">
        <w:rPr>
          <w:rFonts w:ascii="Book Antiqua" w:hAnsi="Book Antiqua" w:cs="Calibri"/>
          <w:sz w:val="24"/>
          <w:szCs w:val="24"/>
          <w:vertAlign w:val="superscript"/>
          <w:lang w:val="en-US" w:eastAsia="zh-CN"/>
        </w:rPr>
        <w:t>,85-87</w:t>
      </w:r>
      <w:r w:rsidR="0025673C"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750B26" w:rsidRPr="003D034F">
        <w:rPr>
          <w:rFonts w:ascii="Book Antiqua" w:hAnsi="Book Antiqua" w:cs="Calibri"/>
          <w:sz w:val="24"/>
          <w:szCs w:val="24"/>
          <w:lang w:val="en-US"/>
        </w:rPr>
        <w:t xml:space="preserve">, </w:t>
      </w:r>
      <w:r w:rsidRPr="003D034F">
        <w:rPr>
          <w:rFonts w:ascii="Book Antiqua" w:hAnsi="Book Antiqua" w:cs="Calibri"/>
          <w:sz w:val="24"/>
          <w:szCs w:val="24"/>
          <w:lang w:val="en-US"/>
        </w:rPr>
        <w:t xml:space="preserve">mainly in young children and adults, while in the general population its prevalence is 2% according to </w:t>
      </w:r>
      <w:proofErr w:type="spellStart"/>
      <w:r w:rsidRPr="003D034F">
        <w:rPr>
          <w:rFonts w:ascii="Book Antiqua" w:hAnsi="Book Antiqua" w:cs="Calibri"/>
          <w:sz w:val="24"/>
          <w:szCs w:val="24"/>
          <w:lang w:val="en-US"/>
        </w:rPr>
        <w:t>Genta</w:t>
      </w:r>
      <w:proofErr w:type="spellEnd"/>
      <w:r w:rsidRPr="003D034F">
        <w:rPr>
          <w:rFonts w:ascii="Book Antiqua" w:hAnsi="Book Antiqua" w:cs="Calibri"/>
          <w:sz w:val="24"/>
          <w:szCs w:val="24"/>
          <w:lang w:val="en-US"/>
        </w:rPr>
        <w:t xml:space="preserve"> </w:t>
      </w:r>
      <w:r w:rsidR="009B0717" w:rsidRPr="003D034F">
        <w:rPr>
          <w:rFonts w:ascii="Book Antiqua" w:hAnsi="Book Antiqua" w:cs="Calibri"/>
          <w:i/>
          <w:sz w:val="24"/>
          <w:szCs w:val="24"/>
          <w:lang w:val="en-US"/>
        </w:rPr>
        <w:t>et al</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"10.1111/j.1365-2036.2012.05090.x", "ISSN" : "02692813", "PMID" : "22486730", "abstract" : "Background H elicobacter-negative gastritis and duodenitis occur more often in patients with inflammatory bowel disease ( IBD) than in non- IBD controls. Preliminary evidence suggests that they are particularly common among children. Aim To study the age-specific occurrence of gastritis and duodenitis among paediatric IBD patients. Methods From a computerised database of surgical pathology reports, we selected 344 IBD patients and 4241 non- IBD controls between the age 0 and 21 years, who underwent colonoscopy and oesophago-gastro-duodenoscopy with biopsy results from both procedures. Results H elicobacter-negative chronic active gastritis was found in 2% of controls and 20% of IBD patients ( Crohn's disease ( CD) 26%, ulcerative colitis ( UC) 13%). Duodenitis was found in 2% of controls and 17% of IBD patients ( Crohn's disease 28%, UC 8%). Similar prevalence rates were observed in male and female patients. The most striking age-specific patterns were seen in Crohn's disease, with chronic active gastritis being highest in the 5-9 years age-group and declining in all subsequent age-groups. The age-specific rise and fall of duodenitis appeared more protracted, reaching a peak at age 10-14 years and then gradually declining. Conclusions H elicobacter-negative gastritis and duodenitis occur significantly more often in paediatric IBD patients than in non- IBD controls, as well as in adult IBD patients. Such upper gastrointestinal inflammation appears to be particularly common in patients with Crohn's disease. [ABSTRACT FROM AUTHOR]", "author" : [ { "dropping-particle" : "", "family" : "Genta", "given" : "R.M.", "non-dropping-particle" : "", "parse-names" : false, "suffix" : "" }, { "dropping-particle" : "", "family" : "Sonnenberg", "given" : "A.", "non-dropping-particle" : "", "parse-names" : false, "suffix" : "" } ], "container-title" : "Alimentary Pharmacology and Therapeutics", "id" : "ITEM-1", "issue" : "11", "issued" : { "date-parts" : [ [ "2012" ] ] }, "page" : "1310-1316", "title" : "Non-Helicobacter pylori gastritis is common among paediatric patients with inflammatory bowel disease", "type" : "article-journal", "volume" : "35" }, "uris" : [ "http://www.mendeley.com/documents/?uuid=2c08cd2f-7b63-4dd6-abe3-8fa512ec08f3" ] } ], "mendeley" : { "formattedCitation" : "&lt;sup&gt;[88]&lt;/sup&gt;", "plainTextFormattedCitation" : "[88]", "previouslyFormattedCitation" : "&lt;sup&gt;[88]&lt;/sup&gt;"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[88]</w:t>
      </w:r>
      <w:r w:rsidR="00056AC0" w:rsidRPr="003D034F">
        <w:rPr>
          <w:rFonts w:ascii="Book Antiqua" w:hAnsi="Book Antiqua" w:cs="Calibri"/>
          <w:sz w:val="24"/>
          <w:szCs w:val="24"/>
          <w:lang w:val="en-US"/>
        </w:rPr>
        <w:fldChar w:fldCharType="end"/>
      </w:r>
      <w:r w:rsidR="00574E32" w:rsidRPr="003D034F">
        <w:rPr>
          <w:rFonts w:ascii="Book Antiqua" w:hAnsi="Book Antiqua" w:cs="Calibri"/>
          <w:sz w:val="24"/>
          <w:szCs w:val="24"/>
          <w:lang w:val="en-US"/>
        </w:rPr>
        <w:t xml:space="preserve">. </w:t>
      </w:r>
      <w:proofErr w:type="spellStart"/>
      <w:r w:rsidR="005A1C67" w:rsidRPr="003D034F">
        <w:rPr>
          <w:rFonts w:ascii="Book Antiqua" w:hAnsi="Book Antiqua" w:cs="Calibri"/>
          <w:sz w:val="24"/>
          <w:szCs w:val="24"/>
          <w:lang w:val="en-US"/>
        </w:rPr>
        <w:t>Halme</w:t>
      </w:r>
      <w:proofErr w:type="spellEnd"/>
      <w:r w:rsidRPr="003D034F">
        <w:rPr>
          <w:rFonts w:ascii="Book Antiqua" w:hAnsi="Book Antiqua" w:cs="Calibri"/>
          <w:sz w:val="24"/>
          <w:szCs w:val="24"/>
          <w:lang w:val="en-US"/>
        </w:rPr>
        <w:t xml:space="preserve"> </w:t>
      </w:r>
      <w:r w:rsidRPr="003D034F">
        <w:rPr>
          <w:rFonts w:ascii="Book Antiqua" w:hAnsi="Book Antiqua" w:cs="Calibri"/>
          <w:i/>
          <w:sz w:val="24"/>
          <w:szCs w:val="24"/>
          <w:lang w:val="en-US"/>
        </w:rPr>
        <w:t>et al</w:t>
      </w:r>
      <w:r w:rsidR="005A1C67" w:rsidRPr="003D034F">
        <w:rPr>
          <w:rFonts w:ascii="Book Antiqua" w:hAnsi="Book Antiqua" w:cs="Calibri"/>
          <w:sz w:val="24"/>
          <w:szCs w:val="24"/>
          <w:lang w:val="en-US"/>
        </w:rPr>
        <w:fldChar w:fldCharType="begin" w:fldLock="1"/>
      </w:r>
      <w:r w:rsidR="005A1C67" w:rsidRPr="003D034F">
        <w:rPr>
          <w:rFonts w:ascii="Book Antiqua" w:hAnsi="Book Antiqua" w:cs="Calibri"/>
          <w:sz w:val="24"/>
          <w:szCs w:val="24"/>
          <w:lang w:val="en-US"/>
        </w:rPr>
        <w:instrText>ADDIN CSL_CITATION { "citationItems" : [ { "id" : "ITEM-1", "itemData" : { "ISBN" : "0017-5749", "ISSN" : "0017-5749", "PMID" : "8675090", "abstract" : "The frequency of gastric Crohn's disease has been considered low. This study was undertaken to determine the prevalence of chronic gastritis and Helicobacter pylori infection in patients with Crohn's disease. Oesophagogastroduodenoscopy was performed on 62 consecutive patients suffering from ileocolonic Crohn's disease. Biopsy specimens from the antrum and corpus were processed for both histological and bacteriological examinations. H pylori antibodies of IgG and IgA classes were measured in serum samples by enzyme immunoassay. Six patients (9.7%) were infected with H pylori, as shown by histology, and in five of them the infection was also verified by serology. Twenty one patients (32%) had chronic H pylori negative gastritis (negative by both histology and serology) and one of them also had atrophy in the antrum and corpus. Granulomas were found in four patients. The characteristic appearance of H pylori negative gastritis was focal and mostly mild inflammation resembling the inflammatory changes seen in the gut in Crohn's disease. Patients with H pylori negative chronic gastritis had a significantly more active disease in their gut than those with normal gastric mucosa (p &lt; 0.01). It is concluded that H pylori positive gastritis is rare, while H pylori negative gastritis is relatively common in patients with Crohn's disease. H pylori negative 'Crohn's gastritis' seems to be associated with active Crohn's disease.", "author" : [ { "dropping-particle" : "", "family" : "Halme", "given" : "L", "non-dropping-particle" : "", "parse-names" : false, "suffix" : "" }, { "dropping-particle" : "", "family" : "Karkkainen", "given" : "P", "non-dropping-particle" : "", "parse-names" : false, "suffix" : "" }, { "dropping-particle" : "", "family" : "Rautelin", "given" : "H", "non-dropping-particle" : "", "parse-names" : false, "suffix" : "" }, { "dropping-particle" : "", "family" : "Kosunen", "given" : "T U", "non-dropping-particle" : "", "parse-names" : false, "suffix" : "" }, { "dropping-particle" : "", "family" : "Sipponen", "given" : "P", "non-dropping-particle" : "", "parse-names" : false, "suffix" : "" } ], "container-title" : "Gut", "id" : "ITEM-1", "issue" : "3", "issued" : { "date-parts" : [ [ "1996" ] ] }, "page" : "379-383", "title" : "High frequency of helicobacter negative gastritis in patients with Crohn's disease", "type" : "article-journal", "volume" : "38" }, "uris" : [ "http://www.mendeley.com/documents/?uuid=f2f8457f-4ead-4cc0-9b91-b1ea2df08e42" ] } ], "mendeley" : { "formattedCitation" : "&lt;sup&gt;[13]&lt;/sup&gt;", "plainTextFormattedCitation" : "[13]", "previouslyFormattedCitation" : "&lt;sup&gt;[13]&lt;/sup&gt;" }, "properties" : {  }, "schema" : "https://github.com/citation-style-language/schema/raw/master/csl-citation.json" }</w:instrText>
      </w:r>
      <w:r w:rsidR="005A1C67" w:rsidRPr="003D034F">
        <w:rPr>
          <w:rFonts w:ascii="Book Antiqua" w:hAnsi="Book Antiqua" w:cs="Calibri"/>
          <w:sz w:val="24"/>
          <w:szCs w:val="24"/>
          <w:lang w:val="en-US"/>
        </w:rPr>
        <w:fldChar w:fldCharType="separate"/>
      </w:r>
      <w:r w:rsidR="005A1C67" w:rsidRPr="003D034F">
        <w:rPr>
          <w:rFonts w:ascii="Book Antiqua" w:hAnsi="Book Antiqua" w:cs="Calibri"/>
          <w:sz w:val="24"/>
          <w:szCs w:val="24"/>
          <w:vertAlign w:val="superscript"/>
          <w:lang w:val="en-US"/>
        </w:rPr>
        <w:t>[13]</w:t>
      </w:r>
      <w:r w:rsidR="005A1C67" w:rsidRPr="003D034F">
        <w:rPr>
          <w:rFonts w:ascii="Book Antiqua" w:hAnsi="Book Antiqua" w:cs="Calibri"/>
          <w:sz w:val="24"/>
          <w:szCs w:val="24"/>
          <w:lang w:val="en-US"/>
        </w:rPr>
        <w:fldChar w:fldCharType="end"/>
      </w:r>
      <w:r w:rsidRPr="003D034F">
        <w:rPr>
          <w:rFonts w:ascii="Book Antiqua" w:hAnsi="Book Antiqua" w:cs="Calibri"/>
          <w:sz w:val="24"/>
          <w:szCs w:val="24"/>
          <w:lang w:val="en-US"/>
        </w:rPr>
        <w:t xml:space="preserve"> demonstrated an association between the finding of gastric involvement and greater severity of intestinal disease</w:t>
      </w:r>
      <w:r w:rsidR="00D41054" w:rsidRPr="003D034F">
        <w:rPr>
          <w:rFonts w:ascii="Book Antiqua" w:hAnsi="Book Antiqua" w:cs="Calibri"/>
          <w:sz w:val="24"/>
          <w:szCs w:val="24"/>
          <w:lang w:val="en-US"/>
        </w:rPr>
        <w:t xml:space="preserve">. </w:t>
      </w:r>
      <w:r w:rsidRPr="003D034F">
        <w:rPr>
          <w:rFonts w:ascii="Book Antiqua" w:hAnsi="Book Antiqua" w:cs="Calibri"/>
          <w:sz w:val="24"/>
          <w:szCs w:val="24"/>
          <w:lang w:val="en-US"/>
        </w:rPr>
        <w:t>A case</w:t>
      </w:r>
      <w:r w:rsidR="00952342" w:rsidRPr="003D034F">
        <w:rPr>
          <w:rFonts w:ascii="Book Antiqua" w:hAnsi="Book Antiqua" w:cs="Calibri"/>
          <w:sz w:val="24"/>
          <w:szCs w:val="24"/>
          <w:lang w:val="en-US"/>
        </w:rPr>
        <w:t>–</w:t>
      </w:r>
      <w:r w:rsidRPr="003D034F">
        <w:rPr>
          <w:rFonts w:ascii="Book Antiqua" w:hAnsi="Book Antiqua" w:cs="Calibri"/>
          <w:sz w:val="24"/>
          <w:szCs w:val="24"/>
          <w:lang w:val="en-US"/>
        </w:rPr>
        <w:t xml:space="preserve">control study demonstrated that active chronic gastritis </w:t>
      </w:r>
      <w:r w:rsidRPr="003D034F">
        <w:rPr>
          <w:rFonts w:ascii="Book Antiqua" w:hAnsi="Book Antiqua" w:cs="Calibri"/>
          <w:i/>
          <w:sz w:val="24"/>
          <w:szCs w:val="24"/>
          <w:lang w:val="en-US"/>
        </w:rPr>
        <w:t>H. pylori</w:t>
      </w:r>
      <w:r w:rsidR="00952342" w:rsidRPr="003D034F">
        <w:rPr>
          <w:rFonts w:ascii="Book Antiqua" w:hAnsi="Book Antiqua" w:cs="Calibri"/>
          <w:sz w:val="24"/>
          <w:szCs w:val="24"/>
          <w:lang w:val="en-US"/>
        </w:rPr>
        <w:t>–</w:t>
      </w:r>
      <w:r w:rsidR="005A1C67" w:rsidRPr="003D034F">
        <w:rPr>
          <w:rFonts w:ascii="Book Antiqua" w:hAnsi="Book Antiqua" w:cs="Calibri"/>
          <w:sz w:val="24"/>
          <w:szCs w:val="24"/>
          <w:lang w:val="en-US"/>
        </w:rPr>
        <w:t>negative (OR 11.7, 95%</w:t>
      </w:r>
      <w:r w:rsidRPr="003D034F">
        <w:rPr>
          <w:rFonts w:ascii="Book Antiqua" w:hAnsi="Book Antiqua" w:cs="Calibri"/>
          <w:sz w:val="24"/>
          <w:szCs w:val="24"/>
          <w:lang w:val="en-US"/>
        </w:rPr>
        <w:t>CI 7.5-18)</w:t>
      </w:r>
      <w:r w:rsidR="005A1C67" w:rsidRPr="003D034F">
        <w:rPr>
          <w:rFonts w:ascii="Book Antiqua" w:hAnsi="Book Antiqua" w:cs="Calibri"/>
          <w:sz w:val="24"/>
          <w:szCs w:val="24"/>
          <w:lang w:val="en-US"/>
        </w:rPr>
        <w:t>, focal gastritis (OR 40.8, 95%</w:t>
      </w:r>
      <w:r w:rsidRPr="003D034F">
        <w:rPr>
          <w:rFonts w:ascii="Book Antiqua" w:hAnsi="Book Antiqua" w:cs="Calibri"/>
          <w:sz w:val="24"/>
          <w:szCs w:val="24"/>
          <w:lang w:val="en-US"/>
        </w:rPr>
        <w:t>CI 15.</w:t>
      </w:r>
      <w:r w:rsidR="006905E2" w:rsidRPr="003D034F">
        <w:rPr>
          <w:rFonts w:ascii="Book Antiqua" w:hAnsi="Book Antiqua" w:cs="Calibri"/>
          <w:sz w:val="24"/>
          <w:szCs w:val="24"/>
          <w:lang w:val="en-US"/>
        </w:rPr>
        <w:t>5-114.9), and duodenitis (OR 28</w:t>
      </w:r>
      <w:r w:rsidRPr="003D034F">
        <w:rPr>
          <w:rFonts w:ascii="Book Antiqua" w:hAnsi="Book Antiqua" w:cs="Calibri"/>
          <w:sz w:val="24"/>
          <w:szCs w:val="24"/>
          <w:lang w:val="en-US"/>
        </w:rPr>
        <w:t xml:space="preserve">, 2; </w:t>
      </w:r>
      <w:r w:rsidR="005A1C67" w:rsidRPr="003D034F">
        <w:rPr>
          <w:rFonts w:ascii="Book Antiqua" w:hAnsi="Book Antiqua" w:cs="Calibri"/>
          <w:sz w:val="24"/>
          <w:szCs w:val="24"/>
          <w:lang w:val="en-US" w:eastAsia="zh-CN"/>
        </w:rPr>
        <w:t>9</w:t>
      </w:r>
      <w:r w:rsidR="005A1C67" w:rsidRPr="003D034F">
        <w:rPr>
          <w:rFonts w:ascii="Book Antiqua" w:hAnsi="Book Antiqua" w:cs="Calibri"/>
          <w:sz w:val="24"/>
          <w:szCs w:val="24"/>
          <w:lang w:val="en-US"/>
        </w:rPr>
        <w:t>5%</w:t>
      </w:r>
      <w:r w:rsidRPr="003D034F">
        <w:rPr>
          <w:rFonts w:ascii="Book Antiqua" w:hAnsi="Book Antiqua" w:cs="Calibri"/>
          <w:sz w:val="24"/>
          <w:szCs w:val="24"/>
          <w:lang w:val="en-US"/>
        </w:rPr>
        <w:t>CI 17.1-46.5) were more frequent in CD than in patients with UC and healthy controls, especially in younger patients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"10.1002/ibd.21356", "ISBN" : "1078-0998\\n1536-4844", "ISSN" : "10780998", "PMID" : "20848539", "abstract" : "The purpose was to study the epidemiology of Helicobacter-negative gastritis among a large group of patients with inflammatory bowel disease (IBD) and healthy controls.", "author" : [ { "dropping-particle" : "", "family" : "Sonnenberg", "given" : "Amnon", "non-dropping-particle" : "", "parse-names" : false, "suffix" : "" }, { "dropping-particle" : "", "family" : "Melton", "given" : "Shelby D.", "non-dropping-particle" : "", "parse-names" : false, "suffix" : "" }, { "dropping-particle" : "", "family" : "Genta", "given" : "Robert M.", "non-dropping-particle" : "", "parse-names" : false, "suffix" : "" } ], "container-title" : "Inflammatory Bowel Diseases", "id" : "ITEM-1", "issue" : "1", "issued" : { "date-parts" : [ [ "2011" ] ] }, "page" : "39-44", "title" : "Frequent occurrence of gastritis and duodenitis in patients with inflammatory bowel disease", "type" : "article-journal", "volume" : "17" }, "uris" : [ "http://www.mendeley.com/documents/?uuid=add5e3f9-f9c6-4de4-8e61-2f945ee6ee4f" ] } ], "mendeley" : { "formattedCitation" : "&lt;sup&gt;[89]&lt;/sup&gt;", "plainTextFormattedCitation" : "[89]", "previouslyFormattedCitation" : "&lt;sup&gt;[89]&lt;/sup&gt;"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[89]</w:t>
      </w:r>
      <w:r w:rsidR="00056AC0" w:rsidRPr="003D034F">
        <w:rPr>
          <w:rFonts w:ascii="Book Antiqua" w:hAnsi="Book Antiqua" w:cs="Calibri"/>
          <w:sz w:val="24"/>
          <w:szCs w:val="24"/>
          <w:lang w:val="en-US"/>
        </w:rPr>
        <w:fldChar w:fldCharType="end"/>
      </w:r>
      <w:r w:rsidR="00B510F4" w:rsidRPr="003D034F">
        <w:rPr>
          <w:rFonts w:ascii="Book Antiqua" w:hAnsi="Book Antiqua" w:cs="Calibri"/>
          <w:sz w:val="24"/>
          <w:szCs w:val="24"/>
          <w:lang w:val="en-US"/>
        </w:rPr>
        <w:t>.</w:t>
      </w:r>
      <w:r w:rsidR="00D95ADA" w:rsidRPr="003D034F">
        <w:rPr>
          <w:rFonts w:ascii="Book Antiqua" w:hAnsi="Book Antiqua" w:cs="Calibri"/>
          <w:sz w:val="24"/>
          <w:szCs w:val="24"/>
          <w:lang w:val="en-US"/>
        </w:rPr>
        <w:t xml:space="preserve"> </w:t>
      </w:r>
      <w:r w:rsidR="006905E2" w:rsidRPr="003D034F">
        <w:rPr>
          <w:rFonts w:ascii="Book Antiqua" w:hAnsi="Book Antiqua" w:cs="Calibri"/>
          <w:sz w:val="24"/>
          <w:szCs w:val="24"/>
          <w:lang w:val="en-US"/>
        </w:rPr>
        <w:t>Korean pilot study showed that active</w:t>
      </w:r>
      <w:r w:rsidR="00952342" w:rsidRPr="003D034F">
        <w:rPr>
          <w:rFonts w:ascii="Book Antiqua" w:hAnsi="Book Antiqua" w:cs="Calibri"/>
          <w:sz w:val="24"/>
          <w:szCs w:val="24"/>
          <w:lang w:val="en-US"/>
        </w:rPr>
        <w:t>,</w:t>
      </w:r>
      <w:r w:rsidR="006905E2" w:rsidRPr="003D034F">
        <w:rPr>
          <w:rFonts w:ascii="Book Antiqua" w:hAnsi="Book Antiqua" w:cs="Calibri"/>
          <w:sz w:val="24"/>
          <w:szCs w:val="24"/>
          <w:lang w:val="en-US"/>
        </w:rPr>
        <w:t xml:space="preserve"> chronic </w:t>
      </w:r>
      <w:r w:rsidR="006905E2" w:rsidRPr="003D034F">
        <w:rPr>
          <w:rFonts w:ascii="Book Antiqua" w:hAnsi="Book Antiqua" w:cs="Calibri"/>
          <w:i/>
          <w:sz w:val="24"/>
          <w:szCs w:val="24"/>
          <w:lang w:val="en-US"/>
        </w:rPr>
        <w:t>H. pylori</w:t>
      </w:r>
      <w:r w:rsidR="00952342" w:rsidRPr="003D034F">
        <w:rPr>
          <w:rFonts w:ascii="Book Antiqua" w:hAnsi="Book Antiqua" w:cs="Calibri"/>
          <w:sz w:val="24"/>
          <w:szCs w:val="24"/>
          <w:lang w:val="en-US"/>
        </w:rPr>
        <w:t>–</w:t>
      </w:r>
      <w:r w:rsidR="006905E2" w:rsidRPr="003D034F">
        <w:rPr>
          <w:rFonts w:ascii="Book Antiqua" w:hAnsi="Book Antiqua" w:cs="Calibri"/>
          <w:sz w:val="24"/>
          <w:szCs w:val="24"/>
          <w:lang w:val="en-US"/>
        </w:rPr>
        <w:t xml:space="preserve">negative </w:t>
      </w:r>
      <w:r w:rsidR="00952342" w:rsidRPr="003D034F">
        <w:rPr>
          <w:rFonts w:ascii="Book Antiqua" w:hAnsi="Book Antiqua" w:cs="Calibri"/>
          <w:sz w:val="24"/>
          <w:szCs w:val="24"/>
          <w:lang w:val="en-US"/>
        </w:rPr>
        <w:t xml:space="preserve">gastritis </w:t>
      </w:r>
      <w:r w:rsidR="006905E2" w:rsidRPr="003D034F">
        <w:rPr>
          <w:rFonts w:ascii="Book Antiqua" w:hAnsi="Book Antiqua" w:cs="Calibri"/>
          <w:sz w:val="24"/>
          <w:szCs w:val="24"/>
          <w:lang w:val="en-US"/>
        </w:rPr>
        <w:t>was present in 40% of patients</w:t>
      </w:r>
      <w:r w:rsidR="00952342" w:rsidRPr="003D034F">
        <w:rPr>
          <w:rFonts w:ascii="Book Antiqua" w:hAnsi="Book Antiqua" w:cs="Calibri"/>
          <w:sz w:val="24"/>
          <w:szCs w:val="24"/>
          <w:lang w:val="en-US"/>
        </w:rPr>
        <w:t>,</w:t>
      </w:r>
      <w:r w:rsidR="006905E2" w:rsidRPr="003D034F">
        <w:rPr>
          <w:rFonts w:ascii="Book Antiqua" w:hAnsi="Book Antiqua" w:cs="Calibri"/>
          <w:sz w:val="24"/>
          <w:szCs w:val="24"/>
          <w:lang w:val="en-US"/>
        </w:rPr>
        <w:t xml:space="preserve"> and </w:t>
      </w:r>
      <w:r w:rsidR="006905E2" w:rsidRPr="003D034F">
        <w:rPr>
          <w:rFonts w:ascii="Book Antiqua" w:hAnsi="Book Antiqua" w:cs="Calibri"/>
          <w:i/>
          <w:sz w:val="24"/>
          <w:szCs w:val="24"/>
          <w:lang w:val="en-US"/>
        </w:rPr>
        <w:t>H. pylori</w:t>
      </w:r>
      <w:r w:rsidR="006905E2" w:rsidRPr="003D034F">
        <w:rPr>
          <w:rFonts w:ascii="Book Antiqua" w:hAnsi="Book Antiqua" w:cs="Calibri"/>
          <w:sz w:val="24"/>
          <w:szCs w:val="24"/>
          <w:lang w:val="en-US"/>
        </w:rPr>
        <w:t xml:space="preserve"> gastritis positive in 25%</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"10.5217/ir.2016.14.1.60", "ISSN" : "1598-9100", "PMID" : "26884736", "abstract" : "BACKGROUND/AIMS Gastric pathology and Helicobacter pylori (H. pylori) infection among Asian patients with Crohn's disease (CD) are still unclear. We evaluated gastric histologic features and frequency of H. pylori infection in Korean patients with CD. METHODS Among 492 patients with CD receiving upper gastrointestinal (GI) endoscopic evaluation in 19 Korean hospitals, we evaluated the endoscopic findings and gastric histopathologic features of 47 patients for our study. Histopathologic classification was performed using gastric biopsy tissues, and H. pylori infection was determined using the rapid urease test and histology. RESULTS There were 36 men (76.6%), and the median age of patients at the time of upper GI endoscopy was 23.8 years (range, 14.2-60.5). For CD phenotype, ileocolonic disease was observed in 38 patients (80.9%), and non-stricturing, non-penetrating disease in 31 patients (66.0%). Twenty-eight patients (59.6%) complained of upper GI symptoms. Erosive gastritis was the most common gross gastric feature (66.0%). Histopathologically, H. pylori-negative chronic active gastritis (38.3%) was the most frequent finding. H. pylori testing was positive in 11 patients (23.4%), and gastric noncaseating granulomata were detected in 4 patients (8.5%). Gastric noncaseating granuloma showed a statistically significant association with perianal abscess/fistula (P=0.0496). CONCLUSIONS H. pylori-negative chronic active gastritis appears to be frequent among Korean patients with CD. The frequency of H. pylori infection was comparable with previous studies. An association with perianal complications suggests a prognostic value for gastric noncaseating granuloma in patients with CD.", "author" : [ { "dropping-particle" : "", "family" : "So", "given" : "Hoonsub", "non-dropping-particle" : "", "parse-names" : false, "suffix" : "" }, { "dropping-particle" : "", "family" : "Ye", "given" : "Byong Duk", "non-dropping-particle" : "", "parse-names" : false, "suffix" : "" }, { "dropping-particle" : "", "family" : "Park", "given" : "Young Soo", "non-dropping-particle" : "", "parse-names" : false, "suffix" : "" }, { "dropping-particle" : "", "family" : "Kim", "given" : "Jihun", "non-dropping-particle" : "", "parse-names" : false, "suffix" : "" }, { "dropping-particle" : "", "family" : "Kim", "given" : "Joo Sung", "non-dropping-particle" : "", "parse-names" : false, "suffix" : "" }, { "dropping-particle" : "", "family" : "Moon", "given" : "Won", "non-dropping-particle" : "", "parse-names" : false, "suffix" : "" }, { "dropping-particle" : "", "family" : "Lee", "given" : "Kang-Moon", "non-dropping-particle" : "", "parse-names" : false, "suffix" : "" }, { "dropping-particle" : "", "family" : "Kim", "given" : "You Sun", "non-dropping-particle" : "", "parse-names" : false, "suffix" : "" }, { "dropping-particle" : "", "family" : "Keum", "given" : "Bora", "non-dropping-particle" : "", "parse-names" : false, "suffix" : "" }, { "dropping-particle" : "", "family" : "Kim", "given" : "Seong-Eun", "non-dropping-particle" : "", "parse-names" : false, "suffix" : "" }, { "dropping-particle" : "", "family" : "Kim", "given" : "Kyeong Ok", "non-dropping-particle" : "", "parse-names" : false, "suffix" : "" }, { "dropping-particle" : "", "family" : "Kim", "given" : "Eun Soo", "non-dropping-particle" : "", "parse-names" : false, "suffix" : "" }, { "dropping-particle" : "", "family" : "Lee", "given" : "Chang Kyun", "non-dropping-particle" : "", "parse-names" : false, "suffix" : "" }, { "dropping-particle" : "", "family" : "Hong", "given" : "Sung Pil", "non-dropping-particle" : "", "parse-names" : false, "suffix" : "" }, { "dropping-particle" : "", "family" : "Im", "given" : "Jong Pil", "non-dropping-particle" : "", "parse-names" : false, "suffix" : "" }, { "dropping-particle" : "", "family" : "Koo", "given" : "Ja Seol", "non-dropping-particle" : "", "parse-names" : false, "suffix" : "" }, { "dropping-particle" : "", "family" : "Choi", "given" : "Chang Hwan", "non-dropping-particle" : "", "parse-names" : false, "suffix" : "" }, { "dropping-particle" : "", "family" : "Shin", "given" : "Jeong Eun", "non-dropping-particle" : "", "parse-names" : false, "suffix" : "" }, { "dropping-particle" : "", "family" : "Lee", "given" : "Bo In", "non-dropping-particle" : "", "parse-names" : false, "suffix" : "" }, { "dropping-particle" : "", "family" : "Huh", "given" : "Kyu Chan", "non-dropping-particle" : "", "parse-names" : false, "suffix" : "" }, { "dropping-particle" : "", "family" : "Kim", "given" : "Young-Ho", "non-dropping-particle" : "", "parse-names" : false, "suffix" : "" }, { "dropping-particle" : "", "family" : "Kim", "given" : "Hyun-Soo", "non-dropping-particle" : "", "parse-names" : false, "suffix" : "" }, { "dropping-particle" : "", "family" : "Park", "given" : "Young Sook", "non-dropping-particle" : "", "parse-names" : false, "suffix" : "" }, { "dropping-particle" : "", "family" : "Han", "given" : "Dong Soo", "non-dropping-particle" : "", "parse-names" : false, "suffix" : "" }, { "dropping-particle" : "", "family" : "Korean Association for the Study of Intestinal Diseases", "given" : "", "non-dropping-particle" : "", "parse-names" : false, "suffix" : "" } ], "container-title" : "Intestinal research", "id" : "ITEM-1", "issue" : "1", "issued" : { "date-parts" : [ [ "2016" ] ] }, "page" : "60-8", "title" : "Gastric lesions in patients with Crohn's disease in Korea: a multicenter study.", "type" : "article-journal", "volume" : "14" }, "uris" : [ "http://www.mendeley.com/documents/?uuid=04c25243-8b13-4ff9-b602-1a0be86da71c" ] } ], "mendeley" : { "formattedCitation" : "&lt;sup&gt;[85]&lt;/sup&gt;", "plainTextFormattedCitation" : "[85]", "previouslyFormattedCitation" : "&lt;sup&gt;[85]&lt;/sup&gt;"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[85]</w:t>
      </w:r>
      <w:r w:rsidR="00056AC0" w:rsidRPr="003D034F">
        <w:rPr>
          <w:rFonts w:ascii="Book Antiqua" w:hAnsi="Book Antiqua" w:cs="Calibri"/>
          <w:sz w:val="24"/>
          <w:szCs w:val="24"/>
          <w:lang w:val="en-US"/>
        </w:rPr>
        <w:fldChar w:fldCharType="end"/>
      </w:r>
      <w:r w:rsidR="005A1C67" w:rsidRPr="003D034F">
        <w:rPr>
          <w:rFonts w:ascii="Book Antiqua" w:hAnsi="Book Antiqua" w:cs="Calibri"/>
          <w:sz w:val="24"/>
          <w:szCs w:val="24"/>
          <w:lang w:val="en-US"/>
        </w:rPr>
        <w:t>.</w:t>
      </w:r>
    </w:p>
    <w:p w:rsidR="008F373E" w:rsidRPr="003D034F" w:rsidRDefault="00245262" w:rsidP="003D034F">
      <w:pPr>
        <w:spacing w:after="0" w:line="360" w:lineRule="auto"/>
        <w:ind w:firstLineChars="100" w:firstLine="240"/>
        <w:jc w:val="both"/>
        <w:rPr>
          <w:rFonts w:ascii="Book Antiqua" w:hAnsi="Book Antiqua" w:cs="Calibri"/>
          <w:sz w:val="24"/>
          <w:szCs w:val="24"/>
          <w:lang w:val="en-US"/>
        </w:rPr>
      </w:pPr>
      <w:r w:rsidRPr="003D034F">
        <w:rPr>
          <w:rFonts w:ascii="Book Antiqua" w:hAnsi="Book Antiqua" w:cs="Calibri"/>
          <w:sz w:val="24"/>
          <w:szCs w:val="24"/>
          <w:lang w:val="en-US"/>
        </w:rPr>
        <w:t xml:space="preserve">The lower prevalence of </w:t>
      </w:r>
      <w:r w:rsidRPr="003D034F">
        <w:rPr>
          <w:rFonts w:ascii="Book Antiqua" w:hAnsi="Book Antiqua" w:cs="Calibri"/>
          <w:i/>
          <w:sz w:val="24"/>
          <w:szCs w:val="24"/>
          <w:lang w:val="en-US"/>
        </w:rPr>
        <w:t>H. pylori</w:t>
      </w:r>
      <w:r w:rsidRPr="003D034F">
        <w:rPr>
          <w:rFonts w:ascii="Book Antiqua" w:hAnsi="Book Antiqua" w:cs="Calibri"/>
          <w:sz w:val="24"/>
          <w:szCs w:val="24"/>
          <w:lang w:val="en-US"/>
        </w:rPr>
        <w:t xml:space="preserve"> infection in CD patients is a controversial issue</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"16278730", "author" : [ { "dropping-particle" : "", "family" : "Kefalas", "given" : "Costas H.", "non-dropping-particle" : "", "parse-names" : false, "suffix" : "" } ], "container-title" : "BUMC Proceedings.", "id" : "ITEM-1", "issue" : "2", "issued" : { "date-parts" : [ [ "2003" ] ] }, "page" : "147-151", "title" : "Gastroduodenal Crohn's disease", "type" : "article-journal", "volume" : "16" }, "uris" : [ "http://www.mendeley.com/documents/?uuid=b2d2af11-d48d-423a-b188-ad803e388336" ] } ], "mendeley" : { "formattedCitation" : "&lt;sup&gt;[64]&lt;/sup&gt;", "plainTextFormattedCitation" : "[64]", "previouslyFormattedCitation" : "&lt;sup&gt;[64]&lt;/sup&gt;"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w:t>
      </w:r>
      <w:r w:rsidR="005A1C67" w:rsidRPr="003D034F">
        <w:rPr>
          <w:rFonts w:ascii="Book Antiqua" w:hAnsi="Book Antiqua" w:cs="Calibri"/>
          <w:sz w:val="24"/>
          <w:szCs w:val="24"/>
          <w:vertAlign w:val="superscript"/>
          <w:lang w:val="en-US" w:eastAsia="zh-CN"/>
        </w:rPr>
        <w:t>50,</w:t>
      </w:r>
      <w:r w:rsidR="00EE109A" w:rsidRPr="003D034F">
        <w:rPr>
          <w:rFonts w:ascii="Book Antiqua" w:hAnsi="Book Antiqua" w:cs="Calibri"/>
          <w:sz w:val="24"/>
          <w:szCs w:val="24"/>
          <w:vertAlign w:val="superscript"/>
          <w:lang w:val="en-US"/>
        </w:rPr>
        <w:t>64</w:t>
      </w:r>
      <w:r w:rsidR="005A1C67" w:rsidRPr="003D034F">
        <w:rPr>
          <w:rFonts w:ascii="Book Antiqua" w:hAnsi="Book Antiqua" w:cs="Calibri"/>
          <w:sz w:val="24"/>
          <w:szCs w:val="24"/>
          <w:vertAlign w:val="superscript"/>
          <w:lang w:val="en-US" w:eastAsia="zh-CN"/>
        </w:rPr>
        <w:t>,80</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8320D3" w:rsidRPr="003D034F">
        <w:rPr>
          <w:rFonts w:ascii="Book Antiqua" w:hAnsi="Book Antiqua" w:cs="Calibri"/>
          <w:sz w:val="24"/>
          <w:szCs w:val="24"/>
          <w:lang w:val="en-US"/>
        </w:rPr>
        <w:t>. T</w:t>
      </w:r>
      <w:r w:rsidRPr="003D034F">
        <w:rPr>
          <w:rFonts w:ascii="Book Antiqua" w:hAnsi="Book Antiqua" w:cs="Calibri"/>
          <w:sz w:val="24"/>
          <w:szCs w:val="24"/>
          <w:lang w:val="en-US"/>
        </w:rPr>
        <w:t>his possible lower frequency may be justified by the prolonged use of medicines such as sulfasalazine, frequent use of antibiotics, socioeconomic distribution or unknown immune and infectious mechanisms</w:t>
      </w:r>
      <w:r w:rsidR="00056AC0" w:rsidRPr="003D034F">
        <w:rPr>
          <w:rFonts w:ascii="Book Antiqua" w:hAnsi="Book Antiqua" w:cs="Calibri"/>
          <w:sz w:val="24"/>
          <w:szCs w:val="24"/>
          <w:lang w:val="en-US"/>
        </w:rPr>
        <w:fldChar w:fldCharType="begin" w:fldLock="1"/>
      </w:r>
      <w:r w:rsidR="0025673C" w:rsidRPr="003D034F">
        <w:rPr>
          <w:rFonts w:ascii="Book Antiqua" w:hAnsi="Book Antiqua" w:cs="Calibri"/>
          <w:sz w:val="24"/>
          <w:szCs w:val="24"/>
          <w:lang w:val="en-US"/>
        </w:rPr>
        <w:instrText>ADDIN CSL_CITATION { "citationItems" : [ { "id" : "ITEM-1", "itemData" : { "ISBN" : "0017-5749", "ISSN" : "0017-5749", "PMID" : "8675090", "abstract" : "The frequency of gastric Crohn's disease has been considered low. This study was undertaken to determine the prevalence of chronic gastritis and Helicobacter pylori infection in patients with Crohn's disease. Oesophagogastroduodenoscopy was performed on 62 consecutive patients suffering from ileocolonic Crohn's disease. Biopsy specimens from the antrum and corpus were processed for both histological and bacteriological examinations. H pylori antibodies of IgG and IgA classes were measured in serum samples by enzyme immunoassay. Six patients (9.7%) were infected with H pylori, as shown by histology, and in five of them the infection was also verified by serology. Twenty one patients (32%) had chronic H pylori negative gastritis (negative by both histology and serology) and one of them also had atrophy in the antrum and corpus. Granulomas were found in four patients. The characteristic appearance of H pylori negative gastritis was focal and mostly mild inflammation resembling the inflammatory changes seen in the gut in Crohn's disease. Patients with H pylori negative chronic gastritis had a significantly more active disease in their gut than those with normal gastric mucosa (p &lt; 0.01). It is concluded that H pylori positive gastritis is rare, while H pylori negative gastritis is relatively common in patients with Crohn's disease. H pylori negative 'Crohn's gastritis' seems to be associated with active Crohn's disease.", "author" : [ { "dropping-particle" : "", "family" : "Halme", "given" : "L", "non-dropping-particle" : "", "parse-names" : false, "suffix" : "" }, { "dropping-particle" : "", "family" : "Karkkainen", "given" : "P", "non-dropping-particle" : "", "parse-names" : false, "suffix" : "" }, { "dropping-particle" : "", "family" : "Rautelin", "given" : "H", "non-dropping-particle" : "", "parse-names" : false, "suffix" : "" }, { "dropping-particle" : "", "family" : "Kosunen", "given" : "T U", "non-dropping-particle" : "", "parse-names" : false, "suffix" : "" }, { "dropping-particle" : "", "family" : "Sipponen", "given" : "P", "non-dropping-particle" : "", "parse-names" : false, "suffix" : "" } ], "container-title" : "Gut", "id" : "ITEM-1", "issue" : "3", "issued" : { "date-parts" : [ [ "1996" ] ] }, "page" : "379-383", "title" : "High frequency of helicobacter negative gastritis in patients with Crohn's disease", "type" : "article-journal", "volume" : "38" }, "uris" : [ "http://www.mendeley.com/documents/?uuid=f2f8457f-4ead-4cc0-9b91-b1ea2df08e42" ] } ], "mendeley" : { "formattedCitation" : "&lt;sup&gt;[13]&lt;/sup&gt;", "plainTextFormattedCitation" : "[13]", "previouslyFormattedCitation" : "&lt;sup&gt;[13]&lt;/sup&gt;"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25673C" w:rsidRPr="003D034F">
        <w:rPr>
          <w:rFonts w:ascii="Book Antiqua" w:hAnsi="Book Antiqua" w:cs="Calibri"/>
          <w:sz w:val="24"/>
          <w:szCs w:val="24"/>
          <w:vertAlign w:val="superscript"/>
          <w:lang w:val="en-US"/>
        </w:rPr>
        <w:t>[13</w:t>
      </w:r>
      <w:r w:rsidR="005A1C67" w:rsidRPr="003D034F">
        <w:rPr>
          <w:rFonts w:ascii="Book Antiqua" w:hAnsi="Book Antiqua" w:cs="Calibri"/>
          <w:sz w:val="24"/>
          <w:szCs w:val="24"/>
          <w:vertAlign w:val="superscript"/>
          <w:lang w:val="en-US" w:eastAsia="zh-CN"/>
        </w:rPr>
        <w:t>,87</w:t>
      </w:r>
      <w:r w:rsidR="0025673C"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E61935" w:rsidRPr="003D034F">
        <w:rPr>
          <w:rFonts w:ascii="Book Antiqua" w:hAnsi="Book Antiqua" w:cs="Calibri"/>
          <w:sz w:val="24"/>
          <w:szCs w:val="24"/>
          <w:lang w:val="en-US"/>
        </w:rPr>
        <w:t xml:space="preserve">. </w:t>
      </w:r>
      <w:r w:rsidRPr="003D034F">
        <w:rPr>
          <w:rFonts w:ascii="Book Antiqua" w:hAnsi="Book Antiqua" w:cs="Calibri"/>
          <w:sz w:val="24"/>
          <w:szCs w:val="24"/>
          <w:lang w:val="en-US"/>
        </w:rPr>
        <w:t>The interaction with the immune system of the host, acting on the dendritic cells</w:t>
      </w:r>
      <w:r w:rsidR="00700F65" w:rsidRPr="003D034F">
        <w:rPr>
          <w:rFonts w:ascii="Book Antiqua" w:hAnsi="Book Antiqua" w:cs="Calibri"/>
          <w:sz w:val="24"/>
          <w:szCs w:val="24"/>
          <w:lang w:val="en-US"/>
        </w:rPr>
        <w:t>,</w:t>
      </w:r>
      <w:r w:rsidRPr="003D034F">
        <w:rPr>
          <w:rFonts w:ascii="Book Antiqua" w:hAnsi="Book Antiqua" w:cs="Calibri"/>
          <w:sz w:val="24"/>
          <w:szCs w:val="24"/>
          <w:lang w:val="en-US"/>
        </w:rPr>
        <w:t xml:space="preserve"> leading to an upregulation of the inflammatory T cells and, in turn, the reduction of the production of pro-inflammatory cytokines, downregulation of the Th1/Th17 cascade and increase</w:t>
      </w:r>
      <w:r w:rsidR="00700F65" w:rsidRPr="003D034F">
        <w:rPr>
          <w:rFonts w:ascii="Book Antiqua" w:hAnsi="Book Antiqua" w:cs="Calibri"/>
          <w:sz w:val="24"/>
          <w:szCs w:val="24"/>
          <w:lang w:val="en-US"/>
        </w:rPr>
        <w:t>d</w:t>
      </w:r>
      <w:r w:rsidRPr="003D034F">
        <w:rPr>
          <w:rFonts w:ascii="Book Antiqua" w:hAnsi="Book Antiqua" w:cs="Calibri"/>
          <w:sz w:val="24"/>
          <w:szCs w:val="24"/>
          <w:lang w:val="en-US"/>
        </w:rPr>
        <w:t xml:space="preserve"> levels of some cytokines are some of the mechanisms proposed to justify the protective role of </w:t>
      </w:r>
      <w:r w:rsidRPr="003D034F">
        <w:rPr>
          <w:rFonts w:ascii="Book Antiqua" w:hAnsi="Book Antiqua" w:cs="Calibri"/>
          <w:i/>
          <w:sz w:val="24"/>
          <w:szCs w:val="24"/>
          <w:lang w:val="en-US"/>
        </w:rPr>
        <w:t>H. pylori</w:t>
      </w:r>
      <w:r w:rsidRPr="003D034F">
        <w:rPr>
          <w:rFonts w:ascii="Book Antiqua" w:hAnsi="Book Antiqua" w:cs="Calibri"/>
          <w:sz w:val="24"/>
          <w:szCs w:val="24"/>
          <w:lang w:val="en-US"/>
        </w:rPr>
        <w:t xml:space="preserve"> infection</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"10.1002/ibd.21116.", "PMID" : "19760778", "author" : [ { "dropping-particle" : "", "family" : "Luther", "given" : "Jay", "non-dropping-particle" : "", "parse-names" : false, "suffix" : "" }, { "dropping-particle" : "", "family" : "Dave", "given" : "Maneesh", "non-dropping-particle" : "", "parse-names" : false, "suffix" : "" }, { "dropping-particle" : "", "family" : "Higgins", "given" : "Peter D R", "non-dropping-particle" : "", "parse-names" : false, "suffix" : "" }, { "dropping-particle" : "", "family" : "Kao", "given" : "John Y", "non-dropping-particle" : "", "parse-names" : false, "suffix" : "" } ], "container-title" : "Inflammatory Bowel Diseases", "id" : "ITEM-1", "issue" : "6", "issued" : { "date-parts" : [ [ "2010" ] ] }, "page" : "1077-1084", "title" : "Association between Helicobacter pylori infection and inflammatory bowel disease", "type" : "article-journal", "volume" : "16" }, "uris" : [ "http://www.mendeley.com/documents/?uuid=c7852ebd-11e6-4cde-baa3-77f90a36ba6e" ] } ], "mendeley" : { "formattedCitation" : "&lt;sup&gt;[90]&lt;/sup&gt;", "plainTextFormattedCitation" : "[90]", "previouslyFormattedCitation" : "&lt;sup&gt;[90]&lt;/sup&gt;"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[90</w:t>
      </w:r>
      <w:r w:rsidR="005A1C67" w:rsidRPr="003D034F">
        <w:rPr>
          <w:rFonts w:ascii="Book Antiqua" w:hAnsi="Book Antiqua" w:cs="Calibri"/>
          <w:sz w:val="24"/>
          <w:szCs w:val="24"/>
          <w:vertAlign w:val="superscript"/>
          <w:lang w:val="en-US" w:eastAsia="zh-CN"/>
        </w:rPr>
        <w:t>,91</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3F57FD" w:rsidRPr="003D034F">
        <w:rPr>
          <w:rFonts w:ascii="Book Antiqua" w:hAnsi="Book Antiqua" w:cs="Calibri"/>
          <w:sz w:val="24"/>
          <w:szCs w:val="24"/>
          <w:lang w:val="en-US"/>
        </w:rPr>
        <w:t xml:space="preserve">. </w:t>
      </w:r>
    </w:p>
    <w:p w:rsidR="00C918FD" w:rsidRPr="003D034F" w:rsidRDefault="008F373E" w:rsidP="003D034F">
      <w:pPr>
        <w:spacing w:after="0" w:line="360" w:lineRule="auto"/>
        <w:ind w:firstLineChars="100" w:firstLine="240"/>
        <w:jc w:val="both"/>
        <w:rPr>
          <w:rFonts w:ascii="Book Antiqua" w:hAnsi="Book Antiqua" w:cs="Calibri"/>
          <w:sz w:val="24"/>
          <w:szCs w:val="24"/>
          <w:lang w:val="en-US"/>
        </w:rPr>
      </w:pPr>
      <w:r w:rsidRPr="003D034F">
        <w:rPr>
          <w:rFonts w:ascii="Book Antiqua" w:hAnsi="Book Antiqua" w:cs="Calibri"/>
          <w:sz w:val="24"/>
          <w:szCs w:val="24"/>
          <w:lang w:val="en-US"/>
        </w:rPr>
        <w:lastRenderedPageBreak/>
        <w:t xml:space="preserve">A meta-analysis by Luther </w:t>
      </w:r>
      <w:r w:rsidRPr="003D034F">
        <w:rPr>
          <w:rFonts w:ascii="Book Antiqua" w:hAnsi="Book Antiqua" w:cs="Calibri"/>
          <w:i/>
          <w:sz w:val="24"/>
          <w:szCs w:val="24"/>
          <w:lang w:val="en-US"/>
        </w:rPr>
        <w:t>et al</w:t>
      </w:r>
      <w:r w:rsidR="00A65D29" w:rsidRPr="003D034F">
        <w:rPr>
          <w:rFonts w:ascii="Book Antiqua" w:hAnsi="Book Antiqua" w:cs="Calibri"/>
          <w:sz w:val="24"/>
          <w:szCs w:val="24"/>
          <w:lang w:val="en-US"/>
        </w:rPr>
        <w:fldChar w:fldCharType="begin" w:fldLock="1"/>
      </w:r>
      <w:r w:rsidR="00A65D29" w:rsidRPr="003D034F">
        <w:rPr>
          <w:rFonts w:ascii="Book Antiqua" w:hAnsi="Book Antiqua" w:cs="Calibri"/>
          <w:sz w:val="24"/>
          <w:szCs w:val="24"/>
          <w:lang w:val="en-US"/>
        </w:rPr>
        <w:instrText>ADDIN CSL_CITATION { "citationItems" : [ { "id" : "ITEM-1", "itemData" : { "DOI" : "10.1002/ibd.21116.", "PMID" : "19760778", "author" : [ { "dropping-particle" : "", "family" : "Luther", "given" : "Jay", "non-dropping-particle" : "", "parse-names" : false, "suffix" : "" }, { "dropping-particle" : "", "family" : "Dave", "given" : "Maneesh", "non-dropping-particle" : "", "parse-names" : false, "suffix" : "" }, { "dropping-particle" : "", "family" : "Higgins", "given" : "Peter D R", "non-dropping-particle" : "", "parse-names" : false, "suffix" : "" }, { "dropping-particle" : "", "family" : "Kao", "given" : "John Y", "non-dropping-particle" : "", "parse-names" : false, "suffix" : "" } ], "container-title" : "Inflammatory Bowel Diseases", "id" : "ITEM-1", "issue" : "6", "issued" : { "date-parts" : [ [ "2010" ] ] }, "page" : "1077-1084", "title" : "Association between Helicobacter pylori infection and inflammatory bowel disease", "type" : "article-journal", "volume" : "16" }, "uris" : [ "http://www.mendeley.com/documents/?uuid=c7852ebd-11e6-4cde-baa3-77f90a36ba6e" ] } ], "mendeley" : { "formattedCitation" : "&lt;sup&gt;[90]&lt;/sup&gt;", "plainTextFormattedCitation" : "[90]", "previouslyFormattedCitation" : "&lt;sup&gt;[90]&lt;/sup&gt;" }, "properties" : {  }, "schema" : "https://github.com/citation-style-language/schema/raw/master/csl-citation.json" }</w:instrText>
      </w:r>
      <w:r w:rsidR="00A65D29" w:rsidRPr="003D034F">
        <w:rPr>
          <w:rFonts w:ascii="Book Antiqua" w:hAnsi="Book Antiqua" w:cs="Calibri"/>
          <w:sz w:val="24"/>
          <w:szCs w:val="24"/>
          <w:lang w:val="en-US"/>
        </w:rPr>
        <w:fldChar w:fldCharType="separate"/>
      </w:r>
      <w:r w:rsidR="00A65D29" w:rsidRPr="003D034F">
        <w:rPr>
          <w:rFonts w:ascii="Book Antiqua" w:hAnsi="Book Antiqua" w:cs="Calibri"/>
          <w:sz w:val="24"/>
          <w:szCs w:val="24"/>
          <w:vertAlign w:val="superscript"/>
          <w:lang w:val="en-US"/>
        </w:rPr>
        <w:t>[90]</w:t>
      </w:r>
      <w:r w:rsidR="00A65D29" w:rsidRPr="003D034F">
        <w:rPr>
          <w:rFonts w:ascii="Book Antiqua" w:hAnsi="Book Antiqua" w:cs="Calibri"/>
          <w:sz w:val="24"/>
          <w:szCs w:val="24"/>
          <w:lang w:val="en-US"/>
        </w:rPr>
        <w:fldChar w:fldCharType="end"/>
      </w:r>
      <w:r w:rsidRPr="003D034F">
        <w:rPr>
          <w:rFonts w:ascii="Book Antiqua" w:hAnsi="Book Antiqua" w:cs="Calibri"/>
          <w:sz w:val="24"/>
          <w:szCs w:val="24"/>
          <w:lang w:val="en-US"/>
        </w:rPr>
        <w:t xml:space="preserve"> suggests a beneficial protective effect of </w:t>
      </w:r>
      <w:r w:rsidRPr="003D034F">
        <w:rPr>
          <w:rFonts w:ascii="Book Antiqua" w:hAnsi="Book Antiqua" w:cs="Calibri"/>
          <w:i/>
          <w:sz w:val="24"/>
          <w:szCs w:val="24"/>
          <w:lang w:val="en-US"/>
        </w:rPr>
        <w:t>H. pylori</w:t>
      </w:r>
      <w:r w:rsidRPr="003D034F">
        <w:rPr>
          <w:rFonts w:ascii="Book Antiqua" w:hAnsi="Book Antiqua" w:cs="Calibri"/>
          <w:sz w:val="24"/>
          <w:szCs w:val="24"/>
          <w:lang w:val="en-US"/>
        </w:rPr>
        <w:t xml:space="preserve"> infection against the development of IBD. </w:t>
      </w:r>
      <w:r w:rsidR="00700F65" w:rsidRPr="003D034F">
        <w:rPr>
          <w:rFonts w:ascii="Book Antiqua" w:hAnsi="Book Antiqua" w:cs="Calibri"/>
          <w:i/>
          <w:sz w:val="24"/>
          <w:szCs w:val="24"/>
          <w:lang w:val="en-US"/>
        </w:rPr>
        <w:t>H. pylori</w:t>
      </w:r>
      <w:r w:rsidR="00700F65" w:rsidRPr="003D034F">
        <w:rPr>
          <w:rFonts w:ascii="Book Antiqua" w:hAnsi="Book Antiqua" w:cs="Calibri"/>
          <w:sz w:val="24"/>
          <w:szCs w:val="24"/>
          <w:lang w:val="en-US"/>
        </w:rPr>
        <w:t xml:space="preserve"> infection was evidenced in 27.1% of p</w:t>
      </w:r>
      <w:r w:rsidRPr="003D034F">
        <w:rPr>
          <w:rFonts w:ascii="Book Antiqua" w:hAnsi="Book Antiqua" w:cs="Calibri"/>
          <w:sz w:val="24"/>
          <w:szCs w:val="24"/>
          <w:lang w:val="en-US"/>
        </w:rPr>
        <w:t>atients with IBD and 40.9%</w:t>
      </w:r>
      <w:r w:rsidR="00700F65" w:rsidRPr="003D034F">
        <w:rPr>
          <w:rFonts w:ascii="Book Antiqua" w:hAnsi="Book Antiqua" w:cs="Calibri"/>
          <w:sz w:val="24"/>
          <w:szCs w:val="24"/>
          <w:lang w:val="en-US"/>
        </w:rPr>
        <w:t xml:space="preserve"> of controls</w:t>
      </w:r>
      <w:r w:rsidR="00A65D29" w:rsidRPr="003D034F">
        <w:rPr>
          <w:rFonts w:ascii="Book Antiqua" w:hAnsi="Book Antiqua" w:cs="Calibri"/>
          <w:sz w:val="24"/>
          <w:szCs w:val="24"/>
          <w:lang w:val="en-US"/>
        </w:rPr>
        <w:t xml:space="preserve"> </w:t>
      </w:r>
      <w:r w:rsidR="00A65D29" w:rsidRPr="003D034F">
        <w:rPr>
          <w:rFonts w:ascii="Book Antiqua" w:hAnsi="Book Antiqua" w:cs="Calibri"/>
          <w:sz w:val="24"/>
          <w:szCs w:val="24"/>
          <w:lang w:val="en-US" w:eastAsia="zh-CN"/>
        </w:rPr>
        <w:t>[</w:t>
      </w:r>
      <w:r w:rsidR="00A65D29" w:rsidRPr="003D034F">
        <w:rPr>
          <w:rFonts w:ascii="Book Antiqua" w:hAnsi="Book Antiqua" w:cs="Calibri"/>
          <w:sz w:val="24"/>
          <w:szCs w:val="24"/>
          <w:lang w:val="en-US"/>
        </w:rPr>
        <w:t xml:space="preserve">Risk ratio </w:t>
      </w:r>
      <w:r w:rsidR="00A65D29" w:rsidRPr="003D034F">
        <w:rPr>
          <w:rFonts w:ascii="Book Antiqua" w:hAnsi="Book Antiqua" w:cs="Calibri"/>
          <w:sz w:val="24"/>
          <w:szCs w:val="24"/>
          <w:lang w:val="en-US" w:eastAsia="zh-CN"/>
        </w:rPr>
        <w:t>(</w:t>
      </w:r>
      <w:r w:rsidR="00A65D29" w:rsidRPr="003D034F">
        <w:rPr>
          <w:rFonts w:ascii="Book Antiqua" w:hAnsi="Book Antiqua" w:cs="Calibri"/>
          <w:sz w:val="24"/>
          <w:szCs w:val="24"/>
          <w:lang w:val="en-US"/>
        </w:rPr>
        <w:t>RR</w:t>
      </w:r>
      <w:r w:rsidR="00A65D29" w:rsidRPr="003D034F">
        <w:rPr>
          <w:rFonts w:ascii="Book Antiqua" w:hAnsi="Book Antiqua" w:cs="Calibri"/>
          <w:sz w:val="24"/>
          <w:szCs w:val="24"/>
          <w:lang w:val="en-US" w:eastAsia="zh-CN"/>
        </w:rPr>
        <w:t>)</w:t>
      </w:r>
      <w:r w:rsidR="00A65D29" w:rsidRPr="003D034F">
        <w:rPr>
          <w:rFonts w:ascii="Book Antiqua" w:hAnsi="Book Antiqua" w:cs="Calibri"/>
          <w:sz w:val="24"/>
          <w:szCs w:val="24"/>
          <w:lang w:val="en-US"/>
        </w:rPr>
        <w:t xml:space="preserve"> 0.64, 95%CI 0.54-0.75</w:t>
      </w:r>
      <w:r w:rsidR="00A65D29" w:rsidRPr="003D034F">
        <w:rPr>
          <w:rFonts w:ascii="Book Antiqua" w:hAnsi="Book Antiqua" w:cs="Calibri"/>
          <w:sz w:val="24"/>
          <w:szCs w:val="24"/>
          <w:lang w:val="en-US" w:eastAsia="zh-CN"/>
        </w:rPr>
        <w:t>]</w:t>
      </w:r>
      <w:r w:rsidRPr="003D034F">
        <w:rPr>
          <w:rFonts w:ascii="Book Antiqua" w:hAnsi="Book Antiqua" w:cs="Calibri"/>
          <w:sz w:val="24"/>
          <w:szCs w:val="24"/>
          <w:lang w:val="en-US"/>
        </w:rPr>
        <w:t xml:space="preserve">. In the subgroup analysis, a greater effect was observed in the group of </w:t>
      </w:r>
      <w:r w:rsidR="00A65D29" w:rsidRPr="003D034F">
        <w:rPr>
          <w:rFonts w:ascii="Book Antiqua" w:hAnsi="Book Antiqua" w:cs="Calibri"/>
          <w:sz w:val="24"/>
          <w:szCs w:val="24"/>
          <w:lang w:val="en-US"/>
        </w:rPr>
        <w:t>subjects with CD (RR: 0.60, 95%</w:t>
      </w:r>
      <w:r w:rsidR="004155B8" w:rsidRPr="003D034F">
        <w:rPr>
          <w:rFonts w:ascii="Book Antiqua" w:hAnsi="Book Antiqua" w:cs="Calibri"/>
          <w:sz w:val="24"/>
          <w:szCs w:val="24"/>
          <w:lang w:val="en-US"/>
        </w:rPr>
        <w:t>CI</w:t>
      </w:r>
      <w:r w:rsidRPr="003D034F">
        <w:rPr>
          <w:rFonts w:ascii="Book Antiqua" w:hAnsi="Book Antiqua" w:cs="Calibri"/>
          <w:sz w:val="24"/>
          <w:szCs w:val="24"/>
          <w:lang w:val="en-US"/>
        </w:rPr>
        <w:t xml:space="preserve"> 0.49-0.7</w:t>
      </w:r>
      <w:r w:rsidR="00A65D29" w:rsidRPr="003D034F">
        <w:rPr>
          <w:rFonts w:ascii="Book Antiqua" w:hAnsi="Book Antiqua" w:cs="Calibri"/>
          <w:sz w:val="24"/>
          <w:szCs w:val="24"/>
          <w:lang w:val="en-US"/>
        </w:rPr>
        <w:t>9) compared to UC (RR 0.75, 95%</w:t>
      </w:r>
      <w:r w:rsidR="004155B8" w:rsidRPr="003D034F">
        <w:rPr>
          <w:rFonts w:ascii="Book Antiqua" w:hAnsi="Book Antiqua" w:cs="Calibri"/>
          <w:sz w:val="24"/>
          <w:szCs w:val="24"/>
          <w:lang w:val="en-US"/>
        </w:rPr>
        <w:t>CI</w:t>
      </w:r>
      <w:r w:rsidRPr="003D034F">
        <w:rPr>
          <w:rFonts w:ascii="Book Antiqua" w:hAnsi="Book Antiqua" w:cs="Calibri"/>
          <w:sz w:val="24"/>
          <w:szCs w:val="24"/>
          <w:lang w:val="en-US"/>
        </w:rPr>
        <w:t xml:space="preserve"> 0.62-0.90). However, significant heterogeneity of the included studies was observed (</w:t>
      </w:r>
      <w:r w:rsidRPr="003D034F">
        <w:rPr>
          <w:rFonts w:ascii="Book Antiqua" w:hAnsi="Book Antiqua" w:cs="Calibri"/>
          <w:i/>
          <w:sz w:val="24"/>
          <w:szCs w:val="24"/>
          <w:lang w:val="en-US"/>
        </w:rPr>
        <w:t>I</w:t>
      </w:r>
      <w:r w:rsidRPr="003D034F">
        <w:rPr>
          <w:rFonts w:ascii="Book Antiqua" w:hAnsi="Book Antiqua" w:cs="Calibri"/>
          <w:i/>
          <w:sz w:val="24"/>
          <w:szCs w:val="24"/>
          <w:vertAlign w:val="superscript"/>
          <w:lang w:val="en-US"/>
        </w:rPr>
        <w:t>2</w:t>
      </w:r>
      <w:r w:rsidRPr="003D034F">
        <w:rPr>
          <w:rFonts w:ascii="Book Antiqua" w:hAnsi="Book Antiqua" w:cs="Calibri"/>
          <w:sz w:val="24"/>
          <w:szCs w:val="24"/>
          <w:lang w:val="en-US"/>
        </w:rPr>
        <w:t xml:space="preserve"> = 5.8%), which limits the interpretation of this association</w:t>
      </w:r>
      <w:r w:rsidR="00226F95" w:rsidRPr="003D034F">
        <w:rPr>
          <w:rFonts w:ascii="Book Antiqua" w:hAnsi="Book Antiqua" w:cs="Calibri"/>
          <w:sz w:val="24"/>
          <w:szCs w:val="24"/>
          <w:lang w:val="en-US"/>
        </w:rPr>
        <w:t xml:space="preserve">. </w:t>
      </w:r>
      <w:r w:rsidR="00376B90" w:rsidRPr="003D034F">
        <w:rPr>
          <w:rFonts w:ascii="Book Antiqua" w:hAnsi="Book Antiqua" w:cs="Calibri"/>
          <w:sz w:val="24"/>
          <w:szCs w:val="24"/>
          <w:lang w:val="en-US"/>
        </w:rPr>
        <w:t>Another meta-analysis</w:t>
      </w:r>
      <w:r w:rsidR="00700F65" w:rsidRPr="003D034F">
        <w:rPr>
          <w:rFonts w:ascii="Book Antiqua" w:hAnsi="Book Antiqua" w:cs="Calibri"/>
          <w:sz w:val="24"/>
          <w:szCs w:val="24"/>
          <w:lang w:val="en-US"/>
        </w:rPr>
        <w:t>,</w:t>
      </w:r>
      <w:r w:rsidR="00376B90" w:rsidRPr="003D034F">
        <w:rPr>
          <w:rFonts w:ascii="Book Antiqua" w:hAnsi="Book Antiqua" w:cs="Calibri"/>
          <w:sz w:val="24"/>
          <w:szCs w:val="24"/>
          <w:lang w:val="en-US"/>
        </w:rPr>
        <w:t xml:space="preserve"> performed in </w:t>
      </w:r>
      <w:r w:rsidR="00700F65" w:rsidRPr="003D034F">
        <w:rPr>
          <w:rFonts w:ascii="Book Antiqua" w:hAnsi="Book Antiqua" w:cs="Calibri"/>
          <w:sz w:val="24"/>
          <w:szCs w:val="24"/>
          <w:lang w:val="en-US"/>
        </w:rPr>
        <w:t xml:space="preserve">an </w:t>
      </w:r>
      <w:r w:rsidR="00376B90" w:rsidRPr="003D034F">
        <w:rPr>
          <w:rFonts w:ascii="Book Antiqua" w:hAnsi="Book Antiqua" w:cs="Calibri"/>
          <w:sz w:val="24"/>
          <w:szCs w:val="24"/>
          <w:lang w:val="en-US"/>
        </w:rPr>
        <w:t xml:space="preserve">Asian population that included 1299 patients with IBD and 1817 controls, showed that 24.9% and 48.3% had </w:t>
      </w:r>
      <w:r w:rsidR="00376B90" w:rsidRPr="003D034F">
        <w:rPr>
          <w:rFonts w:ascii="Book Antiqua" w:hAnsi="Book Antiqua" w:cs="Calibri"/>
          <w:i/>
          <w:sz w:val="24"/>
          <w:szCs w:val="24"/>
          <w:lang w:val="en-US"/>
        </w:rPr>
        <w:t>H. pylori</w:t>
      </w:r>
      <w:r w:rsidR="00376B90" w:rsidRPr="003D034F">
        <w:rPr>
          <w:rFonts w:ascii="Book Antiqua" w:hAnsi="Book Antiqua" w:cs="Calibri"/>
          <w:sz w:val="24"/>
          <w:szCs w:val="24"/>
          <w:lang w:val="en-US"/>
        </w:rPr>
        <w:t xml:space="preserve"> infection, respectively. The RR of </w:t>
      </w:r>
      <w:r w:rsidR="00376B90" w:rsidRPr="003D034F">
        <w:rPr>
          <w:rFonts w:ascii="Book Antiqua" w:hAnsi="Book Antiqua" w:cs="Calibri"/>
          <w:i/>
          <w:sz w:val="24"/>
          <w:szCs w:val="24"/>
          <w:lang w:val="en-US"/>
        </w:rPr>
        <w:t>H. pylori</w:t>
      </w:r>
      <w:r w:rsidR="00376B90" w:rsidRPr="003D034F">
        <w:rPr>
          <w:rFonts w:ascii="Book Antiqua" w:hAnsi="Book Antiqua" w:cs="Calibri"/>
          <w:sz w:val="24"/>
          <w:szCs w:val="24"/>
          <w:lang w:val="en-US"/>
        </w:rPr>
        <w:t xml:space="preserve"> infection in patients with IBD when compared to </w:t>
      </w:r>
      <w:r w:rsidR="00A65D29" w:rsidRPr="003D034F">
        <w:rPr>
          <w:rFonts w:ascii="Book Antiqua" w:hAnsi="Book Antiqua" w:cs="Calibri"/>
          <w:sz w:val="24"/>
          <w:szCs w:val="24"/>
          <w:lang w:val="en-US"/>
        </w:rPr>
        <w:t>the control group was 0.47 (95%</w:t>
      </w:r>
      <w:r w:rsidR="00376B90" w:rsidRPr="003D034F">
        <w:rPr>
          <w:rFonts w:ascii="Book Antiqua" w:hAnsi="Book Antiqua" w:cs="Calibri"/>
          <w:sz w:val="24"/>
          <w:szCs w:val="24"/>
          <w:lang w:val="en-US"/>
        </w:rPr>
        <w:t xml:space="preserve">CI 0.43-0.54, </w:t>
      </w:r>
      <w:r w:rsidR="00A65D29" w:rsidRPr="003D034F">
        <w:rPr>
          <w:rFonts w:ascii="Book Antiqua" w:hAnsi="Book Antiqua" w:cs="Calibri"/>
          <w:i/>
          <w:sz w:val="24"/>
          <w:szCs w:val="24"/>
          <w:lang w:val="en-US"/>
        </w:rPr>
        <w:t>P</w:t>
      </w:r>
      <w:r w:rsidR="00376B90" w:rsidRPr="003D034F">
        <w:rPr>
          <w:rFonts w:ascii="Book Antiqua" w:hAnsi="Book Antiqua" w:cs="Calibri"/>
          <w:sz w:val="24"/>
          <w:szCs w:val="24"/>
          <w:lang w:val="en-US"/>
        </w:rPr>
        <w:t xml:space="preserve"> &lt;</w:t>
      </w:r>
      <w:r w:rsidR="00A65D29" w:rsidRPr="003D034F">
        <w:rPr>
          <w:rFonts w:ascii="Book Antiqua" w:hAnsi="Book Antiqua" w:cs="Calibri"/>
          <w:sz w:val="24"/>
          <w:szCs w:val="24"/>
          <w:lang w:val="en-US" w:eastAsia="zh-CN"/>
        </w:rPr>
        <w:t xml:space="preserve"> </w:t>
      </w:r>
      <w:r w:rsidR="00376B90" w:rsidRPr="003D034F">
        <w:rPr>
          <w:rFonts w:ascii="Book Antiqua" w:hAnsi="Book Antiqua" w:cs="Calibri"/>
          <w:sz w:val="24"/>
          <w:szCs w:val="24"/>
          <w:lang w:val="en-US"/>
        </w:rPr>
        <w:t>0.001), without significant heterogeneity (</w:t>
      </w:r>
      <w:r w:rsidR="00376B90" w:rsidRPr="003D034F">
        <w:rPr>
          <w:rFonts w:ascii="Book Antiqua" w:hAnsi="Book Antiqua" w:cs="Calibri"/>
          <w:i/>
          <w:sz w:val="24"/>
          <w:szCs w:val="24"/>
          <w:lang w:val="en-US"/>
        </w:rPr>
        <w:t>I</w:t>
      </w:r>
      <w:r w:rsidR="00376B90" w:rsidRPr="003D034F">
        <w:rPr>
          <w:rFonts w:ascii="Book Antiqua" w:hAnsi="Book Antiqua" w:cs="Calibri"/>
          <w:i/>
          <w:sz w:val="24"/>
          <w:szCs w:val="24"/>
          <w:vertAlign w:val="superscript"/>
          <w:lang w:val="en-US"/>
        </w:rPr>
        <w:t>2</w:t>
      </w:r>
      <w:r w:rsidR="00376B90" w:rsidRPr="003D034F">
        <w:rPr>
          <w:rFonts w:ascii="Book Antiqua" w:hAnsi="Book Antiqua" w:cs="Calibri"/>
          <w:sz w:val="24"/>
          <w:szCs w:val="24"/>
          <w:lang w:val="en-US"/>
        </w:rPr>
        <w:t xml:space="preserve"> = 21%). In the group of CD patients, 21.3% of patients with </w:t>
      </w:r>
      <w:r w:rsidR="00376B90" w:rsidRPr="003D034F">
        <w:rPr>
          <w:rFonts w:ascii="Book Antiqua" w:hAnsi="Book Antiqua" w:cs="Calibri"/>
          <w:i/>
          <w:sz w:val="24"/>
          <w:szCs w:val="24"/>
          <w:lang w:val="en-US"/>
        </w:rPr>
        <w:t>H. pylori</w:t>
      </w:r>
      <w:r w:rsidR="00376B90" w:rsidRPr="003D034F">
        <w:rPr>
          <w:rFonts w:ascii="Book Antiqua" w:hAnsi="Book Antiqua" w:cs="Calibri"/>
          <w:sz w:val="24"/>
          <w:szCs w:val="24"/>
          <w:lang w:val="en-US"/>
        </w:rPr>
        <w:t xml:space="preserve"> infection were observed, compared to 47.7% in the </w:t>
      </w:r>
      <w:r w:rsidR="004155B8" w:rsidRPr="003D034F">
        <w:rPr>
          <w:rFonts w:ascii="Book Antiqua" w:hAnsi="Book Antiqua" w:cs="Calibri"/>
          <w:sz w:val="24"/>
          <w:szCs w:val="24"/>
          <w:lang w:val="en-US"/>
        </w:rPr>
        <w:t>control group and (RR 0.43; 95%CI</w:t>
      </w:r>
      <w:r w:rsidR="00376B90" w:rsidRPr="003D034F">
        <w:rPr>
          <w:rFonts w:ascii="Book Antiqua" w:hAnsi="Book Antiqua" w:cs="Calibri"/>
          <w:sz w:val="24"/>
          <w:szCs w:val="24"/>
          <w:lang w:val="en-US"/>
        </w:rPr>
        <w:t xml:space="preserve"> 0.37-0.50; </w:t>
      </w:r>
      <w:r w:rsidR="00376B90" w:rsidRPr="003D034F">
        <w:rPr>
          <w:rFonts w:ascii="Book Antiqua" w:hAnsi="Book Antiqua" w:cs="Calibri"/>
          <w:i/>
          <w:sz w:val="24"/>
          <w:szCs w:val="24"/>
          <w:lang w:val="en-US"/>
        </w:rPr>
        <w:t>P</w:t>
      </w:r>
      <w:r w:rsidR="00376B90" w:rsidRPr="003D034F">
        <w:rPr>
          <w:rFonts w:ascii="Book Antiqua" w:hAnsi="Book Antiqua" w:cs="Calibri"/>
          <w:sz w:val="24"/>
          <w:szCs w:val="24"/>
          <w:lang w:val="en-US"/>
        </w:rPr>
        <w:t xml:space="preserve"> &lt;</w:t>
      </w:r>
      <w:r w:rsidR="004155B8" w:rsidRPr="003D034F">
        <w:rPr>
          <w:rFonts w:ascii="Book Antiqua" w:hAnsi="Book Antiqua" w:cs="Calibri"/>
          <w:sz w:val="24"/>
          <w:szCs w:val="24"/>
          <w:lang w:val="en-US" w:eastAsia="zh-CN"/>
        </w:rPr>
        <w:t xml:space="preserve"> </w:t>
      </w:r>
      <w:r w:rsidR="00376B90" w:rsidRPr="003D034F">
        <w:rPr>
          <w:rFonts w:ascii="Book Antiqua" w:hAnsi="Book Antiqua" w:cs="Calibri"/>
          <w:sz w:val="24"/>
          <w:szCs w:val="24"/>
          <w:lang w:val="en-US"/>
        </w:rPr>
        <w:t>0.001)</w:t>
      </w:r>
      <w:r w:rsidR="00700F65" w:rsidRPr="003D034F">
        <w:rPr>
          <w:rFonts w:ascii="Book Antiqua" w:hAnsi="Book Antiqua" w:cs="Calibri"/>
          <w:sz w:val="24"/>
          <w:szCs w:val="24"/>
          <w:lang w:val="en-US"/>
        </w:rPr>
        <w:t>, and there was</w:t>
      </w:r>
      <w:r w:rsidR="00376B90" w:rsidRPr="003D034F">
        <w:rPr>
          <w:rFonts w:ascii="Book Antiqua" w:hAnsi="Book Antiqua" w:cs="Calibri"/>
          <w:sz w:val="24"/>
          <w:szCs w:val="24"/>
          <w:lang w:val="en-US"/>
        </w:rPr>
        <w:t xml:space="preserve"> </w:t>
      </w:r>
      <w:r w:rsidR="008320D3" w:rsidRPr="003D034F">
        <w:rPr>
          <w:rFonts w:ascii="Book Antiqua" w:hAnsi="Book Antiqua" w:cs="Calibri"/>
          <w:sz w:val="24"/>
          <w:szCs w:val="24"/>
          <w:lang w:val="en-US"/>
        </w:rPr>
        <w:t>nons</w:t>
      </w:r>
      <w:r w:rsidR="00376B90" w:rsidRPr="003D034F">
        <w:rPr>
          <w:rFonts w:ascii="Book Antiqua" w:hAnsi="Book Antiqua" w:cs="Calibri"/>
          <w:sz w:val="24"/>
          <w:szCs w:val="24"/>
          <w:lang w:val="en-US"/>
        </w:rPr>
        <w:t>ignificant heterogeneity (</w:t>
      </w:r>
      <w:r w:rsidR="00376B90" w:rsidRPr="003D034F">
        <w:rPr>
          <w:rFonts w:ascii="Book Antiqua" w:hAnsi="Book Antiqua" w:cs="Calibri"/>
          <w:i/>
          <w:sz w:val="24"/>
          <w:szCs w:val="24"/>
          <w:lang w:val="en-US"/>
        </w:rPr>
        <w:t>I</w:t>
      </w:r>
      <w:r w:rsidR="00376B90" w:rsidRPr="003D034F">
        <w:rPr>
          <w:rFonts w:ascii="Book Antiqua" w:hAnsi="Book Antiqua" w:cs="Calibri"/>
          <w:i/>
          <w:sz w:val="24"/>
          <w:szCs w:val="24"/>
          <w:vertAlign w:val="superscript"/>
          <w:lang w:val="en-US"/>
        </w:rPr>
        <w:t>2</w:t>
      </w:r>
      <w:r w:rsidR="00376B90" w:rsidRPr="003D034F">
        <w:rPr>
          <w:rFonts w:ascii="Book Antiqua" w:hAnsi="Book Antiqua" w:cs="Calibri"/>
          <w:sz w:val="24"/>
          <w:szCs w:val="24"/>
          <w:lang w:val="en-US"/>
        </w:rPr>
        <w:t xml:space="preserve"> = 43%)</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"10.3748/wjg.v21.i15.4750", "ISSN" : "1007-9327", "PMID" : "25914487", "author" : [ { "dropping-particle" : "", "family" : "Wu", "given" : "Xiao-Wei", "non-dropping-particle" : "", "parse-names" : false, "suffix" : "" }, { "dropping-particle" : "", "family" : "Ji", "given" : "Hong-Zan", "non-dropping-particle" : "", "parse-names" : false, "suffix" : "" }, { "dropping-particle" : "", "family" : "Yang", "given" : "Miao-Fang", "non-dropping-particle" : "", "parse-names" : false, "suffix" : "" }, { "dropping-particle" : "", "family" : "Wu", "given" : "Lin", "non-dropping-particle" : "", "parse-names" : false, "suffix" : "" }, { "dropping-particle" : "", "family" : "Wang", "given" : "Fang-Yu", "non-dropping-particle" : "", "parse-names" : false, "suffix" : "" } ], "container-title" : "World Journal of Gastroenterology", "id" : "ITEM-1", "issue" : "15", "issued" : { "date-parts" : [ [ "2015" ] ] }, "page" : "4750-4756", "title" : "Helicobacter pylori infection and inflammatory bowel disease in Asians: A meta-analysis", "type" : "article-journal", "volume" : "21" }, "uris" : [ "http://www.mendeley.com/documents/?uuid=972d4a6b-6ab2-49e5-9c90-b1ed53509bc8" ] } ], "mendeley" : { "formattedCitation" : "&lt;sup&gt;[92]&lt;/sup&gt;", "plainTextFormattedCitation" : "[92]", "previouslyFormattedCitation" : "&lt;sup&gt;[92]&lt;/sup&gt;"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[92]</w:t>
      </w:r>
      <w:r w:rsidR="00056AC0" w:rsidRPr="003D034F">
        <w:rPr>
          <w:rFonts w:ascii="Book Antiqua" w:hAnsi="Book Antiqua" w:cs="Calibri"/>
          <w:sz w:val="24"/>
          <w:szCs w:val="24"/>
          <w:lang w:val="en-US"/>
        </w:rPr>
        <w:fldChar w:fldCharType="end"/>
      </w:r>
      <w:r w:rsidR="00FC3BCE" w:rsidRPr="003D034F">
        <w:rPr>
          <w:rFonts w:ascii="Book Antiqua" w:hAnsi="Book Antiqua" w:cs="Calibri"/>
          <w:sz w:val="24"/>
          <w:szCs w:val="24"/>
          <w:lang w:val="en-US"/>
        </w:rPr>
        <w:t>.</w:t>
      </w:r>
      <w:r w:rsidR="005E0897" w:rsidRPr="003D034F">
        <w:rPr>
          <w:rFonts w:ascii="Book Antiqua" w:hAnsi="Book Antiqua" w:cs="Calibri"/>
          <w:sz w:val="24"/>
          <w:szCs w:val="24"/>
          <w:lang w:val="en-US"/>
        </w:rPr>
        <w:t xml:space="preserve"> </w:t>
      </w:r>
      <w:r w:rsidR="00376B90" w:rsidRPr="003D034F">
        <w:rPr>
          <w:rFonts w:ascii="Book Antiqua" w:hAnsi="Book Antiqua" w:cs="Calibri"/>
          <w:sz w:val="24"/>
          <w:szCs w:val="24"/>
          <w:lang w:val="en-US"/>
        </w:rPr>
        <w:t>Despite these results, high</w:t>
      </w:r>
      <w:r w:rsidR="00700F65" w:rsidRPr="003D034F">
        <w:rPr>
          <w:rFonts w:ascii="Book Antiqua" w:hAnsi="Book Antiqua" w:cs="Calibri"/>
          <w:sz w:val="24"/>
          <w:szCs w:val="24"/>
          <w:lang w:val="en-US"/>
        </w:rPr>
        <w:t>-</w:t>
      </w:r>
      <w:r w:rsidR="00376B90" w:rsidRPr="003D034F">
        <w:rPr>
          <w:rFonts w:ascii="Book Antiqua" w:hAnsi="Book Antiqua" w:cs="Calibri"/>
          <w:sz w:val="24"/>
          <w:szCs w:val="24"/>
          <w:lang w:val="en-US"/>
        </w:rPr>
        <w:t>quality controlled studies are needed to confirm these findings</w:t>
      </w:r>
      <w:r w:rsidR="005E0897" w:rsidRPr="003D034F">
        <w:rPr>
          <w:rFonts w:ascii="Book Antiqua" w:hAnsi="Book Antiqua" w:cs="Calibri"/>
          <w:sz w:val="24"/>
          <w:szCs w:val="24"/>
          <w:lang w:val="en-US"/>
        </w:rPr>
        <w:t>.</w:t>
      </w:r>
      <w:r w:rsidR="004155B8" w:rsidRPr="003D034F">
        <w:rPr>
          <w:rFonts w:ascii="Book Antiqua" w:hAnsi="Book Antiqua" w:cs="Calibri"/>
          <w:sz w:val="24"/>
          <w:szCs w:val="24"/>
          <w:lang w:val="en-US" w:eastAsia="zh-CN"/>
        </w:rPr>
        <w:t xml:space="preserve"> </w:t>
      </w:r>
      <w:r w:rsidR="00C918FD" w:rsidRPr="003D034F">
        <w:rPr>
          <w:rFonts w:ascii="Book Antiqua" w:hAnsi="Book Antiqua" w:cs="Calibri"/>
          <w:sz w:val="24"/>
          <w:szCs w:val="24"/>
          <w:lang w:val="en-US"/>
        </w:rPr>
        <w:t xml:space="preserve">Immunohistochemical study of </w:t>
      </w:r>
      <w:r w:rsidR="00700F65" w:rsidRPr="003D034F">
        <w:rPr>
          <w:rFonts w:ascii="Book Antiqua" w:hAnsi="Book Antiqua" w:cs="Calibri"/>
          <w:sz w:val="24"/>
          <w:szCs w:val="24"/>
          <w:lang w:val="en-US"/>
        </w:rPr>
        <w:t xml:space="preserve">the </w:t>
      </w:r>
      <w:r w:rsidR="00C918FD" w:rsidRPr="003D034F">
        <w:rPr>
          <w:rFonts w:ascii="Book Antiqua" w:hAnsi="Book Antiqua" w:cs="Calibri"/>
          <w:sz w:val="24"/>
          <w:szCs w:val="24"/>
          <w:lang w:val="en-US"/>
        </w:rPr>
        <w:t>duodenum in CD patients demonstrate</w:t>
      </w:r>
      <w:r w:rsidR="00700F65" w:rsidRPr="003D034F">
        <w:rPr>
          <w:rFonts w:ascii="Book Antiqua" w:hAnsi="Book Antiqua" w:cs="Calibri"/>
          <w:sz w:val="24"/>
          <w:szCs w:val="24"/>
          <w:lang w:val="en-US"/>
        </w:rPr>
        <w:t>s</w:t>
      </w:r>
      <w:r w:rsidR="00C918FD" w:rsidRPr="003D034F">
        <w:rPr>
          <w:rFonts w:ascii="Book Antiqua" w:hAnsi="Book Antiqua" w:cs="Calibri"/>
          <w:sz w:val="24"/>
          <w:szCs w:val="24"/>
          <w:lang w:val="en-US"/>
        </w:rPr>
        <w:t xml:space="preserve"> CD68-positive mononuclear cells that did not change after eradication of </w:t>
      </w:r>
      <w:r w:rsidR="00C918FD" w:rsidRPr="003D034F">
        <w:rPr>
          <w:rFonts w:ascii="Book Antiqua" w:hAnsi="Book Antiqua" w:cs="Calibri"/>
          <w:i/>
          <w:sz w:val="24"/>
          <w:szCs w:val="24"/>
          <w:lang w:val="en-US"/>
        </w:rPr>
        <w:t>H. pylori</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"10.1007/s10787-006-0735-1", "ISSN" : "09254692", "PMID" : "17464554", "abstract" : "The predominant histopathologic feature of inflammatory bowel disease is the infiltration of acute and chronic inflammatory cells, including polymorphonuclear neutrophils, macrophages and lymphocytes, in the affected intestine. Helicobacter pylori is recognized as the most common cause of upper gastrointestinal lesions, and Helicobacter pylori-associated gastritis is characterized by increased numbers of acute and chronic inflammatory cells. The pathogenesis of inflammatory bowel disease or Helicobacter pylori-associated gastritis involves immunological abnormalities, including the deficient or excessive expression of cytokines. The chronic inflammatory process in patients with Crohn's disease may affect any part of the gastrointestinal tract, whereas ulcerative colitis affects mainly the colon and rectum. Here, we discuss abnormalities in the upper gastrointestinal tract in inflammatory bowel disease. Although the prevalence rate of Helicobacter pylori infection is low in Crohn's disease, these patients often have abnormalities in the upper gastrointestinal tract. (copyright) 2007 Birkhauser Verlag.", "author" : [ { "dropping-particle" : "", "family" : "Ando", "given" : "T.", "non-dropping-particle" : "", "parse-names" : false, "suffix" : "" }, { "dropping-particle" : "", "family" : "Nobata", "given" : "K.", "non-dropping-particle" : "", "parse-names" : false, "suffix" : "" }, { "dropping-particle" : "", "family" : "Watanabe", "given" : "O.", "non-dropping-particle" : "", "parse-names" : false, "suffix" : "" }, { "dropping-particle" : "", "family" : "Kusugami", "given" : "K.", "non-dropping-particle" : "", "parse-names" : false, "suffix" : "" }, { "dropping-particle" : "", "family" : "Maeda", "given" : "O.", "non-dropping-particle" : "", "parse-names" : false, "suffix" : "" }, { "dropping-particle" : "", "family" : "Ishiguro", "given" : "K.", "non-dropping-particle" : "", "parse-names" : false, "suffix" : "" }, { "dropping-particle" : "", "family" : "Ohmiya", "given" : "N.", "non-dropping-particle" : "", "parse-names" : false, "suffix" : "" }, { "dropping-particle" : "", "family" : "Niwa", "given" : "Y.", "non-dropping-particle" : "", "parse-names" : false, "suffix" : "" }, { "dropping-particle" : "", "family" : "Goto", "given" : "H.", "non-dropping-particle" : "", "parse-names" : false, "suffix" : "" } ], "container-title" : "Inflammopharmacology", "id" : "ITEM-1", "issue" : "3", "issued" : { "date-parts" : [ [ "2007" ] ] }, "page" : "101-104", "title" : "Abnormalities in the upper gastrointestinal tract in inflammatory bowel disease", "type" : "article-journal", "volume" : "15" }, "uris" : [ "http://www.mendeley.com/documents/?uuid=933fc1a6-3812-4b67-84a3-c70b79c52f1a" ] } ], "mendeley" : { "formattedCitation" : "&lt;sup&gt;[93]&lt;/sup&gt;", "plainTextFormattedCitation" : "[93]", "previouslyFormattedCitation" : "&lt;sup&gt;[93]&lt;/sup&gt;"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[93]</w:t>
      </w:r>
      <w:r w:rsidR="00056AC0" w:rsidRPr="003D034F">
        <w:rPr>
          <w:rFonts w:ascii="Book Antiqua" w:hAnsi="Book Antiqua" w:cs="Calibri"/>
          <w:sz w:val="24"/>
          <w:szCs w:val="24"/>
          <w:lang w:val="en-US"/>
        </w:rPr>
        <w:fldChar w:fldCharType="end"/>
      </w:r>
      <w:r w:rsidR="00E759FA" w:rsidRPr="003D034F">
        <w:rPr>
          <w:rFonts w:ascii="Book Antiqua" w:hAnsi="Book Antiqua" w:cs="Calibri"/>
          <w:sz w:val="24"/>
          <w:szCs w:val="24"/>
          <w:lang w:val="en-US"/>
        </w:rPr>
        <w:t>.</w:t>
      </w:r>
    </w:p>
    <w:p w:rsidR="00441FA2" w:rsidRPr="003D034F" w:rsidRDefault="001463E4" w:rsidP="003D034F">
      <w:pPr>
        <w:spacing w:after="0" w:line="360" w:lineRule="auto"/>
        <w:ind w:firstLineChars="100" w:firstLine="240"/>
        <w:jc w:val="both"/>
        <w:rPr>
          <w:rFonts w:ascii="Book Antiqua" w:hAnsi="Book Antiqua" w:cs="Calibri"/>
          <w:sz w:val="24"/>
          <w:szCs w:val="24"/>
          <w:lang w:val="en-US"/>
        </w:rPr>
      </w:pPr>
      <w:r w:rsidRPr="003D034F">
        <w:rPr>
          <w:rFonts w:ascii="Book Antiqua" w:hAnsi="Book Antiqua" w:cs="Calibri"/>
          <w:sz w:val="24"/>
          <w:szCs w:val="24"/>
          <w:lang w:val="en-US"/>
        </w:rPr>
        <w:t xml:space="preserve">Isolated gastroduodenal </w:t>
      </w:r>
      <w:r w:rsidR="00B12037" w:rsidRPr="003D034F">
        <w:rPr>
          <w:rFonts w:ascii="Book Antiqua" w:hAnsi="Book Antiqua" w:cs="Calibri"/>
          <w:sz w:val="24"/>
          <w:szCs w:val="24"/>
          <w:lang w:val="en-US"/>
        </w:rPr>
        <w:t>CD</w:t>
      </w:r>
      <w:r w:rsidRPr="003D034F">
        <w:rPr>
          <w:rFonts w:ascii="Book Antiqua" w:hAnsi="Book Antiqua" w:cs="Calibri"/>
          <w:sz w:val="24"/>
          <w:szCs w:val="24"/>
          <w:lang w:val="en-US"/>
        </w:rPr>
        <w:t xml:space="preserve"> represents a diagnostic challenge, since the histological analysis of biopsies may only demonstrate nonspecific inflammatory findings</w:t>
      </w:r>
      <w:r w:rsidR="00700F65" w:rsidRPr="003D034F">
        <w:rPr>
          <w:rFonts w:ascii="Book Antiqua" w:hAnsi="Book Antiqua" w:cs="Calibri"/>
          <w:sz w:val="24"/>
          <w:szCs w:val="24"/>
          <w:lang w:val="en-US"/>
        </w:rPr>
        <w:t>,</w:t>
      </w:r>
      <w:r w:rsidRPr="003D034F">
        <w:rPr>
          <w:rFonts w:ascii="Book Antiqua" w:hAnsi="Book Antiqua" w:cs="Calibri"/>
          <w:sz w:val="24"/>
          <w:szCs w:val="24"/>
          <w:lang w:val="en-US"/>
        </w:rPr>
        <w:t xml:space="preserve"> and in some cases</w:t>
      </w:r>
      <w:r w:rsidR="00700F65" w:rsidRPr="003D034F">
        <w:rPr>
          <w:rFonts w:ascii="Book Antiqua" w:hAnsi="Book Antiqua" w:cs="Calibri"/>
          <w:sz w:val="24"/>
          <w:szCs w:val="24"/>
          <w:lang w:val="en-US"/>
        </w:rPr>
        <w:t>,</w:t>
      </w:r>
      <w:r w:rsidRPr="003D034F">
        <w:rPr>
          <w:rFonts w:ascii="Book Antiqua" w:hAnsi="Book Antiqua" w:cs="Calibri"/>
          <w:sz w:val="24"/>
          <w:szCs w:val="24"/>
          <w:lang w:val="en-US"/>
        </w:rPr>
        <w:t xml:space="preserve"> only the study of the surgical specimen</w:t>
      </w:r>
      <w:r w:rsidR="00700F65" w:rsidRPr="003D034F">
        <w:rPr>
          <w:rFonts w:ascii="Book Antiqua" w:hAnsi="Book Antiqua" w:cs="Calibri"/>
          <w:sz w:val="24"/>
          <w:szCs w:val="24"/>
          <w:lang w:val="en-US"/>
        </w:rPr>
        <w:t>s</w:t>
      </w:r>
      <w:r w:rsidRPr="003D034F">
        <w:rPr>
          <w:rFonts w:ascii="Book Antiqua" w:hAnsi="Book Antiqua" w:cs="Calibri"/>
          <w:sz w:val="24"/>
          <w:szCs w:val="24"/>
          <w:lang w:val="en-US"/>
        </w:rPr>
        <w:t xml:space="preserve"> confirms the involvement of the UGT</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"10.1093/jscr/rju128", "ISSN" : "2042-8812", "PMID" : "25477016", "abstract" : "We present a unique presentation of Crohn's disease in a 25-year-old male with a 3-month history of progressive gastric outlet obstruction symptoms including reflux, vomiting, postprandial pain and weight loss, with no other symptoms. Multiple imaging investigations as well as gastroscopic biopsies revealed a non-specific prepyloric lesion, without evidence of malignancy. A distal gastrectomy was performed. Subsequent histological evaluation revealed gastroduodenal Crohn's disease. Follow-up revealed no evidence of disease elsewhere in the gastrointestinal system or systemically. While it is not uncommon for Crohn's disease to involve the stomach and duodenum, it is rare for gastroduodenal disease to be the initial presentation. Isolated gastroduodenal Crohn's disease typically presents with non-specific gastritis-like symptoms over a number of years. This patient had a unique course of Crohn's disease with rapid onset of symptoms, predominantly relating to gastric outlet obstruction and no prior or subsequent history of gastrointestinal symptoms.", "author" : [ { "dropping-particle" : "", "family" : "Scheck", "given" : "Simon M", "non-dropping-particle" : "", "parse-names" : false, "suffix" : "" }, { "dropping-particle" : "", "family" : "Ram", "given" : "Rishi", "non-dropping-particle" : "", "parse-names" : false, "suffix" : "" }, { "dropping-particle" : "", "family" : "Loveday", "given" : "Benjamin", "non-dropping-particle" : "", "parse-names" : false, "suffix" : "" }, { "dropping-particle" : "", "family" : "Bhagvan", "given" : "Savitha", "non-dropping-particle" : "", "parse-names" : false, "suffix" : "" }, { "dropping-particle" : "", "family" : "Beban", "given" : "Grant", "non-dropping-particle" : "", "parse-names" : false, "suffix" : "" } ], "container-title" : "Journal of surgical case reports", "id" : "ITEM-1", "issue" : "12", "issued" : { "date-parts" : [ [ "2014" ] ] }, "page" : "1-3", "title" : "Crohn's disease presenting as gastric outlet obstruction.", "type" : "article-journal", "volume" : "2014" }, "uris" : [ "http://www.mendeley.com/documents/?uuid=74b0be1f-2554-45f7-a7a9-536733541f83" ] } ], "mendeley" : { "formattedCitation" : "&lt;sup&gt;[54]&lt;/sup&gt;", "plainTextFormattedCitation" : "[54]", "previouslyFormattedCitation" : "&lt;sup&gt;[54]&lt;/sup&gt;"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[54]</w:t>
      </w:r>
      <w:r w:rsidR="00056AC0" w:rsidRPr="003D034F">
        <w:rPr>
          <w:rFonts w:ascii="Book Antiqua" w:hAnsi="Book Antiqua" w:cs="Calibri"/>
          <w:sz w:val="24"/>
          <w:szCs w:val="24"/>
          <w:lang w:val="en-US"/>
        </w:rPr>
        <w:fldChar w:fldCharType="end"/>
      </w:r>
      <w:r w:rsidR="00A660BD" w:rsidRPr="003D034F">
        <w:rPr>
          <w:rFonts w:ascii="Book Antiqua" w:hAnsi="Book Antiqua" w:cs="Calibri"/>
          <w:sz w:val="24"/>
          <w:szCs w:val="24"/>
          <w:lang w:val="en-US"/>
        </w:rPr>
        <w:t>.</w:t>
      </w:r>
      <w:r w:rsidR="004A20F2" w:rsidRPr="003D034F">
        <w:rPr>
          <w:rFonts w:ascii="Book Antiqua" w:hAnsi="Book Antiqua" w:cs="Calibri"/>
          <w:sz w:val="24"/>
          <w:szCs w:val="24"/>
          <w:lang w:val="en-US"/>
        </w:rPr>
        <w:t xml:space="preserve"> </w:t>
      </w:r>
      <w:r w:rsidRPr="003D034F">
        <w:rPr>
          <w:rFonts w:ascii="Book Antiqua" w:hAnsi="Book Antiqua" w:cs="Calibri"/>
          <w:sz w:val="24"/>
          <w:szCs w:val="24"/>
          <w:lang w:val="en-US"/>
        </w:rPr>
        <w:t xml:space="preserve">The series of cases reported by Nugent </w:t>
      </w:r>
      <w:r w:rsidR="00AC0CB3" w:rsidRPr="003D034F">
        <w:rPr>
          <w:rFonts w:ascii="Book Antiqua" w:hAnsi="Book Antiqua" w:cs="Calibri"/>
          <w:i/>
          <w:sz w:val="24"/>
          <w:szCs w:val="24"/>
          <w:lang w:val="en-US"/>
        </w:rPr>
        <w:t>et al</w:t>
      </w:r>
      <w:r w:rsidR="00AC0CB3" w:rsidRPr="003D034F">
        <w:rPr>
          <w:rFonts w:ascii="Book Antiqua" w:hAnsi="Book Antiqua" w:cs="Calibri"/>
          <w:sz w:val="24"/>
          <w:szCs w:val="24"/>
        </w:rPr>
        <w:fldChar w:fldCharType="begin" w:fldLock="1"/>
      </w:r>
      <w:r w:rsidR="00AC0CB3" w:rsidRPr="003D034F">
        <w:rPr>
          <w:rFonts w:ascii="Book Antiqua" w:hAnsi="Book Antiqua" w:cs="Calibri"/>
          <w:sz w:val="24"/>
          <w:szCs w:val="24"/>
          <w:lang w:val="en-US"/>
        </w:rPr>
        <w:instrText>ADDIN CSL_CITATION { "citationItems" : [ { "id" : "ITEM-1", "itemData" : { "PMID" : "856671", "author" : [ { "dropping-particle" : "", "family" : "Nugent", "given" : "F Warren", "non-dropping-particle" : "", "parse-names" : false, "suffix" : "" }, { "dropping-particle" : "", "family" : "Richmond", "given" : "M", "non-dropping-particle" : "", "parse-names" : false, "suffix" : "" }, { "dropping-particle" : "", "family" : "Park", "given" : "S K", "non-dropping-particle" : "", "parse-names" : false, "suffix" : "" } ], "container-title" : "Gut", "id" : "ITEM-1", "issue" : "August 1976", "issued" : { "date-parts" : [ [ "1977" ] ] }, "page" : "115-120", "title" : "Crohn's disease of the duodenum", "type" : "article-journal", "volume" : "18" }, "uris" : [ "http://www.mendeley.com/documents/?uuid=75ac6c48-5321-4150-bc39-3ca57955936d" ] } ], "mendeley" : { "formattedCitation" : "&lt;sup&gt;[25]&lt;/sup&gt;", "plainTextFormattedCitation" : "[25]", "previouslyFormattedCitation" : "&lt;sup&gt;[25]&lt;/sup&gt;" }, "properties" : {  }, "schema" : "https://github.com/citation-style-language/schema/raw/master/csl-citation.json" }</w:instrText>
      </w:r>
      <w:r w:rsidR="00AC0CB3" w:rsidRPr="003D034F">
        <w:rPr>
          <w:rFonts w:ascii="Book Antiqua" w:hAnsi="Book Antiqua" w:cs="Calibri"/>
          <w:sz w:val="24"/>
          <w:szCs w:val="24"/>
        </w:rPr>
        <w:fldChar w:fldCharType="separate"/>
      </w:r>
      <w:r w:rsidR="00AC0CB3" w:rsidRPr="003D034F">
        <w:rPr>
          <w:rFonts w:ascii="Book Antiqua" w:hAnsi="Book Antiqua" w:cs="Calibri"/>
          <w:noProof/>
          <w:sz w:val="24"/>
          <w:szCs w:val="24"/>
          <w:vertAlign w:val="superscript"/>
          <w:lang w:val="en-US"/>
        </w:rPr>
        <w:t>[25]</w:t>
      </w:r>
      <w:r w:rsidR="00AC0CB3" w:rsidRPr="003D034F">
        <w:rPr>
          <w:rFonts w:ascii="Book Antiqua" w:hAnsi="Book Antiqua" w:cs="Calibri"/>
          <w:sz w:val="24"/>
          <w:szCs w:val="24"/>
        </w:rPr>
        <w:fldChar w:fldCharType="end"/>
      </w:r>
      <w:r w:rsidRPr="003D034F">
        <w:rPr>
          <w:rFonts w:ascii="Book Antiqua" w:hAnsi="Book Antiqua" w:cs="Calibri"/>
          <w:sz w:val="24"/>
          <w:szCs w:val="24"/>
          <w:lang w:val="en-US"/>
        </w:rPr>
        <w:t xml:space="preserve"> did not demonstrate granulomas in biopsies taken by endoscopy</w:t>
      </w:r>
      <w:r w:rsidR="00700F65" w:rsidRPr="003D034F">
        <w:rPr>
          <w:rFonts w:ascii="Book Antiqua" w:hAnsi="Book Antiqua" w:cs="Calibri"/>
          <w:sz w:val="24"/>
          <w:szCs w:val="24"/>
          <w:lang w:val="en-US"/>
        </w:rPr>
        <w:t>. I</w:t>
      </w:r>
      <w:r w:rsidRPr="003D034F">
        <w:rPr>
          <w:rFonts w:ascii="Book Antiqua" w:hAnsi="Book Antiqua" w:cs="Calibri"/>
          <w:sz w:val="24"/>
          <w:szCs w:val="24"/>
          <w:lang w:val="en-US"/>
        </w:rPr>
        <w:t xml:space="preserve">n contrast, they were found in the surgical specimen of some patients operated on later, reinforcing that the finding of nonspecific changes as well as normal mucosa does not rule out </w:t>
      </w:r>
      <w:r w:rsidR="00B12037" w:rsidRPr="003D034F">
        <w:rPr>
          <w:rFonts w:ascii="Book Antiqua" w:hAnsi="Book Antiqua" w:cs="Calibri"/>
          <w:sz w:val="24"/>
          <w:szCs w:val="24"/>
          <w:lang w:val="en-US"/>
        </w:rPr>
        <w:t>CD</w:t>
      </w:r>
      <w:r w:rsidR="00700F65" w:rsidRPr="003D034F">
        <w:rPr>
          <w:rFonts w:ascii="Book Antiqua" w:hAnsi="Book Antiqua" w:cs="Calibri"/>
          <w:sz w:val="24"/>
          <w:szCs w:val="24"/>
          <w:lang w:val="en-US"/>
        </w:rPr>
        <w:t>,</w:t>
      </w:r>
      <w:r w:rsidRPr="003D034F">
        <w:rPr>
          <w:rFonts w:ascii="Book Antiqua" w:hAnsi="Book Antiqua" w:cs="Calibri"/>
          <w:sz w:val="24"/>
          <w:szCs w:val="24"/>
          <w:lang w:val="en-US"/>
        </w:rPr>
        <w:t xml:space="preserve"> since the findings are focal</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"856671", "author" : [ { "dropping-particle" : "", "family" : "Nugent", "given" : "F Warren", "non-dropping-particle" : "", "parse-names" : false, "suffix" : "" }, { "dropping-particle" : "", "family" : "Richmond", "given" : "M", "non-dropping-particle" : "", "parse-names" : false, "suffix" : "" }, { "dropping-particle" : "", "family" : "Park", "given" : "S K", "non-dropping-particle" : "", "parse-names" : false, "suffix" : "" } ], "container-title" : "Gut", "id" : "ITEM-1", "issue" : "August 1976", "issued" : { "date-parts" : [ [ "1977" ] ] }, "page" : "115-120", "title" : "Crohn's disease of the duodenum", "type" : "article-journal", "volume" : "18" }, "uris" : [ "http://www.mendeley.com/documents/?uuid=75ac6c48-5321-4150-bc39-3ca57955936d" ] } ], "mendeley" : { "formattedCitation" : "&lt;sup&gt;[25]&lt;/sup&gt;", "plainTextFormattedCitation" : "[25]", "previouslyFormattedCitation" : "&lt;sup&gt;[25]&lt;/sup&gt;"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[25]</w:t>
      </w:r>
      <w:r w:rsidR="00056AC0" w:rsidRPr="003D034F">
        <w:rPr>
          <w:rFonts w:ascii="Book Antiqua" w:hAnsi="Book Antiqua" w:cs="Calibri"/>
          <w:sz w:val="24"/>
          <w:szCs w:val="24"/>
          <w:lang w:val="en-US"/>
        </w:rPr>
        <w:fldChar w:fldCharType="end"/>
      </w:r>
      <w:r w:rsidR="008320D3" w:rsidRPr="003D034F">
        <w:rPr>
          <w:rFonts w:ascii="Book Antiqua" w:hAnsi="Book Antiqua" w:cs="Calibri"/>
          <w:sz w:val="24"/>
          <w:szCs w:val="24"/>
          <w:lang w:val="en-US"/>
        </w:rPr>
        <w:t>. I</w:t>
      </w:r>
      <w:r w:rsidRPr="003D034F">
        <w:rPr>
          <w:rFonts w:ascii="Book Antiqua" w:hAnsi="Book Antiqua" w:cs="Calibri"/>
          <w:sz w:val="24"/>
          <w:szCs w:val="24"/>
          <w:lang w:val="en-US"/>
        </w:rPr>
        <w:t>t is important to emphasize that the presence of gastric lesions does not always reflect the activity of the disease</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"10.1007/s12328-017-0759-7", "ISSN" : "18657265", "PMID" : "28695451", "abstract" : "Crohn's disease (CD) is a type of chronic inflammatory bowel disease (IBD) associated with ulceration, and the main foci of the inflammation in CD patients are typically the terminal ileum and colon. However, in the upper gastrointestinal tract (GIT), including the esophagus, stomach and duodenum, inflammatory lesions are also detected as well, with a relatively high frequency (30--75{%}). Recent advances in imaging modalities, including endoscopy, have aided in the diagnosis of CD. Various lesions, including aphtha, erosion, ulcers, bamboo-joint-like appearance and notch-like appearance, are detected in the upper GI of CD patients. Of these lesions, the bamboo-joint-like appearance in the gastric cardiac region and notch-like appearance in the second portion of the duodenum are highly specific for CD, regardless of the disease activity at other sites. These two findings, particularly a bamboo-joint-like appearance, have therefore been considered as potential biomarkers for CD. Although proton pump inhibitors (PPIs) are administered as an initial treatment for upper GIT lesions of CD, the efficacy of this treatment remains controversial. The administration of mesalazine, steroids, immunosuppressant and biologic agents is expected to be effective for treating such lesions.", "author" : [ { "dropping-particle" : "", "family" : "Nomura", "given" : "Yoshiki", "non-dropping-particle" : "", "parse-names" : false, "suffix" : "" }, { "dropping-particle" : "", "family" : "Moriichi", "given" : "Kentaro", "non-dropping-particle" : "", "parse-names" : false, "suffix" : "" }, { "dropping-particle" : "", "family" : "Fujiya", "given" : "Mikihiro", "non-dropping-particle" : "", "parse-names" : false, "suffix" : "" }, { "dropping-particle" : "", "family" : "Okumura", "given" : "Toshikatsu", "non-dropping-particle" : "", "parse-names" : false, "suffix" : "" } ], "container-title" : "Clinical Journal of Gastroenterology", "id" : "ITEM-1", "issue" : "4", "issued" : { "date-parts" : [ [ "2017" ] ] }, "page" : "289-296", "publisher" : "Springer Japan", "title" : "The endoscopic findings of the upper gastrointestinal tract in patients with Crohn\u2019s disease", "type" : "article-journal", "volume" : "10" }, "uris" : [ "http://www.mendeley.com/documents/?uuid=d17ae756-c05c-472f-8c15-d4035bc4dc1a" ] } ], "mendeley" : { "formattedCitation" : "&lt;sup&gt;[38]&lt;/sup&gt;", "plainTextFormattedCitation" : "[38]", "previouslyFormattedCitation" : "&lt;sup&gt;[38]&lt;/sup&gt;"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[38]</w:t>
      </w:r>
      <w:r w:rsidR="00056AC0" w:rsidRPr="003D034F">
        <w:rPr>
          <w:rFonts w:ascii="Book Antiqua" w:hAnsi="Book Antiqua" w:cs="Calibri"/>
          <w:sz w:val="24"/>
          <w:szCs w:val="24"/>
          <w:lang w:val="en-US"/>
        </w:rPr>
        <w:fldChar w:fldCharType="end"/>
      </w:r>
      <w:r w:rsidR="00757547" w:rsidRPr="003D034F">
        <w:rPr>
          <w:rFonts w:ascii="Book Antiqua" w:hAnsi="Book Antiqua" w:cs="Calibri"/>
          <w:sz w:val="24"/>
          <w:szCs w:val="24"/>
          <w:lang w:val="en-US"/>
        </w:rPr>
        <w:t xml:space="preserve">.  </w:t>
      </w:r>
    </w:p>
    <w:p w:rsidR="00B9550A" w:rsidRPr="003D034F" w:rsidRDefault="00B9550A" w:rsidP="003D034F">
      <w:pPr>
        <w:spacing w:after="0" w:line="360" w:lineRule="auto"/>
        <w:jc w:val="both"/>
        <w:rPr>
          <w:rFonts w:ascii="Book Antiqua" w:hAnsi="Book Antiqua" w:cs="Calibri"/>
          <w:i/>
          <w:sz w:val="24"/>
          <w:szCs w:val="24"/>
          <w:lang w:val="en-US"/>
        </w:rPr>
      </w:pPr>
    </w:p>
    <w:p w:rsidR="003D77B9" w:rsidRPr="003D034F" w:rsidRDefault="004155B8" w:rsidP="003D034F">
      <w:pPr>
        <w:spacing w:after="0" w:line="360" w:lineRule="auto"/>
        <w:jc w:val="both"/>
        <w:rPr>
          <w:rFonts w:ascii="Book Antiqua" w:hAnsi="Book Antiqua" w:cs="Calibri"/>
          <w:b/>
          <w:i/>
          <w:sz w:val="24"/>
          <w:szCs w:val="24"/>
          <w:lang w:val="en-US"/>
        </w:rPr>
      </w:pPr>
      <w:r w:rsidRPr="003D034F">
        <w:rPr>
          <w:rFonts w:ascii="Book Antiqua" w:hAnsi="Book Antiqua" w:cs="Calibri"/>
          <w:b/>
          <w:i/>
          <w:sz w:val="24"/>
          <w:szCs w:val="24"/>
          <w:lang w:val="en-US"/>
        </w:rPr>
        <w:t>Differential diagnosis</w:t>
      </w:r>
    </w:p>
    <w:p w:rsidR="00785924" w:rsidRPr="003D034F" w:rsidRDefault="00134CB8" w:rsidP="003D034F">
      <w:pPr>
        <w:spacing w:after="0" w:line="360" w:lineRule="auto"/>
        <w:jc w:val="both"/>
        <w:rPr>
          <w:rFonts w:ascii="Book Antiqua" w:hAnsi="Book Antiqua" w:cs="Calibri"/>
          <w:sz w:val="24"/>
          <w:szCs w:val="24"/>
          <w:lang w:val="en-US" w:eastAsia="zh-CN"/>
        </w:rPr>
      </w:pPr>
      <w:r w:rsidRPr="003D034F">
        <w:rPr>
          <w:rFonts w:ascii="Book Antiqua" w:hAnsi="Book Antiqua" w:cs="Calibri"/>
          <w:sz w:val="24"/>
          <w:szCs w:val="24"/>
          <w:lang w:val="en-US"/>
        </w:rPr>
        <w:lastRenderedPageBreak/>
        <w:t xml:space="preserve">The main differential diagnoses are peptic ulcer disease, </w:t>
      </w:r>
      <w:proofErr w:type="spellStart"/>
      <w:r w:rsidRPr="003D034F">
        <w:rPr>
          <w:rFonts w:ascii="Book Antiqua" w:hAnsi="Book Antiqua" w:cs="Calibri"/>
          <w:sz w:val="24"/>
          <w:szCs w:val="24"/>
          <w:lang w:val="en-US"/>
        </w:rPr>
        <w:t>Menetrier</w:t>
      </w:r>
      <w:r w:rsidR="004155B8" w:rsidRPr="003D034F">
        <w:rPr>
          <w:rFonts w:ascii="Book Antiqua" w:hAnsi="Book Antiqua" w:cs="Calibri"/>
          <w:sz w:val="24"/>
          <w:szCs w:val="24"/>
          <w:lang w:val="en-US" w:eastAsia="zh-CN"/>
        </w:rPr>
        <w:t>’</w:t>
      </w:r>
      <w:r w:rsidRPr="003D034F">
        <w:rPr>
          <w:rFonts w:ascii="Book Antiqua" w:hAnsi="Book Antiqua" w:cs="Calibri"/>
          <w:sz w:val="24"/>
          <w:szCs w:val="24"/>
          <w:lang w:val="en-US"/>
        </w:rPr>
        <w:t>s</w:t>
      </w:r>
      <w:proofErr w:type="spellEnd"/>
      <w:r w:rsidRPr="003D034F">
        <w:rPr>
          <w:rFonts w:ascii="Book Antiqua" w:hAnsi="Book Antiqua" w:cs="Calibri"/>
          <w:sz w:val="24"/>
          <w:szCs w:val="24"/>
          <w:lang w:val="en-US"/>
        </w:rPr>
        <w:t xml:space="preserve"> disease, Zollinger-Ellison</w:t>
      </w:r>
      <w:r w:rsidR="004155B8" w:rsidRPr="003D034F">
        <w:rPr>
          <w:rFonts w:ascii="Book Antiqua" w:hAnsi="Book Antiqua" w:cs="Calibri"/>
          <w:sz w:val="24"/>
          <w:szCs w:val="24"/>
          <w:lang w:val="en-US" w:eastAsia="zh-CN"/>
        </w:rPr>
        <w:t>’</w:t>
      </w:r>
      <w:r w:rsidRPr="003D034F">
        <w:rPr>
          <w:rFonts w:ascii="Book Antiqua" w:hAnsi="Book Antiqua" w:cs="Calibri"/>
          <w:sz w:val="24"/>
          <w:szCs w:val="24"/>
          <w:lang w:val="en-US"/>
        </w:rPr>
        <w:t xml:space="preserve">s syndrome, </w:t>
      </w:r>
      <w:proofErr w:type="spellStart"/>
      <w:r w:rsidRPr="003D034F">
        <w:rPr>
          <w:rFonts w:ascii="Book Antiqua" w:hAnsi="Book Antiqua" w:cs="Calibri"/>
          <w:sz w:val="24"/>
          <w:szCs w:val="24"/>
          <w:lang w:val="en-US"/>
        </w:rPr>
        <w:t>gastrinoma</w:t>
      </w:r>
      <w:proofErr w:type="spellEnd"/>
      <w:r w:rsidRPr="003D034F">
        <w:rPr>
          <w:rFonts w:ascii="Book Antiqua" w:hAnsi="Book Antiqua" w:cs="Calibri"/>
          <w:sz w:val="24"/>
          <w:szCs w:val="24"/>
          <w:lang w:val="en-US"/>
        </w:rPr>
        <w:t xml:space="preserve">, tuberculosis, lymphoma, sarcoidosis, gastric syphilis, collagen diseases, plastic lymphoma, </w:t>
      </w:r>
      <w:r w:rsidR="00700F65" w:rsidRPr="003D034F">
        <w:rPr>
          <w:rFonts w:ascii="Book Antiqua" w:hAnsi="Book Antiqua" w:cs="Calibri"/>
          <w:sz w:val="24"/>
          <w:szCs w:val="24"/>
          <w:lang w:val="en-US"/>
        </w:rPr>
        <w:t xml:space="preserve">and </w:t>
      </w:r>
      <w:r w:rsidR="004155B8" w:rsidRPr="003D034F">
        <w:rPr>
          <w:rFonts w:ascii="Book Antiqua" w:hAnsi="Book Antiqua" w:cs="Calibri"/>
          <w:sz w:val="24"/>
          <w:szCs w:val="24"/>
          <w:lang w:val="en-US" w:eastAsia="zh-CN"/>
        </w:rPr>
        <w:t>am</w:t>
      </w:r>
      <w:r w:rsidR="004155B8" w:rsidRPr="003D034F">
        <w:rPr>
          <w:rFonts w:ascii="Book Antiqua" w:hAnsi="Book Antiqua" w:cs="Calibri"/>
          <w:sz w:val="24"/>
          <w:szCs w:val="24"/>
          <w:lang w:val="en-US"/>
        </w:rPr>
        <w:t>yloidosis</w:t>
      </w:r>
      <w:r w:rsidR="004155B8" w:rsidRPr="003D034F">
        <w:rPr>
          <w:rFonts w:ascii="Book Antiqua" w:hAnsi="Book Antiqua" w:cs="Calibri"/>
          <w:sz w:val="24"/>
          <w:szCs w:val="24"/>
          <w:vertAlign w:val="superscript"/>
          <w:lang w:val="en-US" w:eastAsia="zh-CN"/>
        </w:rPr>
        <w:t>[49,52,64]</w:t>
      </w:r>
      <w:r w:rsidR="004155B8" w:rsidRPr="003D034F">
        <w:rPr>
          <w:rFonts w:ascii="Book Antiqua" w:hAnsi="Book Antiqua" w:cs="Calibri"/>
          <w:sz w:val="24"/>
          <w:szCs w:val="24"/>
          <w:lang w:val="en-US" w:eastAsia="zh-CN"/>
        </w:rPr>
        <w:t xml:space="preserve">. </w:t>
      </w:r>
      <w:r w:rsidRPr="003D034F">
        <w:rPr>
          <w:rFonts w:ascii="Book Antiqua" w:hAnsi="Book Antiqua" w:cs="Calibri"/>
          <w:sz w:val="24"/>
          <w:szCs w:val="24"/>
          <w:lang w:val="en-US"/>
        </w:rPr>
        <w:t>Intestinal tuberculosis should always be remembered in the differential diagnosis, especially in underdeveloped or developing countries where the incidence and prevalence of the disease are high. The main location in the intestinal tract is the ileocecal region, followed by the jejunum and colon. Gastric tuberculosis is rare (0.4</w:t>
      </w:r>
      <w:r w:rsidR="004155B8" w:rsidRPr="003D034F">
        <w:rPr>
          <w:rFonts w:ascii="Book Antiqua" w:hAnsi="Book Antiqua" w:cs="Calibri"/>
          <w:sz w:val="24"/>
          <w:szCs w:val="24"/>
          <w:lang w:val="en-US" w:eastAsia="zh-CN"/>
        </w:rPr>
        <w:t>%</w:t>
      </w:r>
      <w:r w:rsidRPr="003D034F">
        <w:rPr>
          <w:rFonts w:ascii="Book Antiqua" w:hAnsi="Book Antiqua" w:cs="Calibri"/>
          <w:sz w:val="24"/>
          <w:szCs w:val="24"/>
          <w:lang w:val="en-US"/>
        </w:rPr>
        <w:t>-2%) and is usually associated with pulmonary tuberculosis or immunodeficien</w:t>
      </w:r>
      <w:r w:rsidR="00E04724" w:rsidRPr="003D034F">
        <w:rPr>
          <w:rFonts w:ascii="Book Antiqua" w:hAnsi="Book Antiqua" w:cs="Calibri"/>
          <w:sz w:val="24"/>
          <w:szCs w:val="24"/>
          <w:lang w:val="en-US"/>
        </w:rPr>
        <w:t>t</w:t>
      </w:r>
      <w:r w:rsidRPr="003D034F">
        <w:rPr>
          <w:rFonts w:ascii="Book Antiqua" w:hAnsi="Book Antiqua" w:cs="Calibri"/>
          <w:sz w:val="24"/>
          <w:szCs w:val="24"/>
          <w:lang w:val="en-US"/>
        </w:rPr>
        <w:t xml:space="preserve"> states. Clinical symptoms are </w:t>
      </w:r>
      <w:r w:rsidR="008320D3" w:rsidRPr="003D034F">
        <w:rPr>
          <w:rFonts w:ascii="Book Antiqua" w:hAnsi="Book Antiqua" w:cs="Calibri"/>
          <w:sz w:val="24"/>
          <w:szCs w:val="24"/>
          <w:lang w:val="en-US"/>
        </w:rPr>
        <w:t>nons</w:t>
      </w:r>
      <w:r w:rsidRPr="003D034F">
        <w:rPr>
          <w:rFonts w:ascii="Book Antiqua" w:hAnsi="Book Antiqua" w:cs="Calibri"/>
          <w:sz w:val="24"/>
          <w:szCs w:val="24"/>
          <w:lang w:val="en-US"/>
        </w:rPr>
        <w:t xml:space="preserve">pecific and </w:t>
      </w:r>
      <w:r w:rsidR="00877021" w:rsidRPr="003D034F">
        <w:rPr>
          <w:rFonts w:ascii="Book Antiqua" w:hAnsi="Book Antiqua" w:cs="Calibri"/>
          <w:sz w:val="24"/>
          <w:szCs w:val="24"/>
          <w:lang w:val="en-US"/>
        </w:rPr>
        <w:t xml:space="preserve">must be confirmed </w:t>
      </w:r>
      <w:r w:rsidRPr="003D034F">
        <w:rPr>
          <w:rFonts w:ascii="Book Antiqua" w:hAnsi="Book Antiqua" w:cs="Calibri"/>
          <w:sz w:val="24"/>
          <w:szCs w:val="24"/>
          <w:lang w:val="en-US"/>
        </w:rPr>
        <w:t xml:space="preserve">endoscopically. The main lesions described are ulcers located along the small curvature and pylorus, hypertrophic </w:t>
      </w:r>
      <w:r w:rsidR="009B302C" w:rsidRPr="003D034F">
        <w:rPr>
          <w:rFonts w:ascii="Book Antiqua" w:hAnsi="Book Antiqua" w:cs="Calibri"/>
          <w:sz w:val="24"/>
          <w:szCs w:val="24"/>
          <w:lang w:val="en-US"/>
        </w:rPr>
        <w:t xml:space="preserve">lesions </w:t>
      </w:r>
      <w:r w:rsidRPr="003D034F">
        <w:rPr>
          <w:rFonts w:ascii="Book Antiqua" w:hAnsi="Book Antiqua" w:cs="Calibri"/>
          <w:sz w:val="24"/>
          <w:szCs w:val="24"/>
          <w:lang w:val="en-US"/>
        </w:rPr>
        <w:t>and pyloric stenosis, with distortion of the anthropological region. Duodenal involvement is also rare, occurring in 2%-2.5% of all cases of gastrointestinal tuberculosis, the most common location being the third duodenal portion. The pattern of involvement may be intrinsic or extrinsic</w:t>
      </w:r>
      <w:r w:rsidR="009B302C" w:rsidRPr="003D034F">
        <w:rPr>
          <w:rFonts w:ascii="Book Antiqua" w:hAnsi="Book Antiqua" w:cs="Calibri"/>
          <w:sz w:val="24"/>
          <w:szCs w:val="24"/>
          <w:lang w:val="en-US"/>
        </w:rPr>
        <w:t>,</w:t>
      </w:r>
      <w:r w:rsidRPr="003D034F">
        <w:rPr>
          <w:rFonts w:ascii="Book Antiqua" w:hAnsi="Book Antiqua" w:cs="Calibri"/>
          <w:sz w:val="24"/>
          <w:szCs w:val="24"/>
          <w:lang w:val="en-US"/>
        </w:rPr>
        <w:t xml:space="preserve"> ulcerat</w:t>
      </w:r>
      <w:r w:rsidR="00250D01" w:rsidRPr="003D034F">
        <w:rPr>
          <w:rFonts w:ascii="Book Antiqua" w:hAnsi="Book Antiqua" w:cs="Calibri"/>
          <w:sz w:val="24"/>
          <w:szCs w:val="24"/>
          <w:lang w:val="en-US"/>
        </w:rPr>
        <w:t>ive</w:t>
      </w:r>
      <w:r w:rsidRPr="003D034F">
        <w:rPr>
          <w:rFonts w:ascii="Book Antiqua" w:hAnsi="Book Antiqua" w:cs="Calibri"/>
          <w:sz w:val="24"/>
          <w:szCs w:val="24"/>
          <w:lang w:val="en-US"/>
        </w:rPr>
        <w:t xml:space="preserve">, hypertrophic or </w:t>
      </w:r>
      <w:proofErr w:type="spellStart"/>
      <w:r w:rsidRPr="003D034F">
        <w:rPr>
          <w:rFonts w:ascii="Book Antiqua" w:hAnsi="Book Antiqua" w:cs="Calibri"/>
          <w:sz w:val="24"/>
          <w:szCs w:val="24"/>
          <w:lang w:val="en-US"/>
        </w:rPr>
        <w:t>ulcero</w:t>
      </w:r>
      <w:proofErr w:type="spellEnd"/>
      <w:r w:rsidR="008628D6" w:rsidRPr="003D034F">
        <w:rPr>
          <w:rFonts w:ascii="Book Antiqua" w:hAnsi="Book Antiqua" w:cs="Calibri"/>
          <w:sz w:val="24"/>
          <w:szCs w:val="24"/>
          <w:lang w:val="en-US"/>
        </w:rPr>
        <w:t>-</w:t>
      </w:r>
      <w:r w:rsidR="008B6F2E" w:rsidRPr="003D034F">
        <w:rPr>
          <w:rFonts w:ascii="Book Antiqua" w:hAnsi="Book Antiqua" w:cs="Calibri"/>
          <w:sz w:val="24"/>
          <w:szCs w:val="24"/>
          <w:lang w:val="en-US"/>
        </w:rPr>
        <w:t>hy</w:t>
      </w:r>
      <w:r w:rsidRPr="003D034F">
        <w:rPr>
          <w:rFonts w:ascii="Book Antiqua" w:hAnsi="Book Antiqua" w:cs="Calibri"/>
          <w:sz w:val="24"/>
          <w:szCs w:val="24"/>
          <w:lang w:val="en-US"/>
        </w:rPr>
        <w:t>pertrophic, with formation of fistulas or stenoses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"10.3748/wjg.v20.i40.14831", "ISBN" : "2219-2840 (Electronic)\\r1007-9327 (Linking)", "ISSN" : "22192840", "PMID" : "25356043", "abstract" : "Abdominal tuberculosis is an increasingly common disease that poses diagnostic challenge, as the nonspecific features of the disease which may lead to diagnostic delays and development of complications. This condition is regarded as a great mimicker of other abdominal pathology. A high index of suspicion is an important factor in early diagnosis. Abdominal involvement may occur in the gastrointestinal tract, peritoneum, lymphnodes or solid viscera. Various investigative methods have been used to aid in the diagnosis of abdominal tuberculosis. Early diagnosis and initiation of antituberculous therapy and surgical treatment are essential to prevent morbidity and mortality. Most of the patients respond very well to standard antitubercular therapy and surgery is required only in a minority of cases. Imaging plays an important role in diagnosis of abdominal tuberculosis because early recognition of this condition is important. We reviewed our experience with the findings on various imaging modalities for diagnosis of this potentially treatable disease.", "author" : [ { "dropping-particle" : "", "family" : "Debi", "given" : "Uma", "non-dropping-particle" : "", "parse-names" : false, "suffix" : "" }, { "dropping-particle" : "", "family" : "Ravisankar", "given" : "Vasudevan", "non-dropping-particle" : "", "parse-names" : false, "suffix" : "" }, { "dropping-particle" : "", "family" : "Prasad", "given" : "Kaushal Kishor", "non-dropping-particle" : "", "parse-names" : false, "suffix" : "" }, { "dropping-particle" : "", "family" : "Sinha", "given" : "Saroj Kant", "non-dropping-particle" : "", "parse-names" : false, "suffix" : "" }, { "dropping-particle" : "", "family" : "Sharma", "given" : "Arun Kumar", "non-dropping-particle" : "", "parse-names" : false, "suffix" : "" } ], "container-title" : "World Journal of Gastroenterology", "id" : "ITEM-1", "issue" : "40", "issued" : { "date-parts" : [ [ "2014" ] ] }, "page" : "14831-14840", "title" : "Abdominal tuberculosis of the gastrointestinal tract: Revisited", "type" : "article-journal", "volume" : "20" }, "uris" : [ "http://www.mendeley.com/documents/?uuid=21385435-2de9-420a-b183-97a9585677ea" ] } ], "mendeley" : { "formattedCitation" : "&lt;sup&gt;[45]&lt;/sup&gt;", "plainTextFormattedCitation" : "[45]", "previouslyFormattedCitation" : "&lt;sup&gt;[45]&lt;/sup&gt;"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[45]</w:t>
      </w:r>
      <w:r w:rsidR="00056AC0" w:rsidRPr="003D034F">
        <w:rPr>
          <w:rFonts w:ascii="Book Antiqua" w:hAnsi="Book Antiqua" w:cs="Calibri"/>
          <w:sz w:val="24"/>
          <w:szCs w:val="24"/>
          <w:lang w:val="en-US"/>
        </w:rPr>
        <w:fldChar w:fldCharType="end"/>
      </w:r>
      <w:r w:rsidR="00C00D9A" w:rsidRPr="003D034F">
        <w:rPr>
          <w:rFonts w:ascii="Book Antiqua" w:hAnsi="Book Antiqua" w:cs="Calibri"/>
          <w:sz w:val="24"/>
          <w:szCs w:val="24"/>
          <w:lang w:val="en-US"/>
        </w:rPr>
        <w:t xml:space="preserve">.  </w:t>
      </w:r>
    </w:p>
    <w:p w:rsidR="00B9550A" w:rsidRPr="003D034F" w:rsidRDefault="00B9550A" w:rsidP="003D034F">
      <w:pPr>
        <w:spacing w:after="0" w:line="360" w:lineRule="auto"/>
        <w:jc w:val="both"/>
        <w:rPr>
          <w:rFonts w:ascii="Book Antiqua" w:hAnsi="Book Antiqua" w:cs="Calibri"/>
          <w:b/>
          <w:sz w:val="24"/>
          <w:szCs w:val="24"/>
          <w:u w:val="single"/>
          <w:lang w:val="en-US"/>
        </w:rPr>
      </w:pPr>
    </w:p>
    <w:p w:rsidR="004F1B3D" w:rsidRPr="003D034F" w:rsidRDefault="004F1B3D" w:rsidP="003D034F">
      <w:pPr>
        <w:spacing w:after="0" w:line="360" w:lineRule="auto"/>
        <w:jc w:val="both"/>
        <w:rPr>
          <w:rFonts w:ascii="Book Antiqua" w:hAnsi="Book Antiqua" w:cs="Calibri"/>
          <w:b/>
          <w:sz w:val="24"/>
          <w:szCs w:val="24"/>
          <w:lang w:val="en-US"/>
        </w:rPr>
      </w:pPr>
      <w:r w:rsidRPr="003D034F">
        <w:rPr>
          <w:rFonts w:ascii="Book Antiqua" w:hAnsi="Book Antiqua" w:cs="Calibri"/>
          <w:b/>
          <w:sz w:val="24"/>
          <w:szCs w:val="24"/>
          <w:lang w:val="en-US"/>
        </w:rPr>
        <w:t>TREATMENT</w:t>
      </w:r>
    </w:p>
    <w:p w:rsidR="00737DCA" w:rsidRPr="003D034F" w:rsidRDefault="008D5FD4" w:rsidP="003D034F">
      <w:pPr>
        <w:spacing w:after="0" w:line="360" w:lineRule="auto"/>
        <w:jc w:val="both"/>
        <w:rPr>
          <w:rFonts w:ascii="Book Antiqua" w:hAnsi="Book Antiqua" w:cs="Calibri"/>
          <w:sz w:val="24"/>
          <w:szCs w:val="24"/>
          <w:lang w:val="en-US"/>
        </w:rPr>
      </w:pPr>
      <w:r w:rsidRPr="003D034F">
        <w:rPr>
          <w:rFonts w:ascii="Book Antiqua" w:hAnsi="Book Antiqua" w:cs="Calibri"/>
          <w:sz w:val="24"/>
          <w:szCs w:val="24"/>
          <w:lang w:val="en-US"/>
        </w:rPr>
        <w:t xml:space="preserve">The literature lacks controlled studies evaluating the effects of drugs available for the treatment of CD in </w:t>
      </w:r>
      <w:r w:rsidR="009B302C" w:rsidRPr="003D034F">
        <w:rPr>
          <w:rFonts w:ascii="Book Antiqua" w:hAnsi="Book Antiqua" w:cs="Calibri"/>
          <w:sz w:val="24"/>
          <w:szCs w:val="24"/>
          <w:lang w:val="en-US"/>
        </w:rPr>
        <w:t xml:space="preserve">the </w:t>
      </w:r>
      <w:r w:rsidRPr="003D034F">
        <w:rPr>
          <w:rFonts w:ascii="Book Antiqua" w:hAnsi="Book Antiqua" w:cs="Calibri"/>
          <w:sz w:val="24"/>
          <w:szCs w:val="24"/>
          <w:lang w:val="en-US"/>
        </w:rPr>
        <w:t xml:space="preserve">UGT, </w:t>
      </w:r>
      <w:r w:rsidR="009B302C" w:rsidRPr="003D034F">
        <w:rPr>
          <w:rFonts w:ascii="Book Antiqua" w:hAnsi="Book Antiqua" w:cs="Calibri"/>
          <w:sz w:val="24"/>
          <w:szCs w:val="24"/>
          <w:lang w:val="en-US"/>
        </w:rPr>
        <w:t>so treatment is</w:t>
      </w:r>
      <w:r w:rsidRPr="003D034F">
        <w:rPr>
          <w:rFonts w:ascii="Book Antiqua" w:hAnsi="Book Antiqua" w:cs="Calibri"/>
          <w:sz w:val="24"/>
          <w:szCs w:val="24"/>
          <w:lang w:val="en-US"/>
        </w:rPr>
        <w:t xml:space="preserve"> based on the concomitant activity of the distal disease and clinical experience. </w:t>
      </w:r>
      <w:r w:rsidR="00474737" w:rsidRPr="003D034F">
        <w:rPr>
          <w:rFonts w:ascii="Book Antiqua" w:hAnsi="Book Antiqua" w:cs="Calibri"/>
          <w:sz w:val="24"/>
          <w:szCs w:val="24"/>
          <w:lang w:val="en-US"/>
        </w:rPr>
        <w:t xml:space="preserve">PPIs relieve symptoms </w:t>
      </w:r>
      <w:r w:rsidR="009B302C" w:rsidRPr="003D034F">
        <w:rPr>
          <w:rFonts w:ascii="Book Antiqua" w:hAnsi="Book Antiqua" w:cs="Calibri"/>
          <w:sz w:val="24"/>
          <w:szCs w:val="24"/>
          <w:lang w:val="en-US"/>
        </w:rPr>
        <w:t xml:space="preserve">but </w:t>
      </w:r>
      <w:r w:rsidR="00474737" w:rsidRPr="003D034F">
        <w:rPr>
          <w:rFonts w:ascii="Book Antiqua" w:hAnsi="Book Antiqua" w:cs="Calibri"/>
          <w:sz w:val="24"/>
          <w:szCs w:val="24"/>
          <w:lang w:val="en-US"/>
        </w:rPr>
        <w:t>have no effect on the chronic inflammatory process and therefore should not be used as an isolated therapy</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"12769447", "author" : [ { "dropping-particle" : "", "family" : "Tremaine", "given" : "William J", "non-dropping-particle" : "", "parse-names" : false, "suffix" : "" } ], "container-title" : "Inflammatory Bowel Diseases", "id" : "ITEM-1", "issue" : "2", "issued" : { "date-parts" : [ [ "2003" ] ] }, "page" : "127-128", "title" : "Gastroduodenal Crohn\u2019s Disease : Medical Management", "type" : "article-journal", "volume" : "9" }, "uris" : [ "http://www.mendeley.com/documents/?uuid=f883315b-7481-4daa-91ef-b60d87897ede" ] } ], "mendeley" : { "formattedCitation" : "&lt;sup&gt;[50]&lt;/sup&gt;", "plainTextFormattedCitation" : "[50]", "previouslyFormattedCitation" : "&lt;sup&gt;[50]&lt;/sup&gt;"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[50]</w:t>
      </w:r>
      <w:r w:rsidR="00056AC0" w:rsidRPr="003D034F">
        <w:rPr>
          <w:rFonts w:ascii="Book Antiqua" w:hAnsi="Book Antiqua" w:cs="Calibri"/>
          <w:sz w:val="24"/>
          <w:szCs w:val="24"/>
          <w:lang w:val="en-US"/>
        </w:rPr>
        <w:fldChar w:fldCharType="end"/>
      </w:r>
      <w:r w:rsidR="00E04BB4" w:rsidRPr="003D034F">
        <w:rPr>
          <w:rFonts w:ascii="Book Antiqua" w:hAnsi="Book Antiqua" w:cs="Calibri"/>
          <w:sz w:val="24"/>
          <w:szCs w:val="24"/>
          <w:lang w:val="en-US"/>
        </w:rPr>
        <w:t xml:space="preserve">. </w:t>
      </w:r>
      <w:r w:rsidR="007B34C7" w:rsidRPr="003D034F">
        <w:rPr>
          <w:rFonts w:ascii="Book Antiqua" w:hAnsi="Book Antiqua" w:cs="Calibri"/>
          <w:sz w:val="24"/>
          <w:szCs w:val="24"/>
          <w:lang w:val="en-US"/>
        </w:rPr>
        <w:t xml:space="preserve">Initial treatment of active gastroduodenal </w:t>
      </w:r>
      <w:r w:rsidR="00B12037" w:rsidRPr="003D034F">
        <w:rPr>
          <w:rFonts w:ascii="Book Antiqua" w:hAnsi="Book Antiqua" w:cs="Calibri"/>
          <w:sz w:val="24"/>
          <w:szCs w:val="24"/>
          <w:lang w:val="en-US"/>
        </w:rPr>
        <w:t>CD</w:t>
      </w:r>
      <w:r w:rsidR="007B34C7" w:rsidRPr="003D034F">
        <w:rPr>
          <w:rFonts w:ascii="Book Antiqua" w:hAnsi="Book Antiqua" w:cs="Calibri"/>
          <w:sz w:val="24"/>
          <w:szCs w:val="24"/>
          <w:lang w:val="en-US"/>
        </w:rPr>
        <w:t xml:space="preserve"> includes the use of systemic corticosteroids associated with PPIs. Immunomodulators such as 6-mercaptopurine and azathioprine are used to maintain corticoid remission in dependent or symptomatic patients who remain symptomatic despite corticosteroids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"10.1055/s-0034-1365096", "ISBN" : "0002-9270", "ISSN" : "14388812", "PMID" : "24756277", "abstract" : "Introduction: Since the 1960s, evidence has shown that Crohn's disease can affect the entire GI tract. However, isolated gastric Crohn's disease remains a rare entity. Case Report: Herein, we present a 69-year-old woman with complaints of intermittent dysphagia to both solids and liquids, associated with severe chest pain. The patient is a former smoker without past gastrointestinal illness, who denied any family history of gastrointestinal malignancy or inflammatory bowel disease. An initial EGD showed mild erosive gastritis with benign-appearing gastric polyps and an unremarkable duodenum. Colonoscopy was also performed, demonstrating diverticulosis without signs of inflammation. Two years later, a second hospitalization for abdominal pain, early satiety, and intolerance to oral intake led to a CT scan of the abdomen, which revealed thickening and inflammatory stranding of the distal stomach. EGD demonstrated erosions and submucosal hemorrhages in the gastric antrum, as well as severe duodenitis. Biopsies obtained in the antrum demonstrated chronic active inflammation and the patient was maintained on proton pump inhibitor therapy. Symptoms of progressive early satiety and weight loss initiated further evaluation with endoscopic ultrasound (EUS), which revealed irregular, erythematous mucosa with areas of pitting and hypertrophy in a \u201cstalactite\u201d fashion, as well as antral luminal narrowing. EUS with FNA revealed only non-specific gastric wall thickening and multiple repeat endoscopic biopsies revealed chronic active inflammation with cytology negative for malignancy. Ultimately, the patient underwent partial distal gastrectomy with Roux-en-Y reconstruction due to concern for malignancy. Surgical pathology revealed multiple foci of inflammation with submucosal fibrosis and deep granulomas consistent with gastric Crohn's disease. Discussion: This case demonstrates a rare presentation of isolated gastroduodenal Crohn's disease and the difficulty in making this diagnosis. Examination for lower gastrointestinal tract involvement and malignancy must be ruled out. Initial colonoscopy and EGD did not reveal any endoscopic findings of Crohn's disease. Further, CT scan showed no specific radiographic evidence of Crohn's involvement of the gastrointestinal tract. Under these circumstances, anti-Saccharomycescervisia antibody testing may be beneficial, and this was indeed positive in our patient. Significant gastroduodenal involvement occurs in only 0.5-4% of al\u2026", "author" : [ { "dropping-particle" : "", "family" : "Goyal", "given" : "Jatinder", "non-dropping-particle" : "", "parse-names" : false, "suffix" : "" }, { "dropping-particle" : "", "family" : "Khan", "given" : "Ali S.", "non-dropping-particle" : "", "parse-names" : false, "suffix" : "" }, { "dropping-particle" : "", "family" : "Goel", "given" : "Anshum", "non-dropping-particle" : "", "parse-names" : false, "suffix" : "" }, { "dropping-particle" : "", "family" : "Weber", "given" : "Frederick", "non-dropping-particle" : "", "parse-names" : false, "suffix" : "" } ], "container-title" : "Endoscopy", "id" : "ITEM-1", "issue" : "SUPPL 1", "issued" : { "date-parts" : [ [ "2014" ] ] }, "page" : "167-168", "title" : "Isolated gastroduodenal Crohn's disease in a septuagenarian man", "type" : "article-journal", "volume" : "46" }, "uris" : [ "http://www.mendeley.com/documents/?uuid=4f735f65-6fff-4649-ba22-f9d942d951a9" ] } ], "mendeley" : { "formattedCitation" : "&lt;sup&gt;[51]&lt;/sup&gt;", "plainTextFormattedCitation" : "[51]", "previouslyFormattedCitation" : "&lt;sup&gt;[51]&lt;/sup&gt;"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[51</w:t>
      </w:r>
      <w:r w:rsidR="00165E4C" w:rsidRPr="003D034F">
        <w:rPr>
          <w:rFonts w:ascii="Book Antiqua" w:hAnsi="Book Antiqua" w:cs="Calibri"/>
          <w:sz w:val="24"/>
          <w:szCs w:val="24"/>
          <w:vertAlign w:val="superscript"/>
          <w:lang w:val="en-US" w:eastAsia="zh-CN"/>
        </w:rPr>
        <w:t>,94</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1F27DA" w:rsidRPr="003D034F">
        <w:rPr>
          <w:rFonts w:ascii="Book Antiqua" w:hAnsi="Book Antiqua" w:cs="Calibri"/>
          <w:sz w:val="24"/>
          <w:szCs w:val="24"/>
          <w:lang w:val="en-US"/>
        </w:rPr>
        <w:t xml:space="preserve">. </w:t>
      </w:r>
      <w:proofErr w:type="spellStart"/>
      <w:r w:rsidR="007B34C7" w:rsidRPr="003D034F">
        <w:rPr>
          <w:rFonts w:ascii="Book Antiqua" w:hAnsi="Book Antiqua" w:cs="Calibri"/>
          <w:sz w:val="24"/>
          <w:szCs w:val="24"/>
          <w:lang w:val="en-US"/>
        </w:rPr>
        <w:t>Aminosalicylates</w:t>
      </w:r>
      <w:proofErr w:type="spellEnd"/>
      <w:r w:rsidR="007B34C7" w:rsidRPr="003D034F">
        <w:rPr>
          <w:rFonts w:ascii="Book Antiqua" w:hAnsi="Book Antiqua" w:cs="Calibri"/>
          <w:sz w:val="24"/>
          <w:szCs w:val="24"/>
          <w:lang w:val="en-US"/>
        </w:rPr>
        <w:t>, even those with proximal release, have no benefit and can cause worsening of symptoms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"16278730", "author" : [ { "dropping-particle" : "", "family" : "Kefalas", "given" : "Costas H.", "non-dropping-particle" : "", "parse-names" : false, "suffix" : "" } ], "container-title" : "BUMC Proceedings.", "id" : "ITEM-1", "issue" : "2", "issued" : { "date-parts" : [ [ "2003" ] ] }, "page" : "147-151", "title" : "Gastroduodenal Crohn's disease", "type" : "article-journal", "volume" : "16" }, "uris" : [ "http://www.mendeley.com/documents/?uuid=b2d2af11-d48d-423a-b188-ad803e388336" ] } ], "mendeley" : { "formattedCitation" : "&lt;sup&gt;[64]&lt;/sup&gt;", "plainTextFormattedCitation" : "[64]", "previouslyFormattedCitation" : "&lt;sup&gt;[64]&lt;/sup&gt;"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w:t>
      </w:r>
      <w:r w:rsidR="00165E4C" w:rsidRPr="003D034F">
        <w:rPr>
          <w:rFonts w:ascii="Book Antiqua" w:hAnsi="Book Antiqua" w:cs="Calibri"/>
          <w:sz w:val="24"/>
          <w:szCs w:val="24"/>
          <w:vertAlign w:val="superscript"/>
          <w:lang w:val="en-US" w:eastAsia="zh-CN"/>
        </w:rPr>
        <w:t>50,</w:t>
      </w:r>
      <w:r w:rsidR="00EE109A" w:rsidRPr="003D034F">
        <w:rPr>
          <w:rFonts w:ascii="Book Antiqua" w:hAnsi="Book Antiqua" w:cs="Calibri"/>
          <w:sz w:val="24"/>
          <w:szCs w:val="24"/>
          <w:vertAlign w:val="superscript"/>
          <w:lang w:val="en-US"/>
        </w:rPr>
        <w:t>64]</w:t>
      </w:r>
      <w:r w:rsidR="00056AC0" w:rsidRPr="003D034F">
        <w:rPr>
          <w:rFonts w:ascii="Book Antiqua" w:hAnsi="Book Antiqua" w:cs="Calibri"/>
          <w:sz w:val="24"/>
          <w:szCs w:val="24"/>
          <w:lang w:val="en-US"/>
        </w:rPr>
        <w:fldChar w:fldCharType="end"/>
      </w:r>
      <w:r w:rsidR="00AF37A8" w:rsidRPr="003D034F">
        <w:rPr>
          <w:rFonts w:ascii="Book Antiqua" w:hAnsi="Book Antiqua" w:cs="Calibri"/>
          <w:sz w:val="24"/>
          <w:szCs w:val="24"/>
          <w:lang w:val="en-US"/>
        </w:rPr>
        <w:t>.</w:t>
      </w:r>
    </w:p>
    <w:p w:rsidR="00FF2E38" w:rsidRPr="003D034F" w:rsidRDefault="00457AF1" w:rsidP="003D034F">
      <w:pPr>
        <w:spacing w:after="0" w:line="360" w:lineRule="auto"/>
        <w:ind w:firstLineChars="100" w:firstLine="240"/>
        <w:jc w:val="both"/>
        <w:rPr>
          <w:rFonts w:ascii="Book Antiqua" w:hAnsi="Book Antiqua" w:cs="Calibri"/>
          <w:sz w:val="24"/>
          <w:szCs w:val="24"/>
          <w:lang w:val="en-US"/>
        </w:rPr>
      </w:pPr>
      <w:r w:rsidRPr="003D034F">
        <w:rPr>
          <w:rFonts w:ascii="Book Antiqua" w:hAnsi="Book Antiqua" w:cs="Calibri"/>
          <w:sz w:val="24"/>
          <w:szCs w:val="24"/>
          <w:lang w:val="en-US"/>
        </w:rPr>
        <w:t xml:space="preserve">The use of infliximab for gastroduodenal </w:t>
      </w:r>
      <w:r w:rsidR="00B12037" w:rsidRPr="003D034F">
        <w:rPr>
          <w:rFonts w:ascii="Book Antiqua" w:hAnsi="Book Antiqua" w:cs="Calibri"/>
          <w:sz w:val="24"/>
          <w:szCs w:val="24"/>
          <w:lang w:val="en-US"/>
        </w:rPr>
        <w:t>CD</w:t>
      </w:r>
      <w:r w:rsidRPr="003D034F">
        <w:rPr>
          <w:rFonts w:ascii="Book Antiqua" w:hAnsi="Book Antiqua" w:cs="Calibri"/>
          <w:sz w:val="24"/>
          <w:szCs w:val="24"/>
          <w:lang w:val="en-US"/>
        </w:rPr>
        <w:t xml:space="preserve"> has been reported in the literature for the treatment of complicated disease, such as in cases of refractory duodenal ulcers, duodenal stenosis and pancreatic duodenum fistulas, with </w:t>
      </w:r>
      <w:r w:rsidRPr="003D034F">
        <w:rPr>
          <w:rFonts w:ascii="Book Antiqua" w:hAnsi="Book Antiqua" w:cs="Calibri"/>
          <w:sz w:val="24"/>
          <w:szCs w:val="24"/>
          <w:lang w:val="en-US"/>
        </w:rPr>
        <w:lastRenderedPageBreak/>
        <w:t>good results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"10.1016/j.gastrohep.2013.06.008", "ISSN" : "02105705", "PMID" : "24029174", "author" : [ { "dropping-particle" : "", "family" : "Rodr\u00edguez-Grau", "given" : "Mar\u00eda del Carmen", "non-dropping-particle" : "", "parse-names" : false, "suffix" : "" }, { "dropping-particle" : "", "family" : "Chaparro", "given" : "Mar\u00eda", "non-dropping-particle" : "", "parse-names" : false, "suffix" : "" }, { "dropping-particle" : "", "family" : "D\u00edaz", "given" : "Raquel", "non-dropping-particle" : "", "parse-names" : false, "suffix" : "" }, { "dropping-particle" : "", "family" : "Gisbert", "given" : "Javier P.", "non-dropping-particle" : "", "parse-names" : false, "suffix" : "" } ], "container-title" : "Gastroenterologia y Hepatologia", "id" : "ITEM-1", "issue" : "1", "issued" : { "date-parts" : [ [ "2014" ] ] }, "page" : "21-27", "publisher" : "SEGO", "title" : "Infliximab en el tratamiento de la enfermedad de Crohn gastroduodenal resistente", "type" : "article-journal", "volume" : "37" }, "uris" : [ "http://www.mendeley.com/documents/?uuid=e6b8f0a2-cb8b-4dc2-b2d5-0c036e699067" ] } ], "mendeley" : { "formattedCitation" : "&lt;sup&gt;[95]&lt;/sup&gt;", "plainTextFormattedCitation" : "[95]", "previouslyFormattedCitation" : "&lt;sup&gt;[95]&lt;/sup&gt;"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[95</w:t>
      </w:r>
      <w:r w:rsidR="00165E4C" w:rsidRPr="003D034F">
        <w:rPr>
          <w:rFonts w:ascii="Book Antiqua" w:hAnsi="Book Antiqua" w:cs="Calibri"/>
          <w:sz w:val="24"/>
          <w:szCs w:val="24"/>
          <w:vertAlign w:val="superscript"/>
          <w:lang w:val="en-US" w:eastAsia="zh-CN"/>
        </w:rPr>
        <w:t>-99</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6E6435" w:rsidRPr="003D034F">
        <w:rPr>
          <w:rFonts w:ascii="Book Antiqua" w:hAnsi="Book Antiqua" w:cs="Calibri"/>
          <w:sz w:val="24"/>
          <w:szCs w:val="24"/>
          <w:lang w:val="en-US"/>
        </w:rPr>
        <w:t xml:space="preserve">. </w:t>
      </w:r>
      <w:r w:rsidR="00A50C98" w:rsidRPr="003D034F">
        <w:rPr>
          <w:rFonts w:ascii="Book Antiqua" w:hAnsi="Book Antiqua" w:cs="Calibri"/>
          <w:sz w:val="24"/>
          <w:szCs w:val="24"/>
          <w:lang w:val="en-US"/>
        </w:rPr>
        <w:t xml:space="preserve">The ACCENT I study included 43 </w:t>
      </w:r>
      <w:r w:rsidR="003F7EA8" w:rsidRPr="003D034F">
        <w:rPr>
          <w:rFonts w:ascii="Book Antiqua" w:hAnsi="Book Antiqua" w:cs="Calibri"/>
          <w:sz w:val="24"/>
          <w:szCs w:val="24"/>
          <w:lang w:val="en-US"/>
        </w:rPr>
        <w:t>subjects</w:t>
      </w:r>
      <w:r w:rsidR="00A50C98" w:rsidRPr="003D034F">
        <w:rPr>
          <w:rFonts w:ascii="Book Antiqua" w:hAnsi="Book Antiqua" w:cs="Calibri"/>
          <w:sz w:val="24"/>
          <w:szCs w:val="24"/>
          <w:lang w:val="en-US"/>
        </w:rPr>
        <w:t xml:space="preserve"> with gastroduodenal C</w:t>
      </w:r>
      <w:r w:rsidR="003F7EA8" w:rsidRPr="003D034F">
        <w:rPr>
          <w:rFonts w:ascii="Book Antiqua" w:hAnsi="Book Antiqua" w:cs="Calibri"/>
          <w:sz w:val="24"/>
          <w:szCs w:val="24"/>
          <w:lang w:val="en-US"/>
        </w:rPr>
        <w:t>D</w:t>
      </w:r>
      <w:r w:rsidR="00A50C98" w:rsidRPr="003D034F">
        <w:rPr>
          <w:rFonts w:ascii="Book Antiqua" w:hAnsi="Book Antiqua" w:cs="Calibri"/>
          <w:sz w:val="24"/>
          <w:szCs w:val="24"/>
          <w:lang w:val="en-US"/>
        </w:rPr>
        <w:t xml:space="preserve"> out of a total of 573 participants (8%), of whom 2 (56%) responded to therapy at week 2</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"10.1016/S0140-6736(02)08512-4", "ISBN" : "0140-6736 0140-6736 (ISSNLinking)", "ISSN" : "01406736", "PMID" : "12047962", "abstract" : "Background: We did a randomised controlled trial to assess the benefit of maintenance infliximab therapy in patients with active Crohn's disease who respond to a single infusion of infliximab. Methods: 573 patients with a score of at least 220 on the Crohn's disease activity index (CDAI) received a 5 mg/kg intravenous infusion of infliximab at week 0. After assessment of response at week 2, patients were randomly assigned repeat infusions of placebo at weeks 2 and 6 and then every 8 weeks thereafter until week 46 (group I), repeat infusions of 5 mg/kg infliximab at the same timepoints (group II), or 5 mg/kg infliximab at weeks 2 and 6 followed by 10 mg/kg (group III). The prespecified co-primary endpoints were the proportion of patients who responded at week 2 and were in remission (CDAI &lt;150) at week 30 and the time to loss of response up to week 54 in patients who responded. Analyses of the co-primary endpoints were by intention to treat. Findings: 335 (58%) patients responded to a single infusion of infliximab within 2 weeks. At week 30, 23 of 110 (21%) group I patients were in remission, compared with 44 of 113 (39%) group II (p=0.003) and 50 of 112 (45%) group III (p=0.0002) patients. Thus, patients in groups II and III combined were more likely to sustain clinical remission than patients in group I (odds ratio 2.7, 95% CI 1.6-4.6). Throughout the 54-week trial, the median time to loss of response was 38 weeks (IQR 15 to &gt;54) and more than 54 weeks (21 to &gt;54) for groups II and III, respectively, compared with 19 weeks (10-45) for group I (p=0.002 and p=0.0002, respectively). Infliximab safety was consistent with that seen in other trials of infliximab in Crohn's disease and rheumatoid arthritis. In particular, the incidence of serious infections was similar across treatment groups. Interpretation: Patients with Crohn's disease who respond to an initial dose of infliximab are more likely to be in remission at weeks 30 and 54, to discontinue corticosteroids, and to maintain their response for a longer period of time, if infliximab treatment is maintained every 8 weeks.", "author" : [ { "dropping-particle" : "", "family" : "Hanauer", "given" : "Stephen B.", "non-dropping-particle" : "", "parse-names" : false, "suffix" : "" }, { "dropping-particle" : "", "family" : "Feagan", "given" : "Brian G.", "non-dropping-particle" : "", "parse-names" : false, "suffix" : "" }, { "dropping-particle" : "", "family" : "Lichtenstein", "given" : "Gary R.", "non-dropping-particle" : "", "parse-names" : false, "suffix" : "" }, { "dropping-particle" : "", "family" : "Mayer", "given" : "Lloyd F.", "non-dropping-particle" : "", "parse-names" : false, "suffix" : "" }, { "dropping-particle" : "", "family" : "Schreiber", "given" : "S.", "non-dropping-particle" : "", "parse-names" : false, "suffix" : "" }, { "dropping-particle" : "", "family" : "Colombel", "given" : "Jean Frederic", "non-dropping-particle" : "", "parse-names" : false, "suffix" : "" }, { "dropping-particle" : "", "family" : "Rachmilewitz", "given" : "Daniel", "non-dropping-particle" : "", "parse-names" : false, "suffix" : "" }, { "dropping-particle" : "", "family" : "Wolf", "given" : "Douglas C.", "non-dropping-particle" : "", "parse-names" : false, "suffix" : "" }, { "dropping-particle" : "", "family" : "Olson", "given" : "Allan", "non-dropping-particle" : "", "parse-names" : false, "suffix" : "" }, { "dropping-particle" : "", "family" : "Bao", "given" : "Weihang", "non-dropping-particle" : "", "parse-names" : false, "suffix" : "" }, { "dropping-particle" : "", "family" : "Rutgeerts", "given" : "Paul", "non-dropping-particle" : "", "parse-names" : false, "suffix" : "" } ], "container-title" : "Lancet", "id" : "ITEM-1", "issue" : "9317", "issued" : { "date-parts" : [ [ "2002" ] ] }, "page" : "1541-1549", "title" : "Maintenance infliximab for Crohn's disease: The ACCENT I randomised trial", "type" : "article-journal", "volume" : "359" }, "uris" : [ "http://www.mendeley.com/documents/?uuid=986db3e0-7581-432c-90d0-6240d979243f" ] } ], "mendeley" : { "formattedCitation" : "&lt;sup&gt;[100]&lt;/sup&gt;", "plainTextFormattedCitation" : "[100]", "previouslyFormattedCitation" : "&lt;sup&gt;[100]&lt;/sup&gt;"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[100]</w:t>
      </w:r>
      <w:r w:rsidR="00056AC0" w:rsidRPr="003D034F">
        <w:rPr>
          <w:rFonts w:ascii="Book Antiqua" w:hAnsi="Book Antiqua" w:cs="Calibri"/>
          <w:sz w:val="24"/>
          <w:szCs w:val="24"/>
          <w:lang w:val="en-US"/>
        </w:rPr>
        <w:fldChar w:fldCharType="end"/>
      </w:r>
      <w:r w:rsidR="0091207D" w:rsidRPr="003D034F">
        <w:rPr>
          <w:rFonts w:ascii="Book Antiqua" w:hAnsi="Book Antiqua" w:cs="Calibri"/>
          <w:sz w:val="24"/>
          <w:szCs w:val="24"/>
          <w:lang w:val="en-US"/>
        </w:rPr>
        <w:t>.</w:t>
      </w:r>
      <w:r w:rsidR="00F25510" w:rsidRPr="003D034F">
        <w:rPr>
          <w:rFonts w:ascii="Book Antiqua" w:hAnsi="Book Antiqua" w:cs="Calibri"/>
          <w:sz w:val="24"/>
          <w:szCs w:val="24"/>
          <w:lang w:val="en-US"/>
        </w:rPr>
        <w:t xml:space="preserve"> </w:t>
      </w:r>
      <w:r w:rsidR="0071451A" w:rsidRPr="003D034F">
        <w:rPr>
          <w:rFonts w:ascii="Book Antiqua" w:hAnsi="Book Antiqua" w:cs="Calibri"/>
          <w:sz w:val="24"/>
          <w:szCs w:val="24"/>
          <w:lang w:val="en-US"/>
        </w:rPr>
        <w:t xml:space="preserve">Adalimumab </w:t>
      </w:r>
      <w:r w:rsidR="00547715" w:rsidRPr="003D034F">
        <w:rPr>
          <w:rFonts w:ascii="Book Antiqua" w:hAnsi="Book Antiqua" w:cs="Calibri"/>
          <w:sz w:val="24"/>
          <w:szCs w:val="24"/>
          <w:lang w:val="en-US"/>
        </w:rPr>
        <w:t xml:space="preserve">is </w:t>
      </w:r>
      <w:r w:rsidR="0071451A" w:rsidRPr="003D034F">
        <w:rPr>
          <w:rFonts w:ascii="Book Antiqua" w:hAnsi="Book Antiqua" w:cs="Calibri"/>
          <w:sz w:val="24"/>
          <w:szCs w:val="24"/>
          <w:lang w:val="en-US"/>
        </w:rPr>
        <w:t>another treatment option with a satisfactory response, in the most severe cases and with complications, according to some case reports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"10.4292/wjgpt.v3.i6.97", "ISSN" : "2150-5349", "PMID" : "23494865", "author" : [ { "dropping-particle" : "", "family" : "Gaggar", "given" : "Sameer", "non-dropping-particle" : "", "parse-names" : false, "suffix" : "" }, { "dropping-particle" : "", "family" : "Scott", "given" : "John", "non-dropping-particle" : "", "parse-names" : false, "suffix" : "" }, { "dropping-particle" : "", "family" : "Thompson", "given" : "Nicholas", "non-dropping-particle" : "", "parse-names" : false, "suffix" : "" } ], "container-title" : "World Journal of Gastrointestinal Pharmacology and Therapeutics", "id" : "ITEM-1", "issue" : "6", "issued" : { "date-parts" : [ [ "2012" ] ] }, "page" : "97", "title" : "Pyloric stenosis associated Crohn's disease responding to adalimumab therapy", "type" : "article-journal", "volume" : "3" }, "uris" : [ "http://www.mendeley.com/documents/?uuid=f4871787-662b-4f21-a85a-a732526ebad6" ] } ], "mendeley" : { "formattedCitation" : "&lt;sup&gt;[101]&lt;/sup&gt;", "plainTextFormattedCitation" : "[101]", "previouslyFormattedCitation" : "&lt;sup&gt;[101]&lt;/sup&gt;"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[101</w:t>
      </w:r>
      <w:r w:rsidR="00165E4C" w:rsidRPr="003D034F">
        <w:rPr>
          <w:rFonts w:ascii="Book Antiqua" w:hAnsi="Book Antiqua" w:cs="Calibri"/>
          <w:sz w:val="24"/>
          <w:szCs w:val="24"/>
          <w:vertAlign w:val="superscript"/>
          <w:lang w:val="en-US" w:eastAsia="zh-CN"/>
        </w:rPr>
        <w:t>,102</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C65D73" w:rsidRPr="003D034F">
        <w:rPr>
          <w:rFonts w:ascii="Book Antiqua" w:hAnsi="Book Antiqua" w:cs="Calibri"/>
          <w:sz w:val="24"/>
          <w:szCs w:val="24"/>
          <w:lang w:val="en-US"/>
        </w:rPr>
        <w:t>.</w:t>
      </w:r>
      <w:r w:rsidR="00165E4C" w:rsidRPr="003D034F">
        <w:rPr>
          <w:rFonts w:ascii="Book Antiqua" w:hAnsi="Book Antiqua" w:cs="Calibri"/>
          <w:sz w:val="24"/>
          <w:szCs w:val="24"/>
          <w:lang w:val="en-US" w:eastAsia="zh-CN"/>
        </w:rPr>
        <w:t xml:space="preserve"> </w:t>
      </w:r>
      <w:r w:rsidR="00750FAC" w:rsidRPr="003D034F">
        <w:rPr>
          <w:rFonts w:ascii="Book Antiqua" w:hAnsi="Book Antiqua" w:cs="Calibri"/>
          <w:sz w:val="24"/>
          <w:szCs w:val="24"/>
          <w:lang w:val="en-US"/>
        </w:rPr>
        <w:t xml:space="preserve">Annunziata </w:t>
      </w:r>
      <w:r w:rsidR="00750FAC" w:rsidRPr="003D034F">
        <w:rPr>
          <w:rFonts w:ascii="Book Antiqua" w:hAnsi="Book Antiqua" w:cs="Calibri"/>
          <w:i/>
          <w:sz w:val="24"/>
          <w:szCs w:val="24"/>
          <w:lang w:val="en-US"/>
        </w:rPr>
        <w:t>et al</w:t>
      </w:r>
      <w:r w:rsidR="00165E4C" w:rsidRPr="003D034F">
        <w:rPr>
          <w:rFonts w:ascii="Book Antiqua" w:hAnsi="Book Antiqua" w:cs="Calibri"/>
          <w:sz w:val="24"/>
          <w:szCs w:val="24"/>
          <w:lang w:val="en-US"/>
        </w:rPr>
        <w:fldChar w:fldCharType="begin" w:fldLock="1"/>
      </w:r>
      <w:r w:rsidR="00165E4C" w:rsidRPr="003D034F">
        <w:rPr>
          <w:rFonts w:ascii="Book Antiqua" w:hAnsi="Book Antiqua" w:cs="Calibri"/>
          <w:sz w:val="24"/>
          <w:szCs w:val="24"/>
          <w:lang w:val="en-US"/>
        </w:rPr>
        <w:instrText>ADDIN CSL_CITATION { "citationItems" : [ { "id" : "ITEM-1", "itemData" : { "DOI" : "10.1007/s10620-012-2072-0", "ISSN" : "01632116", "PMID" : "22350786", "abstract" : "BACKGROUND: Prevalence of upper gastrointestinal (GI) tract involvement in adult Crohn's disease (CD) has been reported to be very low (0.3-5%). In routine practice, upper endoscopy is recommended only in CD patients with upper GI symptoms. Available data concerning the prevalence of asymptomatic upper GI lesions in CD patients are controversial. The aim of this study was to prospectively evaluate the prevalence of upper GI CD involvement in CD patients, irrespective of upper GI symptoms.\\n\\nMETHODS: A series of 119 consecutive CD patients underwent clinical assessment, including occurrence and score of upper GI symptoms, and upper endoscopy with biopsy samples for histological assessment and Helicobacter pylori (Hp) infection detection. In an attempt to further recognize the upper GI tract lesions as CD or other form of inflammation, in a subgroup of CD patients, the histological and endoscopic evaluation was repeated following 12 weeks of anti-TNF-\u03b1 or other treatments in association with proton-pump inhibitors.\\n\\nRESULTS: Upper CD involvement was found in 19/119 (16%) patients. Hp infection was detected in 10/119 (8.4%) CD patients. Hp-negative focally active chronic gastritis was found in 34/119 (28.6%) CD patients. At presentation, 12/19 patients (63%) showing upper CD involvement were asymptomatic and 7 (37%) symptomatic.\\n\\nCONCLUSION: A high prevalence of upper GI tract involvement has been observed in CD patients, irrespective of upper symptoms. This finding suggests the usefulness of routine upper endoscopy in the diagnostic work-up of CD patients in order to correctly classify the distribution and extent of the disease.", "author" : [ { "dropping-particle" : "", "family" : "Annunziata", "given" : "Maria Laura", "non-dropping-particle" : "", "parse-names" : false, "suffix" : "" }, { "dropping-particle" : "", "family" : "Caviglia", "given" : "Renato", "non-dropping-particle" : "", "parse-names" : false, "suffix" : "" }, { "dropping-particle" : "", "family" : "Papparella", "given" : "Luigi Giovanni", "non-dropping-particle" : "", "parse-names" : false, "suffix" : "" }, { "dropping-particle" : "", "family" : "Cicala", "given" : "Michele", "non-dropping-particle" : "", "parse-names" : false, "suffix" : "" } ], "container-title" : "Digestive Diseases and Sciences", "id" : "ITEM-1", "issue" : "6", "issued" : { "date-parts" : [ [ "2012" ] ] }, "page" : "1618-1623", "title" : "Upper gastrointestinal involvement of Crohn's Disease: A prospective study on the role of upper endoscopy in the diagnostic work-up", "type" : "article-journal", "volume" : "57" }, "uris" : [ "http://www.mendeley.com/documents/?uuid=b8549110-9b6b-4f04-aec6-d7d275006507" ] } ], "mendeley" : { "formattedCitation" : "&lt;sup&gt;[14]&lt;/sup&gt;", "plainTextFormattedCitation" : "[14]", "previouslyFormattedCitation" : "&lt;sup&gt;[14]&lt;/sup&gt;" }, "properties" : {  }, "schema" : "https://github.com/citation-style-language/schema/raw/master/csl-citation.json" }</w:instrText>
      </w:r>
      <w:r w:rsidR="00165E4C" w:rsidRPr="003D034F">
        <w:rPr>
          <w:rFonts w:ascii="Book Antiqua" w:hAnsi="Book Antiqua" w:cs="Calibri"/>
          <w:sz w:val="24"/>
          <w:szCs w:val="24"/>
          <w:lang w:val="en-US"/>
        </w:rPr>
        <w:fldChar w:fldCharType="separate"/>
      </w:r>
      <w:r w:rsidR="00165E4C" w:rsidRPr="003D034F">
        <w:rPr>
          <w:rFonts w:ascii="Book Antiqua" w:hAnsi="Book Antiqua" w:cs="Calibri"/>
          <w:sz w:val="24"/>
          <w:szCs w:val="24"/>
          <w:vertAlign w:val="superscript"/>
          <w:lang w:val="en-US"/>
        </w:rPr>
        <w:t>[14]</w:t>
      </w:r>
      <w:r w:rsidR="00165E4C" w:rsidRPr="003D034F">
        <w:rPr>
          <w:rFonts w:ascii="Book Antiqua" w:hAnsi="Book Antiqua" w:cs="Calibri"/>
          <w:sz w:val="24"/>
          <w:szCs w:val="24"/>
          <w:lang w:val="en-US"/>
        </w:rPr>
        <w:fldChar w:fldCharType="end"/>
      </w:r>
      <w:r w:rsidR="00750FAC" w:rsidRPr="003D034F">
        <w:rPr>
          <w:rFonts w:ascii="Book Antiqua" w:hAnsi="Book Antiqua" w:cs="Calibri"/>
          <w:sz w:val="24"/>
          <w:szCs w:val="24"/>
          <w:lang w:val="en-US"/>
        </w:rPr>
        <w:t xml:space="preserve"> demonstrated in a prospective study that among 19 patients with gastroduodenal </w:t>
      </w:r>
      <w:r w:rsidR="00B12037" w:rsidRPr="003D034F">
        <w:rPr>
          <w:rFonts w:ascii="Book Antiqua" w:hAnsi="Book Antiqua" w:cs="Calibri"/>
          <w:sz w:val="24"/>
          <w:szCs w:val="24"/>
          <w:lang w:val="en-US"/>
        </w:rPr>
        <w:t>CD</w:t>
      </w:r>
      <w:r w:rsidR="00750FAC" w:rsidRPr="003D034F">
        <w:rPr>
          <w:rFonts w:ascii="Book Antiqua" w:hAnsi="Book Antiqua" w:cs="Calibri"/>
          <w:sz w:val="24"/>
          <w:szCs w:val="24"/>
          <w:lang w:val="en-US"/>
        </w:rPr>
        <w:t>, 72.7% of infliximab</w:t>
      </w:r>
      <w:r w:rsidR="00547715" w:rsidRPr="003D034F">
        <w:rPr>
          <w:rFonts w:ascii="Book Antiqua" w:hAnsi="Book Antiqua" w:cs="Calibri"/>
          <w:sz w:val="24"/>
          <w:szCs w:val="24"/>
          <w:lang w:val="en-US"/>
        </w:rPr>
        <w:t>-</w:t>
      </w:r>
      <w:r w:rsidR="00750FAC" w:rsidRPr="003D034F">
        <w:rPr>
          <w:rFonts w:ascii="Book Antiqua" w:hAnsi="Book Antiqua" w:cs="Calibri"/>
          <w:sz w:val="24"/>
          <w:szCs w:val="24"/>
          <w:lang w:val="en-US"/>
        </w:rPr>
        <w:t xml:space="preserve"> or adalimumab-treated patients achieved muc</w:t>
      </w:r>
      <w:r w:rsidR="00165E4C" w:rsidRPr="003D034F">
        <w:rPr>
          <w:rFonts w:ascii="Book Antiqua" w:hAnsi="Book Antiqua" w:cs="Calibri"/>
          <w:sz w:val="24"/>
          <w:szCs w:val="24"/>
          <w:lang w:val="en-US"/>
        </w:rPr>
        <w:t xml:space="preserve">osal healing at endoscopy 12 </w:t>
      </w:r>
      <w:proofErr w:type="spellStart"/>
      <w:r w:rsidR="00165E4C" w:rsidRPr="003D034F">
        <w:rPr>
          <w:rFonts w:ascii="Book Antiqua" w:hAnsi="Book Antiqua" w:cs="Calibri"/>
          <w:sz w:val="24"/>
          <w:szCs w:val="24"/>
          <w:lang w:val="en-US"/>
        </w:rPr>
        <w:t>wk</w:t>
      </w:r>
      <w:proofErr w:type="spellEnd"/>
      <w:r w:rsidR="00750FAC" w:rsidRPr="003D034F">
        <w:rPr>
          <w:rFonts w:ascii="Book Antiqua" w:hAnsi="Book Antiqua" w:cs="Calibri"/>
          <w:sz w:val="24"/>
          <w:szCs w:val="24"/>
          <w:lang w:val="en-US"/>
        </w:rPr>
        <w:t xml:space="preserve"> after the start of treatment compared to 12</w:t>
      </w:r>
      <w:r w:rsidR="00547715" w:rsidRPr="003D034F">
        <w:rPr>
          <w:rFonts w:ascii="Book Antiqua" w:hAnsi="Book Antiqua" w:cs="Calibri"/>
          <w:sz w:val="24"/>
          <w:szCs w:val="24"/>
          <w:lang w:val="en-US"/>
        </w:rPr>
        <w:t>.</w:t>
      </w:r>
      <w:r w:rsidR="00750FAC" w:rsidRPr="003D034F">
        <w:rPr>
          <w:rFonts w:ascii="Book Antiqua" w:hAnsi="Book Antiqua" w:cs="Calibri"/>
          <w:sz w:val="24"/>
          <w:szCs w:val="24"/>
          <w:lang w:val="en-US"/>
        </w:rPr>
        <w:t>5% of patients treated with conventional therapy, although this study was not designed with the objective of evaluating treatment efficacy</w:t>
      </w:r>
      <w:r w:rsidR="00FF2E38" w:rsidRPr="003D034F">
        <w:rPr>
          <w:rFonts w:ascii="Book Antiqua" w:hAnsi="Book Antiqua" w:cs="Calibri"/>
          <w:sz w:val="24"/>
          <w:szCs w:val="24"/>
          <w:lang w:val="en-US"/>
        </w:rPr>
        <w:t xml:space="preserve">. </w:t>
      </w:r>
    </w:p>
    <w:p w:rsidR="005B096C" w:rsidRPr="003D034F" w:rsidRDefault="002B7E1B" w:rsidP="003D034F">
      <w:pPr>
        <w:spacing w:after="0" w:line="360" w:lineRule="auto"/>
        <w:ind w:firstLineChars="100" w:firstLine="240"/>
        <w:jc w:val="both"/>
        <w:rPr>
          <w:rFonts w:ascii="Book Antiqua" w:hAnsi="Book Antiqua" w:cs="Calibri"/>
          <w:sz w:val="24"/>
          <w:szCs w:val="24"/>
          <w:lang w:val="en-US"/>
        </w:rPr>
      </w:pPr>
      <w:r w:rsidRPr="003D034F">
        <w:rPr>
          <w:rFonts w:ascii="Book Antiqua" w:hAnsi="Book Antiqua" w:cs="Calibri"/>
          <w:sz w:val="24"/>
          <w:szCs w:val="24"/>
          <w:lang w:val="en-US"/>
        </w:rPr>
        <w:t>Short pyloric or duodenal stenoses are treated through balloon dilatation, with a low risk of complications such as perforations (1</w:t>
      </w:r>
      <w:r w:rsidR="00165E4C" w:rsidRPr="003D034F">
        <w:rPr>
          <w:rFonts w:ascii="Book Antiqua" w:hAnsi="Book Antiqua" w:cs="Calibri"/>
          <w:sz w:val="24"/>
          <w:szCs w:val="24"/>
          <w:lang w:val="en-US" w:eastAsia="zh-CN"/>
        </w:rPr>
        <w:t>%</w:t>
      </w:r>
      <w:r w:rsidRPr="003D034F">
        <w:rPr>
          <w:rFonts w:ascii="Book Antiqua" w:hAnsi="Book Antiqua" w:cs="Calibri"/>
          <w:sz w:val="24"/>
          <w:szCs w:val="24"/>
          <w:lang w:val="en-US"/>
        </w:rPr>
        <w:t>-2%). In general</w:t>
      </w:r>
      <w:r w:rsidR="00547715" w:rsidRPr="003D034F">
        <w:rPr>
          <w:rFonts w:ascii="Book Antiqua" w:hAnsi="Book Antiqua" w:cs="Calibri"/>
          <w:sz w:val="24"/>
          <w:szCs w:val="24"/>
          <w:lang w:val="en-US"/>
        </w:rPr>
        <w:t>,</w:t>
      </w:r>
      <w:r w:rsidRPr="003D034F">
        <w:rPr>
          <w:rFonts w:ascii="Book Antiqua" w:hAnsi="Book Antiqua" w:cs="Calibri"/>
          <w:sz w:val="24"/>
          <w:szCs w:val="24"/>
          <w:lang w:val="en-US"/>
        </w:rPr>
        <w:t xml:space="preserve"> there is a high rate of recurrence of obstructive symptoms</w:t>
      </w:r>
      <w:r w:rsidR="00547715" w:rsidRPr="003D034F">
        <w:rPr>
          <w:rFonts w:ascii="Book Antiqua" w:hAnsi="Book Antiqua" w:cs="Calibri"/>
          <w:sz w:val="24"/>
          <w:szCs w:val="24"/>
          <w:lang w:val="en-US"/>
        </w:rPr>
        <w:t>,</w:t>
      </w:r>
      <w:r w:rsidRPr="003D034F">
        <w:rPr>
          <w:rFonts w:ascii="Book Antiqua" w:hAnsi="Book Antiqua" w:cs="Calibri"/>
          <w:sz w:val="24"/>
          <w:szCs w:val="24"/>
          <w:lang w:val="en-US"/>
        </w:rPr>
        <w:t xml:space="preserve"> and repeated dilatations are required to treat them properly and avoid surgery</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"12769447", "author" : [ { "dropping-particle" : "", "family" : "Tremaine", "given" : "William J", "non-dropping-particle" : "", "parse-names" : false, "suffix" : "" } ], "container-title" : "Inflammatory Bowel Diseases", "id" : "ITEM-1", "issue" : "2", "issued" : { "date-parts" : [ [ "2003" ] ] }, "page" : "127-128", "title" : "Gastroduodenal Crohn\u2019s Disease : Medical Management", "type" : "article-journal", "volume" : "9" }, "uris" : [ "http://www.mendeley.com/documents/?uuid=f883315b-7481-4daa-91ef-b60d87897ede" ] } ], "mendeley" : { "formattedCitation" : "&lt;sup&gt;[50]&lt;/sup&gt;", "plainTextFormattedCitation" : "[50]", "previouslyFormattedCitation" : "&lt;sup&gt;[50]&lt;/sup&gt;"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[50</w:t>
      </w:r>
      <w:r w:rsidR="00165E4C" w:rsidRPr="003D034F">
        <w:rPr>
          <w:rFonts w:ascii="Book Antiqua" w:hAnsi="Book Antiqua" w:cs="Calibri"/>
          <w:sz w:val="24"/>
          <w:szCs w:val="24"/>
          <w:vertAlign w:val="superscript"/>
          <w:lang w:val="en-US" w:eastAsia="zh-CN"/>
        </w:rPr>
        <w:t>,103</w:t>
      </w:r>
      <w:r w:rsidR="00EE109A" w:rsidRPr="003D034F">
        <w:rPr>
          <w:rFonts w:ascii="Book Antiqua" w:hAnsi="Book Antiqua" w:cs="Calibri"/>
          <w:sz w:val="24"/>
          <w:szCs w:val="24"/>
          <w:vertAlign w:val="superscript"/>
          <w:lang w:val="en-US"/>
        </w:rPr>
        <w:t>]</w:t>
      </w:r>
      <w:r w:rsidR="00056AC0" w:rsidRPr="003D034F">
        <w:rPr>
          <w:rFonts w:ascii="Book Antiqua" w:hAnsi="Book Antiqua" w:cs="Calibri"/>
          <w:sz w:val="24"/>
          <w:szCs w:val="24"/>
          <w:lang w:val="en-US"/>
        </w:rPr>
        <w:fldChar w:fldCharType="end"/>
      </w:r>
      <w:r w:rsidR="009A13D7" w:rsidRPr="003D034F">
        <w:rPr>
          <w:rFonts w:ascii="Book Antiqua" w:hAnsi="Book Antiqua" w:cs="Calibri"/>
          <w:sz w:val="24"/>
          <w:szCs w:val="24"/>
          <w:lang w:val="en-US"/>
        </w:rPr>
        <w:t xml:space="preserve">. </w:t>
      </w:r>
      <w:r w:rsidRPr="003D034F">
        <w:rPr>
          <w:rFonts w:ascii="Book Antiqua" w:hAnsi="Book Antiqua" w:cs="Calibri"/>
          <w:sz w:val="24"/>
          <w:szCs w:val="24"/>
          <w:lang w:val="en-US"/>
        </w:rPr>
        <w:t xml:space="preserve">A retrospective study by Guo </w:t>
      </w:r>
      <w:r w:rsidRPr="003D034F">
        <w:rPr>
          <w:rFonts w:ascii="Book Antiqua" w:hAnsi="Book Antiqua" w:cs="Calibri"/>
          <w:i/>
          <w:sz w:val="24"/>
          <w:szCs w:val="24"/>
          <w:lang w:val="en-US"/>
        </w:rPr>
        <w:t>et al</w:t>
      </w:r>
      <w:r w:rsidR="00165E4C" w:rsidRPr="003D034F">
        <w:rPr>
          <w:rFonts w:ascii="Book Antiqua" w:hAnsi="Book Antiqua" w:cs="Calibri"/>
          <w:sz w:val="24"/>
          <w:szCs w:val="24"/>
          <w:lang w:val="en-US"/>
        </w:rPr>
        <w:fldChar w:fldCharType="begin" w:fldLock="1"/>
      </w:r>
      <w:r w:rsidR="00165E4C" w:rsidRPr="003D034F">
        <w:rPr>
          <w:rFonts w:ascii="Book Antiqua" w:hAnsi="Book Antiqua" w:cs="Calibri"/>
          <w:sz w:val="24"/>
          <w:szCs w:val="24"/>
          <w:lang w:val="en-US"/>
        </w:rPr>
        <w:instrText>ADDIN CSL_CITATION { "citationItems" : [ { "id" : "ITEM-1", "itemData" : { "DOI" : "10.1007/s10620-016-4242-y", "ISBN" : "0163-2116", "ISSN" : "15732568", "PMID" : "27401273", "abstract" : "Background: Few articles focused on endoscopic balloon dilation (EBD) in the management of Crohn's strictures in the upper gastrointestinal (GI) tract. Aims: The purpose of this study was to evaluate the long-term efficacy and safety of EBD for Crohn's strictures in the upper GI tract and to determine early predictors of response and surgical intervention. Methods: All eligible patients who underwent EBD for Crohn's strictures in the upper GI tract were retrospectively reviewed. The long-term success was defined as the recovery of normal diets without surgical intervention over the follow-up period. In order to seek early predictors, patients who achieved long-term success were compared with those who didn't. Results: A total of 67 dilations of upper GI strictures were performed between June 2011 and March 2015 on 24 patients (mean age 25.6 +/- 6.7, 20 male) with Crohn's disease. Technical success was achieved in 62 of 67 dilations (92.5 %) with a complication rate of 3 %. After the median follow-up period of 23.0 months (range 6.2-51.2 months), nine patients underwent surgical intervention, nine patients were still depending on tube feeding; in the meantime, only six (25 %) patients achieved long-term success. Additionally, patients who remained 1 month intervention-free (55.6 vs. 5.9 %, P = 0.015) were more likely to achieve long-term success. Conclusions: EBD was a safe procedure, but not a potent therapy for Crohn's upper GI strictures. Meanwhile, 1-month response could serve as an early predictor of the long-term response. Copyright \u00a9 2016, Springer Science+Business Media New York.", "author" : [ { "dropping-particle" : "", "family" : "Guo", "given" : "Feilong", "non-dropping-particle" : "", "parse-names" : false, "suffix" : "" }, { "dropping-particle" : "", "family" : "Huang", "given" : "Yuhua", "non-dropping-particle" : "", "parse-names" : false, "suffix" : "" }, { "dropping-particle" : "", "family" : "Zhu", "given" : "Weiming", "non-dropping-particle" : "", "parse-names" : false, "suffix" : "" }, { "dropping-particle" : "", "family" : "Wang", "given" : "Zhiming", "non-dropping-particle" : "", "parse-names" : false, "suffix" : "" }, { "dropping-particle" : "", "family" : "Cao", "given" : "Lei", "non-dropping-particle" : "", "parse-names" : false, "suffix" : "" }, { "dropping-particle" : "", "family" : "Chen", "given" : "Aoxue", "non-dropping-particle" : "", "parse-names" : false, "suffix" : "" }, { "dropping-particle" : "", "family" : "Guo", "given" : "Zhen", "non-dropping-particle" : "", "parse-names" : false, "suffix" : "" }, { "dropping-particle" : "", "family" : "Li", "given" : "Yi", "non-dropping-particle" : "", "parse-names" : false, "suffix" : "" }, { "dropping-particle" : "", "family" : "Gong", "given" : "Jianfeng", "non-dropping-particle" : "", "parse-names" : false, "suffix" : "" }, { "dropping-particle" : "", "family" : "Li", "given" : "Jieshou", "non-dropping-particle" : "", "parse-names" : false, "suffix" : "" } ], "container-title" : "Digestive Diseases and Sciences", "id" : "ITEM-1", "issue" : "10", "issued" : { "date-parts" : [ [ "2016" ] ] }, "page" : "2977-2985", "title" : "Efficacy and Safety of Endoscopic Balloon Dilation for Upper Gastrointestinal Strictures of Crohn\u2019s Disease", "type" : "article-journal", "volume" : "61" }, "uris" : [ "http://www.mendeley.com/documents/?uuid=3efd9025-4a26-435b-92c5-792d2d08c23d" ] } ], "mendeley" : { "formattedCitation" : "&lt;sup&gt;[104]&lt;/sup&gt;", "plainTextFormattedCitation" : "[104]", "previouslyFormattedCitation" : "&lt;sup&gt;[104]&lt;/sup&gt;" }, "properties" : {  }, "schema" : "https://github.com/citation-style-language/schema/raw/master/csl-citation.json" }</w:instrText>
      </w:r>
      <w:r w:rsidR="00165E4C" w:rsidRPr="003D034F">
        <w:rPr>
          <w:rFonts w:ascii="Book Antiqua" w:hAnsi="Book Antiqua" w:cs="Calibri"/>
          <w:sz w:val="24"/>
          <w:szCs w:val="24"/>
          <w:lang w:val="en-US"/>
        </w:rPr>
        <w:fldChar w:fldCharType="separate"/>
      </w:r>
      <w:r w:rsidR="00165E4C" w:rsidRPr="003D034F">
        <w:rPr>
          <w:rFonts w:ascii="Book Antiqua" w:hAnsi="Book Antiqua" w:cs="Calibri"/>
          <w:sz w:val="24"/>
          <w:szCs w:val="24"/>
          <w:vertAlign w:val="superscript"/>
          <w:lang w:val="en-US"/>
        </w:rPr>
        <w:t>[104]</w:t>
      </w:r>
      <w:r w:rsidR="00165E4C" w:rsidRPr="003D034F">
        <w:rPr>
          <w:rFonts w:ascii="Book Antiqua" w:hAnsi="Book Antiqua" w:cs="Calibri"/>
          <w:sz w:val="24"/>
          <w:szCs w:val="24"/>
          <w:lang w:val="en-US"/>
        </w:rPr>
        <w:fldChar w:fldCharType="end"/>
      </w:r>
      <w:r w:rsidRPr="003D034F">
        <w:rPr>
          <w:rFonts w:ascii="Book Antiqua" w:hAnsi="Book Antiqua" w:cs="Calibri"/>
          <w:sz w:val="24"/>
          <w:szCs w:val="24"/>
          <w:lang w:val="en-US"/>
        </w:rPr>
        <w:t xml:space="preserve"> evaluated the safety and efficacy of endoscopic balloon dilations for the treatment of stenoses in 24 patients with gastroduodenal DC associated with obstructive symptoms, less than 4</w:t>
      </w:r>
      <w:r w:rsidR="00547715" w:rsidRPr="003D034F">
        <w:rPr>
          <w:rFonts w:ascii="Book Antiqua" w:hAnsi="Book Antiqua" w:cs="Calibri"/>
          <w:sz w:val="24"/>
          <w:szCs w:val="24"/>
          <w:lang w:val="en-US"/>
        </w:rPr>
        <w:t xml:space="preserve"> </w:t>
      </w:r>
      <w:r w:rsidRPr="003D034F">
        <w:rPr>
          <w:rFonts w:ascii="Book Antiqua" w:hAnsi="Book Antiqua" w:cs="Calibri"/>
          <w:sz w:val="24"/>
          <w:szCs w:val="24"/>
          <w:lang w:val="en-US"/>
        </w:rPr>
        <w:t xml:space="preserve">cm, not associated with fistulas or abscesses. They demonstrated that the procedure was safe </w:t>
      </w:r>
      <w:r w:rsidR="00547715" w:rsidRPr="003D034F">
        <w:rPr>
          <w:rFonts w:ascii="Book Antiqua" w:hAnsi="Book Antiqua" w:cs="Calibri"/>
          <w:sz w:val="24"/>
          <w:szCs w:val="24"/>
          <w:lang w:val="en-US"/>
        </w:rPr>
        <w:t>but had</w:t>
      </w:r>
      <w:r w:rsidRPr="003D034F">
        <w:rPr>
          <w:rFonts w:ascii="Book Antiqua" w:hAnsi="Book Antiqua" w:cs="Calibri"/>
          <w:sz w:val="24"/>
          <w:szCs w:val="24"/>
          <w:lang w:val="en-US"/>
        </w:rPr>
        <w:t xml:space="preserve"> unfavorable long-term effectiveness. </w:t>
      </w:r>
      <w:r w:rsidR="00BE6059" w:rsidRPr="003D034F">
        <w:rPr>
          <w:rFonts w:ascii="Book Antiqua" w:hAnsi="Book Antiqua" w:cs="Calibri"/>
          <w:sz w:val="24"/>
          <w:szCs w:val="24"/>
          <w:lang w:val="en-US"/>
        </w:rPr>
        <w:t>The main predictor of long-term response was the absence of a new intervention in the first month after initial dilatation</w:t>
      </w:r>
      <w:r w:rsidR="008320D3" w:rsidRPr="003D034F">
        <w:rPr>
          <w:rFonts w:ascii="Book Antiqua" w:hAnsi="Book Antiqua" w:cs="Calibri"/>
          <w:sz w:val="24"/>
          <w:szCs w:val="24"/>
          <w:lang w:val="en-US"/>
        </w:rPr>
        <w:t xml:space="preserve">. </w:t>
      </w:r>
      <w:r w:rsidR="00250D01" w:rsidRPr="003D034F">
        <w:rPr>
          <w:rFonts w:ascii="Book Antiqua" w:hAnsi="Book Antiqua" w:cs="Calibri"/>
          <w:sz w:val="24"/>
          <w:szCs w:val="24"/>
          <w:lang w:val="en-US"/>
        </w:rPr>
        <w:t xml:space="preserve">Systematic review by Hassan </w:t>
      </w:r>
      <w:r w:rsidR="00250D01" w:rsidRPr="003D034F">
        <w:rPr>
          <w:rFonts w:ascii="Book Antiqua" w:hAnsi="Book Antiqua" w:cs="Calibri"/>
          <w:i/>
          <w:sz w:val="24"/>
          <w:szCs w:val="24"/>
          <w:lang w:val="en-US"/>
        </w:rPr>
        <w:t>et al</w:t>
      </w:r>
      <w:r w:rsidR="00165E4C" w:rsidRPr="003D034F">
        <w:rPr>
          <w:rFonts w:ascii="Book Antiqua" w:hAnsi="Book Antiqua" w:cs="Calibri"/>
          <w:sz w:val="24"/>
          <w:szCs w:val="24"/>
          <w:lang w:val="en-US"/>
        </w:rPr>
        <w:fldChar w:fldCharType="begin" w:fldLock="1"/>
      </w:r>
      <w:r w:rsidR="00165E4C" w:rsidRPr="003D034F">
        <w:rPr>
          <w:rFonts w:ascii="Book Antiqua" w:hAnsi="Book Antiqua" w:cs="Calibri"/>
          <w:sz w:val="24"/>
          <w:szCs w:val="24"/>
          <w:lang w:val="en-US"/>
        </w:rPr>
        <w:instrText>ADDIN CSL_CITATION { "citationItems" : [ { "id" : "ITEM-1", "itemData" : { "DOI" : "10.1111/j.1365-2036.2007.03532.x", "ISBN" : "1365-2036 (Electronic)\\n0269-2813 (Linking)", "ISSN" : "02692813", "PMID" : "17903236", "abstract" : "BACKGROUND:Endoscopic dilatation for Crohn's disease has been evaluated only in some small and heterogeneous studies.\\n\\nAIM:To evaluate any association between the main clinical variables and endoscopic variables and the efficacy and safety of endoscopic dilatation in Crohn's disease.\\n\\nMETHODS:A Medline search regarding pneumatic dilatation in Crohn's disease was performed. Several technical and clinical variables were extracted from each study to build up a descriptive, pool-data analysis. Data on individual patients were extracted from suitable studies to create a simulated population upon which a multivariate statistical analysis was performed.\\n\\nRESULTS:Thirteen studies enrolling 347 Crohn's disease patients were reviewed. Endoscopic dilatation was mainly applied to postsurgical strictures, being technically successful in 86% of the cases. Long-term clinical efficacy was achieved in 58% of the patients. Mean follow-up was as long as 33 months, corresponding to 800 patient years of follow-up. Major complication rate was 2%, being higher than 10% in two series. At multivariate analysis, a stricture length &lt; or = 4 cm was associated with a surgery-free outcome (OR: 4.01; 95% CI: 1.16-13.8; P &lt; 0.028).\\n\\nCONCLUSIONS:Endoscopic dilatation is an effective and safe treatment for short strictures caused by Crohn's disease, impacting substantially on the natural history of these patients.", "author" : [ { "dropping-particle" : "", "family" : "Hassan", "given" : "C.", "non-dropping-particle" : "", "parse-names" : false, "suffix" : "" }, { "dropping-particle" : "", "family" : "Zullo", "given" : "A.", "non-dropping-particle" : "", "parse-names" : false, "suffix" : "" }, { "dropping-particle" : "", "family" : "Francesco", "given" : "V.", "non-dropping-particle" : "De", "parse-names" : false, "suffix" : "" }, { "dropping-particle" : "", "family" : "Ierardi", "given" : "E.", "non-dropping-particle" : "", "parse-names" : false, "suffix" : "" }, { "dropping-particle" : "", "family" : "Giustini", "given" : "M.", "non-dropping-particle" : "", "parse-names" : false, "suffix" : "" }, { "dropping-particle" : "", "family" : "Pitidis", "given" : "A.", "non-dropping-particle" : "", "parse-names" : false, "suffix" : "" }, { "dropping-particle" : "", "family" : "Taggi", "given" : "F.", "non-dropping-particle" : "", "parse-names" : false, "suffix" : "" }, { "dropping-particle" : "", "family" : "Winn", "given" : "S.", "non-dropping-particle" : "", "parse-names" : false, "suffix" : "" }, { "dropping-particle" : "", "family" : "Morini", "given" : "S.", "non-dropping-particle" : "", "parse-names" : false, "suffix" : "" } ], "container-title" : "Alimentary Pharmacology and Therapeutics", "id" : "ITEM-1", "issue" : "11-12", "issued" : { "date-parts" : [ [ "2007" ] ] }, "page" : "1457-1464", "title" : "Systematic review: Endoscopic dilatation in Crohn's disease", "type" : "article-journal", "volume" : "26" }, "uris" : [ "http://www.mendeley.com/documents/?uuid=d59126e3-b29f-42cb-b86a-3250bdc7d26f" ] } ], "mendeley" : { "formattedCitation" : "&lt;sup&gt;[105]&lt;/sup&gt;", "plainTextFormattedCitation" : "[105]", "previouslyFormattedCitation" : "&lt;sup&gt;[105]&lt;/sup&gt;" }, "properties" : {  }, "schema" : "https://github.com/citation-style-language/schema/raw/master/csl-citation.json" }</w:instrText>
      </w:r>
      <w:r w:rsidR="00165E4C" w:rsidRPr="003D034F">
        <w:rPr>
          <w:rFonts w:ascii="Book Antiqua" w:hAnsi="Book Antiqua" w:cs="Calibri"/>
          <w:sz w:val="24"/>
          <w:szCs w:val="24"/>
          <w:lang w:val="en-US"/>
        </w:rPr>
        <w:fldChar w:fldCharType="separate"/>
      </w:r>
      <w:r w:rsidR="00165E4C" w:rsidRPr="003D034F">
        <w:rPr>
          <w:rFonts w:ascii="Book Antiqua" w:hAnsi="Book Antiqua" w:cs="Calibri"/>
          <w:sz w:val="24"/>
          <w:szCs w:val="24"/>
          <w:vertAlign w:val="superscript"/>
          <w:lang w:val="en-US"/>
        </w:rPr>
        <w:t>[105]</w:t>
      </w:r>
      <w:r w:rsidR="00165E4C" w:rsidRPr="003D034F">
        <w:rPr>
          <w:rFonts w:ascii="Book Antiqua" w:hAnsi="Book Antiqua" w:cs="Calibri"/>
          <w:sz w:val="24"/>
          <w:szCs w:val="24"/>
          <w:lang w:val="en-US"/>
        </w:rPr>
        <w:fldChar w:fldCharType="end"/>
      </w:r>
      <w:r w:rsidR="00250D01" w:rsidRPr="003D034F">
        <w:rPr>
          <w:rFonts w:ascii="Book Antiqua" w:hAnsi="Book Antiqua" w:cs="Calibri"/>
          <w:sz w:val="24"/>
          <w:szCs w:val="24"/>
          <w:lang w:val="en-US"/>
        </w:rPr>
        <w:t xml:space="preserve"> evaluated </w:t>
      </w:r>
      <w:r w:rsidR="00B36947" w:rsidRPr="003D034F">
        <w:rPr>
          <w:rFonts w:ascii="Book Antiqua" w:hAnsi="Book Antiqua" w:cs="Calibri"/>
          <w:sz w:val="24"/>
          <w:szCs w:val="24"/>
          <w:lang w:val="en-US"/>
        </w:rPr>
        <w:t xml:space="preserve">the </w:t>
      </w:r>
      <w:r w:rsidR="00250D01" w:rsidRPr="003D034F">
        <w:rPr>
          <w:rFonts w:ascii="Book Antiqua" w:hAnsi="Book Antiqua" w:cs="Calibri"/>
          <w:sz w:val="24"/>
          <w:szCs w:val="24"/>
          <w:lang w:val="en-US"/>
        </w:rPr>
        <w:t>efficacy and safety of endoscopic dilations</w:t>
      </w:r>
      <w:r w:rsidR="00444445" w:rsidRPr="003D034F">
        <w:rPr>
          <w:rFonts w:ascii="Book Antiqua" w:hAnsi="Book Antiqua" w:cs="Calibri"/>
          <w:sz w:val="24"/>
          <w:szCs w:val="24"/>
          <w:lang w:val="en-US"/>
        </w:rPr>
        <w:t>.</w:t>
      </w:r>
      <w:r w:rsidR="00B50459" w:rsidRPr="003D034F">
        <w:rPr>
          <w:rFonts w:ascii="Book Antiqua" w:hAnsi="Book Antiqua" w:cs="Arial"/>
          <w:sz w:val="24"/>
          <w:szCs w:val="24"/>
          <w:lang w:val="en-US"/>
        </w:rPr>
        <w:t xml:space="preserve"> A total of 353 stenoses were dilated in 347 patients, the majority (66%) in anastomoses of the colonic ileum and only 3% in the </w:t>
      </w:r>
      <w:r w:rsidR="00CA5176" w:rsidRPr="003D034F">
        <w:rPr>
          <w:rFonts w:ascii="Book Antiqua" w:hAnsi="Book Antiqua" w:cs="Arial"/>
          <w:sz w:val="24"/>
          <w:szCs w:val="24"/>
          <w:lang w:val="en-US"/>
        </w:rPr>
        <w:t>UGT</w:t>
      </w:r>
      <w:r w:rsidR="00B50459" w:rsidRPr="003D034F">
        <w:rPr>
          <w:rFonts w:ascii="Book Antiqua" w:hAnsi="Book Antiqua" w:cs="Arial"/>
          <w:sz w:val="24"/>
          <w:szCs w:val="24"/>
          <w:lang w:val="en-US"/>
        </w:rPr>
        <w:t>. Endoscopic dilation avoided future surgical interventions and was a safe method with a low complication rate (2%).</w:t>
      </w:r>
      <w:r w:rsidR="002308B6" w:rsidRPr="003D034F">
        <w:rPr>
          <w:rFonts w:ascii="Book Antiqua" w:hAnsi="Book Antiqua" w:cs="Calibri"/>
          <w:sz w:val="24"/>
          <w:szCs w:val="24"/>
          <w:lang w:val="en-US"/>
        </w:rPr>
        <w:t xml:space="preserve"> </w:t>
      </w:r>
      <w:proofErr w:type="spellStart"/>
      <w:r w:rsidR="006E4FAB" w:rsidRPr="003D034F">
        <w:rPr>
          <w:rFonts w:ascii="Book Antiqua" w:hAnsi="Book Antiqua" w:cs="Calibri"/>
          <w:sz w:val="24"/>
          <w:szCs w:val="24"/>
          <w:lang w:val="en-US"/>
        </w:rPr>
        <w:t>Stenoplasty</w:t>
      </w:r>
      <w:proofErr w:type="spellEnd"/>
      <w:r w:rsidR="006E4FAB" w:rsidRPr="003D034F">
        <w:rPr>
          <w:rFonts w:ascii="Book Antiqua" w:hAnsi="Book Antiqua" w:cs="Calibri"/>
          <w:sz w:val="24"/>
          <w:szCs w:val="24"/>
          <w:lang w:val="en-US"/>
        </w:rPr>
        <w:t xml:space="preserve"> can be used as an option in the treatment of gastroduodenal obstruction, </w:t>
      </w:r>
      <w:r w:rsidR="00A96264" w:rsidRPr="003D034F">
        <w:rPr>
          <w:rFonts w:ascii="Book Antiqua" w:hAnsi="Book Antiqua" w:cs="Calibri"/>
          <w:sz w:val="24"/>
          <w:szCs w:val="24"/>
          <w:lang w:val="en-US"/>
        </w:rPr>
        <w:t xml:space="preserve">but </w:t>
      </w:r>
      <w:r w:rsidR="006E4FAB" w:rsidRPr="003D034F">
        <w:rPr>
          <w:rFonts w:ascii="Book Antiqua" w:hAnsi="Book Antiqua" w:cs="Calibri"/>
          <w:sz w:val="24"/>
          <w:szCs w:val="24"/>
          <w:lang w:val="en-US"/>
        </w:rPr>
        <w:t xml:space="preserve">few studies </w:t>
      </w:r>
      <w:r w:rsidR="00A96264" w:rsidRPr="003D034F">
        <w:rPr>
          <w:rFonts w:ascii="Book Antiqua" w:hAnsi="Book Antiqua" w:cs="Calibri"/>
          <w:sz w:val="24"/>
          <w:szCs w:val="24"/>
          <w:lang w:val="en-US"/>
        </w:rPr>
        <w:t xml:space="preserve">have </w:t>
      </w:r>
      <w:r w:rsidR="006E4FAB" w:rsidRPr="003D034F">
        <w:rPr>
          <w:rFonts w:ascii="Book Antiqua" w:hAnsi="Book Antiqua" w:cs="Calibri"/>
          <w:sz w:val="24"/>
          <w:szCs w:val="24"/>
          <w:lang w:val="en-US"/>
        </w:rPr>
        <w:t>compare</w:t>
      </w:r>
      <w:r w:rsidR="00A96264" w:rsidRPr="003D034F">
        <w:rPr>
          <w:rFonts w:ascii="Book Antiqua" w:hAnsi="Book Antiqua" w:cs="Calibri"/>
          <w:sz w:val="24"/>
          <w:szCs w:val="24"/>
          <w:lang w:val="en-US"/>
        </w:rPr>
        <w:t>d</w:t>
      </w:r>
      <w:r w:rsidR="006E4FAB" w:rsidRPr="003D034F">
        <w:rPr>
          <w:rFonts w:ascii="Book Antiqua" w:hAnsi="Book Antiqua" w:cs="Calibri"/>
          <w:sz w:val="24"/>
          <w:szCs w:val="24"/>
          <w:lang w:val="en-US"/>
        </w:rPr>
        <w:t xml:space="preserve"> th</w:t>
      </w:r>
      <w:r w:rsidR="00165E4C" w:rsidRPr="003D034F">
        <w:rPr>
          <w:rFonts w:ascii="Book Antiqua" w:hAnsi="Book Antiqua" w:cs="Calibri"/>
          <w:sz w:val="24"/>
          <w:szCs w:val="24"/>
          <w:lang w:val="en-US"/>
        </w:rPr>
        <w:t>eir results with bypass surgery</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"10.1159/000083871", "ISSN" : "00122823", "PMID" : "15711048", "abstract" : "Symptomatic gastroduodenal manifestations of Crohn's disease (CD) are rare, with  less than 4% of patients being clinically symptomatic. Gastroduodenal involvement may, however, be found endoscopically in 20% and in up to 40% of cases histologically, most frequently as Helicobacter pylori-negative focal gastritis, usually in patients with concomitant distal ileal disease. In practice, the activity of concomitant distal CD usually determines the indication for therapy, except in the presence of obstructive gastroduodenal symptoms. With the few data available, it seems correct to say that localized gastroduodenal disease should be treated with standard medical therapy used for more distal disease, with the exception of sulfasalazine and mesalanine with pH-dependent release. Presence of symptoms of obstruction needs aggressive therapy. If medical therapy with steroids and immunomodulatory drugs does not alleviate the symptoms, balloon dilation and surgery are the options to consider.", "author" : [ { "dropping-particle" : "", "family" : "Mottet", "given" : "Christian", "non-dropping-particle" : "", "parse-names" : false, "suffix" : "" }, { "dropping-particle" : "", "family" : "Juillerat", "given" : "Pascal", "non-dropping-particle" : "", "parse-names" : false, "suffix" : "" }, { "dropping-particle" : "", "family" : "Gonvers", "given" : "Jean Jacques", "non-dropping-particle" : "", "parse-names" : false, "suffix" : "" }, { "dropping-particle" : "", "family" : "Michetti", "given" : "Pierre", "non-dropping-particle" : "", "parse-names" : false, "suffix" : "" }, { "dropping-particle" : "", "family" : "Burnand", "given" : "Bernard", "non-dropping-particle" : "", "parse-names" : false, "suffix" : "" }, { "dropping-particle" : "", "family" : "Vader", "given" : "John Paul", "non-dropping-particle" : "", "parse-names" : false, "suffix" : "" }, { "dropping-particle" : "", "family" : "Felley", "given" : "Christian", "non-dropping-particle" : "", "parse-names" : false, "suffix" : "" }, { "dropping-particle" : "", "family" : "Froehlich", "given" : "Florian", "non-dropping-particle" : "", "parse-names" : false, "suffix" : "" } ], "container-title" : "Digestion", "id" : "ITEM-1", "issue" : "1", "issued" : { "date-parts" : [ [ "2005" ] ] }, "page" : "37-40", "title" : "Treatment of gastroduodenal Crohn's disease", "type" : "article-journal", "volume" : "71" }, "uris" : [ "http://www.mendeley.com/documents/?uuid=d139c69d-af6e-455b-935c-9f81bef41d08" ] } ], "mendeley" : { "formattedCitation" : "&lt;sup&gt;[94]&lt;/sup&gt;", "plainTextFormattedCitation" : "[94]", "previouslyFormattedCitation" : "&lt;sup&gt;[94]&lt;/sup&gt;"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[94]</w:t>
      </w:r>
      <w:r w:rsidR="00056AC0" w:rsidRPr="003D034F">
        <w:rPr>
          <w:rFonts w:ascii="Book Antiqua" w:hAnsi="Book Antiqua" w:cs="Calibri"/>
          <w:sz w:val="24"/>
          <w:szCs w:val="24"/>
          <w:lang w:val="en-US"/>
        </w:rPr>
        <w:fldChar w:fldCharType="end"/>
      </w:r>
      <w:r w:rsidR="000344A8" w:rsidRPr="003D034F">
        <w:rPr>
          <w:rFonts w:ascii="Book Antiqua" w:hAnsi="Book Antiqua" w:cs="Calibri"/>
          <w:sz w:val="24"/>
          <w:szCs w:val="24"/>
          <w:lang w:val="en-US"/>
        </w:rPr>
        <w:t xml:space="preserve">. </w:t>
      </w:r>
      <w:r w:rsidR="00D20265" w:rsidRPr="003D034F">
        <w:rPr>
          <w:rFonts w:ascii="Book Antiqua" w:hAnsi="Book Antiqua" w:cs="Calibri"/>
          <w:sz w:val="24"/>
          <w:szCs w:val="24"/>
          <w:lang w:val="en-US"/>
        </w:rPr>
        <w:t xml:space="preserve">This procedure may have serious complications such as ruptured anastomosis, persistent obstructive symptoms and restenosis at the site of previous </w:t>
      </w:r>
      <w:proofErr w:type="spellStart"/>
      <w:r w:rsidR="00D20265" w:rsidRPr="003D034F">
        <w:rPr>
          <w:rFonts w:ascii="Book Antiqua" w:hAnsi="Book Antiqua" w:cs="Calibri"/>
          <w:sz w:val="24"/>
          <w:szCs w:val="24"/>
          <w:lang w:val="en-US"/>
        </w:rPr>
        <w:t>stenoplasty</w:t>
      </w:r>
      <w:proofErr w:type="spellEnd"/>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"DOI" : "10.1080/003655299750025138", "ISBN" : "0036-5521 (Print)\\r0036-5521 (Linking)", "ISSN" : "00365521", "PMID" : "10563673", "abstract" : "BACKGROUND: This study was undertaken to assess the clinicopathologic features and management of gastroduodenal Crohn disease. METHODS: The medical records of 54 patients with gastroduodenal Crohn disease treated between 1958 and 1997 were reviewed. RESULTS: Gastroduodenal Crohn disease occurred in association with disease elsewhere in 52 patients (96%). The commonest pathology was stricture (n = 41), followed by ulceration (n = 4) and duodenocutaneous fistula (n = 2). Medical treatment was initially attempted in 31 patients, of whom 12 required no surgical treatment for gastroduodenal disease. Nineteen patients required surgery for gastroduodenal obstruction or fistula despite medical treatment. Overall, 33 patients (61%) required surgery; the indication was obstruction in 30, duodenocutaneous fistula in 2, and bleeding in 1. There was one postoperative death because of persistent bleeding and intraabdominal sepsis after oversewing of a bleeding ulcer. In obstructive disease 16 patients were treated by bypass surgery, 10 by strictureplasty, and 4 by gastrectomy. After surgery for obstructive disease anastomotic leak developed in three patients, and persistent gastric outlet obstruction was seen in six patients. In the long term 11 patients required reoperation for anastomotic obstruction (n = 9) or stomal ulceration (n = 2). For duodenocutaneous fistula one patient underwent simple closure of fistula, and the other patient duodenojejunostomy. Both of these patients developed an intra-abdominal abscess without evidence of leak. There has been no fistula recurrence. CONCLUSIONS: Gastroduodenal Crohn disease is a complex and difficult problem that is associated with serious complications and need for reoperation.", "author" : [ { "dropping-particle" : "", "family" : "Yamamoto", "given" : "T.", "non-dropping-particle" : "", "parse-names" : false, "suffix" : "" }, { "dropping-particle" : "", "family" : "Allan", "given" : "R. N.", "non-dropping-particle" : "", "parse-names" : false, "suffix" : "" }, { "dropping-particle" : "", "family" : "Keighley", "given" : "M. R B", "non-dropping-particle" : "", "parse-names" : false, "suffix" : "" } ], "container-title" : "Scandinavian Journal of Gastroenterology", "id" : "ITEM-1", "issue" : "10", "issued" : { "date-parts" : [ [ "1999" ] ] }, "page" : "1019-1024", "title" : "An audit of gastroduodenal Crohn disease: Clinicopathologic features and management", "type" : "article-journal", "volume" : "34" }, "uris" : [ "http://www.mendeley.com/documents/?uuid=bf7af457-e669-44d6-8af5-98967208d848" ] } ], "mendeley" : { "formattedCitation" : "&lt;sup&gt;[57]&lt;/sup&gt;", "plainTextFormattedCitation" : "[57]", "previouslyFormattedCitation" : "&lt;sup&gt;[57]&lt;/sup&gt;"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[57]</w:t>
      </w:r>
      <w:r w:rsidR="00056AC0" w:rsidRPr="003D034F">
        <w:rPr>
          <w:rFonts w:ascii="Book Antiqua" w:hAnsi="Book Antiqua" w:cs="Calibri"/>
          <w:sz w:val="24"/>
          <w:szCs w:val="24"/>
          <w:lang w:val="en-US"/>
        </w:rPr>
        <w:fldChar w:fldCharType="end"/>
      </w:r>
      <w:r w:rsidR="000344A8" w:rsidRPr="003D034F">
        <w:rPr>
          <w:rFonts w:ascii="Book Antiqua" w:hAnsi="Book Antiqua" w:cs="Calibri"/>
          <w:sz w:val="24"/>
          <w:szCs w:val="24"/>
          <w:lang w:val="en-US"/>
        </w:rPr>
        <w:t>.</w:t>
      </w:r>
    </w:p>
    <w:p w:rsidR="008820C3" w:rsidRPr="003D034F" w:rsidRDefault="00EC7045" w:rsidP="003D034F">
      <w:pPr>
        <w:spacing w:after="0" w:line="360" w:lineRule="auto"/>
        <w:ind w:firstLineChars="100" w:firstLine="240"/>
        <w:jc w:val="both"/>
        <w:rPr>
          <w:rFonts w:ascii="Book Antiqua" w:hAnsi="Book Antiqua" w:cs="Calibri"/>
          <w:sz w:val="24"/>
          <w:szCs w:val="24"/>
          <w:lang w:val="en-US"/>
        </w:rPr>
      </w:pPr>
      <w:r w:rsidRPr="003D034F">
        <w:rPr>
          <w:rFonts w:ascii="Book Antiqua" w:hAnsi="Book Antiqua" w:cs="Calibri"/>
          <w:sz w:val="24"/>
          <w:szCs w:val="24"/>
          <w:lang w:val="en-US"/>
        </w:rPr>
        <w:t xml:space="preserve">The first reports of upper limb involvement cases in the </w:t>
      </w:r>
      <w:proofErr w:type="spellStart"/>
      <w:r w:rsidR="008320D3" w:rsidRPr="003D034F">
        <w:rPr>
          <w:rFonts w:ascii="Book Antiqua" w:hAnsi="Book Antiqua" w:cs="Calibri"/>
          <w:sz w:val="24"/>
          <w:szCs w:val="24"/>
          <w:lang w:val="en-US"/>
        </w:rPr>
        <w:t>preb</w:t>
      </w:r>
      <w:r w:rsidRPr="003D034F">
        <w:rPr>
          <w:rFonts w:ascii="Book Antiqua" w:hAnsi="Book Antiqua" w:cs="Calibri"/>
          <w:sz w:val="24"/>
          <w:szCs w:val="24"/>
          <w:lang w:val="en-US"/>
        </w:rPr>
        <w:t>iological</w:t>
      </w:r>
      <w:proofErr w:type="spellEnd"/>
      <w:r w:rsidRPr="003D034F">
        <w:rPr>
          <w:rFonts w:ascii="Book Antiqua" w:hAnsi="Book Antiqua" w:cs="Calibri"/>
          <w:sz w:val="24"/>
          <w:szCs w:val="24"/>
          <w:lang w:val="en-US"/>
        </w:rPr>
        <w:t xml:space="preserve"> therapy era and before the introduction of digestive endoscopy as a diagnostic method </w:t>
      </w:r>
      <w:r w:rsidRPr="003D034F">
        <w:rPr>
          <w:rFonts w:ascii="Book Antiqua" w:hAnsi="Book Antiqua" w:cs="Calibri"/>
          <w:sz w:val="24"/>
          <w:szCs w:val="24"/>
          <w:lang w:val="en-US"/>
        </w:rPr>
        <w:lastRenderedPageBreak/>
        <w:t>demonstrated that surgical treatment was the main option in the management of more advanced disease and with complications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"ISSN" : "0008-4409", "PMID" : "5843869", "abstract" : "Forty-three cases of regional enteritis of the duodenum were found in the world literature. Regional duodenitis is relatively uncommon; in one large series of 600 cases of regional enteritis only three involved the duodenum.At the University of Alberta Hospital, in a three-year period (1962 to 1965), the authors encountered five patients with regional duodenitis, demonstrating a spectrum of clinical, radiologic and pathologic characteristics of this disease. The description of these patients brings the world's total to 48 reported cases.Two of these patients had symptoms of severe duodenal obstruction and were relieved by bypass procedures and vagotomy; one required surgery because of co-existent obstructive ileal disease: and two patients have improved on corticoids and salicylazosulfapyridine without surgery.In our experience treatment with corticoids and salicylazosulfapyridine is beneficial.Four of the five patients remain in a state of mild to moderate nutritional impairment and have evidence of intestinal malabsorption. In the fifth case the period of followup is too short to permit assessment.", "author" : [ { "dropping-particle" : "", "family" : "Edwards", "given" : "AM", "non-dropping-particle" : "", "parse-names" : false, "suffix" : "" }, { "dropping-particle" : "", "family" : "Michalyshyn", "given" : "B", "non-dropping-particle" : "", "parse-names" : false, "suffix" : "" }, { "dropping-particle" : "", "family" : "Sherbaniuk", "given" : "RW", "non-dropping-particle" : "", "parse-names" : false, "suffix" : "" }, { "dropping-particle" : "", "family" : "Costopoulos", "given" : "LB", "non-dropping-particle" : "", "parse-names" : false, "suffix" : "" } ], "container-title" : "Canadian Medical Association Journal", "id" : "ITEM-1", "issue" : "25", "issued" : { "date-parts" : [ [ "1965" ] ] }, "page" : "1283-1295", "title" : "Regional enteritis of the duodenum: a review and report of five cases", "type" : "article-journal", "volume" : "93" }, "uris" : [ "http://www.mendeley.com/documents/?uuid=63c451bf-b6ed-48f2-800a-a0cabeaff511" ] } ], "mendeley" : { "formattedCitation" : "&lt;sup&gt;[106]&lt;/sup&gt;", "plainTextFormattedCitation" : "[106]", "previouslyFormattedCitation" : "&lt;sup&gt;[106]&lt;/sup&gt;"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[106]</w:t>
      </w:r>
      <w:r w:rsidR="00056AC0" w:rsidRPr="003D034F">
        <w:rPr>
          <w:rFonts w:ascii="Book Antiqua" w:hAnsi="Book Antiqua" w:cs="Calibri"/>
          <w:sz w:val="24"/>
          <w:szCs w:val="24"/>
          <w:lang w:val="en-US"/>
        </w:rPr>
        <w:fldChar w:fldCharType="end"/>
      </w:r>
      <w:r w:rsidR="0039481F" w:rsidRPr="003D034F">
        <w:rPr>
          <w:rFonts w:ascii="Book Antiqua" w:hAnsi="Book Antiqua" w:cs="Calibri"/>
          <w:sz w:val="24"/>
          <w:szCs w:val="24"/>
          <w:lang w:val="en-US"/>
        </w:rPr>
        <w:t>.</w:t>
      </w:r>
      <w:r w:rsidR="00807BC9" w:rsidRPr="003D034F">
        <w:rPr>
          <w:rFonts w:ascii="Book Antiqua" w:hAnsi="Book Antiqua" w:cs="Calibri"/>
          <w:sz w:val="24"/>
          <w:szCs w:val="24"/>
          <w:lang w:val="en-US"/>
        </w:rPr>
        <w:t xml:space="preserve"> </w:t>
      </w:r>
      <w:r w:rsidR="009174C1" w:rsidRPr="003D034F">
        <w:rPr>
          <w:rFonts w:ascii="Book Antiqua" w:hAnsi="Book Antiqua" w:cs="Calibri"/>
          <w:sz w:val="24"/>
          <w:szCs w:val="24"/>
          <w:lang w:val="en-US"/>
        </w:rPr>
        <w:t>The main surgical indications are fistulas, stenosis refractory to dilation, ulcers not responsive to medical therapy and persistent high digestive hemorrhage, with excellent results. The most commonly used techniques are bypass with gastrojejunostomy, gastroduodenostomy and duodenojejunostomy. Gastrojejunostomy with highly selective vagotomy is the surgery of choice for reducing the number of complications</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"16278730", "author" : [ { "dropping-particle" : "", "family" : "Kefalas", "given" : "Costas H.", "non-dropping-particle" : "", "parse-names" : false, "suffix" : "" } ], "container-title" : "BUMC Proceedings.", "id" : "ITEM-1", "issue" : "2", "issued" : { "date-parts" : [ [ "2003" ] ] }, "page" : "147-151", "title" : "Gastroduodenal Crohn's disease", "type" : "article-journal", "volume" : "16" }, "uris" : [ "http://www.mendeley.com/documents/?uuid=b2d2af11-d48d-423a-b188-ad803e388336" ] } ], "mendeley" : { "formattedCitation" : "&lt;sup&gt;[64]&lt;/sup&gt;", "plainTextFormattedCitation" : "[64]", "previouslyFormattedCitation" : "&lt;sup&gt;[64]&lt;/sup&gt;"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[64]</w:t>
      </w:r>
      <w:r w:rsidR="00056AC0" w:rsidRPr="003D034F">
        <w:rPr>
          <w:rFonts w:ascii="Book Antiqua" w:hAnsi="Book Antiqua" w:cs="Calibri"/>
          <w:sz w:val="24"/>
          <w:szCs w:val="24"/>
          <w:lang w:val="en-US"/>
        </w:rPr>
        <w:fldChar w:fldCharType="end"/>
      </w:r>
      <w:r w:rsidR="0090659E" w:rsidRPr="003D034F">
        <w:rPr>
          <w:rFonts w:ascii="Book Antiqua" w:hAnsi="Book Antiqua" w:cs="Calibri"/>
          <w:sz w:val="24"/>
          <w:szCs w:val="24"/>
          <w:lang w:val="en-US"/>
        </w:rPr>
        <w:t>.</w:t>
      </w:r>
      <w:r w:rsidR="00D1797B" w:rsidRPr="003D034F">
        <w:rPr>
          <w:rFonts w:ascii="Book Antiqua" w:hAnsi="Book Antiqua" w:cs="Calibri"/>
          <w:sz w:val="24"/>
          <w:szCs w:val="24"/>
          <w:lang w:val="en-US"/>
        </w:rPr>
        <w:t xml:space="preserve"> </w:t>
      </w:r>
    </w:p>
    <w:p w:rsidR="00B82D52" w:rsidRPr="003D034F" w:rsidRDefault="00A96264" w:rsidP="003D034F">
      <w:pPr>
        <w:spacing w:after="0" w:line="360" w:lineRule="auto"/>
        <w:ind w:firstLineChars="100" w:firstLine="240"/>
        <w:jc w:val="both"/>
        <w:rPr>
          <w:rFonts w:ascii="Book Antiqua" w:hAnsi="Book Antiqua" w:cs="Calibri"/>
          <w:sz w:val="24"/>
          <w:szCs w:val="24"/>
          <w:lang w:val="en-US" w:eastAsia="zh-CN"/>
        </w:rPr>
      </w:pPr>
      <w:r w:rsidRPr="003D034F">
        <w:rPr>
          <w:rFonts w:ascii="Book Antiqua" w:hAnsi="Book Antiqua" w:cs="Calibri"/>
          <w:sz w:val="24"/>
          <w:szCs w:val="24"/>
          <w:lang w:val="en-US"/>
        </w:rPr>
        <w:t>V</w:t>
      </w:r>
      <w:r w:rsidR="008820C3" w:rsidRPr="003D034F">
        <w:rPr>
          <w:rFonts w:ascii="Book Antiqua" w:hAnsi="Book Antiqua" w:cs="Calibri"/>
          <w:sz w:val="24"/>
          <w:szCs w:val="24"/>
          <w:lang w:val="en-US"/>
        </w:rPr>
        <w:t xml:space="preserve">agotomy may reduce the incidence of anastomotic ulcers, but </w:t>
      </w:r>
      <w:r w:rsidRPr="003D034F">
        <w:rPr>
          <w:rFonts w:ascii="Book Antiqua" w:hAnsi="Book Antiqua" w:cs="Calibri"/>
          <w:sz w:val="24"/>
          <w:szCs w:val="24"/>
          <w:lang w:val="en-US"/>
        </w:rPr>
        <w:t xml:space="preserve">it </w:t>
      </w:r>
      <w:r w:rsidR="008820C3" w:rsidRPr="003D034F">
        <w:rPr>
          <w:rFonts w:ascii="Book Antiqua" w:hAnsi="Book Antiqua" w:cs="Calibri"/>
          <w:sz w:val="24"/>
          <w:szCs w:val="24"/>
          <w:lang w:val="en-US"/>
        </w:rPr>
        <w:t xml:space="preserve">increases the chance of diarrhea in these patients and has a controversial indication. Laparoscopic </w:t>
      </w:r>
      <w:r w:rsidRPr="003D034F">
        <w:rPr>
          <w:rFonts w:ascii="Book Antiqua" w:hAnsi="Book Antiqua" w:cs="Calibri"/>
          <w:sz w:val="24"/>
          <w:szCs w:val="24"/>
          <w:lang w:val="en-US"/>
        </w:rPr>
        <w:t>g</w:t>
      </w:r>
      <w:r w:rsidR="008820C3" w:rsidRPr="003D034F">
        <w:rPr>
          <w:rFonts w:ascii="Book Antiqua" w:hAnsi="Book Antiqua" w:cs="Calibri"/>
          <w:sz w:val="24"/>
          <w:szCs w:val="24"/>
          <w:lang w:val="en-US"/>
        </w:rPr>
        <w:t xml:space="preserve">astrojejunostomy is an option for the treatment of obstructive gastroduodenal disease, with lower morbidity, shorter recovery time and </w:t>
      </w:r>
      <w:r w:rsidRPr="003D034F">
        <w:rPr>
          <w:rFonts w:ascii="Book Antiqua" w:hAnsi="Book Antiqua" w:cs="Calibri"/>
          <w:sz w:val="24"/>
          <w:szCs w:val="24"/>
          <w:lang w:val="en-US"/>
        </w:rPr>
        <w:t xml:space="preserve">shorter </w:t>
      </w:r>
      <w:r w:rsidR="008820C3" w:rsidRPr="003D034F">
        <w:rPr>
          <w:rFonts w:ascii="Book Antiqua" w:hAnsi="Book Antiqua" w:cs="Calibri"/>
          <w:sz w:val="24"/>
          <w:szCs w:val="24"/>
          <w:lang w:val="en-US"/>
        </w:rPr>
        <w:t>hospitalization</w:t>
      </w:r>
      <w:r w:rsidR="00056AC0" w:rsidRPr="003D034F">
        <w:rPr>
          <w:rFonts w:ascii="Book Antiqua" w:hAnsi="Book Antiqua" w:cs="Calibri"/>
          <w:sz w:val="24"/>
          <w:szCs w:val="24"/>
          <w:lang w:val="en-US"/>
        </w:rPr>
        <w:fldChar w:fldCharType="begin" w:fldLock="1"/>
      </w:r>
      <w:r w:rsidR="00EE109A" w:rsidRPr="003D034F">
        <w:rPr>
          <w:rFonts w:ascii="Book Antiqua" w:hAnsi="Book Antiqua" w:cs="Calibri"/>
          <w:sz w:val="24"/>
          <w:szCs w:val="24"/>
          <w:lang w:val="en-US"/>
        </w:rPr>
        <w:instrText>ADDIN CSL_CITATION { "citationItems" : [ { "id" : "ITEM-1", "itemData" : { "PMID" : "12769448", "author" : [ { "dropping-particle" : "", "family" : "Salky", "given" : "Barry", "non-dropping-particle" : "", "parse-names" : false, "suffix" : "" } ], "container-title" : "Inflammatory Bowel Diseases", "id" : "ITEM-1", "issue" : "2", "issued" : { "date-parts" : [ [ "2003" ] ] }, "page" : "129-130", "title" : "Severe Gastroduodenal Crohn \u2019 s Disease : Surgical Treatment", "type" : "article-journal", "volume" : "9" }, "uris" : [ "http://www.mendeley.com/documents/?uuid=1ed5f19f-2251-4ddd-8572-359a78f7ed53" ] } ], "mendeley" : { "formattedCitation" : "&lt;sup&gt;[107]&lt;/sup&gt;", "plainTextFormattedCitation" : "[107]", "previouslyFormattedCitation" : "&lt;sup&gt;[107]&lt;/sup&gt;" }, "properties" : {  }, "schema" : "https://github.com/citation-style-language/schema/raw/master/csl-citation.json" }</w:instrText>
      </w:r>
      <w:r w:rsidR="00056AC0" w:rsidRPr="003D034F">
        <w:rPr>
          <w:rFonts w:ascii="Book Antiqua" w:hAnsi="Book Antiqua" w:cs="Calibri"/>
          <w:sz w:val="24"/>
          <w:szCs w:val="24"/>
          <w:lang w:val="en-US"/>
        </w:rPr>
        <w:fldChar w:fldCharType="separate"/>
      </w:r>
      <w:r w:rsidR="00EE109A" w:rsidRPr="003D034F">
        <w:rPr>
          <w:rFonts w:ascii="Book Antiqua" w:hAnsi="Book Antiqua" w:cs="Calibri"/>
          <w:sz w:val="24"/>
          <w:szCs w:val="24"/>
          <w:vertAlign w:val="superscript"/>
          <w:lang w:val="en-US"/>
        </w:rPr>
        <w:t>[107]</w:t>
      </w:r>
      <w:r w:rsidR="00056AC0" w:rsidRPr="003D034F">
        <w:rPr>
          <w:rFonts w:ascii="Book Antiqua" w:hAnsi="Book Antiqua" w:cs="Calibri"/>
          <w:sz w:val="24"/>
          <w:szCs w:val="24"/>
          <w:lang w:val="en-US"/>
        </w:rPr>
        <w:fldChar w:fldCharType="end"/>
      </w:r>
      <w:r w:rsidR="0087607D" w:rsidRPr="003D034F">
        <w:rPr>
          <w:rFonts w:ascii="Book Antiqua" w:hAnsi="Book Antiqua" w:cs="Calibri"/>
          <w:sz w:val="24"/>
          <w:szCs w:val="24"/>
          <w:lang w:val="en-US"/>
        </w:rPr>
        <w:t xml:space="preserve">. </w:t>
      </w:r>
      <w:r w:rsidR="00B752CB" w:rsidRPr="003D034F">
        <w:rPr>
          <w:rFonts w:ascii="Book Antiqua" w:hAnsi="Book Antiqua" w:cs="Calibri"/>
          <w:sz w:val="24"/>
          <w:szCs w:val="24"/>
          <w:lang w:val="en-US"/>
        </w:rPr>
        <w:t xml:space="preserve">In a retrospective study of 54 patients with gastroduodenal </w:t>
      </w:r>
      <w:r w:rsidR="00B12037" w:rsidRPr="003D034F">
        <w:rPr>
          <w:rFonts w:ascii="Book Antiqua" w:hAnsi="Book Antiqua" w:cs="Calibri"/>
          <w:sz w:val="24"/>
          <w:szCs w:val="24"/>
          <w:lang w:val="en-US"/>
        </w:rPr>
        <w:t>CD</w:t>
      </w:r>
      <w:r w:rsidR="00B752CB" w:rsidRPr="003D034F">
        <w:rPr>
          <w:rFonts w:ascii="Book Antiqua" w:hAnsi="Book Antiqua" w:cs="Calibri"/>
          <w:sz w:val="24"/>
          <w:szCs w:val="24"/>
          <w:lang w:val="en-US"/>
        </w:rPr>
        <w:t xml:space="preserve"> treated between 1958 and 1997, Yamamoto </w:t>
      </w:r>
      <w:r w:rsidR="00B752CB" w:rsidRPr="003D034F">
        <w:rPr>
          <w:rFonts w:ascii="Book Antiqua" w:hAnsi="Book Antiqua" w:cs="Calibri"/>
          <w:i/>
          <w:sz w:val="24"/>
          <w:szCs w:val="24"/>
          <w:lang w:val="en-US"/>
        </w:rPr>
        <w:t>et al</w:t>
      </w:r>
      <w:r w:rsidR="00165E4C" w:rsidRPr="003D034F">
        <w:rPr>
          <w:rFonts w:ascii="Book Antiqua" w:hAnsi="Book Antiqua" w:cs="Calibri"/>
          <w:sz w:val="24"/>
          <w:szCs w:val="24"/>
          <w:lang w:val="en-US"/>
        </w:rPr>
        <w:fldChar w:fldCharType="begin" w:fldLock="1"/>
      </w:r>
      <w:r w:rsidR="00165E4C" w:rsidRPr="003D034F">
        <w:rPr>
          <w:rFonts w:ascii="Book Antiqua" w:hAnsi="Book Antiqua" w:cs="Calibri"/>
          <w:sz w:val="24"/>
          <w:szCs w:val="24"/>
          <w:lang w:val="en-US"/>
        </w:rPr>
        <w:instrText>ADDIN CSL_CITATION { "citationItems" : [ { "id" : "ITEM-1", "itemData" : { "DOI" : "10.1080/003655299750025138", "ISBN" : "0036-5521 (Print)\\r0036-5521 (Linking)", "ISSN" : "00365521", "PMID" : "10563673", "abstract" : "BACKGROUND: This study was undertaken to assess the clinicopathologic features and management of gastroduodenal Crohn disease. METHODS: The medical records of 54 patients with gastroduodenal Crohn disease treated between 1958 and 1997 were reviewed. RESULTS: Gastroduodenal Crohn disease occurred in association with disease elsewhere in 52 patients (96%). The commonest pathology was stricture (n = 41), followed by ulceration (n = 4) and duodenocutaneous fistula (n = 2). Medical treatment was initially attempted in 31 patients, of whom 12 required no surgical treatment for gastroduodenal disease. Nineteen patients required surgery for gastroduodenal obstruction or fistula despite medical treatment. Overall, 33 patients (61%) required surgery; the indication was obstruction in 30, duodenocutaneous fistula in 2, and bleeding in 1. There was one postoperative death because of persistent bleeding and intraabdominal sepsis after oversewing of a bleeding ulcer. In obstructive disease 16 patients were treated by bypass surgery, 10 by strictureplasty, and 4 by gastrectomy. After surgery for obstructive disease anastomotic leak developed in three patients, and persistent gastric outlet obstruction was seen in six patients. In the long term 11 patients required reoperation for anastomotic obstruction (n = 9) or stomal ulceration (n = 2). For duodenocutaneous fistula one patient underwent simple closure of fistula, and the other patient duodenojejunostomy. Both of these patients developed an intra-abdominal abscess without evidence of leak. There has been no fistula recurrence. CONCLUSIONS: Gastroduodenal Crohn disease is a complex and difficult problem that is associated with serious complications and need for reoperation.", "author" : [ { "dropping-particle" : "", "family" : "Yamamoto", "given" : "T.", "non-dropping-particle" : "", "parse-names" : false, "suffix" : "" }, { "dropping-particle" : "", "family" : "Allan", "given" : "R. N.", "non-dropping-particle" : "", "parse-names" : false, "suffix" : "" }, { "dropping-particle" : "", "family" : "Keighley", "given" : "M. R B", "non-dropping-particle" : "", "parse-names" : false, "suffix" : "" } ], "container-title" : "Scandinavian Journal of Gastroenterology", "id" : "ITEM-1", "issue" : "10", "issued" : { "date-parts" : [ [ "1999" ] ] }, "page" : "1019-1024", "title" : "An audit of gastroduodenal Crohn disease: Clinicopathologic features and management", "type" : "article-journal", "volume" : "34" }, "uris" : [ "http://www.mendeley.com/documents/?uuid=bf7af457-e669-44d6-8af5-98967208d848" ] } ], "mendeley" : { "formattedCitation" : "&lt;sup&gt;[57]&lt;/sup&gt;", "plainTextFormattedCitation" : "[57]", "previouslyFormattedCitation" : "&lt;sup&gt;[57]&lt;/sup&gt;" }, "properties" : {  }, "schema" : "https://github.com/citation-style-language/schema/raw/master/csl-citation.json" }</w:instrText>
      </w:r>
      <w:r w:rsidR="00165E4C" w:rsidRPr="003D034F">
        <w:rPr>
          <w:rFonts w:ascii="Book Antiqua" w:hAnsi="Book Antiqua" w:cs="Calibri"/>
          <w:sz w:val="24"/>
          <w:szCs w:val="24"/>
          <w:lang w:val="en-US"/>
        </w:rPr>
        <w:fldChar w:fldCharType="separate"/>
      </w:r>
      <w:r w:rsidR="00165E4C" w:rsidRPr="003D034F">
        <w:rPr>
          <w:rFonts w:ascii="Book Antiqua" w:hAnsi="Book Antiqua" w:cs="Calibri"/>
          <w:sz w:val="24"/>
          <w:szCs w:val="24"/>
          <w:vertAlign w:val="superscript"/>
          <w:lang w:val="en-US"/>
        </w:rPr>
        <w:t>[57]</w:t>
      </w:r>
      <w:r w:rsidR="00165E4C" w:rsidRPr="003D034F">
        <w:rPr>
          <w:rFonts w:ascii="Book Antiqua" w:hAnsi="Book Antiqua" w:cs="Calibri"/>
          <w:sz w:val="24"/>
          <w:szCs w:val="24"/>
          <w:lang w:val="en-US"/>
        </w:rPr>
        <w:fldChar w:fldCharType="end"/>
      </w:r>
      <w:r w:rsidR="00B752CB" w:rsidRPr="003D034F">
        <w:rPr>
          <w:rFonts w:ascii="Book Antiqua" w:hAnsi="Book Antiqua" w:cs="Calibri"/>
          <w:sz w:val="24"/>
          <w:szCs w:val="24"/>
          <w:lang w:val="en-US"/>
        </w:rPr>
        <w:t xml:space="preserve"> demonstrated that surgical treatment was performed in 33 patients (61%), with gastroduodenal obstruction (30 patients) being the most frequent indication, followed by </w:t>
      </w:r>
      <w:bookmarkStart w:id="52" w:name="OLE_LINK371"/>
      <w:bookmarkStart w:id="53" w:name="OLE_LINK372"/>
      <w:proofErr w:type="spellStart"/>
      <w:r w:rsidR="00B752CB" w:rsidRPr="003D034F">
        <w:rPr>
          <w:rFonts w:ascii="Book Antiqua" w:hAnsi="Book Antiqua" w:cs="Calibri"/>
          <w:sz w:val="24"/>
          <w:szCs w:val="24"/>
          <w:lang w:val="en-US"/>
        </w:rPr>
        <w:t>duodenocutaneous</w:t>
      </w:r>
      <w:bookmarkEnd w:id="52"/>
      <w:bookmarkEnd w:id="53"/>
      <w:proofErr w:type="spellEnd"/>
      <w:r w:rsidR="00B752CB" w:rsidRPr="003D034F">
        <w:rPr>
          <w:rFonts w:ascii="Book Antiqua" w:hAnsi="Book Antiqua" w:cs="Calibri"/>
          <w:sz w:val="24"/>
          <w:szCs w:val="24"/>
          <w:lang w:val="en-US"/>
        </w:rPr>
        <w:t xml:space="preserve"> fistula in 2 patients and massive bleeding in 1 patient. Bypass surgery was the procedure of choice, but </w:t>
      </w:r>
      <w:r w:rsidRPr="003D034F">
        <w:rPr>
          <w:rFonts w:ascii="Book Antiqua" w:hAnsi="Book Antiqua" w:cs="Calibri"/>
          <w:sz w:val="24"/>
          <w:szCs w:val="24"/>
          <w:lang w:val="en-US"/>
        </w:rPr>
        <w:t xml:space="preserve">it had </w:t>
      </w:r>
      <w:r w:rsidR="00B752CB" w:rsidRPr="003D034F">
        <w:rPr>
          <w:rFonts w:ascii="Book Antiqua" w:hAnsi="Book Antiqua" w:cs="Calibri"/>
          <w:sz w:val="24"/>
          <w:szCs w:val="24"/>
          <w:lang w:val="en-US"/>
        </w:rPr>
        <w:t xml:space="preserve">a high incidence of postoperative complications, such as anastomotic leakage (13%), enterocutaneous fistula (6%), intraabdominal abscess (13%), anastomotic obstruction (25%), stoma (13%), small bowel obstruction (6%), </w:t>
      </w:r>
      <w:r w:rsidRPr="003D034F">
        <w:rPr>
          <w:rFonts w:ascii="Book Antiqua" w:hAnsi="Book Antiqua" w:cs="Calibri"/>
          <w:sz w:val="24"/>
          <w:szCs w:val="24"/>
          <w:lang w:val="en-US"/>
        </w:rPr>
        <w:t xml:space="preserve">and </w:t>
      </w:r>
      <w:r w:rsidR="00B752CB" w:rsidRPr="003D034F">
        <w:rPr>
          <w:rFonts w:ascii="Book Antiqua" w:hAnsi="Book Antiqua" w:cs="Calibri"/>
          <w:sz w:val="24"/>
          <w:szCs w:val="24"/>
          <w:lang w:val="en-US"/>
        </w:rPr>
        <w:t xml:space="preserve">persistent obstructive symptoms (19%), and </w:t>
      </w:r>
      <w:r w:rsidRPr="003D034F">
        <w:rPr>
          <w:rFonts w:ascii="Book Antiqua" w:hAnsi="Book Antiqua" w:cs="Calibri"/>
          <w:sz w:val="24"/>
          <w:szCs w:val="24"/>
          <w:lang w:val="en-US"/>
        </w:rPr>
        <w:t xml:space="preserve">of </w:t>
      </w:r>
      <w:r w:rsidR="00B752CB" w:rsidRPr="003D034F">
        <w:rPr>
          <w:rFonts w:ascii="Book Antiqua" w:hAnsi="Book Antiqua" w:cs="Calibri"/>
          <w:sz w:val="24"/>
          <w:szCs w:val="24"/>
          <w:lang w:val="en-US"/>
        </w:rPr>
        <w:t xml:space="preserve">the need for </w:t>
      </w:r>
      <w:bookmarkStart w:id="54" w:name="OLE_LINK373"/>
      <w:bookmarkStart w:id="55" w:name="OLE_LINK374"/>
      <w:r w:rsidR="00B752CB" w:rsidRPr="003D034F">
        <w:rPr>
          <w:rFonts w:ascii="Book Antiqua" w:hAnsi="Book Antiqua" w:cs="Calibri"/>
          <w:sz w:val="24"/>
          <w:szCs w:val="24"/>
          <w:lang w:val="en-US"/>
        </w:rPr>
        <w:t>reinterventions</w:t>
      </w:r>
      <w:bookmarkEnd w:id="54"/>
      <w:bookmarkEnd w:id="55"/>
      <w:r w:rsidR="00B35D79" w:rsidRPr="003D034F">
        <w:rPr>
          <w:rFonts w:ascii="Book Antiqua" w:hAnsi="Book Antiqua" w:cs="Calibri"/>
          <w:sz w:val="24"/>
          <w:szCs w:val="24"/>
          <w:lang w:val="en-US"/>
        </w:rPr>
        <w:t>.</w:t>
      </w:r>
    </w:p>
    <w:p w:rsidR="004B5324" w:rsidRPr="003D034F" w:rsidRDefault="004B5324" w:rsidP="003D034F">
      <w:pPr>
        <w:spacing w:after="0" w:line="360" w:lineRule="auto"/>
        <w:jc w:val="both"/>
        <w:rPr>
          <w:rFonts w:ascii="Book Antiqua" w:hAnsi="Book Antiqua" w:cs="Arial"/>
          <w:b/>
          <w:sz w:val="24"/>
          <w:szCs w:val="24"/>
          <w:u w:val="single"/>
          <w:lang w:val="en-US"/>
        </w:rPr>
      </w:pPr>
    </w:p>
    <w:p w:rsidR="00B752CB" w:rsidRPr="003D034F" w:rsidRDefault="00B752CB" w:rsidP="003D034F">
      <w:pPr>
        <w:spacing w:after="0" w:line="360" w:lineRule="auto"/>
        <w:jc w:val="both"/>
        <w:rPr>
          <w:rFonts w:ascii="Book Antiqua" w:hAnsi="Book Antiqua" w:cs="Arial"/>
          <w:b/>
          <w:sz w:val="24"/>
          <w:szCs w:val="24"/>
          <w:lang w:val="en-US"/>
        </w:rPr>
      </w:pPr>
      <w:r w:rsidRPr="003D034F">
        <w:rPr>
          <w:rFonts w:ascii="Book Antiqua" w:hAnsi="Book Antiqua" w:cs="Arial"/>
          <w:b/>
          <w:sz w:val="24"/>
          <w:szCs w:val="24"/>
          <w:lang w:val="en-US"/>
        </w:rPr>
        <w:t>CONCLUSION</w:t>
      </w:r>
      <w:r w:rsidR="00B137FF" w:rsidRPr="003D034F">
        <w:rPr>
          <w:rFonts w:ascii="Book Antiqua" w:hAnsi="Book Antiqua" w:cs="Arial"/>
          <w:b/>
          <w:sz w:val="24"/>
          <w:szCs w:val="24"/>
          <w:lang w:val="en-US"/>
        </w:rPr>
        <w:t>S</w:t>
      </w:r>
    </w:p>
    <w:p w:rsidR="006E7737" w:rsidRPr="003D034F" w:rsidRDefault="00BE32E1" w:rsidP="003D034F">
      <w:pPr>
        <w:spacing w:after="0" w:line="360" w:lineRule="auto"/>
        <w:jc w:val="both"/>
        <w:rPr>
          <w:rFonts w:ascii="Book Antiqua" w:hAnsi="Book Antiqua" w:cs="Arial"/>
          <w:sz w:val="24"/>
          <w:szCs w:val="24"/>
          <w:lang w:val="en-US"/>
        </w:rPr>
      </w:pPr>
      <w:r w:rsidRPr="003D034F">
        <w:rPr>
          <w:rFonts w:ascii="Book Antiqua" w:hAnsi="Book Antiqua" w:cs="Arial"/>
          <w:sz w:val="24"/>
          <w:szCs w:val="24"/>
          <w:lang w:val="en-US"/>
        </w:rPr>
        <w:t xml:space="preserve">The prevalence, complications, therapeutic and prognostic implications of involvement of the esophagus, stomach and duodenum in CD </w:t>
      </w:r>
      <w:r w:rsidR="00B137FF" w:rsidRPr="003D034F">
        <w:rPr>
          <w:rFonts w:ascii="Book Antiqua" w:hAnsi="Book Antiqua" w:cs="Arial"/>
          <w:sz w:val="24"/>
          <w:szCs w:val="24"/>
          <w:lang w:val="en-US"/>
        </w:rPr>
        <w:t>ha</w:t>
      </w:r>
      <w:r w:rsidR="00165E4C" w:rsidRPr="003D034F">
        <w:rPr>
          <w:rFonts w:ascii="Book Antiqua" w:hAnsi="Book Antiqua" w:cs="Arial"/>
          <w:sz w:val="24"/>
          <w:szCs w:val="24"/>
          <w:lang w:val="en-US" w:eastAsia="zh-CN"/>
        </w:rPr>
        <w:t>s</w:t>
      </w:r>
      <w:r w:rsidR="00B137FF" w:rsidRPr="003D034F">
        <w:rPr>
          <w:rFonts w:ascii="Book Antiqua" w:hAnsi="Book Antiqua" w:cs="Arial"/>
          <w:sz w:val="24"/>
          <w:szCs w:val="24"/>
          <w:lang w:val="en-US"/>
        </w:rPr>
        <w:t xml:space="preserve"> not been thoroughly elucidated to date</w:t>
      </w:r>
      <w:r w:rsidRPr="003D034F">
        <w:rPr>
          <w:rFonts w:ascii="Book Antiqua" w:hAnsi="Book Antiqua" w:cs="Arial"/>
          <w:sz w:val="24"/>
          <w:szCs w:val="24"/>
          <w:lang w:val="en-US"/>
        </w:rPr>
        <w:t xml:space="preserve">. </w:t>
      </w:r>
      <w:r w:rsidR="00FD4A3F" w:rsidRPr="003D034F">
        <w:rPr>
          <w:rFonts w:ascii="Book Antiqua" w:hAnsi="Book Antiqua" w:cs="Arial"/>
          <w:sz w:val="24"/>
          <w:szCs w:val="24"/>
          <w:lang w:val="en-US" w:eastAsia="zh-CN"/>
        </w:rPr>
        <w:t>UDE</w:t>
      </w:r>
      <w:r w:rsidRPr="003D034F">
        <w:rPr>
          <w:rFonts w:ascii="Book Antiqua" w:hAnsi="Book Antiqua" w:cs="Arial"/>
          <w:sz w:val="24"/>
          <w:szCs w:val="24"/>
          <w:lang w:val="en-US"/>
        </w:rPr>
        <w:t xml:space="preserve"> and histological study are useful diagnostic methods for the adequate identification and characterization of the lesions that can affect these segments, but these results should be interpreted with caution, </w:t>
      </w:r>
      <w:r w:rsidR="00A96264" w:rsidRPr="003D034F">
        <w:rPr>
          <w:rFonts w:ascii="Book Antiqua" w:hAnsi="Book Antiqua" w:cs="Arial"/>
          <w:sz w:val="24"/>
          <w:szCs w:val="24"/>
          <w:lang w:val="en-US"/>
        </w:rPr>
        <w:t>staying aware of</w:t>
      </w:r>
      <w:r w:rsidRPr="003D034F">
        <w:rPr>
          <w:rFonts w:ascii="Book Antiqua" w:hAnsi="Book Antiqua" w:cs="Arial"/>
          <w:sz w:val="24"/>
          <w:szCs w:val="24"/>
          <w:lang w:val="en-US"/>
        </w:rPr>
        <w:t xml:space="preserve"> other conditions that can mimic this disease. Despite the inclusion of upper tract involvement as a disease modifier in the Montreal </w:t>
      </w:r>
      <w:r w:rsidRPr="003D034F">
        <w:rPr>
          <w:rFonts w:ascii="Book Antiqua" w:hAnsi="Book Antiqua" w:cs="Arial"/>
          <w:sz w:val="24"/>
          <w:szCs w:val="24"/>
          <w:lang w:val="en-US"/>
        </w:rPr>
        <w:lastRenderedPageBreak/>
        <w:t xml:space="preserve">classification, routine upper gastrointestinal endoscopy is not indicated for assessing the extent of the disease in adult patients without </w:t>
      </w:r>
      <w:r w:rsidR="00CA5176" w:rsidRPr="003D034F">
        <w:rPr>
          <w:rFonts w:ascii="Book Antiqua" w:hAnsi="Book Antiqua" w:cs="Arial"/>
          <w:sz w:val="24"/>
          <w:szCs w:val="24"/>
          <w:lang w:val="en-US"/>
        </w:rPr>
        <w:t>UGT</w:t>
      </w:r>
      <w:r w:rsidRPr="003D034F">
        <w:rPr>
          <w:rFonts w:ascii="Book Antiqua" w:hAnsi="Book Antiqua" w:cs="Arial"/>
          <w:sz w:val="24"/>
          <w:szCs w:val="24"/>
          <w:lang w:val="en-US"/>
        </w:rPr>
        <w:t xml:space="preserve"> symptoms, </w:t>
      </w:r>
      <w:r w:rsidR="00A96264" w:rsidRPr="003D034F">
        <w:rPr>
          <w:rFonts w:ascii="Book Antiqua" w:hAnsi="Book Antiqua" w:cs="Arial"/>
          <w:sz w:val="24"/>
          <w:szCs w:val="24"/>
          <w:lang w:val="en-US"/>
        </w:rPr>
        <w:t>as</w:t>
      </w:r>
      <w:r w:rsidRPr="003D034F">
        <w:rPr>
          <w:rFonts w:ascii="Book Antiqua" w:hAnsi="Book Antiqua" w:cs="Arial"/>
          <w:sz w:val="24"/>
          <w:szCs w:val="24"/>
          <w:lang w:val="en-US"/>
        </w:rPr>
        <w:t xml:space="preserve"> the clinical impact of this conduct is uncertain. </w:t>
      </w:r>
      <w:r w:rsidR="008E342D" w:rsidRPr="003D034F">
        <w:rPr>
          <w:rFonts w:ascii="Book Antiqua" w:hAnsi="Book Antiqua" w:cs="Arial"/>
          <w:sz w:val="24"/>
          <w:szCs w:val="24"/>
          <w:lang w:val="en-US"/>
        </w:rPr>
        <w:t xml:space="preserve">Prospective studies may help to define the real contribution of upper gastrointestinal endoscopy in CD patients and to define the endoscopic and histological criteria necessary to better characterize the involvement of the </w:t>
      </w:r>
      <w:r w:rsidR="00CA5176" w:rsidRPr="003D034F">
        <w:rPr>
          <w:rFonts w:ascii="Book Antiqua" w:hAnsi="Book Antiqua" w:cs="Arial"/>
          <w:sz w:val="24"/>
          <w:szCs w:val="24"/>
          <w:lang w:val="en-US"/>
        </w:rPr>
        <w:t>UGT</w:t>
      </w:r>
      <w:r w:rsidR="008E342D" w:rsidRPr="003D034F">
        <w:rPr>
          <w:rFonts w:ascii="Book Antiqua" w:hAnsi="Book Antiqua" w:cs="Arial"/>
          <w:sz w:val="24"/>
          <w:szCs w:val="24"/>
          <w:lang w:val="en-US"/>
        </w:rPr>
        <w:t xml:space="preserve"> in these patients</w:t>
      </w:r>
      <w:r w:rsidR="0064479E" w:rsidRPr="003D034F">
        <w:rPr>
          <w:rFonts w:ascii="Book Antiqua" w:hAnsi="Book Antiqua" w:cs="Arial"/>
          <w:sz w:val="24"/>
          <w:szCs w:val="24"/>
          <w:lang w:val="en-US"/>
        </w:rPr>
        <w:t>.</w:t>
      </w:r>
    </w:p>
    <w:p w:rsidR="00B9550A" w:rsidRPr="003D034F" w:rsidRDefault="00835023" w:rsidP="003D034F">
      <w:pPr>
        <w:spacing w:after="0" w:line="360" w:lineRule="auto"/>
        <w:jc w:val="both"/>
        <w:rPr>
          <w:rFonts w:ascii="Book Antiqua" w:hAnsi="Book Antiqua" w:cs="Arial"/>
          <w:b/>
          <w:sz w:val="24"/>
          <w:szCs w:val="24"/>
          <w:lang w:val="en-US" w:eastAsia="zh-CN"/>
        </w:rPr>
      </w:pPr>
      <w:r w:rsidRPr="003D034F">
        <w:rPr>
          <w:rFonts w:ascii="Book Antiqua" w:hAnsi="Book Antiqua" w:cs="Arial"/>
          <w:b/>
          <w:sz w:val="24"/>
          <w:szCs w:val="24"/>
          <w:u w:val="single"/>
          <w:lang w:val="en-US" w:eastAsia="zh-CN"/>
        </w:rPr>
        <w:br w:type="page"/>
      </w:r>
      <w:r w:rsidRPr="003D034F">
        <w:rPr>
          <w:rFonts w:ascii="Book Antiqua" w:hAnsi="Book Antiqua" w:cs="Arial"/>
          <w:b/>
          <w:sz w:val="24"/>
          <w:szCs w:val="24"/>
          <w:lang w:val="en-US" w:eastAsia="zh-CN"/>
        </w:rPr>
        <w:lastRenderedPageBreak/>
        <w:t xml:space="preserve">REFERENCES </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 </w:t>
      </w:r>
      <w:proofErr w:type="spellStart"/>
      <w:r w:rsidRPr="003D034F">
        <w:rPr>
          <w:rFonts w:ascii="Book Antiqua" w:hAnsi="Book Antiqua"/>
          <w:b/>
          <w:kern w:val="2"/>
          <w:sz w:val="24"/>
          <w:szCs w:val="24"/>
          <w:lang w:val="en-US" w:eastAsia="zh-CN"/>
        </w:rPr>
        <w:t>Gajendran</w:t>
      </w:r>
      <w:proofErr w:type="spellEnd"/>
      <w:r w:rsidRPr="003D034F">
        <w:rPr>
          <w:rFonts w:ascii="Book Antiqua" w:hAnsi="Book Antiqua"/>
          <w:b/>
          <w:kern w:val="2"/>
          <w:sz w:val="24"/>
          <w:szCs w:val="24"/>
          <w:lang w:val="en-US" w:eastAsia="zh-CN"/>
        </w:rPr>
        <w:t xml:space="preserve"> M</w:t>
      </w:r>
      <w:r w:rsidRPr="003D034F">
        <w:rPr>
          <w:rFonts w:ascii="Book Antiqua" w:hAnsi="Book Antiqua"/>
          <w:kern w:val="2"/>
          <w:sz w:val="24"/>
          <w:szCs w:val="24"/>
          <w:lang w:val="en-US" w:eastAsia="zh-CN"/>
        </w:rPr>
        <w:t xml:space="preserve">, Loganathan P, </w:t>
      </w:r>
      <w:proofErr w:type="spellStart"/>
      <w:r w:rsidRPr="003D034F">
        <w:rPr>
          <w:rFonts w:ascii="Book Antiqua" w:hAnsi="Book Antiqua"/>
          <w:kern w:val="2"/>
          <w:sz w:val="24"/>
          <w:szCs w:val="24"/>
          <w:lang w:val="en-US" w:eastAsia="zh-CN"/>
        </w:rPr>
        <w:t>Catinella</w:t>
      </w:r>
      <w:proofErr w:type="spellEnd"/>
      <w:r w:rsidRPr="003D034F">
        <w:rPr>
          <w:rFonts w:ascii="Book Antiqua" w:hAnsi="Book Antiqua"/>
          <w:kern w:val="2"/>
          <w:sz w:val="24"/>
          <w:szCs w:val="24"/>
          <w:lang w:val="en-US" w:eastAsia="zh-CN"/>
        </w:rPr>
        <w:t xml:space="preserve"> AP, </w:t>
      </w:r>
      <w:proofErr w:type="spellStart"/>
      <w:r w:rsidRPr="003D034F">
        <w:rPr>
          <w:rFonts w:ascii="Book Antiqua" w:hAnsi="Book Antiqua"/>
          <w:kern w:val="2"/>
          <w:sz w:val="24"/>
          <w:szCs w:val="24"/>
          <w:lang w:val="en-US" w:eastAsia="zh-CN"/>
        </w:rPr>
        <w:t>Hashash</w:t>
      </w:r>
      <w:proofErr w:type="spellEnd"/>
      <w:r w:rsidRPr="003D034F">
        <w:rPr>
          <w:rFonts w:ascii="Book Antiqua" w:hAnsi="Book Antiqua"/>
          <w:kern w:val="2"/>
          <w:sz w:val="24"/>
          <w:szCs w:val="24"/>
          <w:lang w:val="en-US" w:eastAsia="zh-CN"/>
        </w:rPr>
        <w:t xml:space="preserve"> JG. A comprehensive review and update on Crohn’s disease. </w:t>
      </w:r>
      <w:r w:rsidRPr="003D034F">
        <w:rPr>
          <w:rFonts w:ascii="Book Antiqua" w:hAnsi="Book Antiqua"/>
          <w:i/>
          <w:kern w:val="2"/>
          <w:sz w:val="24"/>
          <w:szCs w:val="24"/>
          <w:lang w:val="en-US" w:eastAsia="zh-CN"/>
        </w:rPr>
        <w:t>Dis Mon</w:t>
      </w:r>
      <w:r w:rsidRPr="003D034F">
        <w:rPr>
          <w:rFonts w:ascii="Book Antiqua" w:hAnsi="Book Antiqua"/>
          <w:kern w:val="2"/>
          <w:sz w:val="24"/>
          <w:szCs w:val="24"/>
          <w:lang w:val="en-US" w:eastAsia="zh-CN"/>
        </w:rPr>
        <w:t xml:space="preserve"> 2018; </w:t>
      </w:r>
      <w:r w:rsidRPr="003D034F">
        <w:rPr>
          <w:rFonts w:ascii="Book Antiqua" w:hAnsi="Book Antiqua"/>
          <w:b/>
          <w:kern w:val="2"/>
          <w:sz w:val="24"/>
          <w:szCs w:val="24"/>
          <w:lang w:val="en-US" w:eastAsia="zh-CN"/>
        </w:rPr>
        <w:t>64</w:t>
      </w:r>
      <w:r w:rsidRPr="003D034F">
        <w:rPr>
          <w:rFonts w:ascii="Book Antiqua" w:hAnsi="Book Antiqua"/>
          <w:kern w:val="2"/>
          <w:sz w:val="24"/>
          <w:szCs w:val="24"/>
          <w:lang w:val="en-US" w:eastAsia="zh-CN"/>
        </w:rPr>
        <w:t>: 20-57 [PMID: 28826742 DOI: 10.1016/j.disamonth.2017.07.001]</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2 </w:t>
      </w:r>
      <w:proofErr w:type="spellStart"/>
      <w:r w:rsidRPr="003D034F">
        <w:rPr>
          <w:rFonts w:ascii="Book Antiqua" w:hAnsi="Book Antiqua"/>
          <w:b/>
          <w:kern w:val="2"/>
          <w:sz w:val="24"/>
          <w:szCs w:val="24"/>
          <w:lang w:val="en-US" w:eastAsia="zh-CN"/>
        </w:rPr>
        <w:t>Scaldaferri</w:t>
      </w:r>
      <w:proofErr w:type="spellEnd"/>
      <w:r w:rsidRPr="003D034F">
        <w:rPr>
          <w:rFonts w:ascii="Book Antiqua" w:hAnsi="Book Antiqua"/>
          <w:b/>
          <w:kern w:val="2"/>
          <w:sz w:val="24"/>
          <w:szCs w:val="24"/>
          <w:lang w:val="en-US" w:eastAsia="zh-CN"/>
        </w:rPr>
        <w:t xml:space="preserve"> F</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Fiocchi</w:t>
      </w:r>
      <w:proofErr w:type="spellEnd"/>
      <w:r w:rsidRPr="003D034F">
        <w:rPr>
          <w:rFonts w:ascii="Book Antiqua" w:hAnsi="Book Antiqua"/>
          <w:kern w:val="2"/>
          <w:sz w:val="24"/>
          <w:szCs w:val="24"/>
          <w:lang w:val="en-US" w:eastAsia="zh-CN"/>
        </w:rPr>
        <w:t xml:space="preserve"> C. Inflammatory bowel disease: Progress and current concepts of </w:t>
      </w:r>
      <w:proofErr w:type="spellStart"/>
      <w:r w:rsidRPr="003D034F">
        <w:rPr>
          <w:rFonts w:ascii="Book Antiqua" w:hAnsi="Book Antiqua"/>
          <w:kern w:val="2"/>
          <w:sz w:val="24"/>
          <w:szCs w:val="24"/>
          <w:lang w:val="en-US" w:eastAsia="zh-CN"/>
        </w:rPr>
        <w:t>etiopathogenesis</w:t>
      </w:r>
      <w:proofErr w:type="spellEnd"/>
      <w:r w:rsidRPr="003D034F">
        <w:rPr>
          <w:rFonts w:ascii="Book Antiqua" w:hAnsi="Book Antiqua"/>
          <w:kern w:val="2"/>
          <w:sz w:val="24"/>
          <w:szCs w:val="24"/>
          <w:lang w:val="en-US" w:eastAsia="zh-CN"/>
        </w:rPr>
        <w:t xml:space="preserve">. </w:t>
      </w:r>
      <w:r w:rsidRPr="003D034F">
        <w:rPr>
          <w:rFonts w:ascii="Book Antiqua" w:hAnsi="Book Antiqua"/>
          <w:i/>
          <w:kern w:val="2"/>
          <w:sz w:val="24"/>
          <w:szCs w:val="24"/>
          <w:lang w:val="en-US" w:eastAsia="zh-CN"/>
        </w:rPr>
        <w:t>J Dig Dis</w:t>
      </w:r>
      <w:r w:rsidRPr="003D034F">
        <w:rPr>
          <w:rFonts w:ascii="Book Antiqua" w:hAnsi="Book Antiqua"/>
          <w:kern w:val="2"/>
          <w:sz w:val="24"/>
          <w:szCs w:val="24"/>
          <w:lang w:val="en-US" w:eastAsia="zh-CN"/>
        </w:rPr>
        <w:t xml:space="preserve"> 2007; </w:t>
      </w:r>
      <w:r w:rsidRPr="003D034F">
        <w:rPr>
          <w:rFonts w:ascii="Book Antiqua" w:hAnsi="Book Antiqua"/>
          <w:b/>
          <w:kern w:val="2"/>
          <w:sz w:val="24"/>
          <w:szCs w:val="24"/>
          <w:lang w:val="en-US" w:eastAsia="zh-CN"/>
        </w:rPr>
        <w:t>8</w:t>
      </w:r>
      <w:r w:rsidRPr="003D034F">
        <w:rPr>
          <w:rFonts w:ascii="Book Antiqua" w:hAnsi="Book Antiqua"/>
          <w:kern w:val="2"/>
          <w:sz w:val="24"/>
          <w:szCs w:val="24"/>
          <w:lang w:val="en-US" w:eastAsia="zh-CN"/>
        </w:rPr>
        <w:t>: 171-178 [PMID: 17970872 DOI: 10.1111/j.1751-2980.2007.00310.x]</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3 </w:t>
      </w:r>
      <w:r w:rsidRPr="003D034F">
        <w:rPr>
          <w:rFonts w:ascii="Book Antiqua" w:hAnsi="Book Antiqua"/>
          <w:b/>
          <w:kern w:val="2"/>
          <w:sz w:val="24"/>
          <w:szCs w:val="24"/>
          <w:lang w:val="en-US" w:eastAsia="zh-CN"/>
        </w:rPr>
        <w:t>C</w:t>
      </w:r>
      <w:r w:rsidR="008C13D8" w:rsidRPr="003D034F">
        <w:rPr>
          <w:rFonts w:ascii="Book Antiqua" w:hAnsi="Book Antiqua"/>
          <w:b/>
          <w:kern w:val="2"/>
          <w:sz w:val="24"/>
          <w:szCs w:val="24"/>
          <w:lang w:val="en-US" w:eastAsia="zh-CN"/>
        </w:rPr>
        <w:t>rohn</w:t>
      </w:r>
      <w:r w:rsidRPr="003D034F">
        <w:rPr>
          <w:rFonts w:ascii="Book Antiqua" w:hAnsi="Book Antiqua"/>
          <w:b/>
          <w:kern w:val="2"/>
          <w:sz w:val="24"/>
          <w:szCs w:val="24"/>
          <w:lang w:val="en-US" w:eastAsia="zh-CN"/>
        </w:rPr>
        <w:t xml:space="preserve"> BB</w:t>
      </w:r>
      <w:r w:rsidRPr="003D034F">
        <w:rPr>
          <w:rFonts w:ascii="Book Antiqua" w:hAnsi="Book Antiqua"/>
          <w:kern w:val="2"/>
          <w:sz w:val="24"/>
          <w:szCs w:val="24"/>
          <w:lang w:val="en-US" w:eastAsia="zh-CN"/>
        </w:rPr>
        <w:t xml:space="preserve">, GINZBURG L, OPPENHEIMER GD. Regional ileitis; a pathologic and clinical entity. </w:t>
      </w:r>
      <w:r w:rsidRPr="003D034F">
        <w:rPr>
          <w:rFonts w:ascii="Book Antiqua" w:hAnsi="Book Antiqua"/>
          <w:i/>
          <w:kern w:val="2"/>
          <w:sz w:val="24"/>
          <w:szCs w:val="24"/>
          <w:lang w:val="en-US" w:eastAsia="zh-CN"/>
        </w:rPr>
        <w:t>Am J Med</w:t>
      </w:r>
      <w:r w:rsidRPr="003D034F">
        <w:rPr>
          <w:rFonts w:ascii="Book Antiqua" w:hAnsi="Book Antiqua"/>
          <w:kern w:val="2"/>
          <w:sz w:val="24"/>
          <w:szCs w:val="24"/>
          <w:lang w:val="en-US" w:eastAsia="zh-CN"/>
        </w:rPr>
        <w:t xml:space="preserve"> 1952; </w:t>
      </w:r>
      <w:r w:rsidRPr="003D034F">
        <w:rPr>
          <w:rFonts w:ascii="Book Antiqua" w:hAnsi="Book Antiqua"/>
          <w:b/>
          <w:kern w:val="2"/>
          <w:sz w:val="24"/>
          <w:szCs w:val="24"/>
          <w:lang w:val="en-US" w:eastAsia="zh-CN"/>
        </w:rPr>
        <w:t>13</w:t>
      </w:r>
      <w:r w:rsidRPr="003D034F">
        <w:rPr>
          <w:rFonts w:ascii="Book Antiqua" w:hAnsi="Book Antiqua"/>
          <w:kern w:val="2"/>
          <w:sz w:val="24"/>
          <w:szCs w:val="24"/>
          <w:lang w:val="en-US" w:eastAsia="zh-CN"/>
        </w:rPr>
        <w:t>: 583-590 [PMID: 12996536 DOI: 10.1016/0002-9343(52)90025-9]</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4 </w:t>
      </w:r>
      <w:r w:rsidRPr="003D034F">
        <w:rPr>
          <w:rFonts w:ascii="Book Antiqua" w:hAnsi="Book Antiqua"/>
          <w:b/>
          <w:kern w:val="2"/>
          <w:sz w:val="24"/>
          <w:szCs w:val="24"/>
          <w:lang w:val="en-US" w:eastAsia="zh-CN"/>
        </w:rPr>
        <w:t>Davis KG</w:t>
      </w:r>
      <w:r w:rsidRPr="003D034F">
        <w:rPr>
          <w:rFonts w:ascii="Book Antiqua" w:hAnsi="Book Antiqua"/>
          <w:kern w:val="2"/>
          <w:sz w:val="24"/>
          <w:szCs w:val="24"/>
          <w:lang w:val="en-US" w:eastAsia="zh-CN"/>
        </w:rPr>
        <w:t xml:space="preserve">. Crohn’s Disease of the Foregut. </w:t>
      </w:r>
      <w:proofErr w:type="spellStart"/>
      <w:r w:rsidRPr="003D034F">
        <w:rPr>
          <w:rFonts w:ascii="Book Antiqua" w:hAnsi="Book Antiqua"/>
          <w:i/>
          <w:kern w:val="2"/>
          <w:sz w:val="24"/>
          <w:szCs w:val="24"/>
          <w:lang w:val="en-US" w:eastAsia="zh-CN"/>
        </w:rPr>
        <w:t>Surg</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Clin</w:t>
      </w:r>
      <w:proofErr w:type="spellEnd"/>
      <w:r w:rsidRPr="003D034F">
        <w:rPr>
          <w:rFonts w:ascii="Book Antiqua" w:hAnsi="Book Antiqua"/>
          <w:i/>
          <w:kern w:val="2"/>
          <w:sz w:val="24"/>
          <w:szCs w:val="24"/>
          <w:lang w:val="en-US" w:eastAsia="zh-CN"/>
        </w:rPr>
        <w:t xml:space="preserve"> North Am</w:t>
      </w:r>
      <w:r w:rsidRPr="003D034F">
        <w:rPr>
          <w:rFonts w:ascii="Book Antiqua" w:hAnsi="Book Antiqua"/>
          <w:kern w:val="2"/>
          <w:sz w:val="24"/>
          <w:szCs w:val="24"/>
          <w:lang w:val="en-US" w:eastAsia="zh-CN"/>
        </w:rPr>
        <w:t xml:space="preserve"> 2015; </w:t>
      </w:r>
      <w:r w:rsidRPr="003D034F">
        <w:rPr>
          <w:rFonts w:ascii="Book Antiqua" w:hAnsi="Book Antiqua"/>
          <w:b/>
          <w:kern w:val="2"/>
          <w:sz w:val="24"/>
          <w:szCs w:val="24"/>
          <w:lang w:val="en-US" w:eastAsia="zh-CN"/>
        </w:rPr>
        <w:t>95</w:t>
      </w:r>
      <w:r w:rsidRPr="003D034F">
        <w:rPr>
          <w:rFonts w:ascii="Book Antiqua" w:hAnsi="Book Antiqua"/>
          <w:kern w:val="2"/>
          <w:sz w:val="24"/>
          <w:szCs w:val="24"/>
          <w:lang w:val="en-US" w:eastAsia="zh-CN"/>
        </w:rPr>
        <w:t>: 1183-1193, vi [PMID: 26596921 DOI: 10.1016/j.suc.2015.07.004]</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5 </w:t>
      </w:r>
      <w:proofErr w:type="spellStart"/>
      <w:r w:rsidRPr="003D034F">
        <w:rPr>
          <w:rFonts w:ascii="Book Antiqua" w:hAnsi="Book Antiqua"/>
          <w:b/>
          <w:kern w:val="2"/>
          <w:sz w:val="24"/>
          <w:szCs w:val="24"/>
          <w:lang w:val="en-US" w:eastAsia="zh-CN"/>
        </w:rPr>
        <w:t>Laube</w:t>
      </w:r>
      <w:proofErr w:type="spellEnd"/>
      <w:r w:rsidRPr="003D034F">
        <w:rPr>
          <w:rFonts w:ascii="Book Antiqua" w:hAnsi="Book Antiqua"/>
          <w:b/>
          <w:kern w:val="2"/>
          <w:sz w:val="24"/>
          <w:szCs w:val="24"/>
          <w:lang w:val="en-US" w:eastAsia="zh-CN"/>
        </w:rPr>
        <w:t xml:space="preserve"> R</w:t>
      </w:r>
      <w:r w:rsidRPr="003D034F">
        <w:rPr>
          <w:rFonts w:ascii="Book Antiqua" w:hAnsi="Book Antiqua"/>
          <w:kern w:val="2"/>
          <w:sz w:val="24"/>
          <w:szCs w:val="24"/>
          <w:lang w:val="en-US" w:eastAsia="zh-CN"/>
        </w:rPr>
        <w:t xml:space="preserve">, Liu K, </w:t>
      </w:r>
      <w:proofErr w:type="spellStart"/>
      <w:r w:rsidRPr="003D034F">
        <w:rPr>
          <w:rFonts w:ascii="Book Antiqua" w:hAnsi="Book Antiqua"/>
          <w:kern w:val="2"/>
          <w:sz w:val="24"/>
          <w:szCs w:val="24"/>
          <w:lang w:val="en-US" w:eastAsia="zh-CN"/>
        </w:rPr>
        <w:t>Schifter</w:t>
      </w:r>
      <w:proofErr w:type="spellEnd"/>
      <w:r w:rsidRPr="003D034F">
        <w:rPr>
          <w:rFonts w:ascii="Book Antiqua" w:hAnsi="Book Antiqua"/>
          <w:kern w:val="2"/>
          <w:sz w:val="24"/>
          <w:szCs w:val="24"/>
          <w:lang w:val="en-US" w:eastAsia="zh-CN"/>
        </w:rPr>
        <w:t xml:space="preserve"> M, Yang JL, Suen MK, Leong RW. Oral and upper gastrointestinal Crohn's disease. </w:t>
      </w:r>
      <w:r w:rsidRPr="003D034F">
        <w:rPr>
          <w:rFonts w:ascii="Book Antiqua" w:hAnsi="Book Antiqua"/>
          <w:i/>
          <w:kern w:val="2"/>
          <w:sz w:val="24"/>
          <w:szCs w:val="24"/>
          <w:lang w:val="en-US" w:eastAsia="zh-CN"/>
        </w:rPr>
        <w:t xml:space="preserve">J Gastroenterol </w:t>
      </w:r>
      <w:proofErr w:type="spellStart"/>
      <w:r w:rsidRPr="003D034F">
        <w:rPr>
          <w:rFonts w:ascii="Book Antiqua" w:hAnsi="Book Antiqua"/>
          <w:i/>
          <w:kern w:val="2"/>
          <w:sz w:val="24"/>
          <w:szCs w:val="24"/>
          <w:lang w:val="en-US" w:eastAsia="zh-CN"/>
        </w:rPr>
        <w:t>Hepatol</w:t>
      </w:r>
      <w:proofErr w:type="spellEnd"/>
      <w:r w:rsidRPr="003D034F">
        <w:rPr>
          <w:rFonts w:ascii="Book Antiqua" w:hAnsi="Book Antiqua"/>
          <w:kern w:val="2"/>
          <w:sz w:val="24"/>
          <w:szCs w:val="24"/>
          <w:lang w:val="en-US" w:eastAsia="zh-CN"/>
        </w:rPr>
        <w:t xml:space="preserve"> 2018; </w:t>
      </w:r>
      <w:r w:rsidRPr="003D034F">
        <w:rPr>
          <w:rFonts w:ascii="Book Antiqua" w:hAnsi="Book Antiqua"/>
          <w:b/>
          <w:kern w:val="2"/>
          <w:sz w:val="24"/>
          <w:szCs w:val="24"/>
          <w:lang w:val="en-US" w:eastAsia="zh-CN"/>
        </w:rPr>
        <w:t>33</w:t>
      </w:r>
      <w:r w:rsidRPr="003D034F">
        <w:rPr>
          <w:rFonts w:ascii="Book Antiqua" w:hAnsi="Book Antiqua"/>
          <w:kern w:val="2"/>
          <w:sz w:val="24"/>
          <w:szCs w:val="24"/>
          <w:lang w:val="en-US" w:eastAsia="zh-CN"/>
        </w:rPr>
        <w:t>: 355-364 [PMID: 28708248 DOI: 10.1111/jgh.13866]</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6 </w:t>
      </w:r>
      <w:proofErr w:type="spellStart"/>
      <w:r w:rsidRPr="003D034F">
        <w:rPr>
          <w:rFonts w:ascii="Book Antiqua" w:hAnsi="Book Antiqua"/>
          <w:b/>
          <w:kern w:val="2"/>
          <w:sz w:val="24"/>
          <w:szCs w:val="24"/>
          <w:lang w:val="en-US" w:eastAsia="zh-CN"/>
        </w:rPr>
        <w:t>Magro</w:t>
      </w:r>
      <w:proofErr w:type="spellEnd"/>
      <w:r w:rsidRPr="003D034F">
        <w:rPr>
          <w:rFonts w:ascii="Book Antiqua" w:hAnsi="Book Antiqua"/>
          <w:b/>
          <w:kern w:val="2"/>
          <w:sz w:val="24"/>
          <w:szCs w:val="24"/>
          <w:lang w:val="en-US" w:eastAsia="zh-CN"/>
        </w:rPr>
        <w:t xml:space="preserve"> F</w:t>
      </w:r>
      <w:r w:rsidRPr="003D034F">
        <w:rPr>
          <w:rFonts w:ascii="Book Antiqua" w:hAnsi="Book Antiqua"/>
          <w:kern w:val="2"/>
          <w:sz w:val="24"/>
          <w:szCs w:val="24"/>
          <w:lang w:val="en-US" w:eastAsia="zh-CN"/>
        </w:rPr>
        <w:t xml:space="preserve">, Rodrigues-Pinto E, Coelho R, Andrade P, Santos-Antunes J, Lopes S, Camila-Dias C, Macedo G. Is it possible to change phenotype progression in Crohn’s disease in the era of immunomodulators? Predictive factors of phenotype progression. </w:t>
      </w:r>
      <w:r w:rsidRPr="003D034F">
        <w:rPr>
          <w:rFonts w:ascii="Book Antiqua" w:hAnsi="Book Antiqua"/>
          <w:i/>
          <w:kern w:val="2"/>
          <w:sz w:val="24"/>
          <w:szCs w:val="24"/>
          <w:lang w:val="en-US" w:eastAsia="zh-CN"/>
        </w:rPr>
        <w:t>Am J Gastroenterol</w:t>
      </w:r>
      <w:r w:rsidRPr="003D034F">
        <w:rPr>
          <w:rFonts w:ascii="Book Antiqua" w:hAnsi="Book Antiqua"/>
          <w:kern w:val="2"/>
          <w:sz w:val="24"/>
          <w:szCs w:val="24"/>
          <w:lang w:val="en-US" w:eastAsia="zh-CN"/>
        </w:rPr>
        <w:t xml:space="preserve"> 2014; </w:t>
      </w:r>
      <w:r w:rsidRPr="003D034F">
        <w:rPr>
          <w:rFonts w:ascii="Book Antiqua" w:hAnsi="Book Antiqua"/>
          <w:b/>
          <w:kern w:val="2"/>
          <w:sz w:val="24"/>
          <w:szCs w:val="24"/>
          <w:lang w:val="en-US" w:eastAsia="zh-CN"/>
        </w:rPr>
        <w:t>109</w:t>
      </w:r>
      <w:r w:rsidRPr="003D034F">
        <w:rPr>
          <w:rFonts w:ascii="Book Antiqua" w:hAnsi="Book Antiqua"/>
          <w:kern w:val="2"/>
          <w:sz w:val="24"/>
          <w:szCs w:val="24"/>
          <w:lang w:val="en-US" w:eastAsia="zh-CN"/>
        </w:rPr>
        <w:t>: 1026-1036 [PMID: 24796767 DOI: 10.1038/ajg.2014.97]</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7 </w:t>
      </w:r>
      <w:proofErr w:type="spellStart"/>
      <w:r w:rsidRPr="003D034F">
        <w:rPr>
          <w:rFonts w:ascii="Book Antiqua" w:hAnsi="Book Antiqua"/>
          <w:b/>
          <w:kern w:val="2"/>
          <w:sz w:val="24"/>
          <w:szCs w:val="24"/>
          <w:lang w:val="en-US" w:eastAsia="zh-CN"/>
        </w:rPr>
        <w:t>Gasche</w:t>
      </w:r>
      <w:proofErr w:type="spellEnd"/>
      <w:r w:rsidRPr="003D034F">
        <w:rPr>
          <w:rFonts w:ascii="Book Antiqua" w:hAnsi="Book Antiqua"/>
          <w:b/>
          <w:kern w:val="2"/>
          <w:sz w:val="24"/>
          <w:szCs w:val="24"/>
          <w:lang w:val="en-US" w:eastAsia="zh-CN"/>
        </w:rPr>
        <w:t xml:space="preserve"> C</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Scholmerich</w:t>
      </w:r>
      <w:proofErr w:type="spellEnd"/>
      <w:r w:rsidRPr="003D034F">
        <w:rPr>
          <w:rFonts w:ascii="Book Antiqua" w:hAnsi="Book Antiqua"/>
          <w:kern w:val="2"/>
          <w:sz w:val="24"/>
          <w:szCs w:val="24"/>
          <w:lang w:val="en-US" w:eastAsia="zh-CN"/>
        </w:rPr>
        <w:t xml:space="preserve"> J, </w:t>
      </w:r>
      <w:proofErr w:type="spellStart"/>
      <w:r w:rsidRPr="003D034F">
        <w:rPr>
          <w:rFonts w:ascii="Book Antiqua" w:hAnsi="Book Antiqua"/>
          <w:kern w:val="2"/>
          <w:sz w:val="24"/>
          <w:szCs w:val="24"/>
          <w:lang w:val="en-US" w:eastAsia="zh-CN"/>
        </w:rPr>
        <w:t>Brynskov</w:t>
      </w:r>
      <w:proofErr w:type="spellEnd"/>
      <w:r w:rsidRPr="003D034F">
        <w:rPr>
          <w:rFonts w:ascii="Book Antiqua" w:hAnsi="Book Antiqua"/>
          <w:kern w:val="2"/>
          <w:sz w:val="24"/>
          <w:szCs w:val="24"/>
          <w:lang w:val="en-US" w:eastAsia="zh-CN"/>
        </w:rPr>
        <w:t xml:space="preserve"> J, </w:t>
      </w:r>
      <w:proofErr w:type="spellStart"/>
      <w:r w:rsidRPr="003D034F">
        <w:rPr>
          <w:rFonts w:ascii="Book Antiqua" w:hAnsi="Book Antiqua"/>
          <w:kern w:val="2"/>
          <w:sz w:val="24"/>
          <w:szCs w:val="24"/>
          <w:lang w:val="en-US" w:eastAsia="zh-CN"/>
        </w:rPr>
        <w:t>D'Haens</w:t>
      </w:r>
      <w:proofErr w:type="spellEnd"/>
      <w:r w:rsidRPr="003D034F">
        <w:rPr>
          <w:rFonts w:ascii="Book Antiqua" w:hAnsi="Book Antiqua"/>
          <w:kern w:val="2"/>
          <w:sz w:val="24"/>
          <w:szCs w:val="24"/>
          <w:lang w:val="en-US" w:eastAsia="zh-CN"/>
        </w:rPr>
        <w:t xml:space="preserve"> G, </w:t>
      </w:r>
      <w:proofErr w:type="spellStart"/>
      <w:r w:rsidRPr="003D034F">
        <w:rPr>
          <w:rFonts w:ascii="Book Antiqua" w:hAnsi="Book Antiqua"/>
          <w:kern w:val="2"/>
          <w:sz w:val="24"/>
          <w:szCs w:val="24"/>
          <w:lang w:val="en-US" w:eastAsia="zh-CN"/>
        </w:rPr>
        <w:t>Hanauer</w:t>
      </w:r>
      <w:proofErr w:type="spellEnd"/>
      <w:r w:rsidRPr="003D034F">
        <w:rPr>
          <w:rFonts w:ascii="Book Antiqua" w:hAnsi="Book Antiqua"/>
          <w:kern w:val="2"/>
          <w:sz w:val="24"/>
          <w:szCs w:val="24"/>
          <w:lang w:val="en-US" w:eastAsia="zh-CN"/>
        </w:rPr>
        <w:t xml:space="preserve"> SB, Irvine EJ, Jewell DP, </w:t>
      </w:r>
      <w:proofErr w:type="spellStart"/>
      <w:r w:rsidRPr="003D034F">
        <w:rPr>
          <w:rFonts w:ascii="Book Antiqua" w:hAnsi="Book Antiqua"/>
          <w:kern w:val="2"/>
          <w:sz w:val="24"/>
          <w:szCs w:val="24"/>
          <w:lang w:val="en-US" w:eastAsia="zh-CN"/>
        </w:rPr>
        <w:t>Rachmilewitz</w:t>
      </w:r>
      <w:proofErr w:type="spellEnd"/>
      <w:r w:rsidRPr="003D034F">
        <w:rPr>
          <w:rFonts w:ascii="Book Antiqua" w:hAnsi="Book Antiqua"/>
          <w:kern w:val="2"/>
          <w:sz w:val="24"/>
          <w:szCs w:val="24"/>
          <w:lang w:val="en-US" w:eastAsia="zh-CN"/>
        </w:rPr>
        <w:t xml:space="preserve"> D, Sachar DB, </w:t>
      </w:r>
      <w:proofErr w:type="spellStart"/>
      <w:r w:rsidRPr="003D034F">
        <w:rPr>
          <w:rFonts w:ascii="Book Antiqua" w:hAnsi="Book Antiqua"/>
          <w:kern w:val="2"/>
          <w:sz w:val="24"/>
          <w:szCs w:val="24"/>
          <w:lang w:val="en-US" w:eastAsia="zh-CN"/>
        </w:rPr>
        <w:t>Sandborn</w:t>
      </w:r>
      <w:proofErr w:type="spellEnd"/>
      <w:r w:rsidRPr="003D034F">
        <w:rPr>
          <w:rFonts w:ascii="Book Antiqua" w:hAnsi="Book Antiqua"/>
          <w:kern w:val="2"/>
          <w:sz w:val="24"/>
          <w:szCs w:val="24"/>
          <w:lang w:val="en-US" w:eastAsia="zh-CN"/>
        </w:rPr>
        <w:t xml:space="preserve"> WJ, Sutherland LR. A simple classification of Crohn’s disease: Report of the Working Party for the World Congresses of Gastroenterology, Vienna 1998. </w:t>
      </w:r>
      <w:proofErr w:type="spellStart"/>
      <w:r w:rsidRPr="003D034F">
        <w:rPr>
          <w:rFonts w:ascii="Book Antiqua" w:hAnsi="Book Antiqua"/>
          <w:i/>
          <w:kern w:val="2"/>
          <w:sz w:val="24"/>
          <w:szCs w:val="24"/>
          <w:lang w:val="en-US" w:eastAsia="zh-CN"/>
        </w:rPr>
        <w:t>Inflamm</w:t>
      </w:r>
      <w:proofErr w:type="spellEnd"/>
      <w:r w:rsidRPr="003D034F">
        <w:rPr>
          <w:rFonts w:ascii="Book Antiqua" w:hAnsi="Book Antiqua"/>
          <w:i/>
          <w:kern w:val="2"/>
          <w:sz w:val="24"/>
          <w:szCs w:val="24"/>
          <w:lang w:val="en-US" w:eastAsia="zh-CN"/>
        </w:rPr>
        <w:t xml:space="preserve"> Bowel Dis</w:t>
      </w:r>
      <w:r w:rsidRPr="003D034F">
        <w:rPr>
          <w:rFonts w:ascii="Book Antiqua" w:hAnsi="Book Antiqua"/>
          <w:kern w:val="2"/>
          <w:sz w:val="24"/>
          <w:szCs w:val="24"/>
          <w:lang w:val="en-US" w:eastAsia="zh-CN"/>
        </w:rPr>
        <w:t xml:space="preserve"> 2000; </w:t>
      </w:r>
      <w:r w:rsidRPr="003D034F">
        <w:rPr>
          <w:rFonts w:ascii="Book Antiqua" w:hAnsi="Book Antiqua"/>
          <w:b/>
          <w:kern w:val="2"/>
          <w:sz w:val="24"/>
          <w:szCs w:val="24"/>
          <w:lang w:val="en-US" w:eastAsia="zh-CN"/>
        </w:rPr>
        <w:t>6</w:t>
      </w:r>
      <w:r w:rsidRPr="003D034F">
        <w:rPr>
          <w:rFonts w:ascii="Book Antiqua" w:hAnsi="Book Antiqua"/>
          <w:kern w:val="2"/>
          <w:sz w:val="24"/>
          <w:szCs w:val="24"/>
          <w:lang w:val="en-US" w:eastAsia="zh-CN"/>
        </w:rPr>
        <w:t>: 8-15 [PMID: 10701144 DOI: 10.1097/MIB.0b013e31828132b4]</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8 </w:t>
      </w:r>
      <w:proofErr w:type="spellStart"/>
      <w:r w:rsidRPr="003D034F">
        <w:rPr>
          <w:rFonts w:ascii="Book Antiqua" w:hAnsi="Book Antiqua"/>
          <w:b/>
          <w:kern w:val="2"/>
          <w:sz w:val="24"/>
          <w:szCs w:val="24"/>
          <w:lang w:val="en-US" w:eastAsia="zh-CN"/>
        </w:rPr>
        <w:t>Satsangi</w:t>
      </w:r>
      <w:proofErr w:type="spellEnd"/>
      <w:r w:rsidRPr="003D034F">
        <w:rPr>
          <w:rFonts w:ascii="Book Antiqua" w:hAnsi="Book Antiqua"/>
          <w:b/>
          <w:kern w:val="2"/>
          <w:sz w:val="24"/>
          <w:szCs w:val="24"/>
          <w:lang w:val="en-US" w:eastAsia="zh-CN"/>
        </w:rPr>
        <w:t xml:space="preserve"> J</w:t>
      </w:r>
      <w:r w:rsidRPr="003D034F">
        <w:rPr>
          <w:rFonts w:ascii="Book Antiqua" w:hAnsi="Book Antiqua"/>
          <w:kern w:val="2"/>
          <w:sz w:val="24"/>
          <w:szCs w:val="24"/>
          <w:lang w:val="en-US" w:eastAsia="zh-CN"/>
        </w:rPr>
        <w:t xml:space="preserve">, Silverberg MS, </w:t>
      </w:r>
      <w:proofErr w:type="spellStart"/>
      <w:r w:rsidRPr="003D034F">
        <w:rPr>
          <w:rFonts w:ascii="Book Antiqua" w:hAnsi="Book Antiqua"/>
          <w:kern w:val="2"/>
          <w:sz w:val="24"/>
          <w:szCs w:val="24"/>
          <w:lang w:val="en-US" w:eastAsia="zh-CN"/>
        </w:rPr>
        <w:t>Vermeire</w:t>
      </w:r>
      <w:proofErr w:type="spellEnd"/>
      <w:r w:rsidRPr="003D034F">
        <w:rPr>
          <w:rFonts w:ascii="Book Antiqua" w:hAnsi="Book Antiqua"/>
          <w:kern w:val="2"/>
          <w:sz w:val="24"/>
          <w:szCs w:val="24"/>
          <w:lang w:val="en-US" w:eastAsia="zh-CN"/>
        </w:rPr>
        <w:t xml:space="preserve"> S, </w:t>
      </w:r>
      <w:proofErr w:type="spellStart"/>
      <w:r w:rsidRPr="003D034F">
        <w:rPr>
          <w:rFonts w:ascii="Book Antiqua" w:hAnsi="Book Antiqua"/>
          <w:kern w:val="2"/>
          <w:sz w:val="24"/>
          <w:szCs w:val="24"/>
          <w:lang w:val="en-US" w:eastAsia="zh-CN"/>
        </w:rPr>
        <w:t>Colombel</w:t>
      </w:r>
      <w:proofErr w:type="spellEnd"/>
      <w:r w:rsidRPr="003D034F">
        <w:rPr>
          <w:rFonts w:ascii="Book Antiqua" w:hAnsi="Book Antiqua"/>
          <w:kern w:val="2"/>
          <w:sz w:val="24"/>
          <w:szCs w:val="24"/>
          <w:lang w:val="en-US" w:eastAsia="zh-CN"/>
        </w:rPr>
        <w:t xml:space="preserve"> JF. The Montreal classification of inflammatory bowel disease: Controversies, consensus, and implications. </w:t>
      </w:r>
      <w:r w:rsidRPr="003D034F">
        <w:rPr>
          <w:rFonts w:ascii="Book Antiqua" w:hAnsi="Book Antiqua"/>
          <w:i/>
          <w:kern w:val="2"/>
          <w:sz w:val="24"/>
          <w:szCs w:val="24"/>
          <w:lang w:val="en-US" w:eastAsia="zh-CN"/>
        </w:rPr>
        <w:t>Gut</w:t>
      </w:r>
      <w:r w:rsidRPr="003D034F">
        <w:rPr>
          <w:rFonts w:ascii="Book Antiqua" w:hAnsi="Book Antiqua"/>
          <w:kern w:val="2"/>
          <w:sz w:val="24"/>
          <w:szCs w:val="24"/>
          <w:lang w:val="en-US" w:eastAsia="zh-CN"/>
        </w:rPr>
        <w:t xml:space="preserve"> 2006; </w:t>
      </w:r>
      <w:r w:rsidRPr="003D034F">
        <w:rPr>
          <w:rFonts w:ascii="Book Antiqua" w:hAnsi="Book Antiqua"/>
          <w:b/>
          <w:kern w:val="2"/>
          <w:sz w:val="24"/>
          <w:szCs w:val="24"/>
          <w:lang w:val="en-US" w:eastAsia="zh-CN"/>
        </w:rPr>
        <w:t>55</w:t>
      </w:r>
      <w:r w:rsidRPr="003D034F">
        <w:rPr>
          <w:rFonts w:ascii="Book Antiqua" w:hAnsi="Book Antiqua"/>
          <w:kern w:val="2"/>
          <w:sz w:val="24"/>
          <w:szCs w:val="24"/>
          <w:lang w:val="en-US" w:eastAsia="zh-CN"/>
        </w:rPr>
        <w:t>: 749-753 [PMID: 16698746 DOI: 10.1136/gut.2005.082909]</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9 </w:t>
      </w:r>
      <w:proofErr w:type="spellStart"/>
      <w:r w:rsidRPr="003D034F">
        <w:rPr>
          <w:rFonts w:ascii="Book Antiqua" w:hAnsi="Book Antiqua"/>
          <w:b/>
          <w:kern w:val="2"/>
          <w:sz w:val="24"/>
          <w:szCs w:val="24"/>
          <w:lang w:val="en-US" w:eastAsia="zh-CN"/>
        </w:rPr>
        <w:t>Lazarev</w:t>
      </w:r>
      <w:proofErr w:type="spellEnd"/>
      <w:r w:rsidRPr="003D034F">
        <w:rPr>
          <w:rFonts w:ascii="Book Antiqua" w:hAnsi="Book Antiqua"/>
          <w:b/>
          <w:kern w:val="2"/>
          <w:sz w:val="24"/>
          <w:szCs w:val="24"/>
          <w:lang w:val="en-US" w:eastAsia="zh-CN"/>
        </w:rPr>
        <w:t xml:space="preserve"> M</w:t>
      </w:r>
      <w:r w:rsidRPr="003D034F">
        <w:rPr>
          <w:rFonts w:ascii="Book Antiqua" w:hAnsi="Book Antiqua"/>
          <w:kern w:val="2"/>
          <w:sz w:val="24"/>
          <w:szCs w:val="24"/>
          <w:lang w:val="en-US" w:eastAsia="zh-CN"/>
        </w:rPr>
        <w:t xml:space="preserve">, Huang C, </w:t>
      </w:r>
      <w:proofErr w:type="spellStart"/>
      <w:r w:rsidRPr="003D034F">
        <w:rPr>
          <w:rFonts w:ascii="Book Antiqua" w:hAnsi="Book Antiqua"/>
          <w:kern w:val="2"/>
          <w:sz w:val="24"/>
          <w:szCs w:val="24"/>
          <w:lang w:val="en-US" w:eastAsia="zh-CN"/>
        </w:rPr>
        <w:t>Bitton</w:t>
      </w:r>
      <w:proofErr w:type="spellEnd"/>
      <w:r w:rsidRPr="003D034F">
        <w:rPr>
          <w:rFonts w:ascii="Book Antiqua" w:hAnsi="Book Antiqua"/>
          <w:kern w:val="2"/>
          <w:sz w:val="24"/>
          <w:szCs w:val="24"/>
          <w:lang w:val="en-US" w:eastAsia="zh-CN"/>
        </w:rPr>
        <w:t xml:space="preserve"> A, Cho JH, </w:t>
      </w:r>
      <w:proofErr w:type="spellStart"/>
      <w:r w:rsidRPr="003D034F">
        <w:rPr>
          <w:rFonts w:ascii="Book Antiqua" w:hAnsi="Book Antiqua"/>
          <w:kern w:val="2"/>
          <w:sz w:val="24"/>
          <w:szCs w:val="24"/>
          <w:lang w:val="en-US" w:eastAsia="zh-CN"/>
        </w:rPr>
        <w:t>Duerr</w:t>
      </w:r>
      <w:proofErr w:type="spellEnd"/>
      <w:r w:rsidRPr="003D034F">
        <w:rPr>
          <w:rFonts w:ascii="Book Antiqua" w:hAnsi="Book Antiqua"/>
          <w:kern w:val="2"/>
          <w:sz w:val="24"/>
          <w:szCs w:val="24"/>
          <w:lang w:val="en-US" w:eastAsia="zh-CN"/>
        </w:rPr>
        <w:t xml:space="preserve"> RH, McGovern DP, Proctor DD, </w:t>
      </w:r>
      <w:proofErr w:type="spellStart"/>
      <w:r w:rsidRPr="003D034F">
        <w:rPr>
          <w:rFonts w:ascii="Book Antiqua" w:hAnsi="Book Antiqua"/>
          <w:kern w:val="2"/>
          <w:sz w:val="24"/>
          <w:szCs w:val="24"/>
          <w:lang w:val="en-US" w:eastAsia="zh-CN"/>
        </w:rPr>
        <w:t>Regueiro</w:t>
      </w:r>
      <w:proofErr w:type="spellEnd"/>
      <w:r w:rsidRPr="003D034F">
        <w:rPr>
          <w:rFonts w:ascii="Book Antiqua" w:hAnsi="Book Antiqua"/>
          <w:kern w:val="2"/>
          <w:sz w:val="24"/>
          <w:szCs w:val="24"/>
          <w:lang w:val="en-US" w:eastAsia="zh-CN"/>
        </w:rPr>
        <w:t xml:space="preserve"> M, </w:t>
      </w:r>
      <w:proofErr w:type="spellStart"/>
      <w:r w:rsidRPr="003D034F">
        <w:rPr>
          <w:rFonts w:ascii="Book Antiqua" w:hAnsi="Book Antiqua"/>
          <w:kern w:val="2"/>
          <w:sz w:val="24"/>
          <w:szCs w:val="24"/>
          <w:lang w:val="en-US" w:eastAsia="zh-CN"/>
        </w:rPr>
        <w:t>Rioux</w:t>
      </w:r>
      <w:proofErr w:type="spellEnd"/>
      <w:r w:rsidRPr="003D034F">
        <w:rPr>
          <w:rFonts w:ascii="Book Antiqua" w:hAnsi="Book Antiqua"/>
          <w:kern w:val="2"/>
          <w:sz w:val="24"/>
          <w:szCs w:val="24"/>
          <w:lang w:val="en-US" w:eastAsia="zh-CN"/>
        </w:rPr>
        <w:t xml:space="preserve"> JD, Schumm PP, Taylor KD, Silverberg MS, Steinhart AH, </w:t>
      </w:r>
      <w:proofErr w:type="spellStart"/>
      <w:r w:rsidRPr="003D034F">
        <w:rPr>
          <w:rFonts w:ascii="Book Antiqua" w:hAnsi="Book Antiqua"/>
          <w:kern w:val="2"/>
          <w:sz w:val="24"/>
          <w:szCs w:val="24"/>
          <w:lang w:val="en-US" w:eastAsia="zh-CN"/>
        </w:rPr>
        <w:lastRenderedPageBreak/>
        <w:t>Hutfless</w:t>
      </w:r>
      <w:proofErr w:type="spellEnd"/>
      <w:r w:rsidRPr="003D034F">
        <w:rPr>
          <w:rFonts w:ascii="Book Antiqua" w:hAnsi="Book Antiqua"/>
          <w:kern w:val="2"/>
          <w:sz w:val="24"/>
          <w:szCs w:val="24"/>
          <w:lang w:val="en-US" w:eastAsia="zh-CN"/>
        </w:rPr>
        <w:t xml:space="preserve"> S, Brant SR. Relationship between proximal Crohn’s disease location and disease behavior and surgery: A cross-sectional study of the IBD Genetics Consortium. </w:t>
      </w:r>
      <w:r w:rsidRPr="003D034F">
        <w:rPr>
          <w:rFonts w:ascii="Book Antiqua" w:hAnsi="Book Antiqua"/>
          <w:i/>
          <w:kern w:val="2"/>
          <w:sz w:val="24"/>
          <w:szCs w:val="24"/>
          <w:lang w:val="en-US" w:eastAsia="zh-CN"/>
        </w:rPr>
        <w:t>Am J Gastroenterol</w:t>
      </w:r>
      <w:r w:rsidRPr="003D034F">
        <w:rPr>
          <w:rFonts w:ascii="Book Antiqua" w:hAnsi="Book Antiqua"/>
          <w:kern w:val="2"/>
          <w:sz w:val="24"/>
          <w:szCs w:val="24"/>
          <w:lang w:val="en-US" w:eastAsia="zh-CN"/>
        </w:rPr>
        <w:t xml:space="preserve"> 2013; </w:t>
      </w:r>
      <w:r w:rsidRPr="003D034F">
        <w:rPr>
          <w:rFonts w:ascii="Book Antiqua" w:hAnsi="Book Antiqua"/>
          <w:b/>
          <w:kern w:val="2"/>
          <w:sz w:val="24"/>
          <w:szCs w:val="24"/>
          <w:lang w:val="en-US" w:eastAsia="zh-CN"/>
        </w:rPr>
        <w:t>108</w:t>
      </w:r>
      <w:r w:rsidRPr="003D034F">
        <w:rPr>
          <w:rFonts w:ascii="Book Antiqua" w:hAnsi="Book Antiqua"/>
          <w:kern w:val="2"/>
          <w:sz w:val="24"/>
          <w:szCs w:val="24"/>
          <w:lang w:val="en-US" w:eastAsia="zh-CN"/>
        </w:rPr>
        <w:t>: 106-112 [PMID: 23229423 DOI: 10.1038/ajg.2012.389]</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10 </w:t>
      </w:r>
      <w:r w:rsidRPr="003D034F">
        <w:rPr>
          <w:rFonts w:ascii="Book Antiqua" w:hAnsi="Book Antiqua"/>
          <w:b/>
          <w:kern w:val="2"/>
          <w:sz w:val="24"/>
          <w:szCs w:val="24"/>
          <w:lang w:val="en-US" w:eastAsia="zh-CN"/>
        </w:rPr>
        <w:t>Henriksen M</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Jahnsen</w:t>
      </w:r>
      <w:proofErr w:type="spellEnd"/>
      <w:r w:rsidRPr="003D034F">
        <w:rPr>
          <w:rFonts w:ascii="Book Antiqua" w:hAnsi="Book Antiqua"/>
          <w:kern w:val="2"/>
          <w:sz w:val="24"/>
          <w:szCs w:val="24"/>
          <w:lang w:val="en-US" w:eastAsia="zh-CN"/>
        </w:rPr>
        <w:t xml:space="preserve"> J, </w:t>
      </w:r>
      <w:proofErr w:type="spellStart"/>
      <w:r w:rsidRPr="003D034F">
        <w:rPr>
          <w:rFonts w:ascii="Book Antiqua" w:hAnsi="Book Antiqua"/>
          <w:kern w:val="2"/>
          <w:sz w:val="24"/>
          <w:szCs w:val="24"/>
          <w:lang w:val="en-US" w:eastAsia="zh-CN"/>
        </w:rPr>
        <w:t>Lygren</w:t>
      </w:r>
      <w:proofErr w:type="spellEnd"/>
      <w:r w:rsidRPr="003D034F">
        <w:rPr>
          <w:rFonts w:ascii="Book Antiqua" w:hAnsi="Book Antiqua"/>
          <w:kern w:val="2"/>
          <w:sz w:val="24"/>
          <w:szCs w:val="24"/>
          <w:lang w:val="en-US" w:eastAsia="zh-CN"/>
        </w:rPr>
        <w:t xml:space="preserve"> I, </w:t>
      </w:r>
      <w:proofErr w:type="spellStart"/>
      <w:r w:rsidRPr="003D034F">
        <w:rPr>
          <w:rFonts w:ascii="Book Antiqua" w:hAnsi="Book Antiqua"/>
          <w:kern w:val="2"/>
          <w:sz w:val="24"/>
          <w:szCs w:val="24"/>
          <w:lang w:val="en-US" w:eastAsia="zh-CN"/>
        </w:rPr>
        <w:t>Aadland</w:t>
      </w:r>
      <w:proofErr w:type="spellEnd"/>
      <w:r w:rsidRPr="003D034F">
        <w:rPr>
          <w:rFonts w:ascii="Book Antiqua" w:hAnsi="Book Antiqua"/>
          <w:kern w:val="2"/>
          <w:sz w:val="24"/>
          <w:szCs w:val="24"/>
          <w:lang w:val="en-US" w:eastAsia="zh-CN"/>
        </w:rPr>
        <w:t xml:space="preserve"> E, Schulz T, </w:t>
      </w:r>
      <w:proofErr w:type="spellStart"/>
      <w:r w:rsidRPr="003D034F">
        <w:rPr>
          <w:rFonts w:ascii="Book Antiqua" w:hAnsi="Book Antiqua"/>
          <w:kern w:val="2"/>
          <w:sz w:val="24"/>
          <w:szCs w:val="24"/>
          <w:lang w:val="en-US" w:eastAsia="zh-CN"/>
        </w:rPr>
        <w:t>Vatn</w:t>
      </w:r>
      <w:proofErr w:type="spellEnd"/>
      <w:r w:rsidRPr="003D034F">
        <w:rPr>
          <w:rFonts w:ascii="Book Antiqua" w:hAnsi="Book Antiqua"/>
          <w:kern w:val="2"/>
          <w:sz w:val="24"/>
          <w:szCs w:val="24"/>
          <w:lang w:val="en-US" w:eastAsia="zh-CN"/>
        </w:rPr>
        <w:t xml:space="preserve"> MH, </w:t>
      </w:r>
      <w:proofErr w:type="spellStart"/>
      <w:r w:rsidRPr="003D034F">
        <w:rPr>
          <w:rFonts w:ascii="Book Antiqua" w:hAnsi="Book Antiqua"/>
          <w:kern w:val="2"/>
          <w:sz w:val="24"/>
          <w:szCs w:val="24"/>
          <w:lang w:val="en-US" w:eastAsia="zh-CN"/>
        </w:rPr>
        <w:t>Moum</w:t>
      </w:r>
      <w:proofErr w:type="spellEnd"/>
      <w:r w:rsidRPr="003D034F">
        <w:rPr>
          <w:rFonts w:ascii="Book Antiqua" w:hAnsi="Book Antiqua"/>
          <w:kern w:val="2"/>
          <w:sz w:val="24"/>
          <w:szCs w:val="24"/>
          <w:lang w:val="en-US" w:eastAsia="zh-CN"/>
        </w:rPr>
        <w:t xml:space="preserve"> B; Ibsen Study Group. Clinical course in Crohn’s disease: Results of a five-year population-based follow-up study (the IBSEN study). </w:t>
      </w:r>
      <w:proofErr w:type="spellStart"/>
      <w:r w:rsidRPr="003D034F">
        <w:rPr>
          <w:rFonts w:ascii="Book Antiqua" w:hAnsi="Book Antiqua"/>
          <w:i/>
          <w:kern w:val="2"/>
          <w:sz w:val="24"/>
          <w:szCs w:val="24"/>
          <w:lang w:val="en-US" w:eastAsia="zh-CN"/>
        </w:rPr>
        <w:t>Scand</w:t>
      </w:r>
      <w:proofErr w:type="spellEnd"/>
      <w:r w:rsidRPr="003D034F">
        <w:rPr>
          <w:rFonts w:ascii="Book Antiqua" w:hAnsi="Book Antiqua"/>
          <w:i/>
          <w:kern w:val="2"/>
          <w:sz w:val="24"/>
          <w:szCs w:val="24"/>
          <w:lang w:val="en-US" w:eastAsia="zh-CN"/>
        </w:rPr>
        <w:t xml:space="preserve"> J Gastroenterol</w:t>
      </w:r>
      <w:r w:rsidRPr="003D034F">
        <w:rPr>
          <w:rFonts w:ascii="Book Antiqua" w:hAnsi="Book Antiqua"/>
          <w:kern w:val="2"/>
          <w:sz w:val="24"/>
          <w:szCs w:val="24"/>
          <w:lang w:val="en-US" w:eastAsia="zh-CN"/>
        </w:rPr>
        <w:t xml:space="preserve"> 2007; </w:t>
      </w:r>
      <w:r w:rsidRPr="003D034F">
        <w:rPr>
          <w:rFonts w:ascii="Book Antiqua" w:hAnsi="Book Antiqua"/>
          <w:b/>
          <w:kern w:val="2"/>
          <w:sz w:val="24"/>
          <w:szCs w:val="24"/>
          <w:lang w:val="en-US" w:eastAsia="zh-CN"/>
        </w:rPr>
        <w:t>42</w:t>
      </w:r>
      <w:r w:rsidRPr="003D034F">
        <w:rPr>
          <w:rFonts w:ascii="Book Antiqua" w:hAnsi="Book Antiqua"/>
          <w:kern w:val="2"/>
          <w:sz w:val="24"/>
          <w:szCs w:val="24"/>
          <w:lang w:val="en-US" w:eastAsia="zh-CN"/>
        </w:rPr>
        <w:t>: 602-610 [PMID: 17454881 DOI: 10.1080/00365520601076124]</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11 </w:t>
      </w:r>
      <w:proofErr w:type="spellStart"/>
      <w:r w:rsidRPr="003D034F">
        <w:rPr>
          <w:rFonts w:ascii="Book Antiqua" w:hAnsi="Book Antiqua"/>
          <w:b/>
          <w:kern w:val="2"/>
          <w:sz w:val="24"/>
          <w:szCs w:val="24"/>
          <w:lang w:val="en-US" w:eastAsia="zh-CN"/>
        </w:rPr>
        <w:t>Gomollón</w:t>
      </w:r>
      <w:proofErr w:type="spellEnd"/>
      <w:r w:rsidRPr="003D034F">
        <w:rPr>
          <w:rFonts w:ascii="Book Antiqua" w:hAnsi="Book Antiqua"/>
          <w:b/>
          <w:kern w:val="2"/>
          <w:sz w:val="24"/>
          <w:szCs w:val="24"/>
          <w:lang w:val="en-US" w:eastAsia="zh-CN"/>
        </w:rPr>
        <w:t xml:space="preserve"> F</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Dignass</w:t>
      </w:r>
      <w:proofErr w:type="spellEnd"/>
      <w:r w:rsidRPr="003D034F">
        <w:rPr>
          <w:rFonts w:ascii="Book Antiqua" w:hAnsi="Book Antiqua"/>
          <w:kern w:val="2"/>
          <w:sz w:val="24"/>
          <w:szCs w:val="24"/>
          <w:lang w:val="en-US" w:eastAsia="zh-CN"/>
        </w:rPr>
        <w:t xml:space="preserve"> A, </w:t>
      </w:r>
      <w:proofErr w:type="spellStart"/>
      <w:r w:rsidRPr="003D034F">
        <w:rPr>
          <w:rFonts w:ascii="Book Antiqua" w:hAnsi="Book Antiqua"/>
          <w:kern w:val="2"/>
          <w:sz w:val="24"/>
          <w:szCs w:val="24"/>
          <w:lang w:val="en-US" w:eastAsia="zh-CN"/>
        </w:rPr>
        <w:t>Annese</w:t>
      </w:r>
      <w:proofErr w:type="spellEnd"/>
      <w:r w:rsidRPr="003D034F">
        <w:rPr>
          <w:rFonts w:ascii="Book Antiqua" w:hAnsi="Book Antiqua"/>
          <w:kern w:val="2"/>
          <w:sz w:val="24"/>
          <w:szCs w:val="24"/>
          <w:lang w:val="en-US" w:eastAsia="zh-CN"/>
        </w:rPr>
        <w:t xml:space="preserve"> V, </w:t>
      </w:r>
      <w:proofErr w:type="spellStart"/>
      <w:r w:rsidRPr="003D034F">
        <w:rPr>
          <w:rFonts w:ascii="Book Antiqua" w:hAnsi="Book Antiqua"/>
          <w:kern w:val="2"/>
          <w:sz w:val="24"/>
          <w:szCs w:val="24"/>
          <w:lang w:val="en-US" w:eastAsia="zh-CN"/>
        </w:rPr>
        <w:t>Tilg</w:t>
      </w:r>
      <w:proofErr w:type="spellEnd"/>
      <w:r w:rsidRPr="003D034F">
        <w:rPr>
          <w:rFonts w:ascii="Book Antiqua" w:hAnsi="Book Antiqua"/>
          <w:kern w:val="2"/>
          <w:sz w:val="24"/>
          <w:szCs w:val="24"/>
          <w:lang w:val="en-US" w:eastAsia="zh-CN"/>
        </w:rPr>
        <w:t xml:space="preserve"> H, Van </w:t>
      </w:r>
      <w:proofErr w:type="spellStart"/>
      <w:r w:rsidRPr="003D034F">
        <w:rPr>
          <w:rFonts w:ascii="Book Antiqua" w:hAnsi="Book Antiqua"/>
          <w:kern w:val="2"/>
          <w:sz w:val="24"/>
          <w:szCs w:val="24"/>
          <w:lang w:val="en-US" w:eastAsia="zh-CN"/>
        </w:rPr>
        <w:t>Assche</w:t>
      </w:r>
      <w:proofErr w:type="spellEnd"/>
      <w:r w:rsidRPr="003D034F">
        <w:rPr>
          <w:rFonts w:ascii="Book Antiqua" w:hAnsi="Book Antiqua"/>
          <w:kern w:val="2"/>
          <w:sz w:val="24"/>
          <w:szCs w:val="24"/>
          <w:lang w:val="en-US" w:eastAsia="zh-CN"/>
        </w:rPr>
        <w:t xml:space="preserve"> G, Lindsay JO, </w:t>
      </w:r>
      <w:proofErr w:type="spellStart"/>
      <w:r w:rsidRPr="003D034F">
        <w:rPr>
          <w:rFonts w:ascii="Book Antiqua" w:hAnsi="Book Antiqua"/>
          <w:kern w:val="2"/>
          <w:sz w:val="24"/>
          <w:szCs w:val="24"/>
          <w:lang w:val="en-US" w:eastAsia="zh-CN"/>
        </w:rPr>
        <w:t>Peyrin-Biroulet</w:t>
      </w:r>
      <w:proofErr w:type="spellEnd"/>
      <w:r w:rsidRPr="003D034F">
        <w:rPr>
          <w:rFonts w:ascii="Book Antiqua" w:hAnsi="Book Antiqua"/>
          <w:kern w:val="2"/>
          <w:sz w:val="24"/>
          <w:szCs w:val="24"/>
          <w:lang w:val="en-US" w:eastAsia="zh-CN"/>
        </w:rPr>
        <w:t xml:space="preserve"> L, Cullen GJ, </w:t>
      </w:r>
      <w:proofErr w:type="spellStart"/>
      <w:r w:rsidRPr="003D034F">
        <w:rPr>
          <w:rFonts w:ascii="Book Antiqua" w:hAnsi="Book Antiqua"/>
          <w:kern w:val="2"/>
          <w:sz w:val="24"/>
          <w:szCs w:val="24"/>
          <w:lang w:val="en-US" w:eastAsia="zh-CN"/>
        </w:rPr>
        <w:t>Daperno</w:t>
      </w:r>
      <w:proofErr w:type="spellEnd"/>
      <w:r w:rsidRPr="003D034F">
        <w:rPr>
          <w:rFonts w:ascii="Book Antiqua" w:hAnsi="Book Antiqua"/>
          <w:kern w:val="2"/>
          <w:sz w:val="24"/>
          <w:szCs w:val="24"/>
          <w:lang w:val="en-US" w:eastAsia="zh-CN"/>
        </w:rPr>
        <w:t xml:space="preserve"> M, </w:t>
      </w:r>
      <w:proofErr w:type="spellStart"/>
      <w:r w:rsidRPr="003D034F">
        <w:rPr>
          <w:rFonts w:ascii="Book Antiqua" w:hAnsi="Book Antiqua"/>
          <w:kern w:val="2"/>
          <w:sz w:val="24"/>
          <w:szCs w:val="24"/>
          <w:lang w:val="en-US" w:eastAsia="zh-CN"/>
        </w:rPr>
        <w:t>Kucharzik</w:t>
      </w:r>
      <w:proofErr w:type="spellEnd"/>
      <w:r w:rsidRPr="003D034F">
        <w:rPr>
          <w:rFonts w:ascii="Book Antiqua" w:hAnsi="Book Antiqua"/>
          <w:kern w:val="2"/>
          <w:sz w:val="24"/>
          <w:szCs w:val="24"/>
          <w:lang w:val="en-US" w:eastAsia="zh-CN"/>
        </w:rPr>
        <w:t xml:space="preserve"> T, </w:t>
      </w:r>
      <w:proofErr w:type="spellStart"/>
      <w:r w:rsidRPr="003D034F">
        <w:rPr>
          <w:rFonts w:ascii="Book Antiqua" w:hAnsi="Book Antiqua"/>
          <w:kern w:val="2"/>
          <w:sz w:val="24"/>
          <w:szCs w:val="24"/>
          <w:lang w:val="en-US" w:eastAsia="zh-CN"/>
        </w:rPr>
        <w:t>Rieder</w:t>
      </w:r>
      <w:proofErr w:type="spellEnd"/>
      <w:r w:rsidRPr="003D034F">
        <w:rPr>
          <w:rFonts w:ascii="Book Antiqua" w:hAnsi="Book Antiqua"/>
          <w:kern w:val="2"/>
          <w:sz w:val="24"/>
          <w:szCs w:val="24"/>
          <w:lang w:val="en-US" w:eastAsia="zh-CN"/>
        </w:rPr>
        <w:t xml:space="preserve"> F, Almer S, </w:t>
      </w:r>
      <w:proofErr w:type="spellStart"/>
      <w:r w:rsidRPr="003D034F">
        <w:rPr>
          <w:rFonts w:ascii="Book Antiqua" w:hAnsi="Book Antiqua"/>
          <w:kern w:val="2"/>
          <w:sz w:val="24"/>
          <w:szCs w:val="24"/>
          <w:lang w:val="en-US" w:eastAsia="zh-CN"/>
        </w:rPr>
        <w:t>Armuzzi</w:t>
      </w:r>
      <w:proofErr w:type="spellEnd"/>
      <w:r w:rsidRPr="003D034F">
        <w:rPr>
          <w:rFonts w:ascii="Book Antiqua" w:hAnsi="Book Antiqua"/>
          <w:kern w:val="2"/>
          <w:sz w:val="24"/>
          <w:szCs w:val="24"/>
          <w:lang w:val="en-US" w:eastAsia="zh-CN"/>
        </w:rPr>
        <w:t xml:space="preserve"> A, </w:t>
      </w:r>
      <w:proofErr w:type="spellStart"/>
      <w:r w:rsidRPr="003D034F">
        <w:rPr>
          <w:rFonts w:ascii="Book Antiqua" w:hAnsi="Book Antiqua"/>
          <w:kern w:val="2"/>
          <w:sz w:val="24"/>
          <w:szCs w:val="24"/>
          <w:lang w:val="en-US" w:eastAsia="zh-CN"/>
        </w:rPr>
        <w:t>Harbord</w:t>
      </w:r>
      <w:proofErr w:type="spellEnd"/>
      <w:r w:rsidRPr="003D034F">
        <w:rPr>
          <w:rFonts w:ascii="Book Antiqua" w:hAnsi="Book Antiqua"/>
          <w:kern w:val="2"/>
          <w:sz w:val="24"/>
          <w:szCs w:val="24"/>
          <w:lang w:val="en-US" w:eastAsia="zh-CN"/>
        </w:rPr>
        <w:t xml:space="preserve"> M, Langhorst J, Sans M, </w:t>
      </w:r>
      <w:proofErr w:type="spellStart"/>
      <w:r w:rsidRPr="003D034F">
        <w:rPr>
          <w:rFonts w:ascii="Book Antiqua" w:hAnsi="Book Antiqua"/>
          <w:kern w:val="2"/>
          <w:sz w:val="24"/>
          <w:szCs w:val="24"/>
          <w:lang w:val="en-US" w:eastAsia="zh-CN"/>
        </w:rPr>
        <w:t>Chowers</w:t>
      </w:r>
      <w:proofErr w:type="spellEnd"/>
      <w:r w:rsidRPr="003D034F">
        <w:rPr>
          <w:rFonts w:ascii="Book Antiqua" w:hAnsi="Book Antiqua"/>
          <w:kern w:val="2"/>
          <w:sz w:val="24"/>
          <w:szCs w:val="24"/>
          <w:lang w:val="en-US" w:eastAsia="zh-CN"/>
        </w:rPr>
        <w:t xml:space="preserve"> Y, Fiorino G, </w:t>
      </w:r>
      <w:proofErr w:type="spellStart"/>
      <w:r w:rsidRPr="003D034F">
        <w:rPr>
          <w:rFonts w:ascii="Book Antiqua" w:hAnsi="Book Antiqua"/>
          <w:kern w:val="2"/>
          <w:sz w:val="24"/>
          <w:szCs w:val="24"/>
          <w:lang w:val="en-US" w:eastAsia="zh-CN"/>
        </w:rPr>
        <w:t>Juillerat</w:t>
      </w:r>
      <w:proofErr w:type="spellEnd"/>
      <w:r w:rsidRPr="003D034F">
        <w:rPr>
          <w:rFonts w:ascii="Book Antiqua" w:hAnsi="Book Antiqua"/>
          <w:kern w:val="2"/>
          <w:sz w:val="24"/>
          <w:szCs w:val="24"/>
          <w:lang w:val="en-US" w:eastAsia="zh-CN"/>
        </w:rPr>
        <w:t xml:space="preserve"> P, </w:t>
      </w:r>
      <w:proofErr w:type="spellStart"/>
      <w:r w:rsidRPr="003D034F">
        <w:rPr>
          <w:rFonts w:ascii="Book Antiqua" w:hAnsi="Book Antiqua"/>
          <w:kern w:val="2"/>
          <w:sz w:val="24"/>
          <w:szCs w:val="24"/>
          <w:lang w:val="en-US" w:eastAsia="zh-CN"/>
        </w:rPr>
        <w:t>Mantzaris</w:t>
      </w:r>
      <w:proofErr w:type="spellEnd"/>
      <w:r w:rsidRPr="003D034F">
        <w:rPr>
          <w:rFonts w:ascii="Book Antiqua" w:hAnsi="Book Antiqua"/>
          <w:kern w:val="2"/>
          <w:sz w:val="24"/>
          <w:szCs w:val="24"/>
          <w:lang w:val="en-US" w:eastAsia="zh-CN"/>
        </w:rPr>
        <w:t xml:space="preserve"> GJ, </w:t>
      </w:r>
      <w:proofErr w:type="spellStart"/>
      <w:r w:rsidRPr="003D034F">
        <w:rPr>
          <w:rFonts w:ascii="Book Antiqua" w:hAnsi="Book Antiqua"/>
          <w:kern w:val="2"/>
          <w:sz w:val="24"/>
          <w:szCs w:val="24"/>
          <w:lang w:val="en-US" w:eastAsia="zh-CN"/>
        </w:rPr>
        <w:t>Rizzello</w:t>
      </w:r>
      <w:proofErr w:type="spellEnd"/>
      <w:r w:rsidRPr="003D034F">
        <w:rPr>
          <w:rFonts w:ascii="Book Antiqua" w:hAnsi="Book Antiqua"/>
          <w:kern w:val="2"/>
          <w:sz w:val="24"/>
          <w:szCs w:val="24"/>
          <w:lang w:val="en-US" w:eastAsia="zh-CN"/>
        </w:rPr>
        <w:t xml:space="preserve"> F, </w:t>
      </w:r>
      <w:proofErr w:type="spellStart"/>
      <w:r w:rsidRPr="003D034F">
        <w:rPr>
          <w:rFonts w:ascii="Book Antiqua" w:hAnsi="Book Antiqua"/>
          <w:kern w:val="2"/>
          <w:sz w:val="24"/>
          <w:szCs w:val="24"/>
          <w:lang w:val="en-US" w:eastAsia="zh-CN"/>
        </w:rPr>
        <w:t>Vavricka</w:t>
      </w:r>
      <w:proofErr w:type="spellEnd"/>
      <w:r w:rsidRPr="003D034F">
        <w:rPr>
          <w:rFonts w:ascii="Book Antiqua" w:hAnsi="Book Antiqua"/>
          <w:kern w:val="2"/>
          <w:sz w:val="24"/>
          <w:szCs w:val="24"/>
          <w:lang w:val="en-US" w:eastAsia="zh-CN"/>
        </w:rPr>
        <w:t xml:space="preserve"> S, </w:t>
      </w:r>
      <w:proofErr w:type="spellStart"/>
      <w:r w:rsidRPr="003D034F">
        <w:rPr>
          <w:rFonts w:ascii="Book Antiqua" w:hAnsi="Book Antiqua"/>
          <w:kern w:val="2"/>
          <w:sz w:val="24"/>
          <w:szCs w:val="24"/>
          <w:lang w:val="en-US" w:eastAsia="zh-CN"/>
        </w:rPr>
        <w:t>Gionchetti</w:t>
      </w:r>
      <w:proofErr w:type="spellEnd"/>
      <w:r w:rsidRPr="003D034F">
        <w:rPr>
          <w:rFonts w:ascii="Book Antiqua" w:hAnsi="Book Antiqua"/>
          <w:kern w:val="2"/>
          <w:sz w:val="24"/>
          <w:szCs w:val="24"/>
          <w:lang w:val="en-US" w:eastAsia="zh-CN"/>
        </w:rPr>
        <w:t xml:space="preserve"> P; ECCO. 3rd European Evidence-based Consensus on the Diagnosis and Management of Crohn’s Disease 2016: Part 1: Diagnosis and Medical Management. </w:t>
      </w:r>
      <w:r w:rsidRPr="003D034F">
        <w:rPr>
          <w:rFonts w:ascii="Book Antiqua" w:hAnsi="Book Antiqua"/>
          <w:i/>
          <w:kern w:val="2"/>
          <w:sz w:val="24"/>
          <w:szCs w:val="24"/>
          <w:lang w:val="en-US" w:eastAsia="zh-CN"/>
        </w:rPr>
        <w:t xml:space="preserve">J </w:t>
      </w:r>
      <w:proofErr w:type="spellStart"/>
      <w:r w:rsidRPr="003D034F">
        <w:rPr>
          <w:rFonts w:ascii="Book Antiqua" w:hAnsi="Book Antiqua"/>
          <w:i/>
          <w:kern w:val="2"/>
          <w:sz w:val="24"/>
          <w:szCs w:val="24"/>
          <w:lang w:val="en-US" w:eastAsia="zh-CN"/>
        </w:rPr>
        <w:t>Crohns</w:t>
      </w:r>
      <w:proofErr w:type="spellEnd"/>
      <w:r w:rsidRPr="003D034F">
        <w:rPr>
          <w:rFonts w:ascii="Book Antiqua" w:hAnsi="Book Antiqua"/>
          <w:i/>
          <w:kern w:val="2"/>
          <w:sz w:val="24"/>
          <w:szCs w:val="24"/>
          <w:lang w:val="en-US" w:eastAsia="zh-CN"/>
        </w:rPr>
        <w:t xml:space="preserve"> Colitis</w:t>
      </w:r>
      <w:r w:rsidRPr="003D034F">
        <w:rPr>
          <w:rFonts w:ascii="Book Antiqua" w:hAnsi="Book Antiqua"/>
          <w:kern w:val="2"/>
          <w:sz w:val="24"/>
          <w:szCs w:val="24"/>
          <w:lang w:val="en-US" w:eastAsia="zh-CN"/>
        </w:rPr>
        <w:t xml:space="preserve"> 2017; </w:t>
      </w:r>
      <w:r w:rsidRPr="003D034F">
        <w:rPr>
          <w:rFonts w:ascii="Book Antiqua" w:hAnsi="Book Antiqua"/>
          <w:b/>
          <w:kern w:val="2"/>
          <w:sz w:val="24"/>
          <w:szCs w:val="24"/>
          <w:lang w:val="en-US" w:eastAsia="zh-CN"/>
        </w:rPr>
        <w:t>11</w:t>
      </w:r>
      <w:r w:rsidRPr="003D034F">
        <w:rPr>
          <w:rFonts w:ascii="Book Antiqua" w:hAnsi="Book Antiqua"/>
          <w:kern w:val="2"/>
          <w:sz w:val="24"/>
          <w:szCs w:val="24"/>
          <w:lang w:val="en-US" w:eastAsia="zh-CN"/>
        </w:rPr>
        <w:t>: 3-25 [PMID: 27660341 DOI: 10.1093/</w:t>
      </w:r>
      <w:proofErr w:type="spellStart"/>
      <w:r w:rsidRPr="003D034F">
        <w:rPr>
          <w:rFonts w:ascii="Book Antiqua" w:hAnsi="Book Antiqua"/>
          <w:kern w:val="2"/>
          <w:sz w:val="24"/>
          <w:szCs w:val="24"/>
          <w:lang w:val="en-US" w:eastAsia="zh-CN"/>
        </w:rPr>
        <w:t>ecco-jcc</w:t>
      </w:r>
      <w:proofErr w:type="spellEnd"/>
      <w:r w:rsidRPr="003D034F">
        <w:rPr>
          <w:rFonts w:ascii="Book Antiqua" w:hAnsi="Book Antiqua"/>
          <w:kern w:val="2"/>
          <w:sz w:val="24"/>
          <w:szCs w:val="24"/>
          <w:lang w:val="en-US" w:eastAsia="zh-CN"/>
        </w:rPr>
        <w:t>/jjw168]</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12 </w:t>
      </w:r>
      <w:r w:rsidRPr="003D034F">
        <w:rPr>
          <w:rFonts w:ascii="Book Antiqua" w:hAnsi="Book Antiqua"/>
          <w:b/>
          <w:kern w:val="2"/>
          <w:sz w:val="24"/>
          <w:szCs w:val="24"/>
          <w:lang w:val="en-US" w:eastAsia="zh-CN"/>
        </w:rPr>
        <w:t>Levine A</w:t>
      </w:r>
      <w:r w:rsidRPr="003D034F">
        <w:rPr>
          <w:rFonts w:ascii="Book Antiqua" w:hAnsi="Book Antiqua"/>
          <w:kern w:val="2"/>
          <w:sz w:val="24"/>
          <w:szCs w:val="24"/>
          <w:lang w:val="en-US" w:eastAsia="zh-CN"/>
        </w:rPr>
        <w:t xml:space="preserve">, Griffiths A, Markowitz J, Wilson DC, Turner D, Russell RK, Fell J, </w:t>
      </w:r>
      <w:proofErr w:type="spellStart"/>
      <w:r w:rsidRPr="003D034F">
        <w:rPr>
          <w:rFonts w:ascii="Book Antiqua" w:hAnsi="Book Antiqua"/>
          <w:kern w:val="2"/>
          <w:sz w:val="24"/>
          <w:szCs w:val="24"/>
          <w:lang w:val="en-US" w:eastAsia="zh-CN"/>
        </w:rPr>
        <w:t>Ruemmele</w:t>
      </w:r>
      <w:proofErr w:type="spellEnd"/>
      <w:r w:rsidRPr="003D034F">
        <w:rPr>
          <w:rFonts w:ascii="Book Antiqua" w:hAnsi="Book Antiqua"/>
          <w:kern w:val="2"/>
          <w:sz w:val="24"/>
          <w:szCs w:val="24"/>
          <w:lang w:val="en-US" w:eastAsia="zh-CN"/>
        </w:rPr>
        <w:t xml:space="preserve"> FM, Walters T, Sherlock M, Dubinsky M, </w:t>
      </w:r>
      <w:proofErr w:type="spellStart"/>
      <w:r w:rsidRPr="003D034F">
        <w:rPr>
          <w:rFonts w:ascii="Book Antiqua" w:hAnsi="Book Antiqua"/>
          <w:kern w:val="2"/>
          <w:sz w:val="24"/>
          <w:szCs w:val="24"/>
          <w:lang w:val="en-US" w:eastAsia="zh-CN"/>
        </w:rPr>
        <w:t>Hyams</w:t>
      </w:r>
      <w:proofErr w:type="spellEnd"/>
      <w:r w:rsidRPr="003D034F">
        <w:rPr>
          <w:rFonts w:ascii="Book Antiqua" w:hAnsi="Book Antiqua"/>
          <w:kern w:val="2"/>
          <w:sz w:val="24"/>
          <w:szCs w:val="24"/>
          <w:lang w:val="en-US" w:eastAsia="zh-CN"/>
        </w:rPr>
        <w:t xml:space="preserve"> JS. Pediatric modification of the Montreal classification for inflammatory bowel disease: The Paris classification. </w:t>
      </w:r>
      <w:proofErr w:type="spellStart"/>
      <w:r w:rsidRPr="003D034F">
        <w:rPr>
          <w:rFonts w:ascii="Book Antiqua" w:hAnsi="Book Antiqua"/>
          <w:i/>
          <w:kern w:val="2"/>
          <w:sz w:val="24"/>
          <w:szCs w:val="24"/>
          <w:lang w:val="en-US" w:eastAsia="zh-CN"/>
        </w:rPr>
        <w:t>Inflamm</w:t>
      </w:r>
      <w:proofErr w:type="spellEnd"/>
      <w:r w:rsidRPr="003D034F">
        <w:rPr>
          <w:rFonts w:ascii="Book Antiqua" w:hAnsi="Book Antiqua"/>
          <w:i/>
          <w:kern w:val="2"/>
          <w:sz w:val="24"/>
          <w:szCs w:val="24"/>
          <w:lang w:val="en-US" w:eastAsia="zh-CN"/>
        </w:rPr>
        <w:t xml:space="preserve"> Bowel Dis</w:t>
      </w:r>
      <w:r w:rsidRPr="003D034F">
        <w:rPr>
          <w:rFonts w:ascii="Book Antiqua" w:hAnsi="Book Antiqua"/>
          <w:kern w:val="2"/>
          <w:sz w:val="24"/>
          <w:szCs w:val="24"/>
          <w:lang w:val="en-US" w:eastAsia="zh-CN"/>
        </w:rPr>
        <w:t xml:space="preserve"> 2011; </w:t>
      </w:r>
      <w:r w:rsidRPr="003D034F">
        <w:rPr>
          <w:rFonts w:ascii="Book Antiqua" w:hAnsi="Book Antiqua"/>
          <w:b/>
          <w:kern w:val="2"/>
          <w:sz w:val="24"/>
          <w:szCs w:val="24"/>
          <w:lang w:val="en-US" w:eastAsia="zh-CN"/>
        </w:rPr>
        <w:t>17</w:t>
      </w:r>
      <w:r w:rsidRPr="003D034F">
        <w:rPr>
          <w:rFonts w:ascii="Book Antiqua" w:hAnsi="Book Antiqua"/>
          <w:kern w:val="2"/>
          <w:sz w:val="24"/>
          <w:szCs w:val="24"/>
          <w:lang w:val="en-US" w:eastAsia="zh-CN"/>
        </w:rPr>
        <w:t>: 1314-1321 [PMID: 21560194 DOI: 10.1002/ibd.21493]</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13 </w:t>
      </w:r>
      <w:proofErr w:type="spellStart"/>
      <w:r w:rsidRPr="003D034F">
        <w:rPr>
          <w:rFonts w:ascii="Book Antiqua" w:hAnsi="Book Antiqua"/>
          <w:b/>
          <w:kern w:val="2"/>
          <w:sz w:val="24"/>
          <w:szCs w:val="24"/>
          <w:lang w:val="en-US" w:eastAsia="zh-CN"/>
        </w:rPr>
        <w:t>Halme</w:t>
      </w:r>
      <w:proofErr w:type="spellEnd"/>
      <w:r w:rsidRPr="003D034F">
        <w:rPr>
          <w:rFonts w:ascii="Book Antiqua" w:hAnsi="Book Antiqua"/>
          <w:b/>
          <w:kern w:val="2"/>
          <w:sz w:val="24"/>
          <w:szCs w:val="24"/>
          <w:lang w:val="en-US" w:eastAsia="zh-CN"/>
        </w:rPr>
        <w:t xml:space="preserve"> L</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Kärkkäinen</w:t>
      </w:r>
      <w:proofErr w:type="spellEnd"/>
      <w:r w:rsidRPr="003D034F">
        <w:rPr>
          <w:rFonts w:ascii="Book Antiqua" w:hAnsi="Book Antiqua"/>
          <w:kern w:val="2"/>
          <w:sz w:val="24"/>
          <w:szCs w:val="24"/>
          <w:lang w:val="en-US" w:eastAsia="zh-CN"/>
        </w:rPr>
        <w:t xml:space="preserve"> P, </w:t>
      </w:r>
      <w:proofErr w:type="spellStart"/>
      <w:r w:rsidRPr="003D034F">
        <w:rPr>
          <w:rFonts w:ascii="Book Antiqua" w:hAnsi="Book Antiqua"/>
          <w:kern w:val="2"/>
          <w:sz w:val="24"/>
          <w:szCs w:val="24"/>
          <w:lang w:val="en-US" w:eastAsia="zh-CN"/>
        </w:rPr>
        <w:t>Rautelin</w:t>
      </w:r>
      <w:proofErr w:type="spellEnd"/>
      <w:r w:rsidRPr="003D034F">
        <w:rPr>
          <w:rFonts w:ascii="Book Antiqua" w:hAnsi="Book Antiqua"/>
          <w:kern w:val="2"/>
          <w:sz w:val="24"/>
          <w:szCs w:val="24"/>
          <w:lang w:val="en-US" w:eastAsia="zh-CN"/>
        </w:rPr>
        <w:t xml:space="preserve"> H, </w:t>
      </w:r>
      <w:proofErr w:type="spellStart"/>
      <w:r w:rsidRPr="003D034F">
        <w:rPr>
          <w:rFonts w:ascii="Book Antiqua" w:hAnsi="Book Antiqua"/>
          <w:kern w:val="2"/>
          <w:sz w:val="24"/>
          <w:szCs w:val="24"/>
          <w:lang w:val="en-US" w:eastAsia="zh-CN"/>
        </w:rPr>
        <w:t>Kosunen</w:t>
      </w:r>
      <w:proofErr w:type="spellEnd"/>
      <w:r w:rsidRPr="003D034F">
        <w:rPr>
          <w:rFonts w:ascii="Book Antiqua" w:hAnsi="Book Antiqua"/>
          <w:kern w:val="2"/>
          <w:sz w:val="24"/>
          <w:szCs w:val="24"/>
          <w:lang w:val="en-US" w:eastAsia="zh-CN"/>
        </w:rPr>
        <w:t xml:space="preserve"> TU, </w:t>
      </w:r>
      <w:proofErr w:type="spellStart"/>
      <w:r w:rsidRPr="003D034F">
        <w:rPr>
          <w:rFonts w:ascii="Book Antiqua" w:hAnsi="Book Antiqua"/>
          <w:kern w:val="2"/>
          <w:sz w:val="24"/>
          <w:szCs w:val="24"/>
          <w:lang w:val="en-US" w:eastAsia="zh-CN"/>
        </w:rPr>
        <w:t>Sipponen</w:t>
      </w:r>
      <w:proofErr w:type="spellEnd"/>
      <w:r w:rsidRPr="003D034F">
        <w:rPr>
          <w:rFonts w:ascii="Book Antiqua" w:hAnsi="Book Antiqua"/>
          <w:kern w:val="2"/>
          <w:sz w:val="24"/>
          <w:szCs w:val="24"/>
          <w:lang w:val="en-US" w:eastAsia="zh-CN"/>
        </w:rPr>
        <w:t xml:space="preserve"> P. High frequency of helicobacter negative gastritis in patients with Crohn’s disease. </w:t>
      </w:r>
      <w:r w:rsidRPr="003D034F">
        <w:rPr>
          <w:rFonts w:ascii="Book Antiqua" w:hAnsi="Book Antiqua"/>
          <w:i/>
          <w:kern w:val="2"/>
          <w:sz w:val="24"/>
          <w:szCs w:val="24"/>
          <w:lang w:val="en-US" w:eastAsia="zh-CN"/>
        </w:rPr>
        <w:t>Gut</w:t>
      </w:r>
      <w:r w:rsidRPr="003D034F">
        <w:rPr>
          <w:rFonts w:ascii="Book Antiqua" w:hAnsi="Book Antiqua"/>
          <w:kern w:val="2"/>
          <w:sz w:val="24"/>
          <w:szCs w:val="24"/>
          <w:lang w:val="en-US" w:eastAsia="zh-CN"/>
        </w:rPr>
        <w:t xml:space="preserve"> 1996; </w:t>
      </w:r>
      <w:r w:rsidRPr="003D034F">
        <w:rPr>
          <w:rFonts w:ascii="Book Antiqua" w:hAnsi="Book Antiqua"/>
          <w:b/>
          <w:kern w:val="2"/>
          <w:sz w:val="24"/>
          <w:szCs w:val="24"/>
          <w:lang w:val="en-US" w:eastAsia="zh-CN"/>
        </w:rPr>
        <w:t>38</w:t>
      </w:r>
      <w:r w:rsidRPr="003D034F">
        <w:rPr>
          <w:rFonts w:ascii="Book Antiqua" w:hAnsi="Book Antiqua"/>
          <w:kern w:val="2"/>
          <w:sz w:val="24"/>
          <w:szCs w:val="24"/>
          <w:lang w:val="en-US" w:eastAsia="zh-CN"/>
        </w:rPr>
        <w:t>: 379-383 [PMID: 8675090 DOI: 10.1136/gut.38.3.379]</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14 </w:t>
      </w:r>
      <w:r w:rsidRPr="003D034F">
        <w:rPr>
          <w:rFonts w:ascii="Book Antiqua" w:hAnsi="Book Antiqua"/>
          <w:b/>
          <w:kern w:val="2"/>
          <w:sz w:val="24"/>
          <w:szCs w:val="24"/>
          <w:lang w:val="en-US" w:eastAsia="zh-CN"/>
        </w:rPr>
        <w:t>Annunziata ML</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Caviglia</w:t>
      </w:r>
      <w:proofErr w:type="spellEnd"/>
      <w:r w:rsidRPr="003D034F">
        <w:rPr>
          <w:rFonts w:ascii="Book Antiqua" w:hAnsi="Book Antiqua"/>
          <w:kern w:val="2"/>
          <w:sz w:val="24"/>
          <w:szCs w:val="24"/>
          <w:lang w:val="en-US" w:eastAsia="zh-CN"/>
        </w:rPr>
        <w:t xml:space="preserve"> R, </w:t>
      </w:r>
      <w:proofErr w:type="spellStart"/>
      <w:r w:rsidRPr="003D034F">
        <w:rPr>
          <w:rFonts w:ascii="Book Antiqua" w:hAnsi="Book Antiqua"/>
          <w:kern w:val="2"/>
          <w:sz w:val="24"/>
          <w:szCs w:val="24"/>
          <w:lang w:val="en-US" w:eastAsia="zh-CN"/>
        </w:rPr>
        <w:t>Papparella</w:t>
      </w:r>
      <w:proofErr w:type="spellEnd"/>
      <w:r w:rsidRPr="003D034F">
        <w:rPr>
          <w:rFonts w:ascii="Book Antiqua" w:hAnsi="Book Antiqua"/>
          <w:kern w:val="2"/>
          <w:sz w:val="24"/>
          <w:szCs w:val="24"/>
          <w:lang w:val="en-US" w:eastAsia="zh-CN"/>
        </w:rPr>
        <w:t xml:space="preserve"> LG, </w:t>
      </w:r>
      <w:proofErr w:type="spellStart"/>
      <w:r w:rsidRPr="003D034F">
        <w:rPr>
          <w:rFonts w:ascii="Book Antiqua" w:hAnsi="Book Antiqua"/>
          <w:kern w:val="2"/>
          <w:sz w:val="24"/>
          <w:szCs w:val="24"/>
          <w:lang w:val="en-US" w:eastAsia="zh-CN"/>
        </w:rPr>
        <w:t>Cicala</w:t>
      </w:r>
      <w:proofErr w:type="spellEnd"/>
      <w:r w:rsidRPr="003D034F">
        <w:rPr>
          <w:rFonts w:ascii="Book Antiqua" w:hAnsi="Book Antiqua"/>
          <w:kern w:val="2"/>
          <w:sz w:val="24"/>
          <w:szCs w:val="24"/>
          <w:lang w:val="en-US" w:eastAsia="zh-CN"/>
        </w:rPr>
        <w:t xml:space="preserve"> M. Upper gastrointestinal involvement of Crohn’s disease: A prospective study on the role of upper endoscopy in the diagnostic work-up. </w:t>
      </w:r>
      <w:r w:rsidRPr="003D034F">
        <w:rPr>
          <w:rFonts w:ascii="Book Antiqua" w:hAnsi="Book Antiqua"/>
          <w:i/>
          <w:kern w:val="2"/>
          <w:sz w:val="24"/>
          <w:szCs w:val="24"/>
          <w:lang w:val="en-US" w:eastAsia="zh-CN"/>
        </w:rPr>
        <w:t>Dig Dis Sci</w:t>
      </w:r>
      <w:r w:rsidRPr="003D034F">
        <w:rPr>
          <w:rFonts w:ascii="Book Antiqua" w:hAnsi="Book Antiqua"/>
          <w:kern w:val="2"/>
          <w:sz w:val="24"/>
          <w:szCs w:val="24"/>
          <w:lang w:val="en-US" w:eastAsia="zh-CN"/>
        </w:rPr>
        <w:t xml:space="preserve"> 2012; </w:t>
      </w:r>
      <w:r w:rsidRPr="003D034F">
        <w:rPr>
          <w:rFonts w:ascii="Book Antiqua" w:hAnsi="Book Antiqua"/>
          <w:b/>
          <w:kern w:val="2"/>
          <w:sz w:val="24"/>
          <w:szCs w:val="24"/>
          <w:lang w:val="en-US" w:eastAsia="zh-CN"/>
        </w:rPr>
        <w:t>57</w:t>
      </w:r>
      <w:r w:rsidRPr="003D034F">
        <w:rPr>
          <w:rFonts w:ascii="Book Antiqua" w:hAnsi="Book Antiqua"/>
          <w:kern w:val="2"/>
          <w:sz w:val="24"/>
          <w:szCs w:val="24"/>
          <w:lang w:val="en-US" w:eastAsia="zh-CN"/>
        </w:rPr>
        <w:t>: 1618-1623 [PMID: 22350786 DOI: 10.1007/s10620-012-2072-0]</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15 </w:t>
      </w:r>
      <w:proofErr w:type="spellStart"/>
      <w:r w:rsidRPr="003D034F">
        <w:rPr>
          <w:rFonts w:ascii="Book Antiqua" w:hAnsi="Book Antiqua"/>
          <w:b/>
          <w:kern w:val="2"/>
          <w:sz w:val="24"/>
          <w:szCs w:val="24"/>
          <w:lang w:val="en-US" w:eastAsia="zh-CN"/>
        </w:rPr>
        <w:t>Sakuraba</w:t>
      </w:r>
      <w:proofErr w:type="spellEnd"/>
      <w:r w:rsidRPr="003D034F">
        <w:rPr>
          <w:rFonts w:ascii="Book Antiqua" w:hAnsi="Book Antiqua"/>
          <w:b/>
          <w:kern w:val="2"/>
          <w:sz w:val="24"/>
          <w:szCs w:val="24"/>
          <w:lang w:val="en-US" w:eastAsia="zh-CN"/>
        </w:rPr>
        <w:t xml:space="preserve"> A</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Iwao</w:t>
      </w:r>
      <w:proofErr w:type="spellEnd"/>
      <w:r w:rsidRPr="003D034F">
        <w:rPr>
          <w:rFonts w:ascii="Book Antiqua" w:hAnsi="Book Antiqua"/>
          <w:kern w:val="2"/>
          <w:sz w:val="24"/>
          <w:szCs w:val="24"/>
          <w:lang w:val="en-US" w:eastAsia="zh-CN"/>
        </w:rPr>
        <w:t xml:space="preserve"> Y, Matsuoka K, </w:t>
      </w:r>
      <w:proofErr w:type="spellStart"/>
      <w:r w:rsidRPr="003D034F">
        <w:rPr>
          <w:rFonts w:ascii="Book Antiqua" w:hAnsi="Book Antiqua"/>
          <w:kern w:val="2"/>
          <w:sz w:val="24"/>
          <w:szCs w:val="24"/>
          <w:lang w:val="en-US" w:eastAsia="zh-CN"/>
        </w:rPr>
        <w:t>Naganuma</w:t>
      </w:r>
      <w:proofErr w:type="spellEnd"/>
      <w:r w:rsidRPr="003D034F">
        <w:rPr>
          <w:rFonts w:ascii="Book Antiqua" w:hAnsi="Book Antiqua"/>
          <w:kern w:val="2"/>
          <w:sz w:val="24"/>
          <w:szCs w:val="24"/>
          <w:lang w:val="en-US" w:eastAsia="zh-CN"/>
        </w:rPr>
        <w:t xml:space="preserve"> M, Ogata H, Kanai T, </w:t>
      </w:r>
      <w:proofErr w:type="spellStart"/>
      <w:r w:rsidRPr="003D034F">
        <w:rPr>
          <w:rFonts w:ascii="Book Antiqua" w:hAnsi="Book Antiqua"/>
          <w:kern w:val="2"/>
          <w:sz w:val="24"/>
          <w:szCs w:val="24"/>
          <w:lang w:val="en-US" w:eastAsia="zh-CN"/>
        </w:rPr>
        <w:t>Hibi</w:t>
      </w:r>
      <w:proofErr w:type="spellEnd"/>
      <w:r w:rsidRPr="003D034F">
        <w:rPr>
          <w:rFonts w:ascii="Book Antiqua" w:hAnsi="Book Antiqua"/>
          <w:kern w:val="2"/>
          <w:sz w:val="24"/>
          <w:szCs w:val="24"/>
          <w:lang w:val="en-US" w:eastAsia="zh-CN"/>
        </w:rPr>
        <w:t xml:space="preserve"> T. Endoscopic and pathologic changes of the upper gastrointestinal tract in Crohn’s disease. </w:t>
      </w:r>
      <w:r w:rsidRPr="003D034F">
        <w:rPr>
          <w:rFonts w:ascii="Book Antiqua" w:hAnsi="Book Antiqua"/>
          <w:i/>
          <w:kern w:val="2"/>
          <w:sz w:val="24"/>
          <w:szCs w:val="24"/>
          <w:lang w:val="en-US" w:eastAsia="zh-CN"/>
        </w:rPr>
        <w:t xml:space="preserve">Biomed Res </w:t>
      </w:r>
      <w:proofErr w:type="spellStart"/>
      <w:r w:rsidRPr="003D034F">
        <w:rPr>
          <w:rFonts w:ascii="Book Antiqua" w:hAnsi="Book Antiqua"/>
          <w:i/>
          <w:kern w:val="2"/>
          <w:sz w:val="24"/>
          <w:szCs w:val="24"/>
          <w:lang w:val="en-US" w:eastAsia="zh-CN"/>
        </w:rPr>
        <w:t>Int</w:t>
      </w:r>
      <w:proofErr w:type="spellEnd"/>
      <w:r w:rsidRPr="003D034F">
        <w:rPr>
          <w:rFonts w:ascii="Book Antiqua" w:hAnsi="Book Antiqua"/>
          <w:kern w:val="2"/>
          <w:sz w:val="24"/>
          <w:szCs w:val="24"/>
          <w:lang w:val="en-US" w:eastAsia="zh-CN"/>
        </w:rPr>
        <w:t xml:space="preserve"> 2014; </w:t>
      </w:r>
      <w:r w:rsidRPr="003D034F">
        <w:rPr>
          <w:rFonts w:ascii="Book Antiqua" w:hAnsi="Book Antiqua"/>
          <w:b/>
          <w:kern w:val="2"/>
          <w:sz w:val="24"/>
          <w:szCs w:val="24"/>
          <w:lang w:val="en-US" w:eastAsia="zh-CN"/>
        </w:rPr>
        <w:t>2014</w:t>
      </w:r>
      <w:r w:rsidRPr="003D034F">
        <w:rPr>
          <w:rFonts w:ascii="Book Antiqua" w:hAnsi="Book Antiqua"/>
          <w:kern w:val="2"/>
          <w:sz w:val="24"/>
          <w:szCs w:val="24"/>
          <w:lang w:val="en-US" w:eastAsia="zh-CN"/>
        </w:rPr>
        <w:t>: 610767 [PMID: 24672792 DOI: 10.1155/2014/610767]</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lastRenderedPageBreak/>
        <w:t xml:space="preserve">16 </w:t>
      </w:r>
      <w:proofErr w:type="spellStart"/>
      <w:r w:rsidRPr="003D034F">
        <w:rPr>
          <w:rFonts w:ascii="Book Antiqua" w:hAnsi="Book Antiqua"/>
          <w:b/>
          <w:kern w:val="2"/>
          <w:sz w:val="24"/>
          <w:szCs w:val="24"/>
          <w:lang w:val="en-US" w:eastAsia="zh-CN"/>
        </w:rPr>
        <w:t>Horjus</w:t>
      </w:r>
      <w:proofErr w:type="spellEnd"/>
      <w:r w:rsidRPr="003D034F">
        <w:rPr>
          <w:rFonts w:ascii="Book Antiqua" w:hAnsi="Book Antiqua"/>
          <w:b/>
          <w:kern w:val="2"/>
          <w:sz w:val="24"/>
          <w:szCs w:val="24"/>
          <w:lang w:val="en-US" w:eastAsia="zh-CN"/>
        </w:rPr>
        <w:t xml:space="preserve"> </w:t>
      </w:r>
      <w:proofErr w:type="spellStart"/>
      <w:r w:rsidRPr="003D034F">
        <w:rPr>
          <w:rFonts w:ascii="Book Antiqua" w:hAnsi="Book Antiqua"/>
          <w:b/>
          <w:kern w:val="2"/>
          <w:sz w:val="24"/>
          <w:szCs w:val="24"/>
          <w:lang w:val="en-US" w:eastAsia="zh-CN"/>
        </w:rPr>
        <w:t>Talabur</w:t>
      </w:r>
      <w:proofErr w:type="spellEnd"/>
      <w:r w:rsidRPr="003D034F">
        <w:rPr>
          <w:rFonts w:ascii="Book Antiqua" w:hAnsi="Book Antiqua"/>
          <w:b/>
          <w:kern w:val="2"/>
          <w:sz w:val="24"/>
          <w:szCs w:val="24"/>
          <w:lang w:val="en-US" w:eastAsia="zh-CN"/>
        </w:rPr>
        <w:t xml:space="preserve"> </w:t>
      </w:r>
      <w:proofErr w:type="spellStart"/>
      <w:r w:rsidRPr="003D034F">
        <w:rPr>
          <w:rFonts w:ascii="Book Antiqua" w:hAnsi="Book Antiqua"/>
          <w:b/>
          <w:kern w:val="2"/>
          <w:sz w:val="24"/>
          <w:szCs w:val="24"/>
          <w:lang w:val="en-US" w:eastAsia="zh-CN"/>
        </w:rPr>
        <w:t>Horje</w:t>
      </w:r>
      <w:proofErr w:type="spellEnd"/>
      <w:r w:rsidRPr="003D034F">
        <w:rPr>
          <w:rFonts w:ascii="Book Antiqua" w:hAnsi="Book Antiqua"/>
          <w:b/>
          <w:kern w:val="2"/>
          <w:sz w:val="24"/>
          <w:szCs w:val="24"/>
          <w:lang w:val="en-US" w:eastAsia="zh-CN"/>
        </w:rPr>
        <w:t xml:space="preserve"> CS</w:t>
      </w:r>
      <w:r w:rsidRPr="003D034F">
        <w:rPr>
          <w:rFonts w:ascii="Book Antiqua" w:hAnsi="Book Antiqua"/>
          <w:kern w:val="2"/>
          <w:sz w:val="24"/>
          <w:szCs w:val="24"/>
          <w:lang w:val="en-US" w:eastAsia="zh-CN"/>
        </w:rPr>
        <w:t xml:space="preserve">, Meijer J, Rovers L, van </w:t>
      </w:r>
      <w:proofErr w:type="spellStart"/>
      <w:r w:rsidRPr="003D034F">
        <w:rPr>
          <w:rFonts w:ascii="Book Antiqua" w:hAnsi="Book Antiqua"/>
          <w:kern w:val="2"/>
          <w:sz w:val="24"/>
          <w:szCs w:val="24"/>
          <w:lang w:val="en-US" w:eastAsia="zh-CN"/>
        </w:rPr>
        <w:t>Lochem</w:t>
      </w:r>
      <w:proofErr w:type="spellEnd"/>
      <w:r w:rsidRPr="003D034F">
        <w:rPr>
          <w:rFonts w:ascii="Book Antiqua" w:hAnsi="Book Antiqua"/>
          <w:kern w:val="2"/>
          <w:sz w:val="24"/>
          <w:szCs w:val="24"/>
          <w:lang w:val="en-US" w:eastAsia="zh-CN"/>
        </w:rPr>
        <w:t xml:space="preserve"> EG, </w:t>
      </w:r>
      <w:proofErr w:type="spellStart"/>
      <w:r w:rsidRPr="003D034F">
        <w:rPr>
          <w:rFonts w:ascii="Book Antiqua" w:hAnsi="Book Antiqua"/>
          <w:kern w:val="2"/>
          <w:sz w:val="24"/>
          <w:szCs w:val="24"/>
          <w:lang w:val="en-US" w:eastAsia="zh-CN"/>
        </w:rPr>
        <w:t>Groenen</w:t>
      </w:r>
      <w:proofErr w:type="spellEnd"/>
      <w:r w:rsidRPr="003D034F">
        <w:rPr>
          <w:rFonts w:ascii="Book Antiqua" w:hAnsi="Book Antiqua"/>
          <w:kern w:val="2"/>
          <w:sz w:val="24"/>
          <w:szCs w:val="24"/>
          <w:lang w:val="en-US" w:eastAsia="zh-CN"/>
        </w:rPr>
        <w:t xml:space="preserve"> MJ, Wahab PJ. Prevalence of Upper Gastrointestinal Lesions at Primary Diagnosis in Adults with Inflammatory Bowel Disease. </w:t>
      </w:r>
      <w:proofErr w:type="spellStart"/>
      <w:r w:rsidRPr="003D034F">
        <w:rPr>
          <w:rFonts w:ascii="Book Antiqua" w:hAnsi="Book Antiqua"/>
          <w:i/>
          <w:kern w:val="2"/>
          <w:sz w:val="24"/>
          <w:szCs w:val="24"/>
          <w:lang w:val="en-US" w:eastAsia="zh-CN"/>
        </w:rPr>
        <w:t>Inflamm</w:t>
      </w:r>
      <w:proofErr w:type="spellEnd"/>
      <w:r w:rsidRPr="003D034F">
        <w:rPr>
          <w:rFonts w:ascii="Book Antiqua" w:hAnsi="Book Antiqua"/>
          <w:i/>
          <w:kern w:val="2"/>
          <w:sz w:val="24"/>
          <w:szCs w:val="24"/>
          <w:lang w:val="en-US" w:eastAsia="zh-CN"/>
        </w:rPr>
        <w:t xml:space="preserve"> Bowel Dis</w:t>
      </w:r>
      <w:r w:rsidRPr="003D034F">
        <w:rPr>
          <w:rFonts w:ascii="Book Antiqua" w:hAnsi="Book Antiqua"/>
          <w:kern w:val="2"/>
          <w:sz w:val="24"/>
          <w:szCs w:val="24"/>
          <w:lang w:val="en-US" w:eastAsia="zh-CN"/>
        </w:rPr>
        <w:t xml:space="preserve"> 2016; </w:t>
      </w:r>
      <w:r w:rsidRPr="003D034F">
        <w:rPr>
          <w:rFonts w:ascii="Book Antiqua" w:hAnsi="Book Antiqua"/>
          <w:b/>
          <w:kern w:val="2"/>
          <w:sz w:val="24"/>
          <w:szCs w:val="24"/>
          <w:lang w:val="en-US" w:eastAsia="zh-CN"/>
        </w:rPr>
        <w:t>22</w:t>
      </w:r>
      <w:r w:rsidRPr="003D034F">
        <w:rPr>
          <w:rFonts w:ascii="Book Antiqua" w:hAnsi="Book Antiqua"/>
          <w:kern w:val="2"/>
          <w:sz w:val="24"/>
          <w:szCs w:val="24"/>
          <w:lang w:val="en-US" w:eastAsia="zh-CN"/>
        </w:rPr>
        <w:t>: 1896-1901 [PMID: 27057685 DOI: 10.1097/MIB.0000000000000786]</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17 </w:t>
      </w:r>
      <w:r w:rsidRPr="003D034F">
        <w:rPr>
          <w:rFonts w:ascii="Book Antiqua" w:hAnsi="Book Antiqua"/>
          <w:b/>
          <w:kern w:val="2"/>
          <w:sz w:val="24"/>
          <w:szCs w:val="24"/>
          <w:lang w:val="en-US" w:eastAsia="zh-CN"/>
        </w:rPr>
        <w:t>Abdullah BA</w:t>
      </w:r>
      <w:r w:rsidRPr="003D034F">
        <w:rPr>
          <w:rFonts w:ascii="Book Antiqua" w:hAnsi="Book Antiqua"/>
          <w:kern w:val="2"/>
          <w:sz w:val="24"/>
          <w:szCs w:val="24"/>
          <w:lang w:val="en-US" w:eastAsia="zh-CN"/>
        </w:rPr>
        <w:t xml:space="preserve">, Gupta SK, </w:t>
      </w:r>
      <w:proofErr w:type="spellStart"/>
      <w:r w:rsidRPr="003D034F">
        <w:rPr>
          <w:rFonts w:ascii="Book Antiqua" w:hAnsi="Book Antiqua"/>
          <w:kern w:val="2"/>
          <w:sz w:val="24"/>
          <w:szCs w:val="24"/>
          <w:lang w:val="en-US" w:eastAsia="zh-CN"/>
        </w:rPr>
        <w:t>Croffie</w:t>
      </w:r>
      <w:proofErr w:type="spellEnd"/>
      <w:r w:rsidRPr="003D034F">
        <w:rPr>
          <w:rFonts w:ascii="Book Antiqua" w:hAnsi="Book Antiqua"/>
          <w:kern w:val="2"/>
          <w:sz w:val="24"/>
          <w:szCs w:val="24"/>
          <w:lang w:val="en-US" w:eastAsia="zh-CN"/>
        </w:rPr>
        <w:t xml:space="preserve"> JM, </w:t>
      </w:r>
      <w:proofErr w:type="spellStart"/>
      <w:r w:rsidRPr="003D034F">
        <w:rPr>
          <w:rFonts w:ascii="Book Antiqua" w:hAnsi="Book Antiqua"/>
          <w:kern w:val="2"/>
          <w:sz w:val="24"/>
          <w:szCs w:val="24"/>
          <w:lang w:val="en-US" w:eastAsia="zh-CN"/>
        </w:rPr>
        <w:t>Pfefferkorn</w:t>
      </w:r>
      <w:proofErr w:type="spellEnd"/>
      <w:r w:rsidRPr="003D034F">
        <w:rPr>
          <w:rFonts w:ascii="Book Antiqua" w:hAnsi="Book Antiqua"/>
          <w:kern w:val="2"/>
          <w:sz w:val="24"/>
          <w:szCs w:val="24"/>
          <w:lang w:val="en-US" w:eastAsia="zh-CN"/>
        </w:rPr>
        <w:t xml:space="preserve"> MD, </w:t>
      </w:r>
      <w:proofErr w:type="spellStart"/>
      <w:r w:rsidRPr="003D034F">
        <w:rPr>
          <w:rFonts w:ascii="Book Antiqua" w:hAnsi="Book Antiqua"/>
          <w:kern w:val="2"/>
          <w:sz w:val="24"/>
          <w:szCs w:val="24"/>
          <w:lang w:val="en-US" w:eastAsia="zh-CN"/>
        </w:rPr>
        <w:t>Molleston</w:t>
      </w:r>
      <w:proofErr w:type="spellEnd"/>
      <w:r w:rsidRPr="003D034F">
        <w:rPr>
          <w:rFonts w:ascii="Book Antiqua" w:hAnsi="Book Antiqua"/>
          <w:kern w:val="2"/>
          <w:sz w:val="24"/>
          <w:szCs w:val="24"/>
          <w:lang w:val="en-US" w:eastAsia="zh-CN"/>
        </w:rPr>
        <w:t xml:space="preserve"> JP, </w:t>
      </w:r>
      <w:proofErr w:type="spellStart"/>
      <w:r w:rsidRPr="003D034F">
        <w:rPr>
          <w:rFonts w:ascii="Book Antiqua" w:hAnsi="Book Antiqua"/>
          <w:kern w:val="2"/>
          <w:sz w:val="24"/>
          <w:szCs w:val="24"/>
          <w:lang w:val="en-US" w:eastAsia="zh-CN"/>
        </w:rPr>
        <w:t>Corkins</w:t>
      </w:r>
      <w:proofErr w:type="spellEnd"/>
      <w:r w:rsidRPr="003D034F">
        <w:rPr>
          <w:rFonts w:ascii="Book Antiqua" w:hAnsi="Book Antiqua"/>
          <w:kern w:val="2"/>
          <w:sz w:val="24"/>
          <w:szCs w:val="24"/>
          <w:lang w:val="en-US" w:eastAsia="zh-CN"/>
        </w:rPr>
        <w:t xml:space="preserve"> MR, Fitzgerald JF. The role of esophagogastroduodenoscopy in the initial evaluation of childhood inflammatory bowel disease: A 7-year study. </w:t>
      </w:r>
      <w:r w:rsidRPr="003D034F">
        <w:rPr>
          <w:rFonts w:ascii="Book Antiqua" w:hAnsi="Book Antiqua"/>
          <w:i/>
          <w:kern w:val="2"/>
          <w:sz w:val="24"/>
          <w:szCs w:val="24"/>
          <w:lang w:val="en-US" w:eastAsia="zh-CN"/>
        </w:rPr>
        <w:t xml:space="preserve">J </w:t>
      </w:r>
      <w:proofErr w:type="spellStart"/>
      <w:r w:rsidRPr="003D034F">
        <w:rPr>
          <w:rFonts w:ascii="Book Antiqua" w:hAnsi="Book Antiqua"/>
          <w:i/>
          <w:kern w:val="2"/>
          <w:sz w:val="24"/>
          <w:szCs w:val="24"/>
          <w:lang w:val="en-US" w:eastAsia="zh-CN"/>
        </w:rPr>
        <w:t>Pediatr</w:t>
      </w:r>
      <w:proofErr w:type="spellEnd"/>
      <w:r w:rsidRPr="003D034F">
        <w:rPr>
          <w:rFonts w:ascii="Book Antiqua" w:hAnsi="Book Antiqua"/>
          <w:i/>
          <w:kern w:val="2"/>
          <w:sz w:val="24"/>
          <w:szCs w:val="24"/>
          <w:lang w:val="en-US" w:eastAsia="zh-CN"/>
        </w:rPr>
        <w:t xml:space="preserve"> Gastroenterol </w:t>
      </w:r>
      <w:proofErr w:type="spellStart"/>
      <w:r w:rsidRPr="003D034F">
        <w:rPr>
          <w:rFonts w:ascii="Book Antiqua" w:hAnsi="Book Antiqua"/>
          <w:i/>
          <w:kern w:val="2"/>
          <w:sz w:val="24"/>
          <w:szCs w:val="24"/>
          <w:lang w:val="en-US" w:eastAsia="zh-CN"/>
        </w:rPr>
        <w:t>Nutr</w:t>
      </w:r>
      <w:proofErr w:type="spellEnd"/>
      <w:r w:rsidRPr="003D034F">
        <w:rPr>
          <w:rFonts w:ascii="Book Antiqua" w:hAnsi="Book Antiqua"/>
          <w:kern w:val="2"/>
          <w:sz w:val="24"/>
          <w:szCs w:val="24"/>
          <w:lang w:val="en-US" w:eastAsia="zh-CN"/>
        </w:rPr>
        <w:t xml:space="preserve"> 2002; </w:t>
      </w:r>
      <w:r w:rsidRPr="003D034F">
        <w:rPr>
          <w:rFonts w:ascii="Book Antiqua" w:hAnsi="Book Antiqua"/>
          <w:b/>
          <w:kern w:val="2"/>
          <w:sz w:val="24"/>
          <w:szCs w:val="24"/>
          <w:lang w:val="en-US" w:eastAsia="zh-CN"/>
        </w:rPr>
        <w:t>35</w:t>
      </w:r>
      <w:r w:rsidRPr="003D034F">
        <w:rPr>
          <w:rFonts w:ascii="Book Antiqua" w:hAnsi="Book Antiqua"/>
          <w:kern w:val="2"/>
          <w:sz w:val="24"/>
          <w:szCs w:val="24"/>
          <w:lang w:val="en-US" w:eastAsia="zh-CN"/>
        </w:rPr>
        <w:t>: 636-640 [PMID: 12454578 DOI: 10.1097/00005176-200211000-00009]</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18 </w:t>
      </w:r>
      <w:proofErr w:type="spellStart"/>
      <w:r w:rsidRPr="003D034F">
        <w:rPr>
          <w:rFonts w:ascii="Book Antiqua" w:hAnsi="Book Antiqua"/>
          <w:b/>
          <w:kern w:val="2"/>
          <w:sz w:val="24"/>
          <w:szCs w:val="24"/>
          <w:lang w:val="en-US" w:eastAsia="zh-CN"/>
        </w:rPr>
        <w:t>Crocco</w:t>
      </w:r>
      <w:proofErr w:type="spellEnd"/>
      <w:r w:rsidRPr="003D034F">
        <w:rPr>
          <w:rFonts w:ascii="Book Antiqua" w:hAnsi="Book Antiqua"/>
          <w:b/>
          <w:kern w:val="2"/>
          <w:sz w:val="24"/>
          <w:szCs w:val="24"/>
          <w:lang w:val="en-US" w:eastAsia="zh-CN"/>
        </w:rPr>
        <w:t xml:space="preserve"> S</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Martelossi</w:t>
      </w:r>
      <w:proofErr w:type="spellEnd"/>
      <w:r w:rsidRPr="003D034F">
        <w:rPr>
          <w:rFonts w:ascii="Book Antiqua" w:hAnsi="Book Antiqua"/>
          <w:kern w:val="2"/>
          <w:sz w:val="24"/>
          <w:szCs w:val="24"/>
          <w:lang w:val="en-US" w:eastAsia="zh-CN"/>
        </w:rPr>
        <w:t xml:space="preserve"> S, </w:t>
      </w:r>
      <w:proofErr w:type="spellStart"/>
      <w:r w:rsidRPr="003D034F">
        <w:rPr>
          <w:rFonts w:ascii="Book Antiqua" w:hAnsi="Book Antiqua"/>
          <w:kern w:val="2"/>
          <w:sz w:val="24"/>
          <w:szCs w:val="24"/>
          <w:lang w:val="en-US" w:eastAsia="zh-CN"/>
        </w:rPr>
        <w:t>Giurici</w:t>
      </w:r>
      <w:proofErr w:type="spellEnd"/>
      <w:r w:rsidRPr="003D034F">
        <w:rPr>
          <w:rFonts w:ascii="Book Antiqua" w:hAnsi="Book Antiqua"/>
          <w:kern w:val="2"/>
          <w:sz w:val="24"/>
          <w:szCs w:val="24"/>
          <w:lang w:val="en-US" w:eastAsia="zh-CN"/>
        </w:rPr>
        <w:t xml:space="preserve"> N, </w:t>
      </w:r>
      <w:proofErr w:type="spellStart"/>
      <w:r w:rsidRPr="003D034F">
        <w:rPr>
          <w:rFonts w:ascii="Book Antiqua" w:hAnsi="Book Antiqua"/>
          <w:kern w:val="2"/>
          <w:sz w:val="24"/>
          <w:szCs w:val="24"/>
          <w:lang w:val="en-US" w:eastAsia="zh-CN"/>
        </w:rPr>
        <w:t>Villanacci</w:t>
      </w:r>
      <w:proofErr w:type="spellEnd"/>
      <w:r w:rsidRPr="003D034F">
        <w:rPr>
          <w:rFonts w:ascii="Book Antiqua" w:hAnsi="Book Antiqua"/>
          <w:kern w:val="2"/>
          <w:sz w:val="24"/>
          <w:szCs w:val="24"/>
          <w:lang w:val="en-US" w:eastAsia="zh-CN"/>
        </w:rPr>
        <w:t xml:space="preserve"> V, Ventura A. Upper gastrointestinal involvement in </w:t>
      </w:r>
      <w:proofErr w:type="spellStart"/>
      <w:r w:rsidRPr="003D034F">
        <w:rPr>
          <w:rFonts w:ascii="Book Antiqua" w:hAnsi="Book Antiqua"/>
          <w:kern w:val="2"/>
          <w:sz w:val="24"/>
          <w:szCs w:val="24"/>
          <w:lang w:val="en-US" w:eastAsia="zh-CN"/>
        </w:rPr>
        <w:t>paediatric</w:t>
      </w:r>
      <w:proofErr w:type="spellEnd"/>
      <w:r w:rsidRPr="003D034F">
        <w:rPr>
          <w:rFonts w:ascii="Book Antiqua" w:hAnsi="Book Antiqua"/>
          <w:kern w:val="2"/>
          <w:sz w:val="24"/>
          <w:szCs w:val="24"/>
          <w:lang w:val="en-US" w:eastAsia="zh-CN"/>
        </w:rPr>
        <w:t xml:space="preserve"> onset Crohn’s disease: Prevalence and clinical implications. </w:t>
      </w:r>
      <w:r w:rsidRPr="003D034F">
        <w:rPr>
          <w:rFonts w:ascii="Book Antiqua" w:hAnsi="Book Antiqua"/>
          <w:i/>
          <w:kern w:val="2"/>
          <w:sz w:val="24"/>
          <w:szCs w:val="24"/>
          <w:lang w:val="en-US" w:eastAsia="zh-CN"/>
        </w:rPr>
        <w:t xml:space="preserve">J </w:t>
      </w:r>
      <w:proofErr w:type="spellStart"/>
      <w:r w:rsidRPr="003D034F">
        <w:rPr>
          <w:rFonts w:ascii="Book Antiqua" w:hAnsi="Book Antiqua"/>
          <w:i/>
          <w:kern w:val="2"/>
          <w:sz w:val="24"/>
          <w:szCs w:val="24"/>
          <w:lang w:val="en-US" w:eastAsia="zh-CN"/>
        </w:rPr>
        <w:t>Crohns</w:t>
      </w:r>
      <w:proofErr w:type="spellEnd"/>
      <w:r w:rsidRPr="003D034F">
        <w:rPr>
          <w:rFonts w:ascii="Book Antiqua" w:hAnsi="Book Antiqua"/>
          <w:i/>
          <w:kern w:val="2"/>
          <w:sz w:val="24"/>
          <w:szCs w:val="24"/>
          <w:lang w:val="en-US" w:eastAsia="zh-CN"/>
        </w:rPr>
        <w:t xml:space="preserve"> Colitis</w:t>
      </w:r>
      <w:r w:rsidRPr="003D034F">
        <w:rPr>
          <w:rFonts w:ascii="Book Antiqua" w:hAnsi="Book Antiqua"/>
          <w:kern w:val="2"/>
          <w:sz w:val="24"/>
          <w:szCs w:val="24"/>
          <w:lang w:val="en-US" w:eastAsia="zh-CN"/>
        </w:rPr>
        <w:t xml:space="preserve"> 2012; </w:t>
      </w:r>
      <w:r w:rsidRPr="003D034F">
        <w:rPr>
          <w:rFonts w:ascii="Book Antiqua" w:hAnsi="Book Antiqua"/>
          <w:b/>
          <w:kern w:val="2"/>
          <w:sz w:val="24"/>
          <w:szCs w:val="24"/>
          <w:lang w:val="en-US" w:eastAsia="zh-CN"/>
        </w:rPr>
        <w:t>6</w:t>
      </w:r>
      <w:r w:rsidRPr="003D034F">
        <w:rPr>
          <w:rFonts w:ascii="Book Antiqua" w:hAnsi="Book Antiqua"/>
          <w:kern w:val="2"/>
          <w:sz w:val="24"/>
          <w:szCs w:val="24"/>
          <w:lang w:val="en-US" w:eastAsia="zh-CN"/>
        </w:rPr>
        <w:t>: 51-55 [PMID: 22261527 DOI: 10.1016/j.crohns.2011.06.013]</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19 </w:t>
      </w:r>
      <w:r w:rsidRPr="003D034F">
        <w:rPr>
          <w:rFonts w:ascii="Book Antiqua" w:hAnsi="Book Antiqua"/>
          <w:b/>
          <w:kern w:val="2"/>
          <w:sz w:val="24"/>
          <w:szCs w:val="24"/>
          <w:lang w:val="en-US" w:eastAsia="zh-CN"/>
        </w:rPr>
        <w:t>Cameron DJ</w:t>
      </w:r>
      <w:r w:rsidRPr="003D034F">
        <w:rPr>
          <w:rFonts w:ascii="Book Antiqua" w:hAnsi="Book Antiqua"/>
          <w:kern w:val="2"/>
          <w:sz w:val="24"/>
          <w:szCs w:val="24"/>
          <w:lang w:val="en-US" w:eastAsia="zh-CN"/>
        </w:rPr>
        <w:t xml:space="preserve">. Upper and lower gastrointestinal endoscopy in children and adolescents with Crohn’s disease: A prospective study. </w:t>
      </w:r>
      <w:r w:rsidRPr="003D034F">
        <w:rPr>
          <w:rFonts w:ascii="Book Antiqua" w:hAnsi="Book Antiqua"/>
          <w:i/>
          <w:kern w:val="2"/>
          <w:sz w:val="24"/>
          <w:szCs w:val="24"/>
          <w:lang w:val="en-US" w:eastAsia="zh-CN"/>
        </w:rPr>
        <w:t xml:space="preserve">J Gastroenterol </w:t>
      </w:r>
      <w:proofErr w:type="spellStart"/>
      <w:r w:rsidRPr="003D034F">
        <w:rPr>
          <w:rFonts w:ascii="Book Antiqua" w:hAnsi="Book Antiqua"/>
          <w:i/>
          <w:kern w:val="2"/>
          <w:sz w:val="24"/>
          <w:szCs w:val="24"/>
          <w:lang w:val="en-US" w:eastAsia="zh-CN"/>
        </w:rPr>
        <w:t>Hepatol</w:t>
      </w:r>
      <w:proofErr w:type="spellEnd"/>
      <w:r w:rsidRPr="003D034F">
        <w:rPr>
          <w:rFonts w:ascii="Book Antiqua" w:hAnsi="Book Antiqua"/>
          <w:kern w:val="2"/>
          <w:sz w:val="24"/>
          <w:szCs w:val="24"/>
          <w:lang w:val="en-US" w:eastAsia="zh-CN"/>
        </w:rPr>
        <w:t xml:space="preserve"> 1991; </w:t>
      </w:r>
      <w:r w:rsidRPr="003D034F">
        <w:rPr>
          <w:rFonts w:ascii="Book Antiqua" w:hAnsi="Book Antiqua"/>
          <w:b/>
          <w:kern w:val="2"/>
          <w:sz w:val="24"/>
          <w:szCs w:val="24"/>
          <w:lang w:val="en-US" w:eastAsia="zh-CN"/>
        </w:rPr>
        <w:t>6</w:t>
      </w:r>
      <w:r w:rsidRPr="003D034F">
        <w:rPr>
          <w:rFonts w:ascii="Book Antiqua" w:hAnsi="Book Antiqua"/>
          <w:kern w:val="2"/>
          <w:sz w:val="24"/>
          <w:szCs w:val="24"/>
          <w:lang w:val="en-US" w:eastAsia="zh-CN"/>
        </w:rPr>
        <w:t>: 355-358 [PMID: 1912443 DOI: 10.1111/j.1440-1746.1991.tb00870.x]</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20 </w:t>
      </w:r>
      <w:r w:rsidRPr="003D034F">
        <w:rPr>
          <w:rFonts w:ascii="Book Antiqua" w:hAnsi="Book Antiqua"/>
          <w:b/>
          <w:kern w:val="2"/>
          <w:sz w:val="24"/>
          <w:szCs w:val="24"/>
          <w:lang w:val="en-US" w:eastAsia="zh-CN"/>
        </w:rPr>
        <w:t>Park JH</w:t>
      </w:r>
      <w:r w:rsidRPr="003D034F">
        <w:rPr>
          <w:rFonts w:ascii="Book Antiqua" w:hAnsi="Book Antiqua"/>
          <w:kern w:val="2"/>
          <w:sz w:val="24"/>
          <w:szCs w:val="24"/>
          <w:lang w:val="en-US" w:eastAsia="zh-CN"/>
        </w:rPr>
        <w:t xml:space="preserve">, Nam HN, Lee JH, Hong J, Yi DY, </w:t>
      </w:r>
      <w:proofErr w:type="spellStart"/>
      <w:r w:rsidRPr="003D034F">
        <w:rPr>
          <w:rFonts w:ascii="Book Antiqua" w:hAnsi="Book Antiqua"/>
          <w:kern w:val="2"/>
          <w:sz w:val="24"/>
          <w:szCs w:val="24"/>
          <w:lang w:val="en-US" w:eastAsia="zh-CN"/>
        </w:rPr>
        <w:t>Ryoo</w:t>
      </w:r>
      <w:proofErr w:type="spellEnd"/>
      <w:r w:rsidRPr="003D034F">
        <w:rPr>
          <w:rFonts w:ascii="Book Antiqua" w:hAnsi="Book Antiqua"/>
          <w:kern w:val="2"/>
          <w:sz w:val="24"/>
          <w:szCs w:val="24"/>
          <w:lang w:val="en-US" w:eastAsia="zh-CN"/>
        </w:rPr>
        <w:t xml:space="preserve"> E, Jeon IS, </w:t>
      </w:r>
      <w:proofErr w:type="spellStart"/>
      <w:r w:rsidRPr="003D034F">
        <w:rPr>
          <w:rFonts w:ascii="Book Antiqua" w:hAnsi="Book Antiqua"/>
          <w:kern w:val="2"/>
          <w:sz w:val="24"/>
          <w:szCs w:val="24"/>
          <w:lang w:val="en-US" w:eastAsia="zh-CN"/>
        </w:rPr>
        <w:t>Tchah</w:t>
      </w:r>
      <w:proofErr w:type="spellEnd"/>
      <w:r w:rsidRPr="003D034F">
        <w:rPr>
          <w:rFonts w:ascii="Book Antiqua" w:hAnsi="Book Antiqua"/>
          <w:kern w:val="2"/>
          <w:sz w:val="24"/>
          <w:szCs w:val="24"/>
          <w:lang w:val="en-US" w:eastAsia="zh-CN"/>
        </w:rPr>
        <w:t xml:space="preserve"> H. Characteristics of Upper Gastrointestinal Tract Involvement in Korean Pediatric Crohn’s Disease: A Multicenter Study. </w:t>
      </w:r>
      <w:proofErr w:type="spellStart"/>
      <w:r w:rsidRPr="003D034F">
        <w:rPr>
          <w:rFonts w:ascii="Book Antiqua" w:hAnsi="Book Antiqua"/>
          <w:i/>
          <w:kern w:val="2"/>
          <w:sz w:val="24"/>
          <w:szCs w:val="24"/>
          <w:lang w:val="en-US" w:eastAsia="zh-CN"/>
        </w:rPr>
        <w:t>Pediatr</w:t>
      </w:r>
      <w:proofErr w:type="spellEnd"/>
      <w:r w:rsidRPr="003D034F">
        <w:rPr>
          <w:rFonts w:ascii="Book Antiqua" w:hAnsi="Book Antiqua"/>
          <w:i/>
          <w:kern w:val="2"/>
          <w:sz w:val="24"/>
          <w:szCs w:val="24"/>
          <w:lang w:val="en-US" w:eastAsia="zh-CN"/>
        </w:rPr>
        <w:t xml:space="preserve"> Gastroenterol </w:t>
      </w:r>
      <w:proofErr w:type="spellStart"/>
      <w:r w:rsidRPr="003D034F">
        <w:rPr>
          <w:rFonts w:ascii="Book Antiqua" w:hAnsi="Book Antiqua"/>
          <w:i/>
          <w:kern w:val="2"/>
          <w:sz w:val="24"/>
          <w:szCs w:val="24"/>
          <w:lang w:val="en-US" w:eastAsia="zh-CN"/>
        </w:rPr>
        <w:t>Hepatol</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Nutr</w:t>
      </w:r>
      <w:proofErr w:type="spellEnd"/>
      <w:r w:rsidRPr="003D034F">
        <w:rPr>
          <w:rFonts w:ascii="Book Antiqua" w:hAnsi="Book Antiqua"/>
          <w:kern w:val="2"/>
          <w:sz w:val="24"/>
          <w:szCs w:val="24"/>
          <w:lang w:val="en-US" w:eastAsia="zh-CN"/>
        </w:rPr>
        <w:t xml:space="preserve"> 2017; </w:t>
      </w:r>
      <w:r w:rsidRPr="003D034F">
        <w:rPr>
          <w:rFonts w:ascii="Book Antiqua" w:hAnsi="Book Antiqua"/>
          <w:b/>
          <w:kern w:val="2"/>
          <w:sz w:val="24"/>
          <w:szCs w:val="24"/>
          <w:lang w:val="en-US" w:eastAsia="zh-CN"/>
        </w:rPr>
        <w:t>20</w:t>
      </w:r>
      <w:r w:rsidRPr="003D034F">
        <w:rPr>
          <w:rFonts w:ascii="Book Antiqua" w:hAnsi="Book Antiqua"/>
          <w:kern w:val="2"/>
          <w:sz w:val="24"/>
          <w:szCs w:val="24"/>
          <w:lang w:val="en-US" w:eastAsia="zh-CN"/>
        </w:rPr>
        <w:t>: 227-235 [PMID: 29302504 DOI: 10.5223/pghn.2017.20.4.227]</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21 </w:t>
      </w:r>
      <w:r w:rsidRPr="003D034F">
        <w:rPr>
          <w:rFonts w:ascii="Book Antiqua" w:hAnsi="Book Antiqua"/>
          <w:b/>
          <w:kern w:val="2"/>
          <w:sz w:val="24"/>
          <w:szCs w:val="24"/>
          <w:lang w:val="en-US" w:eastAsia="zh-CN"/>
        </w:rPr>
        <w:t xml:space="preserve">IBD Working Group of the European Society for </w:t>
      </w:r>
      <w:proofErr w:type="spellStart"/>
      <w:r w:rsidRPr="003D034F">
        <w:rPr>
          <w:rFonts w:ascii="Book Antiqua" w:hAnsi="Book Antiqua"/>
          <w:b/>
          <w:kern w:val="2"/>
          <w:sz w:val="24"/>
          <w:szCs w:val="24"/>
          <w:lang w:val="en-US" w:eastAsia="zh-CN"/>
        </w:rPr>
        <w:t>Paediatric</w:t>
      </w:r>
      <w:proofErr w:type="spellEnd"/>
      <w:r w:rsidRPr="003D034F">
        <w:rPr>
          <w:rFonts w:ascii="Book Antiqua" w:hAnsi="Book Antiqua"/>
          <w:b/>
          <w:kern w:val="2"/>
          <w:sz w:val="24"/>
          <w:szCs w:val="24"/>
          <w:lang w:val="en-US" w:eastAsia="zh-CN"/>
        </w:rPr>
        <w:t xml:space="preserve"> Gastroenterology, Hepatology and Nutrition.</w:t>
      </w:r>
      <w:r w:rsidRPr="003D034F">
        <w:rPr>
          <w:rFonts w:ascii="Book Antiqua" w:hAnsi="Book Antiqua"/>
          <w:kern w:val="2"/>
          <w:sz w:val="24"/>
          <w:szCs w:val="24"/>
          <w:lang w:val="en-US" w:eastAsia="zh-CN"/>
        </w:rPr>
        <w:t xml:space="preserve">. Inflammatory bowel disease in children and adolescents: recommendations for diagnosis--the Porto criteria. </w:t>
      </w:r>
      <w:r w:rsidRPr="003D034F">
        <w:rPr>
          <w:rFonts w:ascii="Book Antiqua" w:hAnsi="Book Antiqua"/>
          <w:i/>
          <w:kern w:val="2"/>
          <w:sz w:val="24"/>
          <w:szCs w:val="24"/>
          <w:lang w:val="en-US" w:eastAsia="zh-CN"/>
        </w:rPr>
        <w:t xml:space="preserve">J </w:t>
      </w:r>
      <w:proofErr w:type="spellStart"/>
      <w:r w:rsidRPr="003D034F">
        <w:rPr>
          <w:rFonts w:ascii="Book Antiqua" w:hAnsi="Book Antiqua"/>
          <w:i/>
          <w:kern w:val="2"/>
          <w:sz w:val="24"/>
          <w:szCs w:val="24"/>
          <w:lang w:val="en-US" w:eastAsia="zh-CN"/>
        </w:rPr>
        <w:t>Pediatr</w:t>
      </w:r>
      <w:proofErr w:type="spellEnd"/>
      <w:r w:rsidRPr="003D034F">
        <w:rPr>
          <w:rFonts w:ascii="Book Antiqua" w:hAnsi="Book Antiqua"/>
          <w:i/>
          <w:kern w:val="2"/>
          <w:sz w:val="24"/>
          <w:szCs w:val="24"/>
          <w:lang w:val="en-US" w:eastAsia="zh-CN"/>
        </w:rPr>
        <w:t xml:space="preserve"> Gastroenterol </w:t>
      </w:r>
      <w:proofErr w:type="spellStart"/>
      <w:r w:rsidRPr="003D034F">
        <w:rPr>
          <w:rFonts w:ascii="Book Antiqua" w:hAnsi="Book Antiqua"/>
          <w:i/>
          <w:kern w:val="2"/>
          <w:sz w:val="24"/>
          <w:szCs w:val="24"/>
          <w:lang w:val="en-US" w:eastAsia="zh-CN"/>
        </w:rPr>
        <w:t>Nutr</w:t>
      </w:r>
      <w:proofErr w:type="spellEnd"/>
      <w:r w:rsidRPr="003D034F">
        <w:rPr>
          <w:rFonts w:ascii="Book Antiqua" w:hAnsi="Book Antiqua"/>
          <w:kern w:val="2"/>
          <w:sz w:val="24"/>
          <w:szCs w:val="24"/>
          <w:lang w:val="en-US" w:eastAsia="zh-CN"/>
        </w:rPr>
        <w:t xml:space="preserve"> 2005; </w:t>
      </w:r>
      <w:r w:rsidRPr="003D034F">
        <w:rPr>
          <w:rFonts w:ascii="Book Antiqua" w:hAnsi="Book Antiqua"/>
          <w:b/>
          <w:kern w:val="2"/>
          <w:sz w:val="24"/>
          <w:szCs w:val="24"/>
          <w:lang w:val="en-US" w:eastAsia="zh-CN"/>
        </w:rPr>
        <w:t>41</w:t>
      </w:r>
      <w:r w:rsidRPr="003D034F">
        <w:rPr>
          <w:rFonts w:ascii="Book Antiqua" w:hAnsi="Book Antiqua"/>
          <w:kern w:val="2"/>
          <w:sz w:val="24"/>
          <w:szCs w:val="24"/>
          <w:lang w:val="en-US" w:eastAsia="zh-CN"/>
        </w:rPr>
        <w:t>: 1-7 [PMID: 15990620 DOI: 10.1097/01.MPG.0000163736.30261.82]</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22 </w:t>
      </w:r>
      <w:r w:rsidRPr="003D034F">
        <w:rPr>
          <w:rFonts w:ascii="Book Antiqua" w:hAnsi="Book Antiqua"/>
          <w:b/>
          <w:kern w:val="2"/>
          <w:sz w:val="24"/>
          <w:szCs w:val="24"/>
          <w:lang w:val="en-US" w:eastAsia="zh-CN"/>
        </w:rPr>
        <w:t>Freeman HJ</w:t>
      </w:r>
      <w:r w:rsidRPr="003D034F">
        <w:rPr>
          <w:rFonts w:ascii="Book Antiqua" w:hAnsi="Book Antiqua"/>
          <w:kern w:val="2"/>
          <w:sz w:val="24"/>
          <w:szCs w:val="24"/>
          <w:lang w:val="en-US" w:eastAsia="zh-CN"/>
        </w:rPr>
        <w:t xml:space="preserve">. Granuloma-positive Crohn’s disease. </w:t>
      </w:r>
      <w:r w:rsidRPr="003D034F">
        <w:rPr>
          <w:rFonts w:ascii="Book Antiqua" w:hAnsi="Book Antiqua"/>
          <w:i/>
          <w:kern w:val="2"/>
          <w:sz w:val="24"/>
          <w:szCs w:val="24"/>
          <w:lang w:val="en-US" w:eastAsia="zh-CN"/>
        </w:rPr>
        <w:t>Can J Gastroenterol</w:t>
      </w:r>
      <w:r w:rsidRPr="003D034F">
        <w:rPr>
          <w:rFonts w:ascii="Book Antiqua" w:hAnsi="Book Antiqua"/>
          <w:kern w:val="2"/>
          <w:sz w:val="24"/>
          <w:szCs w:val="24"/>
          <w:lang w:val="en-US" w:eastAsia="zh-CN"/>
        </w:rPr>
        <w:t xml:space="preserve"> 2007; </w:t>
      </w:r>
      <w:r w:rsidRPr="003D034F">
        <w:rPr>
          <w:rFonts w:ascii="Book Antiqua" w:hAnsi="Book Antiqua"/>
          <w:b/>
          <w:kern w:val="2"/>
          <w:sz w:val="24"/>
          <w:szCs w:val="24"/>
          <w:lang w:val="en-US" w:eastAsia="zh-CN"/>
        </w:rPr>
        <w:t>21</w:t>
      </w:r>
      <w:r w:rsidRPr="003D034F">
        <w:rPr>
          <w:rFonts w:ascii="Book Antiqua" w:hAnsi="Book Antiqua"/>
          <w:kern w:val="2"/>
          <w:sz w:val="24"/>
          <w:szCs w:val="24"/>
          <w:lang w:val="en-US" w:eastAsia="zh-CN"/>
        </w:rPr>
        <w:t>: 583-587 [PMID: 17853953 DOI: 10.1155/2007/917649]</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23 </w:t>
      </w:r>
      <w:r w:rsidRPr="003D034F">
        <w:rPr>
          <w:rFonts w:ascii="Book Antiqua" w:hAnsi="Book Antiqua"/>
          <w:b/>
          <w:kern w:val="2"/>
          <w:sz w:val="24"/>
          <w:szCs w:val="24"/>
          <w:lang w:val="en-US" w:eastAsia="zh-CN"/>
        </w:rPr>
        <w:t>Turner D</w:t>
      </w:r>
      <w:r w:rsidRPr="003D034F">
        <w:rPr>
          <w:rFonts w:ascii="Book Antiqua" w:hAnsi="Book Antiqua"/>
          <w:kern w:val="2"/>
          <w:sz w:val="24"/>
          <w:szCs w:val="24"/>
          <w:lang w:val="en-US" w:eastAsia="zh-CN"/>
        </w:rPr>
        <w:t xml:space="preserve">, Griffiths AM. Esophageal, gastric, and duodenal manifestations of IBD and the role of upper endoscopy in IBD diagnosis. </w:t>
      </w:r>
      <w:proofErr w:type="spellStart"/>
      <w:r w:rsidRPr="003D034F">
        <w:rPr>
          <w:rFonts w:ascii="Book Antiqua" w:hAnsi="Book Antiqua"/>
          <w:i/>
          <w:kern w:val="2"/>
          <w:sz w:val="24"/>
          <w:szCs w:val="24"/>
          <w:lang w:val="en-US" w:eastAsia="zh-CN"/>
        </w:rPr>
        <w:t>Curr</w:t>
      </w:r>
      <w:proofErr w:type="spellEnd"/>
      <w:r w:rsidRPr="003D034F">
        <w:rPr>
          <w:rFonts w:ascii="Book Antiqua" w:hAnsi="Book Antiqua"/>
          <w:i/>
          <w:kern w:val="2"/>
          <w:sz w:val="24"/>
          <w:szCs w:val="24"/>
          <w:lang w:val="en-US" w:eastAsia="zh-CN"/>
        </w:rPr>
        <w:t xml:space="preserve"> Gastroenterol Rep</w:t>
      </w:r>
      <w:r w:rsidRPr="003D034F">
        <w:rPr>
          <w:rFonts w:ascii="Book Antiqua" w:hAnsi="Book Antiqua"/>
          <w:kern w:val="2"/>
          <w:sz w:val="24"/>
          <w:szCs w:val="24"/>
          <w:lang w:val="en-US" w:eastAsia="zh-CN"/>
        </w:rPr>
        <w:t xml:space="preserve"> 2007; </w:t>
      </w:r>
      <w:r w:rsidRPr="003D034F">
        <w:rPr>
          <w:rFonts w:ascii="Book Antiqua" w:hAnsi="Book Antiqua"/>
          <w:b/>
          <w:kern w:val="2"/>
          <w:sz w:val="24"/>
          <w:szCs w:val="24"/>
          <w:lang w:val="en-US" w:eastAsia="zh-CN"/>
        </w:rPr>
        <w:t>9</w:t>
      </w:r>
      <w:r w:rsidRPr="003D034F">
        <w:rPr>
          <w:rFonts w:ascii="Book Antiqua" w:hAnsi="Book Antiqua"/>
          <w:kern w:val="2"/>
          <w:sz w:val="24"/>
          <w:szCs w:val="24"/>
          <w:lang w:val="en-US" w:eastAsia="zh-CN"/>
        </w:rPr>
        <w:t>: 475-478 [PMID: 18377798 DOI: 10.1007/s11894-009-0036-0]</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24 </w:t>
      </w:r>
      <w:proofErr w:type="spellStart"/>
      <w:r w:rsidRPr="003D034F">
        <w:rPr>
          <w:rFonts w:ascii="Book Antiqua" w:hAnsi="Book Antiqua"/>
          <w:b/>
          <w:kern w:val="2"/>
          <w:sz w:val="24"/>
          <w:szCs w:val="24"/>
          <w:lang w:val="en-US" w:eastAsia="zh-CN"/>
        </w:rPr>
        <w:t>Feakins</w:t>
      </w:r>
      <w:proofErr w:type="spellEnd"/>
      <w:r w:rsidRPr="003D034F">
        <w:rPr>
          <w:rFonts w:ascii="Book Antiqua" w:hAnsi="Book Antiqua"/>
          <w:b/>
          <w:kern w:val="2"/>
          <w:sz w:val="24"/>
          <w:szCs w:val="24"/>
          <w:lang w:val="en-US" w:eastAsia="zh-CN"/>
        </w:rPr>
        <w:t xml:space="preserve"> RM</w:t>
      </w:r>
      <w:r w:rsidRPr="003D034F">
        <w:rPr>
          <w:rFonts w:ascii="Book Antiqua" w:hAnsi="Book Antiqua"/>
          <w:kern w:val="2"/>
          <w:sz w:val="24"/>
          <w:szCs w:val="24"/>
          <w:lang w:val="en-US" w:eastAsia="zh-CN"/>
        </w:rPr>
        <w:t xml:space="preserve">. Ulcerative colitis or Crohn’s disease? Pitfalls and problems. </w:t>
      </w:r>
      <w:r w:rsidRPr="003D034F">
        <w:rPr>
          <w:rFonts w:ascii="Book Antiqua" w:hAnsi="Book Antiqua"/>
          <w:i/>
          <w:kern w:val="2"/>
          <w:sz w:val="24"/>
          <w:szCs w:val="24"/>
          <w:lang w:val="en-US" w:eastAsia="zh-CN"/>
        </w:rPr>
        <w:lastRenderedPageBreak/>
        <w:t>Histopathology</w:t>
      </w:r>
      <w:r w:rsidRPr="003D034F">
        <w:rPr>
          <w:rFonts w:ascii="Book Antiqua" w:hAnsi="Book Antiqua"/>
          <w:kern w:val="2"/>
          <w:sz w:val="24"/>
          <w:szCs w:val="24"/>
          <w:lang w:val="en-US" w:eastAsia="zh-CN"/>
        </w:rPr>
        <w:t xml:space="preserve"> 2014; </w:t>
      </w:r>
      <w:r w:rsidRPr="003D034F">
        <w:rPr>
          <w:rFonts w:ascii="Book Antiqua" w:hAnsi="Book Antiqua"/>
          <w:b/>
          <w:kern w:val="2"/>
          <w:sz w:val="24"/>
          <w:szCs w:val="24"/>
          <w:lang w:val="en-US" w:eastAsia="zh-CN"/>
        </w:rPr>
        <w:t>64</w:t>
      </w:r>
      <w:r w:rsidRPr="003D034F">
        <w:rPr>
          <w:rFonts w:ascii="Book Antiqua" w:hAnsi="Book Antiqua"/>
          <w:kern w:val="2"/>
          <w:sz w:val="24"/>
          <w:szCs w:val="24"/>
          <w:lang w:val="en-US" w:eastAsia="zh-CN"/>
        </w:rPr>
        <w:t>: 317-335 [PMID: 24266813 DOI: 10.1111/his.12263]</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25 </w:t>
      </w:r>
      <w:r w:rsidRPr="003D034F">
        <w:rPr>
          <w:rFonts w:ascii="Book Antiqua" w:hAnsi="Book Antiqua"/>
          <w:b/>
          <w:kern w:val="2"/>
          <w:sz w:val="24"/>
          <w:szCs w:val="24"/>
          <w:lang w:val="en-US" w:eastAsia="zh-CN"/>
        </w:rPr>
        <w:t>Nugent FW</w:t>
      </w:r>
      <w:r w:rsidRPr="003D034F">
        <w:rPr>
          <w:rFonts w:ascii="Book Antiqua" w:hAnsi="Book Antiqua"/>
          <w:kern w:val="2"/>
          <w:sz w:val="24"/>
          <w:szCs w:val="24"/>
          <w:lang w:val="en-US" w:eastAsia="zh-CN"/>
        </w:rPr>
        <w:t xml:space="preserve">, Richmond M, Park SK. Crohn’s disease of the duodenum. </w:t>
      </w:r>
      <w:r w:rsidRPr="003D034F">
        <w:rPr>
          <w:rFonts w:ascii="Book Antiqua" w:hAnsi="Book Antiqua"/>
          <w:i/>
          <w:kern w:val="2"/>
          <w:sz w:val="24"/>
          <w:szCs w:val="24"/>
          <w:lang w:val="en-US" w:eastAsia="zh-CN"/>
        </w:rPr>
        <w:t>Gut</w:t>
      </w:r>
      <w:r w:rsidRPr="003D034F">
        <w:rPr>
          <w:rFonts w:ascii="Book Antiqua" w:hAnsi="Book Antiqua"/>
          <w:kern w:val="2"/>
          <w:sz w:val="24"/>
          <w:szCs w:val="24"/>
          <w:lang w:val="en-US" w:eastAsia="zh-CN"/>
        </w:rPr>
        <w:t xml:space="preserve"> 1977; </w:t>
      </w:r>
      <w:r w:rsidRPr="003D034F">
        <w:rPr>
          <w:rFonts w:ascii="Book Antiqua" w:hAnsi="Book Antiqua"/>
          <w:b/>
          <w:kern w:val="2"/>
          <w:sz w:val="24"/>
          <w:szCs w:val="24"/>
          <w:lang w:val="en-US" w:eastAsia="zh-CN"/>
        </w:rPr>
        <w:t>18</w:t>
      </w:r>
      <w:r w:rsidRPr="003D034F">
        <w:rPr>
          <w:rFonts w:ascii="Book Antiqua" w:hAnsi="Book Antiqua"/>
          <w:kern w:val="2"/>
          <w:sz w:val="24"/>
          <w:szCs w:val="24"/>
          <w:lang w:val="en-US" w:eastAsia="zh-CN"/>
        </w:rPr>
        <w:t>: 115-120 [PMID: 856671 DOI: 10.1136/gut.18.2.115]</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26 </w:t>
      </w:r>
      <w:r w:rsidRPr="003D034F">
        <w:rPr>
          <w:rFonts w:ascii="Book Antiqua" w:hAnsi="Book Antiqua"/>
          <w:b/>
          <w:kern w:val="2"/>
          <w:sz w:val="24"/>
          <w:szCs w:val="24"/>
          <w:lang w:val="en-US" w:eastAsia="zh-CN"/>
        </w:rPr>
        <w:t xml:space="preserve">van </w:t>
      </w:r>
      <w:proofErr w:type="spellStart"/>
      <w:r w:rsidRPr="003D034F">
        <w:rPr>
          <w:rFonts w:ascii="Book Antiqua" w:hAnsi="Book Antiqua"/>
          <w:b/>
          <w:kern w:val="2"/>
          <w:sz w:val="24"/>
          <w:szCs w:val="24"/>
          <w:lang w:val="en-US" w:eastAsia="zh-CN"/>
        </w:rPr>
        <w:t>Hogezand</w:t>
      </w:r>
      <w:proofErr w:type="spellEnd"/>
      <w:r w:rsidRPr="003D034F">
        <w:rPr>
          <w:rFonts w:ascii="Book Antiqua" w:hAnsi="Book Antiqua"/>
          <w:b/>
          <w:kern w:val="2"/>
          <w:sz w:val="24"/>
          <w:szCs w:val="24"/>
          <w:lang w:val="en-US" w:eastAsia="zh-CN"/>
        </w:rPr>
        <w:t xml:space="preserve"> RA</w:t>
      </w:r>
      <w:r w:rsidRPr="003D034F">
        <w:rPr>
          <w:rFonts w:ascii="Book Antiqua" w:hAnsi="Book Antiqua"/>
          <w:kern w:val="2"/>
          <w:sz w:val="24"/>
          <w:szCs w:val="24"/>
          <w:lang w:val="en-US" w:eastAsia="zh-CN"/>
        </w:rPr>
        <w:t xml:space="preserve">, Witte AM, </w:t>
      </w:r>
      <w:proofErr w:type="spellStart"/>
      <w:r w:rsidRPr="003D034F">
        <w:rPr>
          <w:rFonts w:ascii="Book Antiqua" w:hAnsi="Book Antiqua"/>
          <w:kern w:val="2"/>
          <w:sz w:val="24"/>
          <w:szCs w:val="24"/>
          <w:lang w:val="en-US" w:eastAsia="zh-CN"/>
        </w:rPr>
        <w:t>Veenendaal</w:t>
      </w:r>
      <w:proofErr w:type="spellEnd"/>
      <w:r w:rsidRPr="003D034F">
        <w:rPr>
          <w:rFonts w:ascii="Book Antiqua" w:hAnsi="Book Antiqua"/>
          <w:kern w:val="2"/>
          <w:sz w:val="24"/>
          <w:szCs w:val="24"/>
          <w:lang w:val="en-US" w:eastAsia="zh-CN"/>
        </w:rPr>
        <w:t xml:space="preserve"> RA, </w:t>
      </w:r>
      <w:proofErr w:type="spellStart"/>
      <w:r w:rsidRPr="003D034F">
        <w:rPr>
          <w:rFonts w:ascii="Book Antiqua" w:hAnsi="Book Antiqua"/>
          <w:kern w:val="2"/>
          <w:sz w:val="24"/>
          <w:szCs w:val="24"/>
          <w:lang w:val="en-US" w:eastAsia="zh-CN"/>
        </w:rPr>
        <w:t>Wagtmans</w:t>
      </w:r>
      <w:proofErr w:type="spellEnd"/>
      <w:r w:rsidRPr="003D034F">
        <w:rPr>
          <w:rFonts w:ascii="Book Antiqua" w:hAnsi="Book Antiqua"/>
          <w:kern w:val="2"/>
          <w:sz w:val="24"/>
          <w:szCs w:val="24"/>
          <w:lang w:val="en-US" w:eastAsia="zh-CN"/>
        </w:rPr>
        <w:t xml:space="preserve"> MJ, </w:t>
      </w:r>
      <w:proofErr w:type="spellStart"/>
      <w:r w:rsidRPr="003D034F">
        <w:rPr>
          <w:rFonts w:ascii="Book Antiqua" w:hAnsi="Book Antiqua"/>
          <w:kern w:val="2"/>
          <w:sz w:val="24"/>
          <w:szCs w:val="24"/>
          <w:lang w:val="en-US" w:eastAsia="zh-CN"/>
        </w:rPr>
        <w:t>Lamers</w:t>
      </w:r>
      <w:proofErr w:type="spellEnd"/>
      <w:r w:rsidRPr="003D034F">
        <w:rPr>
          <w:rFonts w:ascii="Book Antiqua" w:hAnsi="Book Antiqua"/>
          <w:kern w:val="2"/>
          <w:sz w:val="24"/>
          <w:szCs w:val="24"/>
          <w:lang w:val="en-US" w:eastAsia="zh-CN"/>
        </w:rPr>
        <w:t xml:space="preserve"> CB. Proximal Crohn’s disease: Review of the clinicopathologic features and therapy. </w:t>
      </w:r>
      <w:proofErr w:type="spellStart"/>
      <w:r w:rsidRPr="003D034F">
        <w:rPr>
          <w:rFonts w:ascii="Book Antiqua" w:hAnsi="Book Antiqua"/>
          <w:i/>
          <w:kern w:val="2"/>
          <w:sz w:val="24"/>
          <w:szCs w:val="24"/>
          <w:lang w:val="en-US" w:eastAsia="zh-CN"/>
        </w:rPr>
        <w:t>Inflamm</w:t>
      </w:r>
      <w:proofErr w:type="spellEnd"/>
      <w:r w:rsidRPr="003D034F">
        <w:rPr>
          <w:rFonts w:ascii="Book Antiqua" w:hAnsi="Book Antiqua"/>
          <w:i/>
          <w:kern w:val="2"/>
          <w:sz w:val="24"/>
          <w:szCs w:val="24"/>
          <w:lang w:val="en-US" w:eastAsia="zh-CN"/>
        </w:rPr>
        <w:t xml:space="preserve"> Bowel Dis</w:t>
      </w:r>
      <w:r w:rsidRPr="003D034F">
        <w:rPr>
          <w:rFonts w:ascii="Book Antiqua" w:hAnsi="Book Antiqua"/>
          <w:kern w:val="2"/>
          <w:sz w:val="24"/>
          <w:szCs w:val="24"/>
          <w:lang w:val="en-US" w:eastAsia="zh-CN"/>
        </w:rPr>
        <w:t xml:space="preserve"> 2001; </w:t>
      </w:r>
      <w:r w:rsidRPr="003D034F">
        <w:rPr>
          <w:rFonts w:ascii="Book Antiqua" w:hAnsi="Book Antiqua"/>
          <w:b/>
          <w:kern w:val="2"/>
          <w:sz w:val="24"/>
          <w:szCs w:val="24"/>
          <w:lang w:val="en-US" w:eastAsia="zh-CN"/>
        </w:rPr>
        <w:t>7</w:t>
      </w:r>
      <w:r w:rsidRPr="003D034F">
        <w:rPr>
          <w:rFonts w:ascii="Book Antiqua" w:hAnsi="Book Antiqua"/>
          <w:kern w:val="2"/>
          <w:sz w:val="24"/>
          <w:szCs w:val="24"/>
          <w:lang w:val="en-US" w:eastAsia="zh-CN"/>
        </w:rPr>
        <w:t>: 328-337 [PMID: 11720325 DOI: 10.1097/00054725-200111000-00010]</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27 </w:t>
      </w:r>
      <w:r w:rsidRPr="003D034F">
        <w:rPr>
          <w:rFonts w:ascii="Book Antiqua" w:hAnsi="Book Antiqua"/>
          <w:b/>
          <w:kern w:val="2"/>
          <w:sz w:val="24"/>
          <w:szCs w:val="24"/>
          <w:lang w:val="en-US" w:eastAsia="zh-CN"/>
        </w:rPr>
        <w:t>FRANKLIN RH</w:t>
      </w:r>
      <w:r w:rsidRPr="003D034F">
        <w:rPr>
          <w:rFonts w:ascii="Book Antiqua" w:hAnsi="Book Antiqua"/>
          <w:kern w:val="2"/>
          <w:sz w:val="24"/>
          <w:szCs w:val="24"/>
          <w:lang w:val="en-US" w:eastAsia="zh-CN"/>
        </w:rPr>
        <w:t xml:space="preserve">, TAYLOR S. Nonspecific granulomatous (regional) esophagitis. </w:t>
      </w:r>
      <w:r w:rsidRPr="003D034F">
        <w:rPr>
          <w:rFonts w:ascii="Book Antiqua" w:hAnsi="Book Antiqua"/>
          <w:i/>
          <w:kern w:val="2"/>
          <w:sz w:val="24"/>
          <w:szCs w:val="24"/>
          <w:lang w:val="en-US" w:eastAsia="zh-CN"/>
        </w:rPr>
        <w:t xml:space="preserve">J </w:t>
      </w:r>
      <w:proofErr w:type="spellStart"/>
      <w:r w:rsidRPr="003D034F">
        <w:rPr>
          <w:rFonts w:ascii="Book Antiqua" w:hAnsi="Book Antiqua"/>
          <w:i/>
          <w:kern w:val="2"/>
          <w:sz w:val="24"/>
          <w:szCs w:val="24"/>
          <w:lang w:val="en-US" w:eastAsia="zh-CN"/>
        </w:rPr>
        <w:t>Thorac</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Surg</w:t>
      </w:r>
      <w:proofErr w:type="spellEnd"/>
      <w:r w:rsidRPr="003D034F">
        <w:rPr>
          <w:rFonts w:ascii="Book Antiqua" w:hAnsi="Book Antiqua"/>
          <w:kern w:val="2"/>
          <w:sz w:val="24"/>
          <w:szCs w:val="24"/>
          <w:lang w:val="en-US" w:eastAsia="zh-CN"/>
        </w:rPr>
        <w:t xml:space="preserve"> 1950; </w:t>
      </w:r>
      <w:r w:rsidRPr="003D034F">
        <w:rPr>
          <w:rFonts w:ascii="Book Antiqua" w:hAnsi="Book Antiqua"/>
          <w:b/>
          <w:kern w:val="2"/>
          <w:sz w:val="24"/>
          <w:szCs w:val="24"/>
          <w:lang w:val="en-US" w:eastAsia="zh-CN"/>
        </w:rPr>
        <w:t>19</w:t>
      </w:r>
      <w:r w:rsidRPr="003D034F">
        <w:rPr>
          <w:rFonts w:ascii="Book Antiqua" w:hAnsi="Book Antiqua"/>
          <w:kern w:val="2"/>
          <w:sz w:val="24"/>
          <w:szCs w:val="24"/>
          <w:lang w:val="en-US" w:eastAsia="zh-CN"/>
        </w:rPr>
        <w:t>: 292-297 [PMID: 15405558]</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28 </w:t>
      </w:r>
      <w:proofErr w:type="spellStart"/>
      <w:r w:rsidRPr="003D034F">
        <w:rPr>
          <w:rFonts w:ascii="Book Antiqua" w:hAnsi="Book Antiqua"/>
          <w:b/>
          <w:kern w:val="2"/>
          <w:sz w:val="24"/>
          <w:szCs w:val="24"/>
          <w:lang w:val="en-US" w:eastAsia="zh-CN"/>
        </w:rPr>
        <w:t>Feagans</w:t>
      </w:r>
      <w:proofErr w:type="spellEnd"/>
      <w:r w:rsidRPr="003D034F">
        <w:rPr>
          <w:rFonts w:ascii="Book Antiqua" w:hAnsi="Book Antiqua"/>
          <w:b/>
          <w:kern w:val="2"/>
          <w:sz w:val="24"/>
          <w:szCs w:val="24"/>
          <w:lang w:val="en-US" w:eastAsia="zh-CN"/>
        </w:rPr>
        <w:t xml:space="preserve"> J</w:t>
      </w:r>
      <w:r w:rsidRPr="003D034F">
        <w:rPr>
          <w:rFonts w:ascii="Book Antiqua" w:hAnsi="Book Antiqua"/>
          <w:kern w:val="2"/>
          <w:sz w:val="24"/>
          <w:szCs w:val="24"/>
          <w:lang w:val="en-US" w:eastAsia="zh-CN"/>
        </w:rPr>
        <w:t xml:space="preserve">, Victor D, Joshi V. Crohn disease of the esophagus: A review of the literature. </w:t>
      </w:r>
      <w:r w:rsidRPr="003D034F">
        <w:rPr>
          <w:rFonts w:ascii="Book Antiqua" w:hAnsi="Book Antiqua"/>
          <w:i/>
          <w:kern w:val="2"/>
          <w:sz w:val="24"/>
          <w:szCs w:val="24"/>
          <w:lang w:val="en-US" w:eastAsia="zh-CN"/>
        </w:rPr>
        <w:t>South Med J</w:t>
      </w:r>
      <w:r w:rsidRPr="003D034F">
        <w:rPr>
          <w:rFonts w:ascii="Book Antiqua" w:hAnsi="Book Antiqua"/>
          <w:kern w:val="2"/>
          <w:sz w:val="24"/>
          <w:szCs w:val="24"/>
          <w:lang w:val="en-US" w:eastAsia="zh-CN"/>
        </w:rPr>
        <w:t xml:space="preserve"> 2008; </w:t>
      </w:r>
      <w:r w:rsidRPr="003D034F">
        <w:rPr>
          <w:rFonts w:ascii="Book Antiqua" w:hAnsi="Book Antiqua"/>
          <w:b/>
          <w:kern w:val="2"/>
          <w:sz w:val="24"/>
          <w:szCs w:val="24"/>
          <w:lang w:val="en-US" w:eastAsia="zh-CN"/>
        </w:rPr>
        <w:t>101</w:t>
      </w:r>
      <w:r w:rsidRPr="003D034F">
        <w:rPr>
          <w:rFonts w:ascii="Book Antiqua" w:hAnsi="Book Antiqua"/>
          <w:kern w:val="2"/>
          <w:sz w:val="24"/>
          <w:szCs w:val="24"/>
          <w:lang w:val="en-US" w:eastAsia="zh-CN"/>
        </w:rPr>
        <w:t>: 927-930 [PMID: 18708983 DOI: 10.1097/SMJ.0b013e31818047be]</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29 </w:t>
      </w:r>
      <w:r w:rsidRPr="003D034F">
        <w:rPr>
          <w:rFonts w:ascii="Book Antiqua" w:hAnsi="Book Antiqua"/>
          <w:b/>
          <w:kern w:val="2"/>
          <w:sz w:val="24"/>
          <w:szCs w:val="24"/>
          <w:lang w:val="en-US" w:eastAsia="zh-CN"/>
        </w:rPr>
        <w:t>De Felice KM</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Katzka</w:t>
      </w:r>
      <w:proofErr w:type="spellEnd"/>
      <w:r w:rsidRPr="003D034F">
        <w:rPr>
          <w:rFonts w:ascii="Book Antiqua" w:hAnsi="Book Antiqua"/>
          <w:kern w:val="2"/>
          <w:sz w:val="24"/>
          <w:szCs w:val="24"/>
          <w:lang w:val="en-US" w:eastAsia="zh-CN"/>
        </w:rPr>
        <w:t xml:space="preserve"> DA, </w:t>
      </w:r>
      <w:proofErr w:type="spellStart"/>
      <w:r w:rsidRPr="003D034F">
        <w:rPr>
          <w:rFonts w:ascii="Book Antiqua" w:hAnsi="Book Antiqua"/>
          <w:kern w:val="2"/>
          <w:sz w:val="24"/>
          <w:szCs w:val="24"/>
          <w:lang w:val="en-US" w:eastAsia="zh-CN"/>
        </w:rPr>
        <w:t>Raffals</w:t>
      </w:r>
      <w:proofErr w:type="spellEnd"/>
      <w:r w:rsidRPr="003D034F">
        <w:rPr>
          <w:rFonts w:ascii="Book Antiqua" w:hAnsi="Book Antiqua"/>
          <w:kern w:val="2"/>
          <w:sz w:val="24"/>
          <w:szCs w:val="24"/>
          <w:lang w:val="en-US" w:eastAsia="zh-CN"/>
        </w:rPr>
        <w:t xml:space="preserve"> LE. Crohn’s Disease of the Esophagus: Clinical Features and Treatment Outcomes in the Biologic Era. </w:t>
      </w:r>
      <w:proofErr w:type="spellStart"/>
      <w:r w:rsidRPr="003D034F">
        <w:rPr>
          <w:rFonts w:ascii="Book Antiqua" w:hAnsi="Book Antiqua"/>
          <w:i/>
          <w:kern w:val="2"/>
          <w:sz w:val="24"/>
          <w:szCs w:val="24"/>
          <w:lang w:val="en-US" w:eastAsia="zh-CN"/>
        </w:rPr>
        <w:t>Inflamm</w:t>
      </w:r>
      <w:proofErr w:type="spellEnd"/>
      <w:r w:rsidRPr="003D034F">
        <w:rPr>
          <w:rFonts w:ascii="Book Antiqua" w:hAnsi="Book Antiqua"/>
          <w:i/>
          <w:kern w:val="2"/>
          <w:sz w:val="24"/>
          <w:szCs w:val="24"/>
          <w:lang w:val="en-US" w:eastAsia="zh-CN"/>
        </w:rPr>
        <w:t xml:space="preserve"> Bowel Dis</w:t>
      </w:r>
      <w:r w:rsidRPr="003D034F">
        <w:rPr>
          <w:rFonts w:ascii="Book Antiqua" w:hAnsi="Book Antiqua"/>
          <w:kern w:val="2"/>
          <w:sz w:val="24"/>
          <w:szCs w:val="24"/>
          <w:lang w:val="en-US" w:eastAsia="zh-CN"/>
        </w:rPr>
        <w:t xml:space="preserve"> 2015; </w:t>
      </w:r>
      <w:r w:rsidRPr="003D034F">
        <w:rPr>
          <w:rFonts w:ascii="Book Antiqua" w:hAnsi="Book Antiqua"/>
          <w:b/>
          <w:kern w:val="2"/>
          <w:sz w:val="24"/>
          <w:szCs w:val="24"/>
          <w:lang w:val="en-US" w:eastAsia="zh-CN"/>
        </w:rPr>
        <w:t>21</w:t>
      </w:r>
      <w:r w:rsidRPr="003D034F">
        <w:rPr>
          <w:rFonts w:ascii="Book Antiqua" w:hAnsi="Book Antiqua"/>
          <w:kern w:val="2"/>
          <w:sz w:val="24"/>
          <w:szCs w:val="24"/>
          <w:lang w:val="en-US" w:eastAsia="zh-CN"/>
        </w:rPr>
        <w:t>: 2106-2113 [PMID: 26083616 DOI: 10.1097/MIB.0000000000000469]</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30 </w:t>
      </w:r>
      <w:r w:rsidRPr="003D034F">
        <w:rPr>
          <w:rFonts w:ascii="Book Antiqua" w:hAnsi="Book Antiqua"/>
          <w:b/>
          <w:kern w:val="2"/>
          <w:sz w:val="24"/>
          <w:szCs w:val="24"/>
          <w:lang w:val="en-US" w:eastAsia="zh-CN"/>
        </w:rPr>
        <w:t>Decker GA</w:t>
      </w:r>
      <w:r w:rsidRPr="003D034F">
        <w:rPr>
          <w:rFonts w:ascii="Book Antiqua" w:hAnsi="Book Antiqua"/>
          <w:kern w:val="2"/>
          <w:sz w:val="24"/>
          <w:szCs w:val="24"/>
          <w:lang w:val="en-US" w:eastAsia="zh-CN"/>
        </w:rPr>
        <w:t xml:space="preserve">, Loftus EV Jr, Pasha TM, Tremaine WJ, </w:t>
      </w:r>
      <w:proofErr w:type="spellStart"/>
      <w:r w:rsidRPr="003D034F">
        <w:rPr>
          <w:rFonts w:ascii="Book Antiqua" w:hAnsi="Book Antiqua"/>
          <w:kern w:val="2"/>
          <w:sz w:val="24"/>
          <w:szCs w:val="24"/>
          <w:lang w:val="en-US" w:eastAsia="zh-CN"/>
        </w:rPr>
        <w:t>Sandborn</w:t>
      </w:r>
      <w:proofErr w:type="spellEnd"/>
      <w:r w:rsidRPr="003D034F">
        <w:rPr>
          <w:rFonts w:ascii="Book Antiqua" w:hAnsi="Book Antiqua"/>
          <w:kern w:val="2"/>
          <w:sz w:val="24"/>
          <w:szCs w:val="24"/>
          <w:lang w:val="en-US" w:eastAsia="zh-CN"/>
        </w:rPr>
        <w:t xml:space="preserve"> WJ. Crohn’s disease of the esophagus: Clinical features and outcomes. </w:t>
      </w:r>
      <w:proofErr w:type="spellStart"/>
      <w:r w:rsidRPr="003D034F">
        <w:rPr>
          <w:rFonts w:ascii="Book Antiqua" w:hAnsi="Book Antiqua"/>
          <w:i/>
          <w:kern w:val="2"/>
          <w:sz w:val="24"/>
          <w:szCs w:val="24"/>
          <w:lang w:val="en-US" w:eastAsia="zh-CN"/>
        </w:rPr>
        <w:t>Inflamm</w:t>
      </w:r>
      <w:proofErr w:type="spellEnd"/>
      <w:r w:rsidRPr="003D034F">
        <w:rPr>
          <w:rFonts w:ascii="Book Antiqua" w:hAnsi="Book Antiqua"/>
          <w:i/>
          <w:kern w:val="2"/>
          <w:sz w:val="24"/>
          <w:szCs w:val="24"/>
          <w:lang w:val="en-US" w:eastAsia="zh-CN"/>
        </w:rPr>
        <w:t xml:space="preserve"> Bowel Dis</w:t>
      </w:r>
      <w:r w:rsidRPr="003D034F">
        <w:rPr>
          <w:rFonts w:ascii="Book Antiqua" w:hAnsi="Book Antiqua"/>
          <w:kern w:val="2"/>
          <w:sz w:val="24"/>
          <w:szCs w:val="24"/>
          <w:lang w:val="en-US" w:eastAsia="zh-CN"/>
        </w:rPr>
        <w:t xml:space="preserve"> 2001; </w:t>
      </w:r>
      <w:r w:rsidRPr="003D034F">
        <w:rPr>
          <w:rFonts w:ascii="Book Antiqua" w:hAnsi="Book Antiqua"/>
          <w:b/>
          <w:kern w:val="2"/>
          <w:sz w:val="24"/>
          <w:szCs w:val="24"/>
          <w:lang w:val="en-US" w:eastAsia="zh-CN"/>
        </w:rPr>
        <w:t>7</w:t>
      </w:r>
      <w:r w:rsidRPr="003D034F">
        <w:rPr>
          <w:rFonts w:ascii="Book Antiqua" w:hAnsi="Book Antiqua"/>
          <w:kern w:val="2"/>
          <w:sz w:val="24"/>
          <w:szCs w:val="24"/>
          <w:lang w:val="en-US" w:eastAsia="zh-CN"/>
        </w:rPr>
        <w:t>: 113-119 [PMID: 11383583 DOI: 10.1097/00054725-200105000-00006]</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31 </w:t>
      </w:r>
      <w:r w:rsidRPr="003D034F">
        <w:rPr>
          <w:rFonts w:ascii="Book Antiqua" w:hAnsi="Book Antiqua"/>
          <w:b/>
          <w:kern w:val="2"/>
          <w:sz w:val="24"/>
          <w:szCs w:val="24"/>
          <w:lang w:val="en-US" w:eastAsia="zh-CN"/>
        </w:rPr>
        <w:t>Naranjo-Rodríguez A</w:t>
      </w:r>
      <w:r w:rsidRPr="003D034F">
        <w:rPr>
          <w:rFonts w:ascii="Book Antiqua" w:hAnsi="Book Antiqua"/>
          <w:kern w:val="2"/>
          <w:sz w:val="24"/>
          <w:szCs w:val="24"/>
          <w:lang w:val="en-US" w:eastAsia="zh-CN"/>
        </w:rPr>
        <w:t xml:space="preserve">, Solórzano-Peck G, López-Rubio F, </w:t>
      </w:r>
      <w:proofErr w:type="spellStart"/>
      <w:r w:rsidRPr="003D034F">
        <w:rPr>
          <w:rFonts w:ascii="Book Antiqua" w:hAnsi="Book Antiqua"/>
          <w:kern w:val="2"/>
          <w:sz w:val="24"/>
          <w:szCs w:val="24"/>
          <w:lang w:val="en-US" w:eastAsia="zh-CN"/>
        </w:rPr>
        <w:t>Calañas-Continente</w:t>
      </w:r>
      <w:proofErr w:type="spellEnd"/>
      <w:r w:rsidRPr="003D034F">
        <w:rPr>
          <w:rFonts w:ascii="Book Antiqua" w:hAnsi="Book Antiqua"/>
          <w:kern w:val="2"/>
          <w:sz w:val="24"/>
          <w:szCs w:val="24"/>
          <w:lang w:val="en-US" w:eastAsia="zh-CN"/>
        </w:rPr>
        <w:t xml:space="preserve"> A, </w:t>
      </w:r>
      <w:proofErr w:type="spellStart"/>
      <w:r w:rsidRPr="003D034F">
        <w:rPr>
          <w:rFonts w:ascii="Book Antiqua" w:hAnsi="Book Antiqua"/>
          <w:kern w:val="2"/>
          <w:sz w:val="24"/>
          <w:szCs w:val="24"/>
          <w:lang w:val="en-US" w:eastAsia="zh-CN"/>
        </w:rPr>
        <w:t>Gálvez-Calderón</w:t>
      </w:r>
      <w:proofErr w:type="spellEnd"/>
      <w:r w:rsidRPr="003D034F">
        <w:rPr>
          <w:rFonts w:ascii="Book Antiqua" w:hAnsi="Book Antiqua"/>
          <w:kern w:val="2"/>
          <w:sz w:val="24"/>
          <w:szCs w:val="24"/>
          <w:lang w:val="en-US" w:eastAsia="zh-CN"/>
        </w:rPr>
        <w:t xml:space="preserve"> C, González-Galilea A, </w:t>
      </w:r>
      <w:proofErr w:type="spellStart"/>
      <w:r w:rsidRPr="003D034F">
        <w:rPr>
          <w:rFonts w:ascii="Book Antiqua" w:hAnsi="Book Antiqua"/>
          <w:kern w:val="2"/>
          <w:sz w:val="24"/>
          <w:szCs w:val="24"/>
          <w:lang w:val="en-US" w:eastAsia="zh-CN"/>
        </w:rPr>
        <w:t>Hervás</w:t>
      </w:r>
      <w:proofErr w:type="spellEnd"/>
      <w:r w:rsidRPr="003D034F">
        <w:rPr>
          <w:rFonts w:ascii="Book Antiqua" w:hAnsi="Book Antiqua"/>
          <w:kern w:val="2"/>
          <w:sz w:val="24"/>
          <w:szCs w:val="24"/>
          <w:lang w:val="en-US" w:eastAsia="zh-CN"/>
        </w:rPr>
        <w:t xml:space="preserve">-Molina A. Isolated </w:t>
      </w:r>
      <w:proofErr w:type="spellStart"/>
      <w:r w:rsidRPr="003D034F">
        <w:rPr>
          <w:rFonts w:ascii="Book Antiqua" w:hAnsi="Book Antiqua"/>
          <w:kern w:val="2"/>
          <w:sz w:val="24"/>
          <w:szCs w:val="24"/>
          <w:lang w:val="en-US" w:eastAsia="zh-CN"/>
        </w:rPr>
        <w:t>oesophageal</w:t>
      </w:r>
      <w:proofErr w:type="spellEnd"/>
      <w:r w:rsidRPr="003D034F">
        <w:rPr>
          <w:rFonts w:ascii="Book Antiqua" w:hAnsi="Book Antiqua"/>
          <w:kern w:val="2"/>
          <w:sz w:val="24"/>
          <w:szCs w:val="24"/>
          <w:lang w:val="en-US" w:eastAsia="zh-CN"/>
        </w:rPr>
        <w:t xml:space="preserve"> involvement of Crohn’s disease. </w:t>
      </w:r>
      <w:proofErr w:type="spellStart"/>
      <w:r w:rsidRPr="003D034F">
        <w:rPr>
          <w:rFonts w:ascii="Book Antiqua" w:hAnsi="Book Antiqua"/>
          <w:i/>
          <w:kern w:val="2"/>
          <w:sz w:val="24"/>
          <w:szCs w:val="24"/>
          <w:lang w:val="en-US" w:eastAsia="zh-CN"/>
        </w:rPr>
        <w:t>Eur</w:t>
      </w:r>
      <w:proofErr w:type="spellEnd"/>
      <w:r w:rsidRPr="003D034F">
        <w:rPr>
          <w:rFonts w:ascii="Book Antiqua" w:hAnsi="Book Antiqua"/>
          <w:i/>
          <w:kern w:val="2"/>
          <w:sz w:val="24"/>
          <w:szCs w:val="24"/>
          <w:lang w:val="en-US" w:eastAsia="zh-CN"/>
        </w:rPr>
        <w:t xml:space="preserve"> J Gastroenterol </w:t>
      </w:r>
      <w:proofErr w:type="spellStart"/>
      <w:r w:rsidRPr="003D034F">
        <w:rPr>
          <w:rFonts w:ascii="Book Antiqua" w:hAnsi="Book Antiqua"/>
          <w:i/>
          <w:kern w:val="2"/>
          <w:sz w:val="24"/>
          <w:szCs w:val="24"/>
          <w:lang w:val="en-US" w:eastAsia="zh-CN"/>
        </w:rPr>
        <w:t>Hepatol</w:t>
      </w:r>
      <w:proofErr w:type="spellEnd"/>
      <w:r w:rsidRPr="003D034F">
        <w:rPr>
          <w:rFonts w:ascii="Book Antiqua" w:hAnsi="Book Antiqua"/>
          <w:kern w:val="2"/>
          <w:sz w:val="24"/>
          <w:szCs w:val="24"/>
          <w:lang w:val="en-US" w:eastAsia="zh-CN"/>
        </w:rPr>
        <w:t xml:space="preserve"> 2003; </w:t>
      </w:r>
      <w:r w:rsidRPr="003D034F">
        <w:rPr>
          <w:rFonts w:ascii="Book Antiqua" w:hAnsi="Book Antiqua"/>
          <w:b/>
          <w:kern w:val="2"/>
          <w:sz w:val="24"/>
          <w:szCs w:val="24"/>
          <w:lang w:val="en-US" w:eastAsia="zh-CN"/>
        </w:rPr>
        <w:t>15</w:t>
      </w:r>
      <w:r w:rsidRPr="003D034F">
        <w:rPr>
          <w:rFonts w:ascii="Book Antiqua" w:hAnsi="Book Antiqua"/>
          <w:kern w:val="2"/>
          <w:sz w:val="24"/>
          <w:szCs w:val="24"/>
          <w:lang w:val="en-US" w:eastAsia="zh-CN"/>
        </w:rPr>
        <w:t>: 1123-1126 [PMID: 14501622 DOI: 10.1097/00042737-200310000-00010]</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32 </w:t>
      </w:r>
      <w:proofErr w:type="spellStart"/>
      <w:r w:rsidRPr="003D034F">
        <w:rPr>
          <w:rFonts w:ascii="Book Antiqua" w:hAnsi="Book Antiqua"/>
          <w:b/>
          <w:kern w:val="2"/>
          <w:sz w:val="24"/>
          <w:szCs w:val="24"/>
          <w:lang w:val="en-US" w:eastAsia="zh-CN"/>
        </w:rPr>
        <w:t>Yekebas</w:t>
      </w:r>
      <w:proofErr w:type="spellEnd"/>
      <w:r w:rsidRPr="003D034F">
        <w:rPr>
          <w:rFonts w:ascii="Book Antiqua" w:hAnsi="Book Antiqua"/>
          <w:b/>
          <w:kern w:val="2"/>
          <w:sz w:val="24"/>
          <w:szCs w:val="24"/>
          <w:lang w:val="en-US" w:eastAsia="zh-CN"/>
        </w:rPr>
        <w:t xml:space="preserve"> E</w:t>
      </w:r>
      <w:r w:rsidRPr="003D034F">
        <w:rPr>
          <w:rFonts w:ascii="Book Antiqua" w:hAnsi="Book Antiqua"/>
          <w:kern w:val="2"/>
          <w:sz w:val="24"/>
          <w:szCs w:val="24"/>
          <w:lang w:val="en-US" w:eastAsia="zh-CN"/>
        </w:rPr>
        <w:t xml:space="preserve">, Busch C, </w:t>
      </w:r>
      <w:proofErr w:type="spellStart"/>
      <w:r w:rsidRPr="003D034F">
        <w:rPr>
          <w:rFonts w:ascii="Book Antiqua" w:hAnsi="Book Antiqua"/>
          <w:kern w:val="2"/>
          <w:sz w:val="24"/>
          <w:szCs w:val="24"/>
          <w:lang w:val="en-US" w:eastAsia="zh-CN"/>
        </w:rPr>
        <w:t>Soehendra</w:t>
      </w:r>
      <w:proofErr w:type="spellEnd"/>
      <w:r w:rsidRPr="003D034F">
        <w:rPr>
          <w:rFonts w:ascii="Book Antiqua" w:hAnsi="Book Antiqua"/>
          <w:kern w:val="2"/>
          <w:sz w:val="24"/>
          <w:szCs w:val="24"/>
          <w:lang w:val="en-US" w:eastAsia="zh-CN"/>
        </w:rPr>
        <w:t xml:space="preserve"> N, </w:t>
      </w:r>
      <w:proofErr w:type="spellStart"/>
      <w:r w:rsidRPr="003D034F">
        <w:rPr>
          <w:rFonts w:ascii="Book Antiqua" w:hAnsi="Book Antiqua"/>
          <w:kern w:val="2"/>
          <w:sz w:val="24"/>
          <w:szCs w:val="24"/>
          <w:lang w:val="en-US" w:eastAsia="zh-CN"/>
        </w:rPr>
        <w:t>Winzer</w:t>
      </w:r>
      <w:proofErr w:type="spellEnd"/>
      <w:r w:rsidRPr="003D034F">
        <w:rPr>
          <w:rFonts w:ascii="Book Antiqua" w:hAnsi="Book Antiqua"/>
          <w:kern w:val="2"/>
          <w:sz w:val="24"/>
          <w:szCs w:val="24"/>
          <w:lang w:val="en-US" w:eastAsia="zh-CN"/>
        </w:rPr>
        <w:t xml:space="preserve"> O, </w:t>
      </w:r>
      <w:proofErr w:type="spellStart"/>
      <w:r w:rsidRPr="003D034F">
        <w:rPr>
          <w:rFonts w:ascii="Book Antiqua" w:hAnsi="Book Antiqua"/>
          <w:kern w:val="2"/>
          <w:sz w:val="24"/>
          <w:szCs w:val="24"/>
          <w:lang w:val="en-US" w:eastAsia="zh-CN"/>
        </w:rPr>
        <w:t>Rogiers</w:t>
      </w:r>
      <w:proofErr w:type="spellEnd"/>
      <w:r w:rsidRPr="003D034F">
        <w:rPr>
          <w:rFonts w:ascii="Book Antiqua" w:hAnsi="Book Antiqua"/>
          <w:kern w:val="2"/>
          <w:sz w:val="24"/>
          <w:szCs w:val="24"/>
          <w:lang w:val="en-US" w:eastAsia="zh-CN"/>
        </w:rPr>
        <w:t xml:space="preserve"> X, </w:t>
      </w:r>
      <w:proofErr w:type="spellStart"/>
      <w:r w:rsidRPr="003D034F">
        <w:rPr>
          <w:rFonts w:ascii="Book Antiqua" w:hAnsi="Book Antiqua"/>
          <w:kern w:val="2"/>
          <w:sz w:val="24"/>
          <w:szCs w:val="24"/>
          <w:lang w:val="en-US" w:eastAsia="zh-CN"/>
        </w:rPr>
        <w:t>Izbicki</w:t>
      </w:r>
      <w:proofErr w:type="spellEnd"/>
      <w:r w:rsidRPr="003D034F">
        <w:rPr>
          <w:rFonts w:ascii="Book Antiqua" w:hAnsi="Book Antiqua"/>
          <w:kern w:val="2"/>
          <w:sz w:val="24"/>
          <w:szCs w:val="24"/>
          <w:lang w:val="en-US" w:eastAsia="zh-CN"/>
        </w:rPr>
        <w:t xml:space="preserve"> JR. </w:t>
      </w:r>
      <w:proofErr w:type="spellStart"/>
      <w:r w:rsidRPr="003D034F">
        <w:rPr>
          <w:rFonts w:ascii="Book Antiqua" w:hAnsi="Book Antiqua"/>
          <w:kern w:val="2"/>
          <w:sz w:val="24"/>
          <w:szCs w:val="24"/>
          <w:lang w:val="en-US" w:eastAsia="zh-CN"/>
        </w:rPr>
        <w:t>Boerhaave</w:t>
      </w:r>
      <w:proofErr w:type="spellEnd"/>
      <w:r w:rsidRPr="003D034F">
        <w:rPr>
          <w:rFonts w:ascii="Book Antiqua" w:hAnsi="Book Antiqua"/>
          <w:kern w:val="2"/>
          <w:sz w:val="24"/>
          <w:szCs w:val="24"/>
          <w:lang w:val="en-US" w:eastAsia="zh-CN"/>
        </w:rPr>
        <w:t xml:space="preserve">-mimicking esophageal perforation with subsequent esophagobronchial fistula formation as the primary manifestation of Crohn’s disease. </w:t>
      </w:r>
      <w:r w:rsidRPr="003D034F">
        <w:rPr>
          <w:rFonts w:ascii="Book Antiqua" w:hAnsi="Book Antiqua"/>
          <w:i/>
          <w:kern w:val="2"/>
          <w:sz w:val="24"/>
          <w:szCs w:val="24"/>
          <w:lang w:val="en-US" w:eastAsia="zh-CN"/>
        </w:rPr>
        <w:t xml:space="preserve">Dig </w:t>
      </w:r>
      <w:proofErr w:type="spellStart"/>
      <w:r w:rsidRPr="003D034F">
        <w:rPr>
          <w:rFonts w:ascii="Book Antiqua" w:hAnsi="Book Antiqua"/>
          <w:i/>
          <w:kern w:val="2"/>
          <w:sz w:val="24"/>
          <w:szCs w:val="24"/>
          <w:lang w:val="en-US" w:eastAsia="zh-CN"/>
        </w:rPr>
        <w:t>Surg</w:t>
      </w:r>
      <w:proofErr w:type="spellEnd"/>
      <w:r w:rsidRPr="003D034F">
        <w:rPr>
          <w:rFonts w:ascii="Book Antiqua" w:hAnsi="Book Antiqua"/>
          <w:kern w:val="2"/>
          <w:sz w:val="24"/>
          <w:szCs w:val="24"/>
          <w:lang w:val="en-US" w:eastAsia="zh-CN"/>
        </w:rPr>
        <w:t xml:space="preserve"> 2000; </w:t>
      </w:r>
      <w:r w:rsidRPr="003D034F">
        <w:rPr>
          <w:rFonts w:ascii="Book Antiqua" w:hAnsi="Book Antiqua"/>
          <w:b/>
          <w:kern w:val="2"/>
          <w:sz w:val="24"/>
          <w:szCs w:val="24"/>
          <w:lang w:val="en-US" w:eastAsia="zh-CN"/>
        </w:rPr>
        <w:t>17</w:t>
      </w:r>
      <w:r w:rsidRPr="003D034F">
        <w:rPr>
          <w:rFonts w:ascii="Book Antiqua" w:hAnsi="Book Antiqua"/>
          <w:kern w:val="2"/>
          <w:sz w:val="24"/>
          <w:szCs w:val="24"/>
          <w:lang w:val="en-US" w:eastAsia="zh-CN"/>
        </w:rPr>
        <w:t>: 631-633 [PMID: 11155011 DOI: 10.1159/000051974]</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33 </w:t>
      </w:r>
      <w:proofErr w:type="spellStart"/>
      <w:r w:rsidRPr="003D034F">
        <w:rPr>
          <w:rFonts w:ascii="Book Antiqua" w:hAnsi="Book Antiqua"/>
          <w:b/>
          <w:kern w:val="2"/>
          <w:sz w:val="24"/>
          <w:szCs w:val="24"/>
          <w:lang w:val="en-US" w:eastAsia="zh-CN"/>
        </w:rPr>
        <w:t>Remes</w:t>
      </w:r>
      <w:proofErr w:type="spellEnd"/>
      <w:r w:rsidRPr="003D034F">
        <w:rPr>
          <w:rFonts w:ascii="Book Antiqua" w:hAnsi="Book Antiqua"/>
          <w:b/>
          <w:kern w:val="2"/>
          <w:sz w:val="24"/>
          <w:szCs w:val="24"/>
          <w:lang w:val="en-US" w:eastAsia="zh-CN"/>
        </w:rPr>
        <w:t>-Troche JM</w:t>
      </w:r>
      <w:r w:rsidRPr="003D034F">
        <w:rPr>
          <w:rFonts w:ascii="Book Antiqua" w:hAnsi="Book Antiqua"/>
          <w:kern w:val="2"/>
          <w:sz w:val="24"/>
          <w:szCs w:val="24"/>
          <w:lang w:val="en-US" w:eastAsia="zh-CN"/>
        </w:rPr>
        <w:t xml:space="preserve">, Martinez-Benitez B, </w:t>
      </w:r>
      <w:proofErr w:type="spellStart"/>
      <w:r w:rsidRPr="003D034F">
        <w:rPr>
          <w:rFonts w:ascii="Book Antiqua" w:hAnsi="Book Antiqua"/>
          <w:kern w:val="2"/>
          <w:sz w:val="24"/>
          <w:szCs w:val="24"/>
          <w:lang w:val="en-US" w:eastAsia="zh-CN"/>
        </w:rPr>
        <w:t>Valdovinos</w:t>
      </w:r>
      <w:proofErr w:type="spellEnd"/>
      <w:r w:rsidRPr="003D034F">
        <w:rPr>
          <w:rFonts w:ascii="Book Antiqua" w:hAnsi="Book Antiqua"/>
          <w:kern w:val="2"/>
          <w:sz w:val="24"/>
          <w:szCs w:val="24"/>
          <w:lang w:val="en-US" w:eastAsia="zh-CN"/>
        </w:rPr>
        <w:t xml:space="preserve">-Diaz MA. Crohn’s disease of the esophagus. </w:t>
      </w:r>
      <w:r w:rsidRPr="003D034F">
        <w:rPr>
          <w:rFonts w:ascii="Book Antiqua" w:hAnsi="Book Antiqua"/>
          <w:i/>
          <w:kern w:val="2"/>
          <w:sz w:val="24"/>
          <w:szCs w:val="24"/>
          <w:lang w:val="en-US" w:eastAsia="zh-CN"/>
        </w:rPr>
        <w:t>Gastroenterology</w:t>
      </w:r>
      <w:r w:rsidRPr="003D034F">
        <w:rPr>
          <w:rFonts w:ascii="Book Antiqua" w:hAnsi="Book Antiqua"/>
          <w:kern w:val="2"/>
          <w:sz w:val="24"/>
          <w:szCs w:val="24"/>
          <w:lang w:val="en-US" w:eastAsia="zh-CN"/>
        </w:rPr>
        <w:t xml:space="preserve"> 2006; </w:t>
      </w:r>
      <w:r w:rsidRPr="003D034F">
        <w:rPr>
          <w:rFonts w:ascii="Book Antiqua" w:hAnsi="Book Antiqua"/>
          <w:b/>
          <w:kern w:val="2"/>
          <w:sz w:val="24"/>
          <w:szCs w:val="24"/>
          <w:lang w:val="en-US" w:eastAsia="zh-CN"/>
        </w:rPr>
        <w:t>130</w:t>
      </w:r>
      <w:r w:rsidRPr="003D034F">
        <w:rPr>
          <w:rFonts w:ascii="Book Antiqua" w:hAnsi="Book Antiqua"/>
          <w:kern w:val="2"/>
          <w:sz w:val="24"/>
          <w:szCs w:val="24"/>
          <w:lang w:val="en-US" w:eastAsia="zh-CN"/>
        </w:rPr>
        <w:t>: 1029, 1376 [PMID: 16625740 DOI: 10.1001/archsurg.142.11.1103]</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34 </w:t>
      </w:r>
      <w:r w:rsidRPr="003D034F">
        <w:rPr>
          <w:rFonts w:ascii="Book Antiqua" w:hAnsi="Book Antiqua"/>
          <w:b/>
          <w:kern w:val="2"/>
          <w:sz w:val="24"/>
          <w:szCs w:val="24"/>
          <w:lang w:val="en-US" w:eastAsia="zh-CN"/>
        </w:rPr>
        <w:t>Clarke BW</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Cassara</w:t>
      </w:r>
      <w:proofErr w:type="spellEnd"/>
      <w:r w:rsidRPr="003D034F">
        <w:rPr>
          <w:rFonts w:ascii="Book Antiqua" w:hAnsi="Book Antiqua"/>
          <w:kern w:val="2"/>
          <w:sz w:val="24"/>
          <w:szCs w:val="24"/>
          <w:lang w:val="en-US" w:eastAsia="zh-CN"/>
        </w:rPr>
        <w:t xml:space="preserve"> JE, Morgan DR. Crohn’s disease of the esophagus with esophagobronchial fistula formation: A case report and review of the literature. </w:t>
      </w:r>
      <w:proofErr w:type="spellStart"/>
      <w:r w:rsidRPr="003D034F">
        <w:rPr>
          <w:rFonts w:ascii="Book Antiqua" w:hAnsi="Book Antiqua"/>
          <w:i/>
          <w:kern w:val="2"/>
          <w:sz w:val="24"/>
          <w:szCs w:val="24"/>
          <w:lang w:val="en-US" w:eastAsia="zh-CN"/>
        </w:rPr>
        <w:lastRenderedPageBreak/>
        <w:t>Gastrointest</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Endosc</w:t>
      </w:r>
      <w:proofErr w:type="spellEnd"/>
      <w:r w:rsidRPr="003D034F">
        <w:rPr>
          <w:rFonts w:ascii="Book Antiqua" w:hAnsi="Book Antiqua"/>
          <w:kern w:val="2"/>
          <w:sz w:val="24"/>
          <w:szCs w:val="24"/>
          <w:lang w:val="en-US" w:eastAsia="zh-CN"/>
        </w:rPr>
        <w:t xml:space="preserve"> 2010; </w:t>
      </w:r>
      <w:r w:rsidRPr="003D034F">
        <w:rPr>
          <w:rFonts w:ascii="Book Antiqua" w:hAnsi="Book Antiqua"/>
          <w:b/>
          <w:kern w:val="2"/>
          <w:sz w:val="24"/>
          <w:szCs w:val="24"/>
          <w:lang w:val="en-US" w:eastAsia="zh-CN"/>
        </w:rPr>
        <w:t>71</w:t>
      </w:r>
      <w:r w:rsidRPr="003D034F">
        <w:rPr>
          <w:rFonts w:ascii="Book Antiqua" w:hAnsi="Book Antiqua"/>
          <w:kern w:val="2"/>
          <w:sz w:val="24"/>
          <w:szCs w:val="24"/>
          <w:lang w:val="en-US" w:eastAsia="zh-CN"/>
        </w:rPr>
        <w:t>: 207-209 [PMID: 19846083 DOI: 10.1016/j.gie.2009.06.012]</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35 </w:t>
      </w:r>
      <w:proofErr w:type="spellStart"/>
      <w:r w:rsidRPr="003D034F">
        <w:rPr>
          <w:rFonts w:ascii="Book Antiqua" w:hAnsi="Book Antiqua"/>
          <w:b/>
          <w:kern w:val="2"/>
          <w:sz w:val="24"/>
          <w:szCs w:val="24"/>
          <w:lang w:val="en-US" w:eastAsia="zh-CN"/>
        </w:rPr>
        <w:t>Kasarala</w:t>
      </w:r>
      <w:proofErr w:type="spellEnd"/>
      <w:r w:rsidRPr="003D034F">
        <w:rPr>
          <w:rFonts w:ascii="Book Antiqua" w:hAnsi="Book Antiqua"/>
          <w:b/>
          <w:kern w:val="2"/>
          <w:sz w:val="24"/>
          <w:szCs w:val="24"/>
          <w:lang w:val="en-US" w:eastAsia="zh-CN"/>
        </w:rPr>
        <w:t xml:space="preserve"> G</w:t>
      </w:r>
      <w:r w:rsidRPr="003D034F">
        <w:rPr>
          <w:rFonts w:ascii="Book Antiqua" w:hAnsi="Book Antiqua"/>
          <w:kern w:val="2"/>
          <w:sz w:val="24"/>
          <w:szCs w:val="24"/>
          <w:lang w:val="en-US" w:eastAsia="zh-CN"/>
        </w:rPr>
        <w:t xml:space="preserve">, Harvin G, Durrett S. Adult-Onset Esophageal Crohn’s Disease. </w:t>
      </w:r>
      <w:r w:rsidRPr="003D034F">
        <w:rPr>
          <w:rFonts w:ascii="Book Antiqua" w:hAnsi="Book Antiqua"/>
          <w:i/>
          <w:kern w:val="2"/>
          <w:sz w:val="24"/>
          <w:szCs w:val="24"/>
          <w:lang w:val="en-US" w:eastAsia="zh-CN"/>
        </w:rPr>
        <w:t>ACG Case Rep J</w:t>
      </w:r>
      <w:r w:rsidRPr="003D034F">
        <w:rPr>
          <w:rFonts w:ascii="Book Antiqua" w:hAnsi="Book Antiqua"/>
          <w:kern w:val="2"/>
          <w:sz w:val="24"/>
          <w:szCs w:val="24"/>
          <w:lang w:val="en-US" w:eastAsia="zh-CN"/>
        </w:rPr>
        <w:t xml:space="preserve"> 2016; </w:t>
      </w:r>
      <w:r w:rsidRPr="003D034F">
        <w:rPr>
          <w:rFonts w:ascii="Book Antiqua" w:hAnsi="Book Antiqua"/>
          <w:b/>
          <w:kern w:val="2"/>
          <w:sz w:val="24"/>
          <w:szCs w:val="24"/>
          <w:lang w:val="en-US" w:eastAsia="zh-CN"/>
        </w:rPr>
        <w:t>3</w:t>
      </w:r>
      <w:r w:rsidRPr="003D034F">
        <w:rPr>
          <w:rFonts w:ascii="Book Antiqua" w:hAnsi="Book Antiqua"/>
          <w:kern w:val="2"/>
          <w:sz w:val="24"/>
          <w:szCs w:val="24"/>
          <w:lang w:val="en-US" w:eastAsia="zh-CN"/>
        </w:rPr>
        <w:t>: e139 [PMID: 27761477 DOI: 10.14309/crj.2016.112]</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36 </w:t>
      </w:r>
      <w:proofErr w:type="spellStart"/>
      <w:r w:rsidRPr="003D034F">
        <w:rPr>
          <w:rFonts w:ascii="Book Antiqua" w:hAnsi="Book Antiqua"/>
          <w:b/>
          <w:kern w:val="2"/>
          <w:sz w:val="24"/>
          <w:szCs w:val="24"/>
          <w:lang w:val="en-US" w:eastAsia="zh-CN"/>
        </w:rPr>
        <w:t>Wespi</w:t>
      </w:r>
      <w:proofErr w:type="spellEnd"/>
      <w:r w:rsidRPr="003D034F">
        <w:rPr>
          <w:rFonts w:ascii="Book Antiqua" w:hAnsi="Book Antiqua"/>
          <w:b/>
          <w:kern w:val="2"/>
          <w:sz w:val="24"/>
          <w:szCs w:val="24"/>
          <w:lang w:val="en-US" w:eastAsia="zh-CN"/>
        </w:rPr>
        <w:t xml:space="preserve"> SP</w:t>
      </w:r>
      <w:r w:rsidRPr="003D034F">
        <w:rPr>
          <w:rFonts w:ascii="Book Antiqua" w:hAnsi="Book Antiqua"/>
          <w:kern w:val="2"/>
          <w:sz w:val="24"/>
          <w:szCs w:val="24"/>
          <w:lang w:val="en-US" w:eastAsia="zh-CN"/>
        </w:rPr>
        <w:t xml:space="preserve">, Frei R, </w:t>
      </w:r>
      <w:proofErr w:type="spellStart"/>
      <w:r w:rsidRPr="003D034F">
        <w:rPr>
          <w:rFonts w:ascii="Book Antiqua" w:hAnsi="Book Antiqua"/>
          <w:kern w:val="2"/>
          <w:sz w:val="24"/>
          <w:szCs w:val="24"/>
          <w:lang w:val="en-US" w:eastAsia="zh-CN"/>
        </w:rPr>
        <w:t>Sulz</w:t>
      </w:r>
      <w:proofErr w:type="spellEnd"/>
      <w:r w:rsidRPr="003D034F">
        <w:rPr>
          <w:rFonts w:ascii="Book Antiqua" w:hAnsi="Book Antiqua"/>
          <w:kern w:val="2"/>
          <w:sz w:val="24"/>
          <w:szCs w:val="24"/>
          <w:lang w:val="en-US" w:eastAsia="zh-CN"/>
        </w:rPr>
        <w:t xml:space="preserve"> MC. A Very Rare Cause of a Relapsing Para-</w:t>
      </w:r>
      <w:proofErr w:type="spellStart"/>
      <w:r w:rsidRPr="003D034F">
        <w:rPr>
          <w:rFonts w:ascii="Book Antiqua" w:hAnsi="Book Antiqua"/>
          <w:kern w:val="2"/>
          <w:sz w:val="24"/>
          <w:szCs w:val="24"/>
          <w:lang w:val="en-US" w:eastAsia="zh-CN"/>
        </w:rPr>
        <w:t>Oesophageal</w:t>
      </w:r>
      <w:proofErr w:type="spellEnd"/>
      <w:r w:rsidRPr="003D034F">
        <w:rPr>
          <w:rFonts w:ascii="Book Antiqua" w:hAnsi="Book Antiqua"/>
          <w:kern w:val="2"/>
          <w:sz w:val="24"/>
          <w:szCs w:val="24"/>
          <w:lang w:val="en-US" w:eastAsia="zh-CN"/>
        </w:rPr>
        <w:t xml:space="preserve"> Abscess. </w:t>
      </w:r>
      <w:r w:rsidRPr="003D034F">
        <w:rPr>
          <w:rFonts w:ascii="Book Antiqua" w:hAnsi="Book Antiqua"/>
          <w:i/>
          <w:kern w:val="2"/>
          <w:sz w:val="24"/>
          <w:szCs w:val="24"/>
          <w:lang w:val="en-US" w:eastAsia="zh-CN"/>
        </w:rPr>
        <w:t>Case Rep Gastroenterol</w:t>
      </w:r>
      <w:r w:rsidRPr="003D034F">
        <w:rPr>
          <w:rFonts w:ascii="Book Antiqua" w:hAnsi="Book Antiqua"/>
          <w:kern w:val="2"/>
          <w:sz w:val="24"/>
          <w:szCs w:val="24"/>
          <w:lang w:val="en-US" w:eastAsia="zh-CN"/>
        </w:rPr>
        <w:t xml:space="preserve"> 2016; </w:t>
      </w:r>
      <w:r w:rsidRPr="003D034F">
        <w:rPr>
          <w:rFonts w:ascii="Book Antiqua" w:hAnsi="Book Antiqua"/>
          <w:b/>
          <w:kern w:val="2"/>
          <w:sz w:val="24"/>
          <w:szCs w:val="24"/>
          <w:lang w:val="en-US" w:eastAsia="zh-CN"/>
        </w:rPr>
        <w:t>10</w:t>
      </w:r>
      <w:r w:rsidRPr="003D034F">
        <w:rPr>
          <w:rFonts w:ascii="Book Antiqua" w:hAnsi="Book Antiqua"/>
          <w:kern w:val="2"/>
          <w:sz w:val="24"/>
          <w:szCs w:val="24"/>
          <w:lang w:val="en-US" w:eastAsia="zh-CN"/>
        </w:rPr>
        <w:t>: 132-138 [PMID: 27403115 DOI: 10.1159/000445183]</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37 </w:t>
      </w:r>
      <w:proofErr w:type="spellStart"/>
      <w:r w:rsidRPr="003D034F">
        <w:rPr>
          <w:rFonts w:ascii="Book Antiqua" w:hAnsi="Book Antiqua"/>
          <w:b/>
          <w:kern w:val="2"/>
          <w:sz w:val="24"/>
          <w:szCs w:val="24"/>
          <w:lang w:val="en-US" w:eastAsia="zh-CN"/>
        </w:rPr>
        <w:t>Ghahremani</w:t>
      </w:r>
      <w:proofErr w:type="spellEnd"/>
      <w:r w:rsidRPr="003D034F">
        <w:rPr>
          <w:rFonts w:ascii="Book Antiqua" w:hAnsi="Book Antiqua"/>
          <w:b/>
          <w:kern w:val="2"/>
          <w:sz w:val="24"/>
          <w:szCs w:val="24"/>
          <w:lang w:val="en-US" w:eastAsia="zh-CN"/>
        </w:rPr>
        <w:t xml:space="preserve"> GG</w:t>
      </w:r>
      <w:r w:rsidRPr="003D034F">
        <w:rPr>
          <w:rFonts w:ascii="Book Antiqua" w:hAnsi="Book Antiqua"/>
          <w:kern w:val="2"/>
          <w:sz w:val="24"/>
          <w:szCs w:val="24"/>
          <w:lang w:val="en-US" w:eastAsia="zh-CN"/>
        </w:rPr>
        <w:t xml:space="preserve">, Gore RM, Breuer RI, Larson RH. Esophageal manifestations of Crohn’s disease. </w:t>
      </w:r>
      <w:proofErr w:type="spellStart"/>
      <w:r w:rsidRPr="003D034F">
        <w:rPr>
          <w:rFonts w:ascii="Book Antiqua" w:hAnsi="Book Antiqua"/>
          <w:i/>
          <w:kern w:val="2"/>
          <w:sz w:val="24"/>
          <w:szCs w:val="24"/>
          <w:lang w:val="en-US" w:eastAsia="zh-CN"/>
        </w:rPr>
        <w:t>Gastrointest</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Radiol</w:t>
      </w:r>
      <w:proofErr w:type="spellEnd"/>
      <w:r w:rsidRPr="003D034F">
        <w:rPr>
          <w:rFonts w:ascii="Book Antiqua" w:hAnsi="Book Antiqua"/>
          <w:kern w:val="2"/>
          <w:sz w:val="24"/>
          <w:szCs w:val="24"/>
          <w:lang w:val="en-US" w:eastAsia="zh-CN"/>
        </w:rPr>
        <w:t xml:space="preserve"> 1982; </w:t>
      </w:r>
      <w:r w:rsidRPr="003D034F">
        <w:rPr>
          <w:rFonts w:ascii="Book Antiqua" w:hAnsi="Book Antiqua"/>
          <w:b/>
          <w:kern w:val="2"/>
          <w:sz w:val="24"/>
          <w:szCs w:val="24"/>
          <w:lang w:val="en-US" w:eastAsia="zh-CN"/>
        </w:rPr>
        <w:t>7</w:t>
      </w:r>
      <w:r w:rsidRPr="003D034F">
        <w:rPr>
          <w:rFonts w:ascii="Book Antiqua" w:hAnsi="Book Antiqua"/>
          <w:kern w:val="2"/>
          <w:sz w:val="24"/>
          <w:szCs w:val="24"/>
          <w:lang w:val="en-US" w:eastAsia="zh-CN"/>
        </w:rPr>
        <w:t>: 199-203 [PMID: 7106483 DOI: 10.1007/BF01887639]</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38 </w:t>
      </w:r>
      <w:r w:rsidRPr="003D034F">
        <w:rPr>
          <w:rFonts w:ascii="Book Antiqua" w:hAnsi="Book Antiqua"/>
          <w:b/>
          <w:kern w:val="2"/>
          <w:sz w:val="24"/>
          <w:szCs w:val="24"/>
          <w:lang w:val="en-US" w:eastAsia="zh-CN"/>
        </w:rPr>
        <w:t>Nomura Y</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Moriichi</w:t>
      </w:r>
      <w:proofErr w:type="spellEnd"/>
      <w:r w:rsidRPr="003D034F">
        <w:rPr>
          <w:rFonts w:ascii="Book Antiqua" w:hAnsi="Book Antiqua"/>
          <w:kern w:val="2"/>
          <w:sz w:val="24"/>
          <w:szCs w:val="24"/>
          <w:lang w:val="en-US" w:eastAsia="zh-CN"/>
        </w:rPr>
        <w:t xml:space="preserve"> K, Fujiya M, Okumura T. The endoscopic findings of the upper gastrointestinal tract in patients with Crohn’s disease. </w:t>
      </w:r>
      <w:proofErr w:type="spellStart"/>
      <w:r w:rsidRPr="003D034F">
        <w:rPr>
          <w:rFonts w:ascii="Book Antiqua" w:hAnsi="Book Antiqua"/>
          <w:i/>
          <w:kern w:val="2"/>
          <w:sz w:val="24"/>
          <w:szCs w:val="24"/>
          <w:lang w:val="en-US" w:eastAsia="zh-CN"/>
        </w:rPr>
        <w:t>Clin</w:t>
      </w:r>
      <w:proofErr w:type="spellEnd"/>
      <w:r w:rsidRPr="003D034F">
        <w:rPr>
          <w:rFonts w:ascii="Book Antiqua" w:hAnsi="Book Antiqua"/>
          <w:i/>
          <w:kern w:val="2"/>
          <w:sz w:val="24"/>
          <w:szCs w:val="24"/>
          <w:lang w:val="en-US" w:eastAsia="zh-CN"/>
        </w:rPr>
        <w:t xml:space="preserve"> J Gastroenterol</w:t>
      </w:r>
      <w:r w:rsidRPr="003D034F">
        <w:rPr>
          <w:rFonts w:ascii="Book Antiqua" w:hAnsi="Book Antiqua"/>
          <w:kern w:val="2"/>
          <w:sz w:val="24"/>
          <w:szCs w:val="24"/>
          <w:lang w:val="en-US" w:eastAsia="zh-CN"/>
        </w:rPr>
        <w:t xml:space="preserve"> 2017; </w:t>
      </w:r>
      <w:r w:rsidRPr="003D034F">
        <w:rPr>
          <w:rFonts w:ascii="Book Antiqua" w:hAnsi="Book Antiqua"/>
          <w:b/>
          <w:kern w:val="2"/>
          <w:sz w:val="24"/>
          <w:szCs w:val="24"/>
          <w:lang w:val="en-US" w:eastAsia="zh-CN"/>
        </w:rPr>
        <w:t>10</w:t>
      </w:r>
      <w:r w:rsidRPr="003D034F">
        <w:rPr>
          <w:rFonts w:ascii="Book Antiqua" w:hAnsi="Book Antiqua"/>
          <w:kern w:val="2"/>
          <w:sz w:val="24"/>
          <w:szCs w:val="24"/>
          <w:lang w:val="en-US" w:eastAsia="zh-CN"/>
        </w:rPr>
        <w:t>: 289-296 [PMID: 28695451 DOI: 10.1007/s12328-017-0759-7]</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39 </w:t>
      </w:r>
      <w:r w:rsidRPr="003D034F">
        <w:rPr>
          <w:rFonts w:ascii="Book Antiqua" w:hAnsi="Book Antiqua"/>
          <w:b/>
          <w:kern w:val="2"/>
          <w:sz w:val="24"/>
          <w:szCs w:val="24"/>
          <w:lang w:val="en-US" w:eastAsia="zh-CN"/>
        </w:rPr>
        <w:t>Loreto-Brand M</w:t>
      </w:r>
      <w:r w:rsidRPr="003D034F">
        <w:rPr>
          <w:rFonts w:ascii="Book Antiqua" w:hAnsi="Book Antiqua"/>
          <w:kern w:val="2"/>
          <w:sz w:val="24"/>
          <w:szCs w:val="24"/>
          <w:lang w:val="en-US" w:eastAsia="zh-CN"/>
        </w:rPr>
        <w:t xml:space="preserve">, Fernández-Pérez A, </w:t>
      </w:r>
      <w:proofErr w:type="spellStart"/>
      <w:r w:rsidRPr="003D034F">
        <w:rPr>
          <w:rFonts w:ascii="Book Antiqua" w:hAnsi="Book Antiqua"/>
          <w:kern w:val="2"/>
          <w:sz w:val="24"/>
          <w:szCs w:val="24"/>
          <w:lang w:val="en-US" w:eastAsia="zh-CN"/>
        </w:rPr>
        <w:t>Celeiro</w:t>
      </w:r>
      <w:proofErr w:type="spellEnd"/>
      <w:r w:rsidRPr="003D034F">
        <w:rPr>
          <w:rFonts w:ascii="Book Antiqua" w:hAnsi="Book Antiqua"/>
          <w:kern w:val="2"/>
          <w:sz w:val="24"/>
          <w:szCs w:val="24"/>
          <w:lang w:val="en-US" w:eastAsia="zh-CN"/>
        </w:rPr>
        <w:t xml:space="preserve">-Muñoz C, Álvarez-Castro A, Bustamante-Montalvo M. Crohn’s disease: Upper gastrointestinal involvement. </w:t>
      </w:r>
      <w:r w:rsidRPr="003D034F">
        <w:rPr>
          <w:rFonts w:ascii="Book Antiqua" w:hAnsi="Book Antiqua"/>
          <w:i/>
          <w:kern w:val="2"/>
          <w:sz w:val="24"/>
          <w:szCs w:val="24"/>
          <w:lang w:val="en-US" w:eastAsia="zh-CN"/>
        </w:rPr>
        <w:t>Rev Gastroenterol Mex</w:t>
      </w:r>
      <w:r w:rsidRPr="003D034F">
        <w:rPr>
          <w:rFonts w:ascii="Book Antiqua" w:hAnsi="Book Antiqua"/>
          <w:kern w:val="2"/>
          <w:sz w:val="24"/>
          <w:szCs w:val="24"/>
          <w:lang w:val="en-US" w:eastAsia="zh-CN"/>
        </w:rPr>
        <w:t xml:space="preserve"> 2015; </w:t>
      </w:r>
      <w:r w:rsidRPr="003D034F">
        <w:rPr>
          <w:rFonts w:ascii="Book Antiqua" w:hAnsi="Book Antiqua"/>
          <w:b/>
          <w:kern w:val="2"/>
          <w:sz w:val="24"/>
          <w:szCs w:val="24"/>
          <w:lang w:val="en-US" w:eastAsia="zh-CN"/>
        </w:rPr>
        <w:t>80</w:t>
      </w:r>
      <w:r w:rsidRPr="003D034F">
        <w:rPr>
          <w:rFonts w:ascii="Book Antiqua" w:hAnsi="Book Antiqua"/>
          <w:kern w:val="2"/>
          <w:sz w:val="24"/>
          <w:szCs w:val="24"/>
          <w:lang w:val="en-US" w:eastAsia="zh-CN"/>
        </w:rPr>
        <w:t>: 282-285 [PMID: 26070375 DOI: 10.1016/j.rgmx.2015.03.004]</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40 </w:t>
      </w:r>
      <w:proofErr w:type="spellStart"/>
      <w:r w:rsidRPr="003D034F">
        <w:rPr>
          <w:rFonts w:ascii="Book Antiqua" w:hAnsi="Book Antiqua"/>
          <w:b/>
          <w:kern w:val="2"/>
          <w:sz w:val="24"/>
          <w:szCs w:val="24"/>
          <w:lang w:val="en-US" w:eastAsia="zh-CN"/>
        </w:rPr>
        <w:t>Szalóki</w:t>
      </w:r>
      <w:proofErr w:type="spellEnd"/>
      <w:r w:rsidRPr="003D034F">
        <w:rPr>
          <w:rFonts w:ascii="Book Antiqua" w:hAnsi="Book Antiqua"/>
          <w:b/>
          <w:kern w:val="2"/>
          <w:sz w:val="24"/>
          <w:szCs w:val="24"/>
          <w:lang w:val="en-US" w:eastAsia="zh-CN"/>
        </w:rPr>
        <w:t xml:space="preserve"> T</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Tóth</w:t>
      </w:r>
      <w:proofErr w:type="spellEnd"/>
      <w:r w:rsidRPr="003D034F">
        <w:rPr>
          <w:rFonts w:ascii="Book Antiqua" w:hAnsi="Book Antiqua"/>
          <w:kern w:val="2"/>
          <w:sz w:val="24"/>
          <w:szCs w:val="24"/>
          <w:lang w:val="en-US" w:eastAsia="zh-CN"/>
        </w:rPr>
        <w:t xml:space="preserve"> V, </w:t>
      </w:r>
      <w:proofErr w:type="spellStart"/>
      <w:r w:rsidRPr="003D034F">
        <w:rPr>
          <w:rFonts w:ascii="Book Antiqua" w:hAnsi="Book Antiqua"/>
          <w:kern w:val="2"/>
          <w:sz w:val="24"/>
          <w:szCs w:val="24"/>
          <w:lang w:val="en-US" w:eastAsia="zh-CN"/>
        </w:rPr>
        <w:t>Czakó</w:t>
      </w:r>
      <w:proofErr w:type="spellEnd"/>
      <w:r w:rsidRPr="003D034F">
        <w:rPr>
          <w:rFonts w:ascii="Book Antiqua" w:hAnsi="Book Antiqua"/>
          <w:kern w:val="2"/>
          <w:sz w:val="24"/>
          <w:szCs w:val="24"/>
          <w:lang w:val="en-US" w:eastAsia="zh-CN"/>
        </w:rPr>
        <w:t xml:space="preserve"> L. Unusual esophageal manifestations of Crohn’s disease. </w:t>
      </w:r>
      <w:proofErr w:type="spellStart"/>
      <w:r w:rsidRPr="003D034F">
        <w:rPr>
          <w:rFonts w:ascii="Book Antiqua" w:hAnsi="Book Antiqua"/>
          <w:i/>
          <w:kern w:val="2"/>
          <w:sz w:val="24"/>
          <w:szCs w:val="24"/>
          <w:lang w:val="en-US" w:eastAsia="zh-CN"/>
        </w:rPr>
        <w:t>Gastrointest</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Endosc</w:t>
      </w:r>
      <w:proofErr w:type="spellEnd"/>
      <w:r w:rsidRPr="003D034F">
        <w:rPr>
          <w:rFonts w:ascii="Book Antiqua" w:hAnsi="Book Antiqua"/>
          <w:kern w:val="2"/>
          <w:sz w:val="24"/>
          <w:szCs w:val="24"/>
          <w:lang w:val="en-US" w:eastAsia="zh-CN"/>
        </w:rPr>
        <w:t xml:space="preserve"> 2006; </w:t>
      </w:r>
      <w:r w:rsidRPr="003D034F">
        <w:rPr>
          <w:rFonts w:ascii="Book Antiqua" w:hAnsi="Book Antiqua"/>
          <w:b/>
          <w:kern w:val="2"/>
          <w:sz w:val="24"/>
          <w:szCs w:val="24"/>
          <w:lang w:val="en-US" w:eastAsia="zh-CN"/>
        </w:rPr>
        <w:t>64</w:t>
      </w:r>
      <w:r w:rsidRPr="003D034F">
        <w:rPr>
          <w:rFonts w:ascii="Book Antiqua" w:hAnsi="Book Antiqua"/>
          <w:kern w:val="2"/>
          <w:sz w:val="24"/>
          <w:szCs w:val="24"/>
          <w:lang w:val="en-US" w:eastAsia="zh-CN"/>
        </w:rPr>
        <w:t>: 121; discussion 121 [PMID: 16813817 DOI: 10.1016/j.gie.2006.01.036]</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41 </w:t>
      </w:r>
      <w:proofErr w:type="spellStart"/>
      <w:r w:rsidRPr="003D034F">
        <w:rPr>
          <w:rFonts w:ascii="Book Antiqua" w:hAnsi="Book Antiqua"/>
          <w:b/>
          <w:kern w:val="2"/>
          <w:sz w:val="24"/>
          <w:szCs w:val="24"/>
          <w:lang w:val="en-US" w:eastAsia="zh-CN"/>
        </w:rPr>
        <w:t>D'Haens</w:t>
      </w:r>
      <w:proofErr w:type="spellEnd"/>
      <w:r w:rsidRPr="003D034F">
        <w:rPr>
          <w:rFonts w:ascii="Book Antiqua" w:hAnsi="Book Antiqua"/>
          <w:b/>
          <w:kern w:val="2"/>
          <w:sz w:val="24"/>
          <w:szCs w:val="24"/>
          <w:lang w:val="en-US" w:eastAsia="zh-CN"/>
        </w:rPr>
        <w:t xml:space="preserve"> G</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Rutgeerts</w:t>
      </w:r>
      <w:proofErr w:type="spellEnd"/>
      <w:r w:rsidRPr="003D034F">
        <w:rPr>
          <w:rFonts w:ascii="Book Antiqua" w:hAnsi="Book Antiqua"/>
          <w:kern w:val="2"/>
          <w:sz w:val="24"/>
          <w:szCs w:val="24"/>
          <w:lang w:val="en-US" w:eastAsia="zh-CN"/>
        </w:rPr>
        <w:t xml:space="preserve"> P, </w:t>
      </w:r>
      <w:proofErr w:type="spellStart"/>
      <w:r w:rsidRPr="003D034F">
        <w:rPr>
          <w:rFonts w:ascii="Book Antiqua" w:hAnsi="Book Antiqua"/>
          <w:kern w:val="2"/>
          <w:sz w:val="24"/>
          <w:szCs w:val="24"/>
          <w:lang w:val="en-US" w:eastAsia="zh-CN"/>
        </w:rPr>
        <w:t>Geboes</w:t>
      </w:r>
      <w:proofErr w:type="spellEnd"/>
      <w:r w:rsidRPr="003D034F">
        <w:rPr>
          <w:rFonts w:ascii="Book Antiqua" w:hAnsi="Book Antiqua"/>
          <w:kern w:val="2"/>
          <w:sz w:val="24"/>
          <w:szCs w:val="24"/>
          <w:lang w:val="en-US" w:eastAsia="zh-CN"/>
        </w:rPr>
        <w:t xml:space="preserve"> K, </w:t>
      </w:r>
      <w:proofErr w:type="spellStart"/>
      <w:r w:rsidRPr="003D034F">
        <w:rPr>
          <w:rFonts w:ascii="Book Antiqua" w:hAnsi="Book Antiqua"/>
          <w:kern w:val="2"/>
          <w:sz w:val="24"/>
          <w:szCs w:val="24"/>
          <w:lang w:val="en-US" w:eastAsia="zh-CN"/>
        </w:rPr>
        <w:t>Vantrappen</w:t>
      </w:r>
      <w:proofErr w:type="spellEnd"/>
      <w:r w:rsidRPr="003D034F">
        <w:rPr>
          <w:rFonts w:ascii="Book Antiqua" w:hAnsi="Book Antiqua"/>
          <w:kern w:val="2"/>
          <w:sz w:val="24"/>
          <w:szCs w:val="24"/>
          <w:lang w:val="en-US" w:eastAsia="zh-CN"/>
        </w:rPr>
        <w:t xml:space="preserve"> G. The natural history of esophageal Crohn’s disease: Three patterns of evolution. </w:t>
      </w:r>
      <w:proofErr w:type="spellStart"/>
      <w:r w:rsidRPr="003D034F">
        <w:rPr>
          <w:rFonts w:ascii="Book Antiqua" w:hAnsi="Book Antiqua"/>
          <w:i/>
          <w:kern w:val="2"/>
          <w:sz w:val="24"/>
          <w:szCs w:val="24"/>
          <w:lang w:val="en-US" w:eastAsia="zh-CN"/>
        </w:rPr>
        <w:t>Gastrointest</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Endosc</w:t>
      </w:r>
      <w:proofErr w:type="spellEnd"/>
      <w:r w:rsidRPr="003D034F">
        <w:rPr>
          <w:rFonts w:ascii="Book Antiqua" w:hAnsi="Book Antiqua"/>
          <w:kern w:val="2"/>
          <w:sz w:val="24"/>
          <w:szCs w:val="24"/>
          <w:lang w:val="en-US" w:eastAsia="zh-CN"/>
        </w:rPr>
        <w:t xml:space="preserve"> 1994; </w:t>
      </w:r>
      <w:r w:rsidRPr="003D034F">
        <w:rPr>
          <w:rFonts w:ascii="Book Antiqua" w:hAnsi="Book Antiqua"/>
          <w:b/>
          <w:kern w:val="2"/>
          <w:sz w:val="24"/>
          <w:szCs w:val="24"/>
          <w:lang w:val="en-US" w:eastAsia="zh-CN"/>
        </w:rPr>
        <w:t>40</w:t>
      </w:r>
      <w:r w:rsidRPr="003D034F">
        <w:rPr>
          <w:rFonts w:ascii="Book Antiqua" w:hAnsi="Book Antiqua"/>
          <w:kern w:val="2"/>
          <w:sz w:val="24"/>
          <w:szCs w:val="24"/>
          <w:lang w:val="en-US" w:eastAsia="zh-CN"/>
        </w:rPr>
        <w:t>: 296-300 [PMID: 8056231 DOI: 10.1016/S0016-5107(94)70059-1]</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42 </w:t>
      </w:r>
      <w:r w:rsidRPr="003D034F">
        <w:rPr>
          <w:rFonts w:ascii="Book Antiqua" w:hAnsi="Book Antiqua"/>
          <w:b/>
          <w:kern w:val="2"/>
          <w:sz w:val="24"/>
          <w:szCs w:val="24"/>
          <w:lang w:val="en-US" w:eastAsia="zh-CN"/>
        </w:rPr>
        <w:t>Goldstein NS</w:t>
      </w:r>
      <w:r w:rsidRPr="003D034F">
        <w:rPr>
          <w:rFonts w:ascii="Book Antiqua" w:hAnsi="Book Antiqua"/>
          <w:kern w:val="2"/>
          <w:sz w:val="24"/>
          <w:szCs w:val="24"/>
          <w:lang w:val="en-US" w:eastAsia="zh-CN"/>
        </w:rPr>
        <w:t xml:space="preserve">, Amin M. Upper Gastrointestinal Tract in Inflammatory Bowel Disease. </w:t>
      </w:r>
      <w:proofErr w:type="spellStart"/>
      <w:r w:rsidRPr="003D034F">
        <w:rPr>
          <w:rFonts w:ascii="Book Antiqua" w:hAnsi="Book Antiqua"/>
          <w:i/>
          <w:kern w:val="2"/>
          <w:sz w:val="24"/>
          <w:szCs w:val="24"/>
          <w:lang w:val="en-US" w:eastAsia="zh-CN"/>
        </w:rPr>
        <w:t>Surg</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Pathol</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Clin</w:t>
      </w:r>
      <w:proofErr w:type="spellEnd"/>
      <w:r w:rsidRPr="003D034F">
        <w:rPr>
          <w:rFonts w:ascii="Book Antiqua" w:hAnsi="Book Antiqua"/>
          <w:kern w:val="2"/>
          <w:sz w:val="24"/>
          <w:szCs w:val="24"/>
          <w:lang w:val="en-US" w:eastAsia="zh-CN"/>
        </w:rPr>
        <w:t xml:space="preserve"> 2010; </w:t>
      </w:r>
      <w:r w:rsidRPr="003D034F">
        <w:rPr>
          <w:rFonts w:ascii="Book Antiqua" w:hAnsi="Book Antiqua"/>
          <w:b/>
          <w:kern w:val="2"/>
          <w:sz w:val="24"/>
          <w:szCs w:val="24"/>
          <w:lang w:val="en-US" w:eastAsia="zh-CN"/>
        </w:rPr>
        <w:t>3</w:t>
      </w:r>
      <w:r w:rsidRPr="003D034F">
        <w:rPr>
          <w:rFonts w:ascii="Book Antiqua" w:hAnsi="Book Antiqua"/>
          <w:kern w:val="2"/>
          <w:sz w:val="24"/>
          <w:szCs w:val="24"/>
          <w:lang w:val="en-US" w:eastAsia="zh-CN"/>
        </w:rPr>
        <w:t>: 349-359 [PMID: 26839135 DOI: 10.1016/j.path.2010.05.004]</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43 </w:t>
      </w:r>
      <w:r w:rsidRPr="003D034F">
        <w:rPr>
          <w:rFonts w:ascii="Book Antiqua" w:hAnsi="Book Antiqua"/>
          <w:b/>
          <w:kern w:val="2"/>
          <w:sz w:val="24"/>
          <w:szCs w:val="24"/>
          <w:lang w:val="en-US" w:eastAsia="zh-CN"/>
        </w:rPr>
        <w:t>Weinstein T</w:t>
      </w:r>
      <w:r w:rsidRPr="003D034F">
        <w:rPr>
          <w:rFonts w:ascii="Book Antiqua" w:hAnsi="Book Antiqua"/>
          <w:kern w:val="2"/>
          <w:sz w:val="24"/>
          <w:szCs w:val="24"/>
          <w:lang w:val="en-US" w:eastAsia="zh-CN"/>
        </w:rPr>
        <w:t xml:space="preserve">, Valderrama E, </w:t>
      </w:r>
      <w:proofErr w:type="spellStart"/>
      <w:r w:rsidRPr="003D034F">
        <w:rPr>
          <w:rFonts w:ascii="Book Antiqua" w:hAnsi="Book Antiqua"/>
          <w:kern w:val="2"/>
          <w:sz w:val="24"/>
          <w:szCs w:val="24"/>
          <w:lang w:val="en-US" w:eastAsia="zh-CN"/>
        </w:rPr>
        <w:t>Pettei</w:t>
      </w:r>
      <w:proofErr w:type="spellEnd"/>
      <w:r w:rsidRPr="003D034F">
        <w:rPr>
          <w:rFonts w:ascii="Book Antiqua" w:hAnsi="Book Antiqua"/>
          <w:kern w:val="2"/>
          <w:sz w:val="24"/>
          <w:szCs w:val="24"/>
          <w:lang w:val="en-US" w:eastAsia="zh-CN"/>
        </w:rPr>
        <w:t xml:space="preserve"> M, Levine J. Esophageal Crohn’s disease: medical management and correlation between clinical, endoscopic, and histologic features. </w:t>
      </w:r>
      <w:proofErr w:type="spellStart"/>
      <w:r w:rsidRPr="003D034F">
        <w:rPr>
          <w:rFonts w:ascii="Book Antiqua" w:hAnsi="Book Antiqua"/>
          <w:i/>
          <w:kern w:val="2"/>
          <w:sz w:val="24"/>
          <w:szCs w:val="24"/>
          <w:lang w:val="en-US" w:eastAsia="zh-CN"/>
        </w:rPr>
        <w:t>Inflamm</w:t>
      </w:r>
      <w:proofErr w:type="spellEnd"/>
      <w:r w:rsidRPr="003D034F">
        <w:rPr>
          <w:rFonts w:ascii="Book Antiqua" w:hAnsi="Book Antiqua"/>
          <w:i/>
          <w:kern w:val="2"/>
          <w:sz w:val="24"/>
          <w:szCs w:val="24"/>
          <w:lang w:val="en-US" w:eastAsia="zh-CN"/>
        </w:rPr>
        <w:t xml:space="preserve"> Bowel Dis</w:t>
      </w:r>
      <w:r w:rsidRPr="003D034F">
        <w:rPr>
          <w:rFonts w:ascii="Book Antiqua" w:hAnsi="Book Antiqua"/>
          <w:kern w:val="2"/>
          <w:sz w:val="24"/>
          <w:szCs w:val="24"/>
          <w:lang w:val="en-US" w:eastAsia="zh-CN"/>
        </w:rPr>
        <w:t xml:space="preserve"> 1997; </w:t>
      </w:r>
      <w:r w:rsidRPr="003D034F">
        <w:rPr>
          <w:rFonts w:ascii="Book Antiqua" w:hAnsi="Book Antiqua"/>
          <w:b/>
          <w:kern w:val="2"/>
          <w:sz w:val="24"/>
          <w:szCs w:val="24"/>
          <w:lang w:val="en-US" w:eastAsia="zh-CN"/>
        </w:rPr>
        <w:t>3</w:t>
      </w:r>
      <w:r w:rsidRPr="003D034F">
        <w:rPr>
          <w:rFonts w:ascii="Book Antiqua" w:hAnsi="Book Antiqua"/>
          <w:kern w:val="2"/>
          <w:sz w:val="24"/>
          <w:szCs w:val="24"/>
          <w:lang w:val="en-US" w:eastAsia="zh-CN"/>
        </w:rPr>
        <w:t>: 79-83 [PMID: 23282748 DOI: 10.1002/ibd.3780030203]</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44 </w:t>
      </w:r>
      <w:proofErr w:type="spellStart"/>
      <w:r w:rsidRPr="003D034F">
        <w:rPr>
          <w:rFonts w:ascii="Book Antiqua" w:hAnsi="Book Antiqua"/>
          <w:b/>
          <w:kern w:val="2"/>
          <w:sz w:val="24"/>
          <w:szCs w:val="24"/>
          <w:lang w:val="en-US" w:eastAsia="zh-CN"/>
        </w:rPr>
        <w:t>Skef</w:t>
      </w:r>
      <w:proofErr w:type="spellEnd"/>
      <w:r w:rsidRPr="003D034F">
        <w:rPr>
          <w:rFonts w:ascii="Book Antiqua" w:hAnsi="Book Antiqua"/>
          <w:b/>
          <w:kern w:val="2"/>
          <w:sz w:val="24"/>
          <w:szCs w:val="24"/>
          <w:lang w:val="en-US" w:eastAsia="zh-CN"/>
        </w:rPr>
        <w:t xml:space="preserve"> W</w:t>
      </w:r>
      <w:r w:rsidRPr="003D034F">
        <w:rPr>
          <w:rFonts w:ascii="Book Antiqua" w:hAnsi="Book Antiqua"/>
          <w:kern w:val="2"/>
          <w:sz w:val="24"/>
          <w:szCs w:val="24"/>
          <w:lang w:val="en-US" w:eastAsia="zh-CN"/>
        </w:rPr>
        <w:t xml:space="preserve">, Hamilton MJ, </w:t>
      </w:r>
      <w:proofErr w:type="spellStart"/>
      <w:r w:rsidRPr="003D034F">
        <w:rPr>
          <w:rFonts w:ascii="Book Antiqua" w:hAnsi="Book Antiqua"/>
          <w:kern w:val="2"/>
          <w:sz w:val="24"/>
          <w:szCs w:val="24"/>
          <w:lang w:val="en-US" w:eastAsia="zh-CN"/>
        </w:rPr>
        <w:t>Arayssi</w:t>
      </w:r>
      <w:proofErr w:type="spellEnd"/>
      <w:r w:rsidRPr="003D034F">
        <w:rPr>
          <w:rFonts w:ascii="Book Antiqua" w:hAnsi="Book Antiqua"/>
          <w:kern w:val="2"/>
          <w:sz w:val="24"/>
          <w:szCs w:val="24"/>
          <w:lang w:val="en-US" w:eastAsia="zh-CN"/>
        </w:rPr>
        <w:t xml:space="preserve"> T. Gastrointestinal </w:t>
      </w:r>
      <w:proofErr w:type="spellStart"/>
      <w:r w:rsidRPr="003D034F">
        <w:rPr>
          <w:rFonts w:ascii="Book Antiqua" w:hAnsi="Book Antiqua"/>
          <w:kern w:val="2"/>
          <w:sz w:val="24"/>
          <w:szCs w:val="24"/>
          <w:lang w:val="en-US" w:eastAsia="zh-CN"/>
        </w:rPr>
        <w:t>Behçet's</w:t>
      </w:r>
      <w:proofErr w:type="spellEnd"/>
      <w:r w:rsidRPr="003D034F">
        <w:rPr>
          <w:rFonts w:ascii="Book Antiqua" w:hAnsi="Book Antiqua"/>
          <w:kern w:val="2"/>
          <w:sz w:val="24"/>
          <w:szCs w:val="24"/>
          <w:lang w:val="en-US" w:eastAsia="zh-CN"/>
        </w:rPr>
        <w:t xml:space="preserve"> disease: A review. </w:t>
      </w:r>
      <w:r w:rsidRPr="003D034F">
        <w:rPr>
          <w:rFonts w:ascii="Book Antiqua" w:hAnsi="Book Antiqua"/>
          <w:i/>
          <w:kern w:val="2"/>
          <w:sz w:val="24"/>
          <w:szCs w:val="24"/>
          <w:lang w:val="en-US" w:eastAsia="zh-CN"/>
        </w:rPr>
        <w:lastRenderedPageBreak/>
        <w:t>World J Gastroenterol</w:t>
      </w:r>
      <w:r w:rsidRPr="003D034F">
        <w:rPr>
          <w:rFonts w:ascii="Book Antiqua" w:hAnsi="Book Antiqua"/>
          <w:kern w:val="2"/>
          <w:sz w:val="24"/>
          <w:szCs w:val="24"/>
          <w:lang w:val="en-US" w:eastAsia="zh-CN"/>
        </w:rPr>
        <w:t xml:space="preserve"> 2015; </w:t>
      </w:r>
      <w:r w:rsidRPr="003D034F">
        <w:rPr>
          <w:rFonts w:ascii="Book Antiqua" w:hAnsi="Book Antiqua"/>
          <w:b/>
          <w:kern w:val="2"/>
          <w:sz w:val="24"/>
          <w:szCs w:val="24"/>
          <w:lang w:val="en-US" w:eastAsia="zh-CN"/>
        </w:rPr>
        <w:t>21</w:t>
      </w:r>
      <w:r w:rsidRPr="003D034F">
        <w:rPr>
          <w:rFonts w:ascii="Book Antiqua" w:hAnsi="Book Antiqua"/>
          <w:kern w:val="2"/>
          <w:sz w:val="24"/>
          <w:szCs w:val="24"/>
          <w:lang w:val="en-US" w:eastAsia="zh-CN"/>
        </w:rPr>
        <w:t>: 3801-3812 [PMID: 25852265 DOI: 10.3748/wjg.v21.i13.3801]</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45 </w:t>
      </w:r>
      <w:r w:rsidRPr="003D034F">
        <w:rPr>
          <w:rFonts w:ascii="Book Antiqua" w:hAnsi="Book Antiqua"/>
          <w:b/>
          <w:kern w:val="2"/>
          <w:sz w:val="24"/>
          <w:szCs w:val="24"/>
          <w:lang w:val="en-US" w:eastAsia="zh-CN"/>
        </w:rPr>
        <w:t>Debi U</w:t>
      </w:r>
      <w:r w:rsidRPr="003D034F">
        <w:rPr>
          <w:rFonts w:ascii="Book Antiqua" w:hAnsi="Book Antiqua"/>
          <w:kern w:val="2"/>
          <w:sz w:val="24"/>
          <w:szCs w:val="24"/>
          <w:lang w:val="en-US" w:eastAsia="zh-CN"/>
        </w:rPr>
        <w:t xml:space="preserve">, Ravisankar V, Prasad KK, Sinha SK, Sharma AK. Abdominal tuberculosis of the gastrointestinal tract: Revisited. </w:t>
      </w:r>
      <w:r w:rsidRPr="003D034F">
        <w:rPr>
          <w:rFonts w:ascii="Book Antiqua" w:hAnsi="Book Antiqua"/>
          <w:i/>
          <w:kern w:val="2"/>
          <w:sz w:val="24"/>
          <w:szCs w:val="24"/>
          <w:lang w:val="en-US" w:eastAsia="zh-CN"/>
        </w:rPr>
        <w:t>World J Gastroenterol</w:t>
      </w:r>
      <w:r w:rsidRPr="003D034F">
        <w:rPr>
          <w:rFonts w:ascii="Book Antiqua" w:hAnsi="Book Antiqua"/>
          <w:kern w:val="2"/>
          <w:sz w:val="24"/>
          <w:szCs w:val="24"/>
          <w:lang w:val="en-US" w:eastAsia="zh-CN"/>
        </w:rPr>
        <w:t xml:space="preserve"> 2014; </w:t>
      </w:r>
      <w:r w:rsidRPr="003D034F">
        <w:rPr>
          <w:rFonts w:ascii="Book Antiqua" w:hAnsi="Book Antiqua"/>
          <w:b/>
          <w:kern w:val="2"/>
          <w:sz w:val="24"/>
          <w:szCs w:val="24"/>
          <w:lang w:val="en-US" w:eastAsia="zh-CN"/>
        </w:rPr>
        <w:t>20</w:t>
      </w:r>
      <w:r w:rsidRPr="003D034F">
        <w:rPr>
          <w:rFonts w:ascii="Book Antiqua" w:hAnsi="Book Antiqua"/>
          <w:kern w:val="2"/>
          <w:sz w:val="24"/>
          <w:szCs w:val="24"/>
          <w:lang w:val="en-US" w:eastAsia="zh-CN"/>
        </w:rPr>
        <w:t>: 14831-14840 [PMID: 25356043 DOI: 10.3748/wjg.v20.i40.14831]</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46 </w:t>
      </w:r>
      <w:r w:rsidRPr="003D034F">
        <w:rPr>
          <w:rFonts w:ascii="Book Antiqua" w:hAnsi="Book Antiqua"/>
          <w:b/>
          <w:kern w:val="2"/>
          <w:sz w:val="24"/>
          <w:szCs w:val="24"/>
          <w:lang w:val="en-US" w:eastAsia="zh-CN"/>
        </w:rPr>
        <w:t>Kwan LY</w:t>
      </w:r>
      <w:r w:rsidRPr="003D034F">
        <w:rPr>
          <w:rFonts w:ascii="Book Antiqua" w:hAnsi="Book Antiqua"/>
          <w:kern w:val="2"/>
          <w:sz w:val="24"/>
          <w:szCs w:val="24"/>
          <w:lang w:val="en-US" w:eastAsia="zh-CN"/>
        </w:rPr>
        <w:t xml:space="preserve">, Conklin JL, Papadakis KA. Esophageal Crohn’s disease treated successfully with adalimumab. </w:t>
      </w:r>
      <w:proofErr w:type="spellStart"/>
      <w:r w:rsidRPr="003D034F">
        <w:rPr>
          <w:rFonts w:ascii="Book Antiqua" w:hAnsi="Book Antiqua"/>
          <w:i/>
          <w:kern w:val="2"/>
          <w:sz w:val="24"/>
          <w:szCs w:val="24"/>
          <w:lang w:val="en-US" w:eastAsia="zh-CN"/>
        </w:rPr>
        <w:t>Inflamm</w:t>
      </w:r>
      <w:proofErr w:type="spellEnd"/>
      <w:r w:rsidRPr="003D034F">
        <w:rPr>
          <w:rFonts w:ascii="Book Antiqua" w:hAnsi="Book Antiqua"/>
          <w:i/>
          <w:kern w:val="2"/>
          <w:sz w:val="24"/>
          <w:szCs w:val="24"/>
          <w:lang w:val="en-US" w:eastAsia="zh-CN"/>
        </w:rPr>
        <w:t xml:space="preserve"> Bowel Dis</w:t>
      </w:r>
      <w:r w:rsidRPr="003D034F">
        <w:rPr>
          <w:rFonts w:ascii="Book Antiqua" w:hAnsi="Book Antiqua"/>
          <w:kern w:val="2"/>
          <w:sz w:val="24"/>
          <w:szCs w:val="24"/>
          <w:lang w:val="en-US" w:eastAsia="zh-CN"/>
        </w:rPr>
        <w:t xml:space="preserve"> 2007; </w:t>
      </w:r>
      <w:r w:rsidRPr="003D034F">
        <w:rPr>
          <w:rFonts w:ascii="Book Antiqua" w:hAnsi="Book Antiqua"/>
          <w:b/>
          <w:kern w:val="2"/>
          <w:sz w:val="24"/>
          <w:szCs w:val="24"/>
          <w:lang w:val="en-US" w:eastAsia="zh-CN"/>
        </w:rPr>
        <w:t>13</w:t>
      </w:r>
      <w:r w:rsidRPr="003D034F">
        <w:rPr>
          <w:rFonts w:ascii="Book Antiqua" w:hAnsi="Book Antiqua"/>
          <w:kern w:val="2"/>
          <w:sz w:val="24"/>
          <w:szCs w:val="24"/>
          <w:lang w:val="en-US" w:eastAsia="zh-CN"/>
        </w:rPr>
        <w:t>: 639-640 [PMID: 17221856 DOI: 10.1002/ibd.20103]</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47 </w:t>
      </w:r>
      <w:proofErr w:type="spellStart"/>
      <w:r w:rsidRPr="003D034F">
        <w:rPr>
          <w:rFonts w:ascii="Book Antiqua" w:hAnsi="Book Antiqua"/>
          <w:b/>
          <w:kern w:val="2"/>
          <w:sz w:val="24"/>
          <w:szCs w:val="24"/>
          <w:lang w:val="en-US" w:eastAsia="zh-CN"/>
        </w:rPr>
        <w:t>Fefferman</w:t>
      </w:r>
      <w:proofErr w:type="spellEnd"/>
      <w:r w:rsidRPr="003D034F">
        <w:rPr>
          <w:rFonts w:ascii="Book Antiqua" w:hAnsi="Book Antiqua"/>
          <w:b/>
          <w:kern w:val="2"/>
          <w:sz w:val="24"/>
          <w:szCs w:val="24"/>
          <w:lang w:val="en-US" w:eastAsia="zh-CN"/>
        </w:rPr>
        <w:t xml:space="preserve"> DS</w:t>
      </w:r>
      <w:r w:rsidRPr="003D034F">
        <w:rPr>
          <w:rFonts w:ascii="Book Antiqua" w:hAnsi="Book Antiqua"/>
          <w:kern w:val="2"/>
          <w:sz w:val="24"/>
          <w:szCs w:val="24"/>
          <w:lang w:val="en-US" w:eastAsia="zh-CN"/>
        </w:rPr>
        <w:t xml:space="preserve">, Shah SA, </w:t>
      </w:r>
      <w:proofErr w:type="spellStart"/>
      <w:r w:rsidRPr="003D034F">
        <w:rPr>
          <w:rFonts w:ascii="Book Antiqua" w:hAnsi="Book Antiqua"/>
          <w:kern w:val="2"/>
          <w:sz w:val="24"/>
          <w:szCs w:val="24"/>
          <w:lang w:val="en-US" w:eastAsia="zh-CN"/>
        </w:rPr>
        <w:t>Alsahlil</w:t>
      </w:r>
      <w:proofErr w:type="spellEnd"/>
      <w:r w:rsidRPr="003D034F">
        <w:rPr>
          <w:rFonts w:ascii="Book Antiqua" w:hAnsi="Book Antiqua"/>
          <w:kern w:val="2"/>
          <w:sz w:val="24"/>
          <w:szCs w:val="24"/>
          <w:lang w:val="en-US" w:eastAsia="zh-CN"/>
        </w:rPr>
        <w:t xml:space="preserve"> M, </w:t>
      </w:r>
      <w:proofErr w:type="spellStart"/>
      <w:r w:rsidRPr="003D034F">
        <w:rPr>
          <w:rFonts w:ascii="Book Antiqua" w:hAnsi="Book Antiqua"/>
          <w:kern w:val="2"/>
          <w:sz w:val="24"/>
          <w:szCs w:val="24"/>
          <w:lang w:val="en-US" w:eastAsia="zh-CN"/>
        </w:rPr>
        <w:t>Gelrud</w:t>
      </w:r>
      <w:proofErr w:type="spellEnd"/>
      <w:r w:rsidRPr="003D034F">
        <w:rPr>
          <w:rFonts w:ascii="Book Antiqua" w:hAnsi="Book Antiqua"/>
          <w:kern w:val="2"/>
          <w:sz w:val="24"/>
          <w:szCs w:val="24"/>
          <w:lang w:val="en-US" w:eastAsia="zh-CN"/>
        </w:rPr>
        <w:t xml:space="preserve"> A, </w:t>
      </w:r>
      <w:proofErr w:type="spellStart"/>
      <w:r w:rsidRPr="003D034F">
        <w:rPr>
          <w:rFonts w:ascii="Book Antiqua" w:hAnsi="Book Antiqua"/>
          <w:kern w:val="2"/>
          <w:sz w:val="24"/>
          <w:szCs w:val="24"/>
          <w:lang w:val="en-US" w:eastAsia="zh-CN"/>
        </w:rPr>
        <w:t>Falchulk</w:t>
      </w:r>
      <w:proofErr w:type="spellEnd"/>
      <w:r w:rsidRPr="003D034F">
        <w:rPr>
          <w:rFonts w:ascii="Book Antiqua" w:hAnsi="Book Antiqua"/>
          <w:kern w:val="2"/>
          <w:sz w:val="24"/>
          <w:szCs w:val="24"/>
          <w:lang w:val="en-US" w:eastAsia="zh-CN"/>
        </w:rPr>
        <w:t xml:space="preserve"> KR, Farrell RJ. Successful treatment of refractory esophageal Crohn’s disease with infliximab. </w:t>
      </w:r>
      <w:r w:rsidRPr="003D034F">
        <w:rPr>
          <w:rFonts w:ascii="Book Antiqua" w:hAnsi="Book Antiqua"/>
          <w:i/>
          <w:kern w:val="2"/>
          <w:sz w:val="24"/>
          <w:szCs w:val="24"/>
          <w:lang w:val="en-US" w:eastAsia="zh-CN"/>
        </w:rPr>
        <w:t>Dig Dis Sci</w:t>
      </w:r>
      <w:r w:rsidRPr="003D034F">
        <w:rPr>
          <w:rFonts w:ascii="Book Antiqua" w:hAnsi="Book Antiqua"/>
          <w:kern w:val="2"/>
          <w:sz w:val="24"/>
          <w:szCs w:val="24"/>
          <w:lang w:val="en-US" w:eastAsia="zh-CN"/>
        </w:rPr>
        <w:t xml:space="preserve"> 2001; </w:t>
      </w:r>
      <w:r w:rsidRPr="003D034F">
        <w:rPr>
          <w:rFonts w:ascii="Book Antiqua" w:hAnsi="Book Antiqua"/>
          <w:b/>
          <w:kern w:val="2"/>
          <w:sz w:val="24"/>
          <w:szCs w:val="24"/>
          <w:lang w:val="en-US" w:eastAsia="zh-CN"/>
        </w:rPr>
        <w:t>46</w:t>
      </w:r>
      <w:r w:rsidRPr="003D034F">
        <w:rPr>
          <w:rFonts w:ascii="Book Antiqua" w:hAnsi="Book Antiqua"/>
          <w:kern w:val="2"/>
          <w:sz w:val="24"/>
          <w:szCs w:val="24"/>
          <w:lang w:val="en-US" w:eastAsia="zh-CN"/>
        </w:rPr>
        <w:t>: 1733-1735 [PMID: 11508675 DOI: 10.1080/13518040701205365]</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48 </w:t>
      </w:r>
      <w:r w:rsidRPr="003D034F">
        <w:rPr>
          <w:rFonts w:ascii="Book Antiqua" w:hAnsi="Book Antiqua"/>
          <w:b/>
          <w:kern w:val="2"/>
          <w:sz w:val="24"/>
          <w:szCs w:val="24"/>
          <w:lang w:val="en-US" w:eastAsia="zh-CN"/>
        </w:rPr>
        <w:t>Heller T</w:t>
      </w:r>
      <w:r w:rsidRPr="003D034F">
        <w:rPr>
          <w:rFonts w:ascii="Book Antiqua" w:hAnsi="Book Antiqua"/>
          <w:kern w:val="2"/>
          <w:sz w:val="24"/>
          <w:szCs w:val="24"/>
          <w:lang w:val="en-US" w:eastAsia="zh-CN"/>
        </w:rPr>
        <w:t xml:space="preserve">, James SP, Drachenberg C, Hernandez C, Darwin PE. Treatment of severe esophageal Crohn’s disease with infliximab. </w:t>
      </w:r>
      <w:proofErr w:type="spellStart"/>
      <w:r w:rsidRPr="003D034F">
        <w:rPr>
          <w:rFonts w:ascii="Book Antiqua" w:hAnsi="Book Antiqua"/>
          <w:i/>
          <w:kern w:val="2"/>
          <w:sz w:val="24"/>
          <w:szCs w:val="24"/>
          <w:lang w:val="en-US" w:eastAsia="zh-CN"/>
        </w:rPr>
        <w:t>Inflamm</w:t>
      </w:r>
      <w:proofErr w:type="spellEnd"/>
      <w:r w:rsidRPr="003D034F">
        <w:rPr>
          <w:rFonts w:ascii="Book Antiqua" w:hAnsi="Book Antiqua"/>
          <w:i/>
          <w:kern w:val="2"/>
          <w:sz w:val="24"/>
          <w:szCs w:val="24"/>
          <w:lang w:val="en-US" w:eastAsia="zh-CN"/>
        </w:rPr>
        <w:t xml:space="preserve"> Bowel Dis</w:t>
      </w:r>
      <w:r w:rsidRPr="003D034F">
        <w:rPr>
          <w:rFonts w:ascii="Book Antiqua" w:hAnsi="Book Antiqua"/>
          <w:kern w:val="2"/>
          <w:sz w:val="24"/>
          <w:szCs w:val="24"/>
          <w:lang w:val="en-US" w:eastAsia="zh-CN"/>
        </w:rPr>
        <w:t xml:space="preserve"> 1999; </w:t>
      </w:r>
      <w:r w:rsidRPr="003D034F">
        <w:rPr>
          <w:rFonts w:ascii="Book Antiqua" w:hAnsi="Book Antiqua"/>
          <w:b/>
          <w:kern w:val="2"/>
          <w:sz w:val="24"/>
          <w:szCs w:val="24"/>
          <w:lang w:val="en-US" w:eastAsia="zh-CN"/>
        </w:rPr>
        <w:t>5</w:t>
      </w:r>
      <w:r w:rsidRPr="003D034F">
        <w:rPr>
          <w:rFonts w:ascii="Book Antiqua" w:hAnsi="Book Antiqua"/>
          <w:kern w:val="2"/>
          <w:sz w:val="24"/>
          <w:szCs w:val="24"/>
          <w:lang w:val="en-US" w:eastAsia="zh-CN"/>
        </w:rPr>
        <w:t>: 279-282 [PMID: 10579121 DOI: 10.1002/ibd.3780050407]</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49 </w:t>
      </w:r>
      <w:r w:rsidRPr="003D034F">
        <w:rPr>
          <w:rFonts w:ascii="Book Antiqua" w:hAnsi="Book Antiqua"/>
          <w:b/>
          <w:kern w:val="2"/>
          <w:sz w:val="24"/>
          <w:szCs w:val="24"/>
          <w:lang w:val="en-US" w:eastAsia="zh-CN"/>
        </w:rPr>
        <w:t>Ingle SB</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Adgaonkar</w:t>
      </w:r>
      <w:proofErr w:type="spellEnd"/>
      <w:r w:rsidRPr="003D034F">
        <w:rPr>
          <w:rFonts w:ascii="Book Antiqua" w:hAnsi="Book Antiqua"/>
          <w:kern w:val="2"/>
          <w:sz w:val="24"/>
          <w:szCs w:val="24"/>
          <w:lang w:val="en-US" w:eastAsia="zh-CN"/>
        </w:rPr>
        <w:t xml:space="preserve"> BD, Jamadar NP, Siddiqui S, Hinge CR. Crohn’s disease with gastroduodenal involvement: Diagnostic approach. </w:t>
      </w:r>
      <w:r w:rsidRPr="003D034F">
        <w:rPr>
          <w:rFonts w:ascii="Book Antiqua" w:hAnsi="Book Antiqua"/>
          <w:i/>
          <w:kern w:val="2"/>
          <w:sz w:val="24"/>
          <w:szCs w:val="24"/>
          <w:lang w:val="en-US" w:eastAsia="zh-CN"/>
        </w:rPr>
        <w:t xml:space="preserve">World J </w:t>
      </w:r>
      <w:proofErr w:type="spellStart"/>
      <w:r w:rsidRPr="003D034F">
        <w:rPr>
          <w:rFonts w:ascii="Book Antiqua" w:hAnsi="Book Antiqua"/>
          <w:i/>
          <w:kern w:val="2"/>
          <w:sz w:val="24"/>
          <w:szCs w:val="24"/>
          <w:lang w:val="en-US" w:eastAsia="zh-CN"/>
        </w:rPr>
        <w:t>Clin</w:t>
      </w:r>
      <w:proofErr w:type="spellEnd"/>
      <w:r w:rsidRPr="003D034F">
        <w:rPr>
          <w:rFonts w:ascii="Book Antiqua" w:hAnsi="Book Antiqua"/>
          <w:i/>
          <w:kern w:val="2"/>
          <w:sz w:val="24"/>
          <w:szCs w:val="24"/>
          <w:lang w:val="en-US" w:eastAsia="zh-CN"/>
        </w:rPr>
        <w:t xml:space="preserve"> Cases</w:t>
      </w:r>
      <w:r w:rsidRPr="003D034F">
        <w:rPr>
          <w:rFonts w:ascii="Book Antiqua" w:hAnsi="Book Antiqua"/>
          <w:kern w:val="2"/>
          <w:sz w:val="24"/>
          <w:szCs w:val="24"/>
          <w:lang w:val="en-US" w:eastAsia="zh-CN"/>
        </w:rPr>
        <w:t xml:space="preserve"> 2015; </w:t>
      </w:r>
      <w:r w:rsidRPr="003D034F">
        <w:rPr>
          <w:rFonts w:ascii="Book Antiqua" w:hAnsi="Book Antiqua"/>
          <w:b/>
          <w:kern w:val="2"/>
          <w:sz w:val="24"/>
          <w:szCs w:val="24"/>
          <w:lang w:val="en-US" w:eastAsia="zh-CN"/>
        </w:rPr>
        <w:t>3</w:t>
      </w:r>
      <w:r w:rsidRPr="003D034F">
        <w:rPr>
          <w:rFonts w:ascii="Book Antiqua" w:hAnsi="Book Antiqua"/>
          <w:kern w:val="2"/>
          <w:sz w:val="24"/>
          <w:szCs w:val="24"/>
          <w:lang w:val="en-US" w:eastAsia="zh-CN"/>
        </w:rPr>
        <w:t>: 479-483 [PMID: 26090366 DOI: 10.12998/wjcc.v3.i6.479]</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50 </w:t>
      </w:r>
      <w:r w:rsidRPr="003D034F">
        <w:rPr>
          <w:rFonts w:ascii="Book Antiqua" w:hAnsi="Book Antiqua"/>
          <w:b/>
          <w:kern w:val="2"/>
          <w:sz w:val="24"/>
          <w:szCs w:val="24"/>
          <w:lang w:val="en-US" w:eastAsia="zh-CN"/>
        </w:rPr>
        <w:t>Tremaine WJ</w:t>
      </w:r>
      <w:r w:rsidRPr="003D034F">
        <w:rPr>
          <w:rFonts w:ascii="Book Antiqua" w:hAnsi="Book Antiqua"/>
          <w:kern w:val="2"/>
          <w:sz w:val="24"/>
          <w:szCs w:val="24"/>
          <w:lang w:val="en-US" w:eastAsia="zh-CN"/>
        </w:rPr>
        <w:t xml:space="preserve">. Gastroduodenal Crohn’s disease: Medical management. </w:t>
      </w:r>
      <w:proofErr w:type="spellStart"/>
      <w:r w:rsidRPr="003D034F">
        <w:rPr>
          <w:rFonts w:ascii="Book Antiqua" w:hAnsi="Book Antiqua"/>
          <w:i/>
          <w:kern w:val="2"/>
          <w:sz w:val="24"/>
          <w:szCs w:val="24"/>
          <w:lang w:val="en-US" w:eastAsia="zh-CN"/>
        </w:rPr>
        <w:t>Inflamm</w:t>
      </w:r>
      <w:proofErr w:type="spellEnd"/>
      <w:r w:rsidRPr="003D034F">
        <w:rPr>
          <w:rFonts w:ascii="Book Antiqua" w:hAnsi="Book Antiqua"/>
          <w:i/>
          <w:kern w:val="2"/>
          <w:sz w:val="24"/>
          <w:szCs w:val="24"/>
          <w:lang w:val="en-US" w:eastAsia="zh-CN"/>
        </w:rPr>
        <w:t xml:space="preserve"> Bowel Dis</w:t>
      </w:r>
      <w:r w:rsidRPr="003D034F">
        <w:rPr>
          <w:rFonts w:ascii="Book Antiqua" w:hAnsi="Book Antiqua"/>
          <w:kern w:val="2"/>
          <w:sz w:val="24"/>
          <w:szCs w:val="24"/>
          <w:lang w:val="en-US" w:eastAsia="zh-CN"/>
        </w:rPr>
        <w:t xml:space="preserve"> 2003; </w:t>
      </w:r>
      <w:r w:rsidRPr="003D034F">
        <w:rPr>
          <w:rFonts w:ascii="Book Antiqua" w:hAnsi="Book Antiqua"/>
          <w:b/>
          <w:kern w:val="2"/>
          <w:sz w:val="24"/>
          <w:szCs w:val="24"/>
          <w:lang w:val="en-US" w:eastAsia="zh-CN"/>
        </w:rPr>
        <w:t>9</w:t>
      </w:r>
      <w:r w:rsidRPr="003D034F">
        <w:rPr>
          <w:rFonts w:ascii="Book Antiqua" w:hAnsi="Book Antiqua"/>
          <w:kern w:val="2"/>
          <w:sz w:val="24"/>
          <w:szCs w:val="24"/>
          <w:lang w:val="en-US" w:eastAsia="zh-CN"/>
        </w:rPr>
        <w:t>: 127-8; discussion 131 [PMID: 12769447 DOI: 10.1097/00054725-200303000-00008]</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51 </w:t>
      </w:r>
      <w:r w:rsidRPr="003D034F">
        <w:rPr>
          <w:rFonts w:ascii="Book Antiqua" w:hAnsi="Book Antiqua"/>
          <w:b/>
          <w:kern w:val="2"/>
          <w:sz w:val="24"/>
          <w:szCs w:val="24"/>
          <w:lang w:val="en-US" w:eastAsia="zh-CN"/>
        </w:rPr>
        <w:t>Goyal J</w:t>
      </w:r>
      <w:r w:rsidRPr="003D034F">
        <w:rPr>
          <w:rFonts w:ascii="Book Antiqua" w:hAnsi="Book Antiqua"/>
          <w:kern w:val="2"/>
          <w:sz w:val="24"/>
          <w:szCs w:val="24"/>
          <w:lang w:val="en-US" w:eastAsia="zh-CN"/>
        </w:rPr>
        <w:t xml:space="preserve">, Khan AS, </w:t>
      </w:r>
      <w:proofErr w:type="spellStart"/>
      <w:r w:rsidRPr="003D034F">
        <w:rPr>
          <w:rFonts w:ascii="Book Antiqua" w:hAnsi="Book Antiqua"/>
          <w:kern w:val="2"/>
          <w:sz w:val="24"/>
          <w:szCs w:val="24"/>
          <w:lang w:val="en-US" w:eastAsia="zh-CN"/>
        </w:rPr>
        <w:t>Goel</w:t>
      </w:r>
      <w:proofErr w:type="spellEnd"/>
      <w:r w:rsidRPr="003D034F">
        <w:rPr>
          <w:rFonts w:ascii="Book Antiqua" w:hAnsi="Book Antiqua"/>
          <w:kern w:val="2"/>
          <w:sz w:val="24"/>
          <w:szCs w:val="24"/>
          <w:lang w:val="en-US" w:eastAsia="zh-CN"/>
        </w:rPr>
        <w:t xml:space="preserve"> A, Weber F. Isolated gastroduodenal Crohn’s disease in a septuagenarian man. </w:t>
      </w:r>
      <w:r w:rsidRPr="003D034F">
        <w:rPr>
          <w:rFonts w:ascii="Book Antiqua" w:hAnsi="Book Antiqua"/>
          <w:i/>
          <w:kern w:val="2"/>
          <w:sz w:val="24"/>
          <w:szCs w:val="24"/>
          <w:lang w:val="en-US" w:eastAsia="zh-CN"/>
        </w:rPr>
        <w:t>Endoscopy</w:t>
      </w:r>
      <w:r w:rsidRPr="003D034F">
        <w:rPr>
          <w:rFonts w:ascii="Book Antiqua" w:hAnsi="Book Antiqua"/>
          <w:kern w:val="2"/>
          <w:sz w:val="24"/>
          <w:szCs w:val="24"/>
          <w:lang w:val="en-US" w:eastAsia="zh-CN"/>
        </w:rPr>
        <w:t xml:space="preserve"> 2014; </w:t>
      </w:r>
      <w:r w:rsidRPr="003D034F">
        <w:rPr>
          <w:rFonts w:ascii="Book Antiqua" w:hAnsi="Book Antiqua"/>
          <w:b/>
          <w:kern w:val="2"/>
          <w:sz w:val="24"/>
          <w:szCs w:val="24"/>
          <w:lang w:val="en-US" w:eastAsia="zh-CN"/>
        </w:rPr>
        <w:t xml:space="preserve">46 </w:t>
      </w:r>
      <w:proofErr w:type="spellStart"/>
      <w:r w:rsidRPr="003D034F">
        <w:rPr>
          <w:rFonts w:ascii="Book Antiqua" w:hAnsi="Book Antiqua"/>
          <w:b/>
          <w:kern w:val="2"/>
          <w:sz w:val="24"/>
          <w:szCs w:val="24"/>
          <w:lang w:val="en-US" w:eastAsia="zh-CN"/>
        </w:rPr>
        <w:t>Suppl</w:t>
      </w:r>
      <w:proofErr w:type="spellEnd"/>
      <w:r w:rsidRPr="003D034F">
        <w:rPr>
          <w:rFonts w:ascii="Book Antiqua" w:hAnsi="Book Antiqua"/>
          <w:b/>
          <w:kern w:val="2"/>
          <w:sz w:val="24"/>
          <w:szCs w:val="24"/>
          <w:lang w:val="en-US" w:eastAsia="zh-CN"/>
        </w:rPr>
        <w:t xml:space="preserve"> 1 UCTN</w:t>
      </w:r>
      <w:r w:rsidRPr="003D034F">
        <w:rPr>
          <w:rFonts w:ascii="Book Antiqua" w:hAnsi="Book Antiqua"/>
          <w:kern w:val="2"/>
          <w:sz w:val="24"/>
          <w:szCs w:val="24"/>
          <w:lang w:val="en-US" w:eastAsia="zh-CN"/>
        </w:rPr>
        <w:t>: E167-E168 [PMID: 24756277 DOI: 10.1055/s-0034-1365096]</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52 </w:t>
      </w:r>
      <w:r w:rsidRPr="003D034F">
        <w:rPr>
          <w:rFonts w:ascii="Book Antiqua" w:hAnsi="Book Antiqua"/>
          <w:b/>
          <w:kern w:val="2"/>
          <w:sz w:val="24"/>
          <w:szCs w:val="24"/>
          <w:lang w:val="en-US" w:eastAsia="zh-CN"/>
        </w:rPr>
        <w:t>Ingle SB</w:t>
      </w:r>
      <w:r w:rsidRPr="003D034F">
        <w:rPr>
          <w:rFonts w:ascii="Book Antiqua" w:hAnsi="Book Antiqua"/>
          <w:kern w:val="2"/>
          <w:sz w:val="24"/>
          <w:szCs w:val="24"/>
          <w:lang w:val="en-US" w:eastAsia="zh-CN"/>
        </w:rPr>
        <w:t xml:space="preserve">, Hinge CR, </w:t>
      </w:r>
      <w:proofErr w:type="spellStart"/>
      <w:r w:rsidRPr="003D034F">
        <w:rPr>
          <w:rFonts w:ascii="Book Antiqua" w:hAnsi="Book Antiqua"/>
          <w:kern w:val="2"/>
          <w:sz w:val="24"/>
          <w:szCs w:val="24"/>
          <w:lang w:val="en-US" w:eastAsia="zh-CN"/>
        </w:rPr>
        <w:t>Dakhure</w:t>
      </w:r>
      <w:proofErr w:type="spellEnd"/>
      <w:r w:rsidRPr="003D034F">
        <w:rPr>
          <w:rFonts w:ascii="Book Antiqua" w:hAnsi="Book Antiqua"/>
          <w:kern w:val="2"/>
          <w:sz w:val="24"/>
          <w:szCs w:val="24"/>
          <w:lang w:val="en-US" w:eastAsia="zh-CN"/>
        </w:rPr>
        <w:t xml:space="preserve"> S, Bhosale SS. Isolated gastric Crohn’s disease. </w:t>
      </w:r>
      <w:r w:rsidRPr="003D034F">
        <w:rPr>
          <w:rFonts w:ascii="Book Antiqua" w:hAnsi="Book Antiqua"/>
          <w:i/>
          <w:kern w:val="2"/>
          <w:sz w:val="24"/>
          <w:szCs w:val="24"/>
          <w:lang w:val="en-US" w:eastAsia="zh-CN"/>
        </w:rPr>
        <w:t xml:space="preserve">World J </w:t>
      </w:r>
      <w:proofErr w:type="spellStart"/>
      <w:r w:rsidRPr="003D034F">
        <w:rPr>
          <w:rFonts w:ascii="Book Antiqua" w:hAnsi="Book Antiqua"/>
          <w:i/>
          <w:kern w:val="2"/>
          <w:sz w:val="24"/>
          <w:szCs w:val="24"/>
          <w:lang w:val="en-US" w:eastAsia="zh-CN"/>
        </w:rPr>
        <w:t>Clin</w:t>
      </w:r>
      <w:proofErr w:type="spellEnd"/>
      <w:r w:rsidRPr="003D034F">
        <w:rPr>
          <w:rFonts w:ascii="Book Antiqua" w:hAnsi="Book Antiqua"/>
          <w:i/>
          <w:kern w:val="2"/>
          <w:sz w:val="24"/>
          <w:szCs w:val="24"/>
          <w:lang w:val="en-US" w:eastAsia="zh-CN"/>
        </w:rPr>
        <w:t xml:space="preserve"> Cases</w:t>
      </w:r>
      <w:r w:rsidRPr="003D034F">
        <w:rPr>
          <w:rFonts w:ascii="Book Antiqua" w:hAnsi="Book Antiqua"/>
          <w:kern w:val="2"/>
          <w:sz w:val="24"/>
          <w:szCs w:val="24"/>
          <w:lang w:val="en-US" w:eastAsia="zh-CN"/>
        </w:rPr>
        <w:t xml:space="preserve"> 2013; </w:t>
      </w:r>
      <w:r w:rsidRPr="003D034F">
        <w:rPr>
          <w:rFonts w:ascii="Book Antiqua" w:hAnsi="Book Antiqua"/>
          <w:b/>
          <w:kern w:val="2"/>
          <w:sz w:val="24"/>
          <w:szCs w:val="24"/>
          <w:lang w:val="en-US" w:eastAsia="zh-CN"/>
        </w:rPr>
        <w:t>1</w:t>
      </w:r>
      <w:r w:rsidRPr="003D034F">
        <w:rPr>
          <w:rFonts w:ascii="Book Antiqua" w:hAnsi="Book Antiqua"/>
          <w:kern w:val="2"/>
          <w:sz w:val="24"/>
          <w:szCs w:val="24"/>
          <w:lang w:val="en-US" w:eastAsia="zh-CN"/>
        </w:rPr>
        <w:t>: 71-73 [PMID: 24303469 DOI: 10.12998/wjcc.v1.i2.71]</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53 </w:t>
      </w:r>
      <w:proofErr w:type="spellStart"/>
      <w:r w:rsidRPr="003D034F">
        <w:rPr>
          <w:rFonts w:ascii="Book Antiqua" w:hAnsi="Book Antiqua"/>
          <w:b/>
          <w:kern w:val="2"/>
          <w:sz w:val="24"/>
          <w:szCs w:val="24"/>
          <w:lang w:val="en-US" w:eastAsia="zh-CN"/>
        </w:rPr>
        <w:t>Mottet</w:t>
      </w:r>
      <w:proofErr w:type="spellEnd"/>
      <w:r w:rsidRPr="003D034F">
        <w:rPr>
          <w:rFonts w:ascii="Book Antiqua" w:hAnsi="Book Antiqua"/>
          <w:b/>
          <w:kern w:val="2"/>
          <w:sz w:val="24"/>
          <w:szCs w:val="24"/>
          <w:lang w:val="en-US" w:eastAsia="zh-CN"/>
        </w:rPr>
        <w:t xml:space="preserve"> C</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Juillerat</w:t>
      </w:r>
      <w:proofErr w:type="spellEnd"/>
      <w:r w:rsidRPr="003D034F">
        <w:rPr>
          <w:rFonts w:ascii="Book Antiqua" w:hAnsi="Book Antiqua"/>
          <w:kern w:val="2"/>
          <w:sz w:val="24"/>
          <w:szCs w:val="24"/>
          <w:lang w:val="en-US" w:eastAsia="zh-CN"/>
        </w:rPr>
        <w:t xml:space="preserve"> P, </w:t>
      </w:r>
      <w:proofErr w:type="spellStart"/>
      <w:r w:rsidRPr="003D034F">
        <w:rPr>
          <w:rFonts w:ascii="Book Antiqua" w:hAnsi="Book Antiqua"/>
          <w:kern w:val="2"/>
          <w:sz w:val="24"/>
          <w:szCs w:val="24"/>
          <w:lang w:val="en-US" w:eastAsia="zh-CN"/>
        </w:rPr>
        <w:t>Pittet</w:t>
      </w:r>
      <w:proofErr w:type="spellEnd"/>
      <w:r w:rsidRPr="003D034F">
        <w:rPr>
          <w:rFonts w:ascii="Book Antiqua" w:hAnsi="Book Antiqua"/>
          <w:kern w:val="2"/>
          <w:sz w:val="24"/>
          <w:szCs w:val="24"/>
          <w:lang w:val="en-US" w:eastAsia="zh-CN"/>
        </w:rPr>
        <w:t xml:space="preserve"> V, </w:t>
      </w:r>
      <w:proofErr w:type="spellStart"/>
      <w:r w:rsidRPr="003D034F">
        <w:rPr>
          <w:rFonts w:ascii="Book Antiqua" w:hAnsi="Book Antiqua"/>
          <w:kern w:val="2"/>
          <w:sz w:val="24"/>
          <w:szCs w:val="24"/>
          <w:lang w:val="en-US" w:eastAsia="zh-CN"/>
        </w:rPr>
        <w:t>Gonvers</w:t>
      </w:r>
      <w:proofErr w:type="spellEnd"/>
      <w:r w:rsidRPr="003D034F">
        <w:rPr>
          <w:rFonts w:ascii="Book Antiqua" w:hAnsi="Book Antiqua"/>
          <w:kern w:val="2"/>
          <w:sz w:val="24"/>
          <w:szCs w:val="24"/>
          <w:lang w:val="en-US" w:eastAsia="zh-CN"/>
        </w:rPr>
        <w:t xml:space="preserve"> JJ, </w:t>
      </w:r>
      <w:proofErr w:type="spellStart"/>
      <w:r w:rsidRPr="003D034F">
        <w:rPr>
          <w:rFonts w:ascii="Book Antiqua" w:hAnsi="Book Antiqua"/>
          <w:kern w:val="2"/>
          <w:sz w:val="24"/>
          <w:szCs w:val="24"/>
          <w:lang w:val="en-US" w:eastAsia="zh-CN"/>
        </w:rPr>
        <w:t>Michetti</w:t>
      </w:r>
      <w:proofErr w:type="spellEnd"/>
      <w:r w:rsidRPr="003D034F">
        <w:rPr>
          <w:rFonts w:ascii="Book Antiqua" w:hAnsi="Book Antiqua"/>
          <w:kern w:val="2"/>
          <w:sz w:val="24"/>
          <w:szCs w:val="24"/>
          <w:lang w:val="en-US" w:eastAsia="zh-CN"/>
        </w:rPr>
        <w:t xml:space="preserve"> P, Vader JP, </w:t>
      </w:r>
      <w:proofErr w:type="spellStart"/>
      <w:r w:rsidRPr="003D034F">
        <w:rPr>
          <w:rFonts w:ascii="Book Antiqua" w:hAnsi="Book Antiqua"/>
          <w:kern w:val="2"/>
          <w:sz w:val="24"/>
          <w:szCs w:val="24"/>
          <w:lang w:val="en-US" w:eastAsia="zh-CN"/>
        </w:rPr>
        <w:t>Felley</w:t>
      </w:r>
      <w:proofErr w:type="spellEnd"/>
      <w:r w:rsidRPr="003D034F">
        <w:rPr>
          <w:rFonts w:ascii="Book Antiqua" w:hAnsi="Book Antiqua"/>
          <w:kern w:val="2"/>
          <w:sz w:val="24"/>
          <w:szCs w:val="24"/>
          <w:lang w:val="en-US" w:eastAsia="zh-CN"/>
        </w:rPr>
        <w:t xml:space="preserve"> C, Froehlich F. Upper gastrointestinal Crohn’s disease. </w:t>
      </w:r>
      <w:r w:rsidRPr="003D034F">
        <w:rPr>
          <w:rFonts w:ascii="Book Antiqua" w:hAnsi="Book Antiqua"/>
          <w:i/>
          <w:kern w:val="2"/>
          <w:sz w:val="24"/>
          <w:szCs w:val="24"/>
          <w:lang w:val="en-US" w:eastAsia="zh-CN"/>
        </w:rPr>
        <w:t>Digestion</w:t>
      </w:r>
      <w:r w:rsidRPr="003D034F">
        <w:rPr>
          <w:rFonts w:ascii="Book Antiqua" w:hAnsi="Book Antiqua"/>
          <w:kern w:val="2"/>
          <w:sz w:val="24"/>
          <w:szCs w:val="24"/>
          <w:lang w:val="en-US" w:eastAsia="zh-CN"/>
        </w:rPr>
        <w:t xml:space="preserve"> 2007; </w:t>
      </w:r>
      <w:r w:rsidRPr="003D034F">
        <w:rPr>
          <w:rFonts w:ascii="Book Antiqua" w:hAnsi="Book Antiqua"/>
          <w:b/>
          <w:kern w:val="2"/>
          <w:sz w:val="24"/>
          <w:szCs w:val="24"/>
          <w:lang w:val="en-US" w:eastAsia="zh-CN"/>
        </w:rPr>
        <w:t>76</w:t>
      </w:r>
      <w:r w:rsidRPr="003D034F">
        <w:rPr>
          <w:rFonts w:ascii="Book Antiqua" w:hAnsi="Book Antiqua"/>
          <w:kern w:val="2"/>
          <w:sz w:val="24"/>
          <w:szCs w:val="24"/>
          <w:lang w:val="en-US" w:eastAsia="zh-CN"/>
        </w:rPr>
        <w:t>: 136-140 [PMID: 18239405 DOI: 10.1159/000111028]</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54 </w:t>
      </w:r>
      <w:r w:rsidRPr="003D034F">
        <w:rPr>
          <w:rFonts w:ascii="Book Antiqua" w:hAnsi="Book Antiqua"/>
          <w:b/>
          <w:kern w:val="2"/>
          <w:sz w:val="24"/>
          <w:szCs w:val="24"/>
          <w:lang w:val="en-US" w:eastAsia="zh-CN"/>
        </w:rPr>
        <w:t>Scheck SM</w:t>
      </w:r>
      <w:r w:rsidRPr="003D034F">
        <w:rPr>
          <w:rFonts w:ascii="Book Antiqua" w:hAnsi="Book Antiqua"/>
          <w:kern w:val="2"/>
          <w:sz w:val="24"/>
          <w:szCs w:val="24"/>
          <w:lang w:val="en-US" w:eastAsia="zh-CN"/>
        </w:rPr>
        <w:t xml:space="preserve">, Ram R, Loveday B, </w:t>
      </w:r>
      <w:proofErr w:type="spellStart"/>
      <w:r w:rsidRPr="003D034F">
        <w:rPr>
          <w:rFonts w:ascii="Book Antiqua" w:hAnsi="Book Antiqua"/>
          <w:kern w:val="2"/>
          <w:sz w:val="24"/>
          <w:szCs w:val="24"/>
          <w:lang w:val="en-US" w:eastAsia="zh-CN"/>
        </w:rPr>
        <w:t>Bhagvan</w:t>
      </w:r>
      <w:proofErr w:type="spellEnd"/>
      <w:r w:rsidRPr="003D034F">
        <w:rPr>
          <w:rFonts w:ascii="Book Antiqua" w:hAnsi="Book Antiqua"/>
          <w:kern w:val="2"/>
          <w:sz w:val="24"/>
          <w:szCs w:val="24"/>
          <w:lang w:val="en-US" w:eastAsia="zh-CN"/>
        </w:rPr>
        <w:t xml:space="preserve"> S, Beban G. Crohn’s disease presenting as gastric outlet obstruction. </w:t>
      </w:r>
      <w:r w:rsidRPr="003D034F">
        <w:rPr>
          <w:rFonts w:ascii="Book Antiqua" w:hAnsi="Book Antiqua"/>
          <w:i/>
          <w:kern w:val="2"/>
          <w:sz w:val="24"/>
          <w:szCs w:val="24"/>
          <w:lang w:val="en-US" w:eastAsia="zh-CN"/>
        </w:rPr>
        <w:t xml:space="preserve">J </w:t>
      </w:r>
      <w:proofErr w:type="spellStart"/>
      <w:r w:rsidRPr="003D034F">
        <w:rPr>
          <w:rFonts w:ascii="Book Antiqua" w:hAnsi="Book Antiqua"/>
          <w:i/>
          <w:kern w:val="2"/>
          <w:sz w:val="24"/>
          <w:szCs w:val="24"/>
          <w:lang w:val="en-US" w:eastAsia="zh-CN"/>
        </w:rPr>
        <w:t>Surg</w:t>
      </w:r>
      <w:proofErr w:type="spellEnd"/>
      <w:r w:rsidRPr="003D034F">
        <w:rPr>
          <w:rFonts w:ascii="Book Antiqua" w:hAnsi="Book Antiqua"/>
          <w:i/>
          <w:kern w:val="2"/>
          <w:sz w:val="24"/>
          <w:szCs w:val="24"/>
          <w:lang w:val="en-US" w:eastAsia="zh-CN"/>
        </w:rPr>
        <w:t xml:space="preserve"> Case Rep</w:t>
      </w:r>
      <w:r w:rsidRPr="003D034F">
        <w:rPr>
          <w:rFonts w:ascii="Book Antiqua" w:hAnsi="Book Antiqua"/>
          <w:kern w:val="2"/>
          <w:sz w:val="24"/>
          <w:szCs w:val="24"/>
          <w:lang w:val="en-US" w:eastAsia="zh-CN"/>
        </w:rPr>
        <w:t xml:space="preserve"> 2014; </w:t>
      </w:r>
      <w:r w:rsidRPr="003D034F">
        <w:rPr>
          <w:rFonts w:ascii="Book Antiqua" w:hAnsi="Book Antiqua"/>
          <w:b/>
          <w:kern w:val="2"/>
          <w:sz w:val="24"/>
          <w:szCs w:val="24"/>
          <w:lang w:val="en-US" w:eastAsia="zh-CN"/>
        </w:rPr>
        <w:t>2014</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pii</w:t>
      </w:r>
      <w:proofErr w:type="spellEnd"/>
      <w:r w:rsidRPr="003D034F">
        <w:rPr>
          <w:rFonts w:ascii="Book Antiqua" w:hAnsi="Book Antiqua"/>
          <w:kern w:val="2"/>
          <w:sz w:val="24"/>
          <w:szCs w:val="24"/>
          <w:lang w:val="en-US" w:eastAsia="zh-CN"/>
        </w:rPr>
        <w:t xml:space="preserve">: rju128 </w:t>
      </w:r>
      <w:r w:rsidRPr="003D034F">
        <w:rPr>
          <w:rFonts w:ascii="Book Antiqua" w:hAnsi="Book Antiqua"/>
          <w:kern w:val="2"/>
          <w:sz w:val="24"/>
          <w:szCs w:val="24"/>
          <w:lang w:val="en-US" w:eastAsia="zh-CN"/>
        </w:rPr>
        <w:lastRenderedPageBreak/>
        <w:t xml:space="preserve">[PMID: </w:t>
      </w:r>
      <w:bookmarkStart w:id="56" w:name="OLE_LINK398"/>
      <w:bookmarkStart w:id="57" w:name="OLE_LINK399"/>
      <w:r w:rsidRPr="003D034F">
        <w:rPr>
          <w:rFonts w:ascii="Book Antiqua" w:hAnsi="Book Antiqua"/>
          <w:kern w:val="2"/>
          <w:sz w:val="24"/>
          <w:szCs w:val="24"/>
          <w:lang w:val="en-US" w:eastAsia="zh-CN"/>
        </w:rPr>
        <w:t>25477016</w:t>
      </w:r>
      <w:bookmarkEnd w:id="56"/>
      <w:bookmarkEnd w:id="57"/>
      <w:r w:rsidRPr="003D034F">
        <w:rPr>
          <w:rFonts w:ascii="Book Antiqua" w:hAnsi="Book Antiqua"/>
          <w:kern w:val="2"/>
          <w:sz w:val="24"/>
          <w:szCs w:val="24"/>
          <w:lang w:val="en-US" w:eastAsia="zh-CN"/>
        </w:rPr>
        <w:t xml:space="preserve"> DOI: 10.1093/</w:t>
      </w:r>
      <w:proofErr w:type="spellStart"/>
      <w:r w:rsidRPr="003D034F">
        <w:rPr>
          <w:rFonts w:ascii="Book Antiqua" w:hAnsi="Book Antiqua"/>
          <w:kern w:val="2"/>
          <w:sz w:val="24"/>
          <w:szCs w:val="24"/>
          <w:lang w:val="en-US" w:eastAsia="zh-CN"/>
        </w:rPr>
        <w:t>jscr</w:t>
      </w:r>
      <w:proofErr w:type="spellEnd"/>
      <w:r w:rsidRPr="003D034F">
        <w:rPr>
          <w:rFonts w:ascii="Book Antiqua" w:hAnsi="Book Antiqua"/>
          <w:kern w:val="2"/>
          <w:sz w:val="24"/>
          <w:szCs w:val="24"/>
          <w:lang w:val="en-US" w:eastAsia="zh-CN"/>
        </w:rPr>
        <w:t>/rju128]</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55 </w:t>
      </w:r>
      <w:proofErr w:type="spellStart"/>
      <w:r w:rsidRPr="003D034F">
        <w:rPr>
          <w:rFonts w:ascii="Book Antiqua" w:hAnsi="Book Antiqua"/>
          <w:b/>
          <w:kern w:val="2"/>
          <w:sz w:val="24"/>
          <w:szCs w:val="24"/>
          <w:lang w:val="en-US" w:eastAsia="zh-CN"/>
        </w:rPr>
        <w:t>Malleson</w:t>
      </w:r>
      <w:proofErr w:type="spellEnd"/>
      <w:r w:rsidRPr="003D034F">
        <w:rPr>
          <w:rFonts w:ascii="Book Antiqua" w:hAnsi="Book Antiqua"/>
          <w:b/>
          <w:kern w:val="2"/>
          <w:sz w:val="24"/>
          <w:szCs w:val="24"/>
          <w:lang w:val="en-US" w:eastAsia="zh-CN"/>
        </w:rPr>
        <w:t xml:space="preserve"> P</w:t>
      </w:r>
      <w:r w:rsidRPr="003D034F">
        <w:rPr>
          <w:rFonts w:ascii="Book Antiqua" w:hAnsi="Book Antiqua"/>
          <w:kern w:val="2"/>
          <w:sz w:val="24"/>
          <w:szCs w:val="24"/>
          <w:lang w:val="en-US" w:eastAsia="zh-CN"/>
        </w:rPr>
        <w:t xml:space="preserve">. Isolated gastroduodenal Crohn’s disease in a ten-year-old girl. </w:t>
      </w:r>
      <w:r w:rsidRPr="003D034F">
        <w:rPr>
          <w:rFonts w:ascii="Book Antiqua" w:hAnsi="Book Antiqua"/>
          <w:i/>
          <w:kern w:val="2"/>
          <w:sz w:val="24"/>
          <w:szCs w:val="24"/>
          <w:lang w:val="en-US" w:eastAsia="zh-CN"/>
        </w:rPr>
        <w:t>Postgrad Med J</w:t>
      </w:r>
      <w:r w:rsidRPr="003D034F">
        <w:rPr>
          <w:rFonts w:ascii="Book Antiqua" w:hAnsi="Book Antiqua"/>
          <w:kern w:val="2"/>
          <w:sz w:val="24"/>
          <w:szCs w:val="24"/>
          <w:lang w:val="en-US" w:eastAsia="zh-CN"/>
        </w:rPr>
        <w:t xml:space="preserve"> 1980; </w:t>
      </w:r>
      <w:r w:rsidRPr="003D034F">
        <w:rPr>
          <w:rFonts w:ascii="Book Antiqua" w:hAnsi="Book Antiqua"/>
          <w:b/>
          <w:kern w:val="2"/>
          <w:sz w:val="24"/>
          <w:szCs w:val="24"/>
          <w:lang w:val="en-US" w:eastAsia="zh-CN"/>
        </w:rPr>
        <w:t>56</w:t>
      </w:r>
      <w:r w:rsidRPr="003D034F">
        <w:rPr>
          <w:rFonts w:ascii="Book Antiqua" w:hAnsi="Book Antiqua"/>
          <w:kern w:val="2"/>
          <w:sz w:val="24"/>
          <w:szCs w:val="24"/>
          <w:lang w:val="en-US" w:eastAsia="zh-CN"/>
        </w:rPr>
        <w:t>: 294-296 [PMID: 7433335 DOI: 10.1136/pgmj.56.654.294]</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56 </w:t>
      </w:r>
      <w:r w:rsidRPr="003D034F">
        <w:rPr>
          <w:rFonts w:ascii="Book Antiqua" w:hAnsi="Book Antiqua"/>
          <w:b/>
          <w:kern w:val="2"/>
          <w:sz w:val="24"/>
          <w:szCs w:val="24"/>
          <w:lang w:val="en-US" w:eastAsia="zh-CN"/>
        </w:rPr>
        <w:t>Reynolds HL Jr</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Stellato</w:t>
      </w:r>
      <w:proofErr w:type="spellEnd"/>
      <w:r w:rsidRPr="003D034F">
        <w:rPr>
          <w:rFonts w:ascii="Book Antiqua" w:hAnsi="Book Antiqua"/>
          <w:kern w:val="2"/>
          <w:sz w:val="24"/>
          <w:szCs w:val="24"/>
          <w:lang w:val="en-US" w:eastAsia="zh-CN"/>
        </w:rPr>
        <w:t xml:space="preserve"> TA. Crohn’s disease of the foregut. </w:t>
      </w:r>
      <w:proofErr w:type="spellStart"/>
      <w:r w:rsidRPr="003D034F">
        <w:rPr>
          <w:rFonts w:ascii="Book Antiqua" w:hAnsi="Book Antiqua"/>
          <w:i/>
          <w:kern w:val="2"/>
          <w:sz w:val="24"/>
          <w:szCs w:val="24"/>
          <w:lang w:val="en-US" w:eastAsia="zh-CN"/>
        </w:rPr>
        <w:t>Surg</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Clin</w:t>
      </w:r>
      <w:proofErr w:type="spellEnd"/>
      <w:r w:rsidRPr="003D034F">
        <w:rPr>
          <w:rFonts w:ascii="Book Antiqua" w:hAnsi="Book Antiqua"/>
          <w:i/>
          <w:kern w:val="2"/>
          <w:sz w:val="24"/>
          <w:szCs w:val="24"/>
          <w:lang w:val="en-US" w:eastAsia="zh-CN"/>
        </w:rPr>
        <w:t xml:space="preserve"> North Am</w:t>
      </w:r>
      <w:r w:rsidRPr="003D034F">
        <w:rPr>
          <w:rFonts w:ascii="Book Antiqua" w:hAnsi="Book Antiqua"/>
          <w:kern w:val="2"/>
          <w:sz w:val="24"/>
          <w:szCs w:val="24"/>
          <w:lang w:val="en-US" w:eastAsia="zh-CN"/>
        </w:rPr>
        <w:t xml:space="preserve"> 2001; </w:t>
      </w:r>
      <w:r w:rsidRPr="003D034F">
        <w:rPr>
          <w:rFonts w:ascii="Book Antiqua" w:hAnsi="Book Antiqua"/>
          <w:b/>
          <w:kern w:val="2"/>
          <w:sz w:val="24"/>
          <w:szCs w:val="24"/>
          <w:lang w:val="en-US" w:eastAsia="zh-CN"/>
        </w:rPr>
        <w:t>81</w:t>
      </w:r>
      <w:r w:rsidRPr="003D034F">
        <w:rPr>
          <w:rFonts w:ascii="Book Antiqua" w:hAnsi="Book Antiqua"/>
          <w:kern w:val="2"/>
          <w:sz w:val="24"/>
          <w:szCs w:val="24"/>
          <w:lang w:val="en-US" w:eastAsia="zh-CN"/>
        </w:rPr>
        <w:t>: 117-135, viii [PMID: 11218159 DOI: 10.1016/S0039-6109(05)70276-0]</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57 </w:t>
      </w:r>
      <w:r w:rsidRPr="003D034F">
        <w:rPr>
          <w:rFonts w:ascii="Book Antiqua" w:hAnsi="Book Antiqua"/>
          <w:b/>
          <w:kern w:val="2"/>
          <w:sz w:val="24"/>
          <w:szCs w:val="24"/>
          <w:lang w:val="en-US" w:eastAsia="zh-CN"/>
        </w:rPr>
        <w:t>Yamamoto T</w:t>
      </w:r>
      <w:r w:rsidRPr="003D034F">
        <w:rPr>
          <w:rFonts w:ascii="Book Antiqua" w:hAnsi="Book Antiqua"/>
          <w:kern w:val="2"/>
          <w:sz w:val="24"/>
          <w:szCs w:val="24"/>
          <w:lang w:val="en-US" w:eastAsia="zh-CN"/>
        </w:rPr>
        <w:t xml:space="preserve">, Allan RN, </w:t>
      </w:r>
      <w:proofErr w:type="spellStart"/>
      <w:r w:rsidRPr="003D034F">
        <w:rPr>
          <w:rFonts w:ascii="Book Antiqua" w:hAnsi="Book Antiqua"/>
          <w:kern w:val="2"/>
          <w:sz w:val="24"/>
          <w:szCs w:val="24"/>
          <w:lang w:val="en-US" w:eastAsia="zh-CN"/>
        </w:rPr>
        <w:t>Keighley</w:t>
      </w:r>
      <w:proofErr w:type="spellEnd"/>
      <w:r w:rsidRPr="003D034F">
        <w:rPr>
          <w:rFonts w:ascii="Book Antiqua" w:hAnsi="Book Antiqua"/>
          <w:kern w:val="2"/>
          <w:sz w:val="24"/>
          <w:szCs w:val="24"/>
          <w:lang w:val="en-US" w:eastAsia="zh-CN"/>
        </w:rPr>
        <w:t xml:space="preserve"> MR. An audit of gastroduodenal Crohn disease: Clinicopathologic features and management. </w:t>
      </w:r>
      <w:proofErr w:type="spellStart"/>
      <w:r w:rsidRPr="003D034F">
        <w:rPr>
          <w:rFonts w:ascii="Book Antiqua" w:hAnsi="Book Antiqua"/>
          <w:i/>
          <w:kern w:val="2"/>
          <w:sz w:val="24"/>
          <w:szCs w:val="24"/>
          <w:lang w:val="en-US" w:eastAsia="zh-CN"/>
        </w:rPr>
        <w:t>Scand</w:t>
      </w:r>
      <w:proofErr w:type="spellEnd"/>
      <w:r w:rsidRPr="003D034F">
        <w:rPr>
          <w:rFonts w:ascii="Book Antiqua" w:hAnsi="Book Antiqua"/>
          <w:i/>
          <w:kern w:val="2"/>
          <w:sz w:val="24"/>
          <w:szCs w:val="24"/>
          <w:lang w:val="en-US" w:eastAsia="zh-CN"/>
        </w:rPr>
        <w:t xml:space="preserve"> J Gastroenterol</w:t>
      </w:r>
      <w:r w:rsidRPr="003D034F">
        <w:rPr>
          <w:rFonts w:ascii="Book Antiqua" w:hAnsi="Book Antiqua"/>
          <w:kern w:val="2"/>
          <w:sz w:val="24"/>
          <w:szCs w:val="24"/>
          <w:lang w:val="en-US" w:eastAsia="zh-CN"/>
        </w:rPr>
        <w:t xml:space="preserve"> 1999; </w:t>
      </w:r>
      <w:r w:rsidRPr="003D034F">
        <w:rPr>
          <w:rFonts w:ascii="Book Antiqua" w:hAnsi="Book Antiqua"/>
          <w:b/>
          <w:kern w:val="2"/>
          <w:sz w:val="24"/>
          <w:szCs w:val="24"/>
          <w:lang w:val="en-US" w:eastAsia="zh-CN"/>
        </w:rPr>
        <w:t>34</w:t>
      </w:r>
      <w:r w:rsidRPr="003D034F">
        <w:rPr>
          <w:rFonts w:ascii="Book Antiqua" w:hAnsi="Book Antiqua"/>
          <w:kern w:val="2"/>
          <w:sz w:val="24"/>
          <w:szCs w:val="24"/>
          <w:lang w:val="en-US" w:eastAsia="zh-CN"/>
        </w:rPr>
        <w:t>: 1019-1024 [PMID: 10563673 DOI: 10.1080/003655299750025138]</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58 </w:t>
      </w:r>
      <w:proofErr w:type="spellStart"/>
      <w:r w:rsidRPr="003D034F">
        <w:rPr>
          <w:rFonts w:ascii="Book Antiqua" w:hAnsi="Book Antiqua"/>
          <w:b/>
          <w:kern w:val="2"/>
          <w:sz w:val="24"/>
          <w:szCs w:val="24"/>
          <w:lang w:val="en-US" w:eastAsia="zh-CN"/>
        </w:rPr>
        <w:t>Guellouz</w:t>
      </w:r>
      <w:proofErr w:type="spellEnd"/>
      <w:r w:rsidRPr="003D034F">
        <w:rPr>
          <w:rFonts w:ascii="Book Antiqua" w:hAnsi="Book Antiqua"/>
          <w:b/>
          <w:kern w:val="2"/>
          <w:sz w:val="24"/>
          <w:szCs w:val="24"/>
          <w:lang w:val="en-US" w:eastAsia="zh-CN"/>
        </w:rPr>
        <w:t xml:space="preserve"> S</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Pariente</w:t>
      </w:r>
      <w:proofErr w:type="spellEnd"/>
      <w:r w:rsidRPr="003D034F">
        <w:rPr>
          <w:rFonts w:ascii="Book Antiqua" w:hAnsi="Book Antiqua"/>
          <w:kern w:val="2"/>
          <w:sz w:val="24"/>
          <w:szCs w:val="24"/>
          <w:lang w:val="en-US" w:eastAsia="zh-CN"/>
        </w:rPr>
        <w:t xml:space="preserve"> B, Benet C, </w:t>
      </w:r>
      <w:proofErr w:type="spellStart"/>
      <w:r w:rsidRPr="003D034F">
        <w:rPr>
          <w:rFonts w:ascii="Book Antiqua" w:hAnsi="Book Antiqua"/>
          <w:kern w:val="2"/>
          <w:sz w:val="24"/>
          <w:szCs w:val="24"/>
          <w:lang w:val="en-US" w:eastAsia="zh-CN"/>
        </w:rPr>
        <w:t>Baudry</w:t>
      </w:r>
      <w:proofErr w:type="spellEnd"/>
      <w:r w:rsidRPr="003D034F">
        <w:rPr>
          <w:rFonts w:ascii="Book Antiqua" w:hAnsi="Book Antiqua"/>
          <w:kern w:val="2"/>
          <w:sz w:val="24"/>
          <w:szCs w:val="24"/>
          <w:lang w:val="en-US" w:eastAsia="zh-CN"/>
        </w:rPr>
        <w:t xml:space="preserve"> C, Lourenco N, Kraemer A, </w:t>
      </w:r>
      <w:proofErr w:type="spellStart"/>
      <w:r w:rsidRPr="003D034F">
        <w:rPr>
          <w:rFonts w:ascii="Book Antiqua" w:hAnsi="Book Antiqua"/>
          <w:kern w:val="2"/>
          <w:sz w:val="24"/>
          <w:szCs w:val="24"/>
          <w:lang w:val="en-US" w:eastAsia="zh-CN"/>
        </w:rPr>
        <w:t>Allez</w:t>
      </w:r>
      <w:proofErr w:type="spellEnd"/>
      <w:r w:rsidRPr="003D034F">
        <w:rPr>
          <w:rFonts w:ascii="Book Antiqua" w:hAnsi="Book Antiqua"/>
          <w:kern w:val="2"/>
          <w:sz w:val="24"/>
          <w:szCs w:val="24"/>
          <w:lang w:val="en-US" w:eastAsia="zh-CN"/>
        </w:rPr>
        <w:t xml:space="preserve"> M, </w:t>
      </w:r>
      <w:proofErr w:type="spellStart"/>
      <w:r w:rsidRPr="003D034F">
        <w:rPr>
          <w:rFonts w:ascii="Book Antiqua" w:hAnsi="Book Antiqua"/>
          <w:kern w:val="2"/>
          <w:sz w:val="24"/>
          <w:szCs w:val="24"/>
          <w:lang w:val="en-US" w:eastAsia="zh-CN"/>
        </w:rPr>
        <w:t>Gornet</w:t>
      </w:r>
      <w:proofErr w:type="spellEnd"/>
      <w:r w:rsidRPr="003D034F">
        <w:rPr>
          <w:rFonts w:ascii="Book Antiqua" w:hAnsi="Book Antiqua"/>
          <w:kern w:val="2"/>
          <w:sz w:val="24"/>
          <w:szCs w:val="24"/>
          <w:lang w:val="en-US" w:eastAsia="zh-CN"/>
        </w:rPr>
        <w:t xml:space="preserve"> JM. Cephalic </w:t>
      </w:r>
      <w:proofErr w:type="spellStart"/>
      <w:r w:rsidRPr="003D034F">
        <w:rPr>
          <w:rFonts w:ascii="Book Antiqua" w:hAnsi="Book Antiqua"/>
          <w:kern w:val="2"/>
          <w:sz w:val="24"/>
          <w:szCs w:val="24"/>
          <w:lang w:val="en-US" w:eastAsia="zh-CN"/>
        </w:rPr>
        <w:t>duodenopancreatectomy</w:t>
      </w:r>
      <w:proofErr w:type="spellEnd"/>
      <w:r w:rsidRPr="003D034F">
        <w:rPr>
          <w:rFonts w:ascii="Book Antiqua" w:hAnsi="Book Antiqua"/>
          <w:kern w:val="2"/>
          <w:sz w:val="24"/>
          <w:szCs w:val="24"/>
          <w:lang w:val="en-US" w:eastAsia="zh-CN"/>
        </w:rPr>
        <w:t xml:space="preserve"> for </w:t>
      </w:r>
      <w:proofErr w:type="spellStart"/>
      <w:r w:rsidRPr="003D034F">
        <w:rPr>
          <w:rFonts w:ascii="Book Antiqua" w:hAnsi="Book Antiqua"/>
          <w:kern w:val="2"/>
          <w:sz w:val="24"/>
          <w:szCs w:val="24"/>
          <w:lang w:val="en-US" w:eastAsia="zh-CN"/>
        </w:rPr>
        <w:t>hyperalgic</w:t>
      </w:r>
      <w:proofErr w:type="spellEnd"/>
      <w:r w:rsidRPr="003D034F">
        <w:rPr>
          <w:rFonts w:ascii="Book Antiqua" w:hAnsi="Book Antiqua"/>
          <w:kern w:val="2"/>
          <w:sz w:val="24"/>
          <w:szCs w:val="24"/>
          <w:lang w:val="en-US" w:eastAsia="zh-CN"/>
        </w:rPr>
        <w:t xml:space="preserve"> duodenal Crohn’s disease fistulized in the pancreatic gland. </w:t>
      </w:r>
      <w:r w:rsidRPr="003D034F">
        <w:rPr>
          <w:rFonts w:ascii="Book Antiqua" w:hAnsi="Book Antiqua"/>
          <w:i/>
          <w:kern w:val="2"/>
          <w:sz w:val="24"/>
          <w:szCs w:val="24"/>
          <w:lang w:val="en-US" w:eastAsia="zh-CN"/>
        </w:rPr>
        <w:t>Case Rep Gastroenterol</w:t>
      </w:r>
      <w:r w:rsidRPr="003D034F">
        <w:rPr>
          <w:rFonts w:ascii="Book Antiqua" w:hAnsi="Book Antiqua"/>
          <w:kern w:val="2"/>
          <w:sz w:val="24"/>
          <w:szCs w:val="24"/>
          <w:lang w:val="en-US" w:eastAsia="zh-CN"/>
        </w:rPr>
        <w:t xml:space="preserve"> 2014; </w:t>
      </w:r>
      <w:r w:rsidRPr="003D034F">
        <w:rPr>
          <w:rFonts w:ascii="Book Antiqua" w:hAnsi="Book Antiqua"/>
          <w:b/>
          <w:kern w:val="2"/>
          <w:sz w:val="24"/>
          <w:szCs w:val="24"/>
          <w:lang w:val="en-US" w:eastAsia="zh-CN"/>
        </w:rPr>
        <w:t>8</w:t>
      </w:r>
      <w:r w:rsidRPr="003D034F">
        <w:rPr>
          <w:rFonts w:ascii="Book Antiqua" w:hAnsi="Book Antiqua"/>
          <w:kern w:val="2"/>
          <w:sz w:val="24"/>
          <w:szCs w:val="24"/>
          <w:lang w:val="en-US" w:eastAsia="zh-CN"/>
        </w:rPr>
        <w:t>: 72-76 [PMID: 24748861 DOI: 10.1159/000360844]</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59 </w:t>
      </w:r>
      <w:r w:rsidRPr="003D034F">
        <w:rPr>
          <w:rFonts w:ascii="Book Antiqua" w:hAnsi="Book Antiqua"/>
          <w:b/>
          <w:kern w:val="2"/>
          <w:sz w:val="24"/>
          <w:szCs w:val="24"/>
          <w:lang w:val="en-US" w:eastAsia="zh-CN"/>
        </w:rPr>
        <w:t>Rao KV</w:t>
      </w:r>
      <w:r w:rsidRPr="003D034F">
        <w:rPr>
          <w:rFonts w:ascii="Book Antiqua" w:hAnsi="Book Antiqua"/>
          <w:kern w:val="2"/>
          <w:sz w:val="24"/>
          <w:szCs w:val="24"/>
          <w:lang w:val="en-US" w:eastAsia="zh-CN"/>
        </w:rPr>
        <w:t xml:space="preserve">, Sterling MJ, Klein KM. Isolated gastroduodenal Crohn’s disease presenting with acute pancreatitis. </w:t>
      </w:r>
      <w:r w:rsidRPr="003D034F">
        <w:rPr>
          <w:rFonts w:ascii="Book Antiqua" w:hAnsi="Book Antiqua"/>
          <w:i/>
          <w:kern w:val="2"/>
          <w:sz w:val="24"/>
          <w:szCs w:val="24"/>
          <w:lang w:val="en-US" w:eastAsia="zh-CN"/>
        </w:rPr>
        <w:t xml:space="preserve">Gastroenterol </w:t>
      </w:r>
      <w:proofErr w:type="spellStart"/>
      <w:r w:rsidRPr="003D034F">
        <w:rPr>
          <w:rFonts w:ascii="Book Antiqua" w:hAnsi="Book Antiqua"/>
          <w:i/>
          <w:kern w:val="2"/>
          <w:sz w:val="24"/>
          <w:szCs w:val="24"/>
          <w:lang w:val="en-US" w:eastAsia="zh-CN"/>
        </w:rPr>
        <w:t>Hepatol</w:t>
      </w:r>
      <w:proofErr w:type="spellEnd"/>
      <w:r w:rsidRPr="003D034F">
        <w:rPr>
          <w:rFonts w:ascii="Book Antiqua" w:hAnsi="Book Antiqua"/>
          <w:i/>
          <w:kern w:val="2"/>
          <w:sz w:val="24"/>
          <w:szCs w:val="24"/>
          <w:lang w:val="en-US" w:eastAsia="zh-CN"/>
        </w:rPr>
        <w:t xml:space="preserve"> (N Y)</w:t>
      </w:r>
      <w:r w:rsidRPr="003D034F">
        <w:rPr>
          <w:rFonts w:ascii="Book Antiqua" w:hAnsi="Book Antiqua"/>
          <w:kern w:val="2"/>
          <w:sz w:val="24"/>
          <w:szCs w:val="24"/>
          <w:lang w:val="en-US" w:eastAsia="zh-CN"/>
        </w:rPr>
        <w:t xml:space="preserve"> 2008; </w:t>
      </w:r>
      <w:r w:rsidRPr="003D034F">
        <w:rPr>
          <w:rFonts w:ascii="Book Antiqua" w:hAnsi="Book Antiqua"/>
          <w:b/>
          <w:kern w:val="2"/>
          <w:sz w:val="24"/>
          <w:szCs w:val="24"/>
          <w:lang w:val="en-US" w:eastAsia="zh-CN"/>
        </w:rPr>
        <w:t>4</w:t>
      </w:r>
      <w:r w:rsidRPr="003D034F">
        <w:rPr>
          <w:rFonts w:ascii="Book Antiqua" w:hAnsi="Book Antiqua"/>
          <w:kern w:val="2"/>
          <w:sz w:val="24"/>
          <w:szCs w:val="24"/>
          <w:lang w:val="en-US" w:eastAsia="zh-CN"/>
        </w:rPr>
        <w:t>: 494-496 [PMID: 21960926 DOI: 10.14309/00000434-200709002-00947]</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60 </w:t>
      </w:r>
      <w:proofErr w:type="spellStart"/>
      <w:r w:rsidRPr="003D034F">
        <w:rPr>
          <w:rFonts w:ascii="Book Antiqua" w:hAnsi="Book Antiqua"/>
          <w:b/>
          <w:kern w:val="2"/>
          <w:sz w:val="24"/>
          <w:szCs w:val="24"/>
          <w:lang w:val="en-US" w:eastAsia="zh-CN"/>
        </w:rPr>
        <w:t>Gschwantler</w:t>
      </w:r>
      <w:proofErr w:type="spellEnd"/>
      <w:r w:rsidRPr="003D034F">
        <w:rPr>
          <w:rFonts w:ascii="Book Antiqua" w:hAnsi="Book Antiqua"/>
          <w:b/>
          <w:kern w:val="2"/>
          <w:sz w:val="24"/>
          <w:szCs w:val="24"/>
          <w:lang w:val="en-US" w:eastAsia="zh-CN"/>
        </w:rPr>
        <w:t xml:space="preserve"> M</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Kogelbauer</w:t>
      </w:r>
      <w:proofErr w:type="spellEnd"/>
      <w:r w:rsidRPr="003D034F">
        <w:rPr>
          <w:rFonts w:ascii="Book Antiqua" w:hAnsi="Book Antiqua"/>
          <w:kern w:val="2"/>
          <w:sz w:val="24"/>
          <w:szCs w:val="24"/>
          <w:lang w:val="en-US" w:eastAsia="zh-CN"/>
        </w:rPr>
        <w:t xml:space="preserve"> G, Klose W, </w:t>
      </w:r>
      <w:proofErr w:type="spellStart"/>
      <w:r w:rsidRPr="003D034F">
        <w:rPr>
          <w:rFonts w:ascii="Book Antiqua" w:hAnsi="Book Antiqua"/>
          <w:kern w:val="2"/>
          <w:sz w:val="24"/>
          <w:szCs w:val="24"/>
          <w:lang w:val="en-US" w:eastAsia="zh-CN"/>
        </w:rPr>
        <w:t>Bibus</w:t>
      </w:r>
      <w:proofErr w:type="spellEnd"/>
      <w:r w:rsidRPr="003D034F">
        <w:rPr>
          <w:rFonts w:ascii="Book Antiqua" w:hAnsi="Book Antiqua"/>
          <w:kern w:val="2"/>
          <w:sz w:val="24"/>
          <w:szCs w:val="24"/>
          <w:lang w:val="en-US" w:eastAsia="zh-CN"/>
        </w:rPr>
        <w:t xml:space="preserve"> B, </w:t>
      </w:r>
      <w:proofErr w:type="spellStart"/>
      <w:r w:rsidRPr="003D034F">
        <w:rPr>
          <w:rFonts w:ascii="Book Antiqua" w:hAnsi="Book Antiqua"/>
          <w:kern w:val="2"/>
          <w:sz w:val="24"/>
          <w:szCs w:val="24"/>
          <w:lang w:val="en-US" w:eastAsia="zh-CN"/>
        </w:rPr>
        <w:t>Tscholakoff</w:t>
      </w:r>
      <w:proofErr w:type="spellEnd"/>
      <w:r w:rsidRPr="003D034F">
        <w:rPr>
          <w:rFonts w:ascii="Book Antiqua" w:hAnsi="Book Antiqua"/>
          <w:kern w:val="2"/>
          <w:sz w:val="24"/>
          <w:szCs w:val="24"/>
          <w:lang w:val="en-US" w:eastAsia="zh-CN"/>
        </w:rPr>
        <w:t xml:space="preserve"> D, Weiss W. The pancreas as a site of granulomatous inflammation in Crohn’s disease. </w:t>
      </w:r>
      <w:r w:rsidRPr="003D034F">
        <w:rPr>
          <w:rFonts w:ascii="Book Antiqua" w:hAnsi="Book Antiqua"/>
          <w:i/>
          <w:kern w:val="2"/>
          <w:sz w:val="24"/>
          <w:szCs w:val="24"/>
          <w:lang w:val="en-US" w:eastAsia="zh-CN"/>
        </w:rPr>
        <w:t>Gastroenterology</w:t>
      </w:r>
      <w:r w:rsidRPr="003D034F">
        <w:rPr>
          <w:rFonts w:ascii="Book Antiqua" w:hAnsi="Book Antiqua"/>
          <w:kern w:val="2"/>
          <w:sz w:val="24"/>
          <w:szCs w:val="24"/>
          <w:lang w:val="en-US" w:eastAsia="zh-CN"/>
        </w:rPr>
        <w:t xml:space="preserve"> 1995; </w:t>
      </w:r>
      <w:r w:rsidRPr="003D034F">
        <w:rPr>
          <w:rFonts w:ascii="Book Antiqua" w:hAnsi="Book Antiqua"/>
          <w:b/>
          <w:kern w:val="2"/>
          <w:sz w:val="24"/>
          <w:szCs w:val="24"/>
          <w:lang w:val="en-US" w:eastAsia="zh-CN"/>
        </w:rPr>
        <w:t>108</w:t>
      </w:r>
      <w:r w:rsidRPr="003D034F">
        <w:rPr>
          <w:rFonts w:ascii="Book Antiqua" w:hAnsi="Book Antiqua"/>
          <w:kern w:val="2"/>
          <w:sz w:val="24"/>
          <w:szCs w:val="24"/>
          <w:lang w:val="en-US" w:eastAsia="zh-CN"/>
        </w:rPr>
        <w:t>: 1246-1249 [PMID: 7698591 DOI: 10.1016/0016-5085(95)90226-0]</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61 </w:t>
      </w:r>
      <w:r w:rsidRPr="003D034F">
        <w:rPr>
          <w:rFonts w:ascii="Book Antiqua" w:hAnsi="Book Antiqua"/>
          <w:b/>
          <w:kern w:val="2"/>
          <w:sz w:val="24"/>
          <w:szCs w:val="24"/>
          <w:lang w:val="en-US" w:eastAsia="zh-CN"/>
        </w:rPr>
        <w:t>Fielding JF</w:t>
      </w:r>
      <w:r w:rsidRPr="003D034F">
        <w:rPr>
          <w:rFonts w:ascii="Book Antiqua" w:hAnsi="Book Antiqua"/>
          <w:kern w:val="2"/>
          <w:sz w:val="24"/>
          <w:szCs w:val="24"/>
          <w:lang w:val="en-US" w:eastAsia="zh-CN"/>
        </w:rPr>
        <w:t xml:space="preserve">, Toye DK, </w:t>
      </w:r>
      <w:proofErr w:type="spellStart"/>
      <w:r w:rsidRPr="003D034F">
        <w:rPr>
          <w:rFonts w:ascii="Book Antiqua" w:hAnsi="Book Antiqua"/>
          <w:kern w:val="2"/>
          <w:sz w:val="24"/>
          <w:szCs w:val="24"/>
          <w:lang w:val="en-US" w:eastAsia="zh-CN"/>
        </w:rPr>
        <w:t>Beton</w:t>
      </w:r>
      <w:proofErr w:type="spellEnd"/>
      <w:r w:rsidRPr="003D034F">
        <w:rPr>
          <w:rFonts w:ascii="Book Antiqua" w:hAnsi="Book Antiqua"/>
          <w:kern w:val="2"/>
          <w:sz w:val="24"/>
          <w:szCs w:val="24"/>
          <w:lang w:val="en-US" w:eastAsia="zh-CN"/>
        </w:rPr>
        <w:t xml:space="preserve"> DC, Cooke WT. Crohn’s disease of the stomach and duodenum. </w:t>
      </w:r>
      <w:r w:rsidRPr="003D034F">
        <w:rPr>
          <w:rFonts w:ascii="Book Antiqua" w:hAnsi="Book Antiqua"/>
          <w:i/>
          <w:kern w:val="2"/>
          <w:sz w:val="24"/>
          <w:szCs w:val="24"/>
          <w:lang w:val="en-US" w:eastAsia="zh-CN"/>
        </w:rPr>
        <w:t>Gut</w:t>
      </w:r>
      <w:r w:rsidRPr="003D034F">
        <w:rPr>
          <w:rFonts w:ascii="Book Antiqua" w:hAnsi="Book Antiqua"/>
          <w:kern w:val="2"/>
          <w:sz w:val="24"/>
          <w:szCs w:val="24"/>
          <w:lang w:val="en-US" w:eastAsia="zh-CN"/>
        </w:rPr>
        <w:t xml:space="preserve"> 1970; </w:t>
      </w:r>
      <w:r w:rsidRPr="003D034F">
        <w:rPr>
          <w:rFonts w:ascii="Book Antiqua" w:hAnsi="Book Antiqua"/>
          <w:b/>
          <w:kern w:val="2"/>
          <w:sz w:val="24"/>
          <w:szCs w:val="24"/>
          <w:lang w:val="en-US" w:eastAsia="zh-CN"/>
        </w:rPr>
        <w:t>11</w:t>
      </w:r>
      <w:r w:rsidRPr="003D034F">
        <w:rPr>
          <w:rFonts w:ascii="Book Antiqua" w:hAnsi="Book Antiqua"/>
          <w:kern w:val="2"/>
          <w:sz w:val="24"/>
          <w:szCs w:val="24"/>
          <w:lang w:val="en-US" w:eastAsia="zh-CN"/>
        </w:rPr>
        <w:t>: 1001-1006 [PMID: 5511778 DOI: 10.1136/gut.11.12.1001]</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62 </w:t>
      </w:r>
      <w:r w:rsidRPr="003D034F">
        <w:rPr>
          <w:rFonts w:ascii="Book Antiqua" w:hAnsi="Book Antiqua"/>
          <w:b/>
          <w:kern w:val="2"/>
          <w:sz w:val="24"/>
          <w:szCs w:val="24"/>
          <w:lang w:val="en-US" w:eastAsia="zh-CN"/>
        </w:rPr>
        <w:t>Danzi JT</w:t>
      </w:r>
      <w:r w:rsidRPr="003D034F">
        <w:rPr>
          <w:rFonts w:ascii="Book Antiqua" w:hAnsi="Book Antiqua"/>
          <w:kern w:val="2"/>
          <w:sz w:val="24"/>
          <w:szCs w:val="24"/>
          <w:lang w:val="en-US" w:eastAsia="zh-CN"/>
        </w:rPr>
        <w:t xml:space="preserve">, Farmer RG, Sullivan BH Jr, Rankin GB. Endoscopic features of gastroduodenal Crohn’s disease. </w:t>
      </w:r>
      <w:r w:rsidRPr="003D034F">
        <w:rPr>
          <w:rFonts w:ascii="Book Antiqua" w:hAnsi="Book Antiqua"/>
          <w:i/>
          <w:kern w:val="2"/>
          <w:sz w:val="24"/>
          <w:szCs w:val="24"/>
          <w:lang w:val="en-US" w:eastAsia="zh-CN"/>
        </w:rPr>
        <w:t>Gastroenterology</w:t>
      </w:r>
      <w:r w:rsidRPr="003D034F">
        <w:rPr>
          <w:rFonts w:ascii="Book Antiqua" w:hAnsi="Book Antiqua"/>
          <w:kern w:val="2"/>
          <w:sz w:val="24"/>
          <w:szCs w:val="24"/>
          <w:lang w:val="en-US" w:eastAsia="zh-CN"/>
        </w:rPr>
        <w:t xml:space="preserve"> 1976; </w:t>
      </w:r>
      <w:r w:rsidRPr="003D034F">
        <w:rPr>
          <w:rFonts w:ascii="Book Antiqua" w:hAnsi="Book Antiqua"/>
          <w:b/>
          <w:kern w:val="2"/>
          <w:sz w:val="24"/>
          <w:szCs w:val="24"/>
          <w:lang w:val="en-US" w:eastAsia="zh-CN"/>
        </w:rPr>
        <w:t>70</w:t>
      </w:r>
      <w:r w:rsidRPr="003D034F">
        <w:rPr>
          <w:rFonts w:ascii="Book Antiqua" w:hAnsi="Book Antiqua"/>
          <w:kern w:val="2"/>
          <w:sz w:val="24"/>
          <w:szCs w:val="24"/>
          <w:lang w:val="en-US" w:eastAsia="zh-CN"/>
        </w:rPr>
        <w:t>: 9-13 [PMID: 1245289]</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63 </w:t>
      </w:r>
      <w:r w:rsidRPr="003D034F">
        <w:rPr>
          <w:rFonts w:ascii="Book Antiqua" w:hAnsi="Book Antiqua"/>
          <w:b/>
          <w:kern w:val="2"/>
          <w:sz w:val="24"/>
          <w:szCs w:val="24"/>
          <w:lang w:val="en-US" w:eastAsia="zh-CN"/>
        </w:rPr>
        <w:t>Farman J</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Faegenburg</w:t>
      </w:r>
      <w:proofErr w:type="spellEnd"/>
      <w:r w:rsidRPr="003D034F">
        <w:rPr>
          <w:rFonts w:ascii="Book Antiqua" w:hAnsi="Book Antiqua"/>
          <w:kern w:val="2"/>
          <w:sz w:val="24"/>
          <w:szCs w:val="24"/>
          <w:lang w:val="en-US" w:eastAsia="zh-CN"/>
        </w:rPr>
        <w:t xml:space="preserve"> D, </w:t>
      </w:r>
      <w:proofErr w:type="spellStart"/>
      <w:r w:rsidRPr="003D034F">
        <w:rPr>
          <w:rFonts w:ascii="Book Antiqua" w:hAnsi="Book Antiqua"/>
          <w:kern w:val="2"/>
          <w:sz w:val="24"/>
          <w:szCs w:val="24"/>
          <w:lang w:val="en-US" w:eastAsia="zh-CN"/>
        </w:rPr>
        <w:t>Dallemand</w:t>
      </w:r>
      <w:proofErr w:type="spellEnd"/>
      <w:r w:rsidRPr="003D034F">
        <w:rPr>
          <w:rFonts w:ascii="Book Antiqua" w:hAnsi="Book Antiqua"/>
          <w:kern w:val="2"/>
          <w:sz w:val="24"/>
          <w:szCs w:val="24"/>
          <w:lang w:val="en-US" w:eastAsia="zh-CN"/>
        </w:rPr>
        <w:t xml:space="preserve"> S, Chen CK. Crohn’s disease of the stomach: The "ram's horn" sign. </w:t>
      </w:r>
      <w:r w:rsidRPr="003D034F">
        <w:rPr>
          <w:rFonts w:ascii="Book Antiqua" w:hAnsi="Book Antiqua"/>
          <w:i/>
          <w:kern w:val="2"/>
          <w:sz w:val="24"/>
          <w:szCs w:val="24"/>
          <w:lang w:val="en-US" w:eastAsia="zh-CN"/>
        </w:rPr>
        <w:t xml:space="preserve">Am J </w:t>
      </w:r>
      <w:proofErr w:type="spellStart"/>
      <w:r w:rsidRPr="003D034F">
        <w:rPr>
          <w:rFonts w:ascii="Book Antiqua" w:hAnsi="Book Antiqua"/>
          <w:i/>
          <w:kern w:val="2"/>
          <w:sz w:val="24"/>
          <w:szCs w:val="24"/>
          <w:lang w:val="en-US" w:eastAsia="zh-CN"/>
        </w:rPr>
        <w:t>Roentgenol</w:t>
      </w:r>
      <w:proofErr w:type="spellEnd"/>
      <w:r w:rsidRPr="003D034F">
        <w:rPr>
          <w:rFonts w:ascii="Book Antiqua" w:hAnsi="Book Antiqua"/>
          <w:i/>
          <w:kern w:val="2"/>
          <w:sz w:val="24"/>
          <w:szCs w:val="24"/>
          <w:lang w:val="en-US" w:eastAsia="zh-CN"/>
        </w:rPr>
        <w:t xml:space="preserve"> Radium </w:t>
      </w:r>
      <w:proofErr w:type="spellStart"/>
      <w:r w:rsidRPr="003D034F">
        <w:rPr>
          <w:rFonts w:ascii="Book Antiqua" w:hAnsi="Book Antiqua"/>
          <w:i/>
          <w:kern w:val="2"/>
          <w:sz w:val="24"/>
          <w:szCs w:val="24"/>
          <w:lang w:val="en-US" w:eastAsia="zh-CN"/>
        </w:rPr>
        <w:t>Ther</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Nucl</w:t>
      </w:r>
      <w:proofErr w:type="spellEnd"/>
      <w:r w:rsidRPr="003D034F">
        <w:rPr>
          <w:rFonts w:ascii="Book Antiqua" w:hAnsi="Book Antiqua"/>
          <w:i/>
          <w:kern w:val="2"/>
          <w:sz w:val="24"/>
          <w:szCs w:val="24"/>
          <w:lang w:val="en-US" w:eastAsia="zh-CN"/>
        </w:rPr>
        <w:t xml:space="preserve"> Med</w:t>
      </w:r>
      <w:r w:rsidRPr="003D034F">
        <w:rPr>
          <w:rFonts w:ascii="Book Antiqua" w:hAnsi="Book Antiqua"/>
          <w:kern w:val="2"/>
          <w:sz w:val="24"/>
          <w:szCs w:val="24"/>
          <w:lang w:val="en-US" w:eastAsia="zh-CN"/>
        </w:rPr>
        <w:t xml:space="preserve"> 1975; </w:t>
      </w:r>
      <w:r w:rsidRPr="003D034F">
        <w:rPr>
          <w:rFonts w:ascii="Book Antiqua" w:hAnsi="Book Antiqua"/>
          <w:b/>
          <w:kern w:val="2"/>
          <w:sz w:val="24"/>
          <w:szCs w:val="24"/>
          <w:lang w:val="en-US" w:eastAsia="zh-CN"/>
        </w:rPr>
        <w:t>123</w:t>
      </w:r>
      <w:r w:rsidRPr="003D034F">
        <w:rPr>
          <w:rFonts w:ascii="Book Antiqua" w:hAnsi="Book Antiqua"/>
          <w:kern w:val="2"/>
          <w:sz w:val="24"/>
          <w:szCs w:val="24"/>
          <w:lang w:val="en-US" w:eastAsia="zh-CN"/>
        </w:rPr>
        <w:t>: 242-251 [PMID: 1115302 DOI: 10.2214/ajr.123.2.242]</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64 </w:t>
      </w:r>
      <w:r w:rsidRPr="003D034F">
        <w:rPr>
          <w:rFonts w:ascii="Book Antiqua" w:hAnsi="Book Antiqua"/>
          <w:b/>
          <w:kern w:val="2"/>
          <w:sz w:val="24"/>
          <w:szCs w:val="24"/>
          <w:lang w:val="en-US" w:eastAsia="zh-CN"/>
        </w:rPr>
        <w:t>Kefalas CH</w:t>
      </w:r>
      <w:r w:rsidRPr="003D034F">
        <w:rPr>
          <w:rFonts w:ascii="Book Antiqua" w:hAnsi="Book Antiqua"/>
          <w:kern w:val="2"/>
          <w:sz w:val="24"/>
          <w:szCs w:val="24"/>
          <w:lang w:val="en-US" w:eastAsia="zh-CN"/>
        </w:rPr>
        <w:t xml:space="preserve">. Gastroduodenal Crohn’s disease. </w:t>
      </w:r>
      <w:r w:rsidRPr="003D034F">
        <w:rPr>
          <w:rFonts w:ascii="Book Antiqua" w:hAnsi="Book Antiqua"/>
          <w:i/>
          <w:kern w:val="2"/>
          <w:sz w:val="24"/>
          <w:szCs w:val="24"/>
          <w:lang w:val="en-US" w:eastAsia="zh-CN"/>
        </w:rPr>
        <w:t>Proc (</w:t>
      </w:r>
      <w:proofErr w:type="spellStart"/>
      <w:r w:rsidRPr="003D034F">
        <w:rPr>
          <w:rFonts w:ascii="Book Antiqua" w:hAnsi="Book Antiqua"/>
          <w:i/>
          <w:kern w:val="2"/>
          <w:sz w:val="24"/>
          <w:szCs w:val="24"/>
          <w:lang w:val="en-US" w:eastAsia="zh-CN"/>
        </w:rPr>
        <w:t>Bayl</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Univ</w:t>
      </w:r>
      <w:proofErr w:type="spellEnd"/>
      <w:r w:rsidRPr="003D034F">
        <w:rPr>
          <w:rFonts w:ascii="Book Antiqua" w:hAnsi="Book Antiqua"/>
          <w:i/>
          <w:kern w:val="2"/>
          <w:sz w:val="24"/>
          <w:szCs w:val="24"/>
          <w:lang w:val="en-US" w:eastAsia="zh-CN"/>
        </w:rPr>
        <w:t xml:space="preserve"> Med Cent)</w:t>
      </w:r>
      <w:r w:rsidRPr="003D034F">
        <w:rPr>
          <w:rFonts w:ascii="Book Antiqua" w:hAnsi="Book Antiqua"/>
          <w:kern w:val="2"/>
          <w:sz w:val="24"/>
          <w:szCs w:val="24"/>
          <w:lang w:val="en-US" w:eastAsia="zh-CN"/>
        </w:rPr>
        <w:t xml:space="preserve"> 2003; </w:t>
      </w:r>
      <w:r w:rsidRPr="003D034F">
        <w:rPr>
          <w:rFonts w:ascii="Book Antiqua" w:hAnsi="Book Antiqua"/>
          <w:b/>
          <w:kern w:val="2"/>
          <w:sz w:val="24"/>
          <w:szCs w:val="24"/>
          <w:lang w:val="en-US" w:eastAsia="zh-CN"/>
        </w:rPr>
        <w:t>16</w:t>
      </w:r>
      <w:r w:rsidRPr="003D034F">
        <w:rPr>
          <w:rFonts w:ascii="Book Antiqua" w:hAnsi="Book Antiqua"/>
          <w:kern w:val="2"/>
          <w:sz w:val="24"/>
          <w:szCs w:val="24"/>
          <w:lang w:val="en-US" w:eastAsia="zh-CN"/>
        </w:rPr>
        <w:t>: 147-151 [PMID: 16278730 DOI: 10.1080/08998280.2003.11927896]</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65 </w:t>
      </w:r>
      <w:r w:rsidRPr="003D034F">
        <w:rPr>
          <w:rFonts w:ascii="Book Antiqua" w:hAnsi="Book Antiqua"/>
          <w:b/>
          <w:kern w:val="2"/>
          <w:sz w:val="24"/>
          <w:szCs w:val="24"/>
          <w:lang w:val="en-US" w:eastAsia="zh-CN"/>
        </w:rPr>
        <w:t>Yardley JH</w:t>
      </w:r>
      <w:r w:rsidRPr="003D034F">
        <w:rPr>
          <w:rFonts w:ascii="Book Antiqua" w:hAnsi="Book Antiqua"/>
          <w:kern w:val="2"/>
          <w:sz w:val="24"/>
          <w:szCs w:val="24"/>
          <w:lang w:val="en-US" w:eastAsia="zh-CN"/>
        </w:rPr>
        <w:t xml:space="preserve">, Hendrix TR. Gastroduodenal Crohn’s disease: The focus is on focality. </w:t>
      </w:r>
      <w:r w:rsidRPr="003D034F">
        <w:rPr>
          <w:rFonts w:ascii="Book Antiqua" w:hAnsi="Book Antiqua"/>
          <w:i/>
          <w:kern w:val="2"/>
          <w:sz w:val="24"/>
          <w:szCs w:val="24"/>
          <w:lang w:val="en-US" w:eastAsia="zh-CN"/>
        </w:rPr>
        <w:t>Gastroenterology</w:t>
      </w:r>
      <w:r w:rsidRPr="003D034F">
        <w:rPr>
          <w:rFonts w:ascii="Book Antiqua" w:hAnsi="Book Antiqua"/>
          <w:kern w:val="2"/>
          <w:sz w:val="24"/>
          <w:szCs w:val="24"/>
          <w:lang w:val="en-US" w:eastAsia="zh-CN"/>
        </w:rPr>
        <w:t xml:space="preserve"> 1997; </w:t>
      </w:r>
      <w:r w:rsidRPr="003D034F">
        <w:rPr>
          <w:rFonts w:ascii="Book Antiqua" w:hAnsi="Book Antiqua"/>
          <w:b/>
          <w:kern w:val="2"/>
          <w:sz w:val="24"/>
          <w:szCs w:val="24"/>
          <w:lang w:val="en-US" w:eastAsia="zh-CN"/>
        </w:rPr>
        <w:t>112</w:t>
      </w:r>
      <w:r w:rsidRPr="003D034F">
        <w:rPr>
          <w:rFonts w:ascii="Book Antiqua" w:hAnsi="Book Antiqua"/>
          <w:kern w:val="2"/>
          <w:sz w:val="24"/>
          <w:szCs w:val="24"/>
          <w:lang w:val="en-US" w:eastAsia="zh-CN"/>
        </w:rPr>
        <w:t xml:space="preserve">: 1031-1033 [PMID: 9041268 DOI: </w:t>
      </w:r>
      <w:r w:rsidRPr="003D034F">
        <w:rPr>
          <w:rFonts w:ascii="Book Antiqua" w:hAnsi="Book Antiqua"/>
          <w:kern w:val="2"/>
          <w:sz w:val="24"/>
          <w:szCs w:val="24"/>
          <w:lang w:val="en-US" w:eastAsia="zh-CN"/>
        </w:rPr>
        <w:lastRenderedPageBreak/>
        <w:t>10.1053/gast.1997.v112.agast971031]</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66 </w:t>
      </w:r>
      <w:proofErr w:type="spellStart"/>
      <w:r w:rsidRPr="003D034F">
        <w:rPr>
          <w:rFonts w:ascii="Book Antiqua" w:hAnsi="Book Antiqua"/>
          <w:b/>
          <w:kern w:val="2"/>
          <w:sz w:val="24"/>
          <w:szCs w:val="24"/>
          <w:lang w:val="en-US" w:eastAsia="zh-CN"/>
        </w:rPr>
        <w:t>Kuriyama</w:t>
      </w:r>
      <w:proofErr w:type="spellEnd"/>
      <w:r w:rsidRPr="003D034F">
        <w:rPr>
          <w:rFonts w:ascii="Book Antiqua" w:hAnsi="Book Antiqua"/>
          <w:b/>
          <w:kern w:val="2"/>
          <w:sz w:val="24"/>
          <w:szCs w:val="24"/>
          <w:lang w:val="en-US" w:eastAsia="zh-CN"/>
        </w:rPr>
        <w:t xml:space="preserve"> M</w:t>
      </w:r>
      <w:r w:rsidRPr="003D034F">
        <w:rPr>
          <w:rFonts w:ascii="Book Antiqua" w:hAnsi="Book Antiqua"/>
          <w:kern w:val="2"/>
          <w:sz w:val="24"/>
          <w:szCs w:val="24"/>
          <w:lang w:val="en-US" w:eastAsia="zh-CN"/>
        </w:rPr>
        <w:t xml:space="preserve">, Kato J, Morimoto N, Fujimoto T, Okada H, Yamamoto K. Specific </w:t>
      </w:r>
      <w:proofErr w:type="spellStart"/>
      <w:r w:rsidRPr="003D034F">
        <w:rPr>
          <w:rFonts w:ascii="Book Antiqua" w:hAnsi="Book Antiqua"/>
          <w:kern w:val="2"/>
          <w:sz w:val="24"/>
          <w:szCs w:val="24"/>
          <w:lang w:val="en-US" w:eastAsia="zh-CN"/>
        </w:rPr>
        <w:t>gastroduodenoscopic</w:t>
      </w:r>
      <w:proofErr w:type="spellEnd"/>
      <w:r w:rsidRPr="003D034F">
        <w:rPr>
          <w:rFonts w:ascii="Book Antiqua" w:hAnsi="Book Antiqua"/>
          <w:kern w:val="2"/>
          <w:sz w:val="24"/>
          <w:szCs w:val="24"/>
          <w:lang w:val="en-US" w:eastAsia="zh-CN"/>
        </w:rPr>
        <w:t xml:space="preserve"> findings in Crohn’s disease: Comparison with findings in patients with ulcerative colitis and gastroesophageal reflux disease. </w:t>
      </w:r>
      <w:r w:rsidRPr="003D034F">
        <w:rPr>
          <w:rFonts w:ascii="Book Antiqua" w:hAnsi="Book Antiqua"/>
          <w:i/>
          <w:kern w:val="2"/>
          <w:sz w:val="24"/>
          <w:szCs w:val="24"/>
          <w:lang w:val="en-US" w:eastAsia="zh-CN"/>
        </w:rPr>
        <w:t>Dig Liver Dis</w:t>
      </w:r>
      <w:r w:rsidRPr="003D034F">
        <w:rPr>
          <w:rFonts w:ascii="Book Antiqua" w:hAnsi="Book Antiqua"/>
          <w:kern w:val="2"/>
          <w:sz w:val="24"/>
          <w:szCs w:val="24"/>
          <w:lang w:val="en-US" w:eastAsia="zh-CN"/>
        </w:rPr>
        <w:t xml:space="preserve"> 2008; </w:t>
      </w:r>
      <w:r w:rsidRPr="003D034F">
        <w:rPr>
          <w:rFonts w:ascii="Book Antiqua" w:hAnsi="Book Antiqua"/>
          <w:b/>
          <w:kern w:val="2"/>
          <w:sz w:val="24"/>
          <w:szCs w:val="24"/>
          <w:lang w:val="en-US" w:eastAsia="zh-CN"/>
        </w:rPr>
        <w:t>40</w:t>
      </w:r>
      <w:r w:rsidRPr="003D034F">
        <w:rPr>
          <w:rFonts w:ascii="Book Antiqua" w:hAnsi="Book Antiqua"/>
          <w:kern w:val="2"/>
          <w:sz w:val="24"/>
          <w:szCs w:val="24"/>
          <w:lang w:val="en-US" w:eastAsia="zh-CN"/>
        </w:rPr>
        <w:t>: 468-475 [PMID: 18328794 DOI: 10.1016/j.dld.2008.01.008]</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67 </w:t>
      </w:r>
      <w:proofErr w:type="spellStart"/>
      <w:r w:rsidRPr="003D034F">
        <w:rPr>
          <w:rFonts w:ascii="Book Antiqua" w:hAnsi="Book Antiqua"/>
          <w:b/>
          <w:kern w:val="2"/>
          <w:sz w:val="24"/>
          <w:szCs w:val="24"/>
          <w:lang w:val="en-US" w:eastAsia="zh-CN"/>
        </w:rPr>
        <w:t>Hokama</w:t>
      </w:r>
      <w:proofErr w:type="spellEnd"/>
      <w:r w:rsidRPr="003D034F">
        <w:rPr>
          <w:rFonts w:ascii="Book Antiqua" w:hAnsi="Book Antiqua"/>
          <w:b/>
          <w:kern w:val="2"/>
          <w:sz w:val="24"/>
          <w:szCs w:val="24"/>
          <w:lang w:val="en-US" w:eastAsia="zh-CN"/>
        </w:rPr>
        <w:t xml:space="preserve"> A</w:t>
      </w:r>
      <w:r w:rsidRPr="003D034F">
        <w:rPr>
          <w:rFonts w:ascii="Book Antiqua" w:hAnsi="Book Antiqua"/>
          <w:kern w:val="2"/>
          <w:sz w:val="24"/>
          <w:szCs w:val="24"/>
          <w:lang w:val="en-US" w:eastAsia="zh-CN"/>
        </w:rPr>
        <w:t xml:space="preserve">, Nakamura M, </w:t>
      </w:r>
      <w:proofErr w:type="spellStart"/>
      <w:r w:rsidRPr="003D034F">
        <w:rPr>
          <w:rFonts w:ascii="Book Antiqua" w:hAnsi="Book Antiqua"/>
          <w:kern w:val="2"/>
          <w:sz w:val="24"/>
          <w:szCs w:val="24"/>
          <w:lang w:val="en-US" w:eastAsia="zh-CN"/>
        </w:rPr>
        <w:t>Ihama</w:t>
      </w:r>
      <w:proofErr w:type="spellEnd"/>
      <w:r w:rsidRPr="003D034F">
        <w:rPr>
          <w:rFonts w:ascii="Book Antiqua" w:hAnsi="Book Antiqua"/>
          <w:kern w:val="2"/>
          <w:sz w:val="24"/>
          <w:szCs w:val="24"/>
          <w:lang w:val="en-US" w:eastAsia="zh-CN"/>
        </w:rPr>
        <w:t xml:space="preserve"> Y, </w:t>
      </w:r>
      <w:proofErr w:type="spellStart"/>
      <w:r w:rsidRPr="003D034F">
        <w:rPr>
          <w:rFonts w:ascii="Book Antiqua" w:hAnsi="Book Antiqua"/>
          <w:kern w:val="2"/>
          <w:sz w:val="24"/>
          <w:szCs w:val="24"/>
          <w:lang w:val="en-US" w:eastAsia="zh-CN"/>
        </w:rPr>
        <w:t>Chinen</w:t>
      </w:r>
      <w:proofErr w:type="spellEnd"/>
      <w:r w:rsidRPr="003D034F">
        <w:rPr>
          <w:rFonts w:ascii="Book Antiqua" w:hAnsi="Book Antiqua"/>
          <w:kern w:val="2"/>
          <w:sz w:val="24"/>
          <w:szCs w:val="24"/>
          <w:lang w:val="en-US" w:eastAsia="zh-CN"/>
        </w:rPr>
        <w:t xml:space="preserve"> H, </w:t>
      </w:r>
      <w:proofErr w:type="spellStart"/>
      <w:r w:rsidRPr="003D034F">
        <w:rPr>
          <w:rFonts w:ascii="Book Antiqua" w:hAnsi="Book Antiqua"/>
          <w:kern w:val="2"/>
          <w:sz w:val="24"/>
          <w:szCs w:val="24"/>
          <w:lang w:val="en-US" w:eastAsia="zh-CN"/>
        </w:rPr>
        <w:t>Kishimoto</w:t>
      </w:r>
      <w:proofErr w:type="spellEnd"/>
      <w:r w:rsidRPr="003D034F">
        <w:rPr>
          <w:rFonts w:ascii="Book Antiqua" w:hAnsi="Book Antiqua"/>
          <w:kern w:val="2"/>
          <w:sz w:val="24"/>
          <w:szCs w:val="24"/>
          <w:lang w:val="en-US" w:eastAsia="zh-CN"/>
        </w:rPr>
        <w:t xml:space="preserve"> K, Kinjo F, Fujita J. Notched sign and bamboo-joint-like appearance in duodenal Crohn’s disease. </w:t>
      </w:r>
      <w:r w:rsidRPr="003D034F">
        <w:rPr>
          <w:rFonts w:ascii="Book Antiqua" w:hAnsi="Book Antiqua"/>
          <w:i/>
          <w:kern w:val="2"/>
          <w:sz w:val="24"/>
          <w:szCs w:val="24"/>
          <w:lang w:val="en-US" w:eastAsia="zh-CN"/>
        </w:rPr>
        <w:t>Endoscopy</w:t>
      </w:r>
      <w:r w:rsidRPr="003D034F">
        <w:rPr>
          <w:rFonts w:ascii="Book Antiqua" w:hAnsi="Book Antiqua"/>
          <w:kern w:val="2"/>
          <w:sz w:val="24"/>
          <w:szCs w:val="24"/>
          <w:lang w:val="en-US" w:eastAsia="zh-CN"/>
        </w:rPr>
        <w:t xml:space="preserve"> 2008; </w:t>
      </w:r>
      <w:r w:rsidRPr="003D034F">
        <w:rPr>
          <w:rFonts w:ascii="Book Antiqua" w:hAnsi="Book Antiqua"/>
          <w:b/>
          <w:kern w:val="2"/>
          <w:sz w:val="24"/>
          <w:szCs w:val="24"/>
          <w:lang w:val="en-US" w:eastAsia="zh-CN"/>
        </w:rPr>
        <w:t xml:space="preserve">40 </w:t>
      </w:r>
      <w:proofErr w:type="spellStart"/>
      <w:r w:rsidRPr="003D034F">
        <w:rPr>
          <w:rFonts w:ascii="Book Antiqua" w:hAnsi="Book Antiqua"/>
          <w:b/>
          <w:kern w:val="2"/>
          <w:sz w:val="24"/>
          <w:szCs w:val="24"/>
          <w:lang w:val="en-US" w:eastAsia="zh-CN"/>
        </w:rPr>
        <w:t>Suppl</w:t>
      </w:r>
      <w:proofErr w:type="spellEnd"/>
      <w:r w:rsidRPr="003D034F">
        <w:rPr>
          <w:rFonts w:ascii="Book Antiqua" w:hAnsi="Book Antiqua"/>
          <w:b/>
          <w:kern w:val="2"/>
          <w:sz w:val="24"/>
          <w:szCs w:val="24"/>
          <w:lang w:val="en-US" w:eastAsia="zh-CN"/>
        </w:rPr>
        <w:t xml:space="preserve"> 2</w:t>
      </w:r>
      <w:r w:rsidRPr="003D034F">
        <w:rPr>
          <w:rFonts w:ascii="Book Antiqua" w:hAnsi="Book Antiqua"/>
          <w:kern w:val="2"/>
          <w:sz w:val="24"/>
          <w:szCs w:val="24"/>
          <w:lang w:val="en-US" w:eastAsia="zh-CN"/>
        </w:rPr>
        <w:t>: E151 [PMID: 18633874 DOI: 10.1055/s-2007-995774]</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68 </w:t>
      </w:r>
      <w:r w:rsidRPr="003D034F">
        <w:rPr>
          <w:rFonts w:ascii="Book Antiqua" w:hAnsi="Book Antiqua"/>
          <w:b/>
          <w:kern w:val="2"/>
          <w:sz w:val="24"/>
          <w:szCs w:val="24"/>
          <w:lang w:val="en-US" w:eastAsia="zh-CN"/>
        </w:rPr>
        <w:t>Fujiya M</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Sakatani</w:t>
      </w:r>
      <w:proofErr w:type="spellEnd"/>
      <w:r w:rsidRPr="003D034F">
        <w:rPr>
          <w:rFonts w:ascii="Book Antiqua" w:hAnsi="Book Antiqua"/>
          <w:kern w:val="2"/>
          <w:sz w:val="24"/>
          <w:szCs w:val="24"/>
          <w:lang w:val="en-US" w:eastAsia="zh-CN"/>
        </w:rPr>
        <w:t xml:space="preserve"> A, </w:t>
      </w:r>
      <w:proofErr w:type="spellStart"/>
      <w:r w:rsidRPr="003D034F">
        <w:rPr>
          <w:rFonts w:ascii="Book Antiqua" w:hAnsi="Book Antiqua"/>
          <w:kern w:val="2"/>
          <w:sz w:val="24"/>
          <w:szCs w:val="24"/>
          <w:lang w:val="en-US" w:eastAsia="zh-CN"/>
        </w:rPr>
        <w:t>Dokoshi</w:t>
      </w:r>
      <w:proofErr w:type="spellEnd"/>
      <w:r w:rsidRPr="003D034F">
        <w:rPr>
          <w:rFonts w:ascii="Book Antiqua" w:hAnsi="Book Antiqua"/>
          <w:kern w:val="2"/>
          <w:sz w:val="24"/>
          <w:szCs w:val="24"/>
          <w:lang w:val="en-US" w:eastAsia="zh-CN"/>
        </w:rPr>
        <w:t xml:space="preserve"> T, Tanaka K, Ando K, Ueno N, </w:t>
      </w:r>
      <w:proofErr w:type="spellStart"/>
      <w:r w:rsidRPr="003D034F">
        <w:rPr>
          <w:rFonts w:ascii="Book Antiqua" w:hAnsi="Book Antiqua"/>
          <w:kern w:val="2"/>
          <w:sz w:val="24"/>
          <w:szCs w:val="24"/>
          <w:lang w:val="en-US" w:eastAsia="zh-CN"/>
        </w:rPr>
        <w:t>Gotoh</w:t>
      </w:r>
      <w:proofErr w:type="spellEnd"/>
      <w:r w:rsidRPr="003D034F">
        <w:rPr>
          <w:rFonts w:ascii="Book Antiqua" w:hAnsi="Book Antiqua"/>
          <w:kern w:val="2"/>
          <w:sz w:val="24"/>
          <w:szCs w:val="24"/>
          <w:lang w:val="en-US" w:eastAsia="zh-CN"/>
        </w:rPr>
        <w:t xml:space="preserve"> T, Kashima S, </w:t>
      </w:r>
      <w:proofErr w:type="spellStart"/>
      <w:r w:rsidRPr="003D034F">
        <w:rPr>
          <w:rFonts w:ascii="Book Antiqua" w:hAnsi="Book Antiqua"/>
          <w:kern w:val="2"/>
          <w:sz w:val="24"/>
          <w:szCs w:val="24"/>
          <w:lang w:val="en-US" w:eastAsia="zh-CN"/>
        </w:rPr>
        <w:t>Tominaga</w:t>
      </w:r>
      <w:proofErr w:type="spellEnd"/>
      <w:r w:rsidRPr="003D034F">
        <w:rPr>
          <w:rFonts w:ascii="Book Antiqua" w:hAnsi="Book Antiqua"/>
          <w:kern w:val="2"/>
          <w:sz w:val="24"/>
          <w:szCs w:val="24"/>
          <w:lang w:val="en-US" w:eastAsia="zh-CN"/>
        </w:rPr>
        <w:t xml:space="preserve"> M, Inaba Y, Ito T, </w:t>
      </w:r>
      <w:proofErr w:type="spellStart"/>
      <w:r w:rsidRPr="003D034F">
        <w:rPr>
          <w:rFonts w:ascii="Book Antiqua" w:hAnsi="Book Antiqua"/>
          <w:kern w:val="2"/>
          <w:sz w:val="24"/>
          <w:szCs w:val="24"/>
          <w:lang w:val="en-US" w:eastAsia="zh-CN"/>
        </w:rPr>
        <w:t>Moriichi</w:t>
      </w:r>
      <w:proofErr w:type="spellEnd"/>
      <w:r w:rsidRPr="003D034F">
        <w:rPr>
          <w:rFonts w:ascii="Book Antiqua" w:hAnsi="Book Antiqua"/>
          <w:kern w:val="2"/>
          <w:sz w:val="24"/>
          <w:szCs w:val="24"/>
          <w:lang w:val="en-US" w:eastAsia="zh-CN"/>
        </w:rPr>
        <w:t xml:space="preserve"> K, Tanabe H, Ikuta K, </w:t>
      </w:r>
      <w:proofErr w:type="spellStart"/>
      <w:r w:rsidRPr="003D034F">
        <w:rPr>
          <w:rFonts w:ascii="Book Antiqua" w:hAnsi="Book Antiqua"/>
          <w:kern w:val="2"/>
          <w:sz w:val="24"/>
          <w:szCs w:val="24"/>
          <w:lang w:val="en-US" w:eastAsia="zh-CN"/>
        </w:rPr>
        <w:t>Ohtake</w:t>
      </w:r>
      <w:proofErr w:type="spellEnd"/>
      <w:r w:rsidRPr="003D034F">
        <w:rPr>
          <w:rFonts w:ascii="Book Antiqua" w:hAnsi="Book Antiqua"/>
          <w:kern w:val="2"/>
          <w:sz w:val="24"/>
          <w:szCs w:val="24"/>
          <w:lang w:val="en-US" w:eastAsia="zh-CN"/>
        </w:rPr>
        <w:t xml:space="preserve"> T, Yokota K, </w:t>
      </w:r>
      <w:proofErr w:type="spellStart"/>
      <w:r w:rsidRPr="003D034F">
        <w:rPr>
          <w:rFonts w:ascii="Book Antiqua" w:hAnsi="Book Antiqua"/>
          <w:kern w:val="2"/>
          <w:sz w:val="24"/>
          <w:szCs w:val="24"/>
          <w:lang w:val="en-US" w:eastAsia="zh-CN"/>
        </w:rPr>
        <w:t>Watari</w:t>
      </w:r>
      <w:proofErr w:type="spellEnd"/>
      <w:r w:rsidRPr="003D034F">
        <w:rPr>
          <w:rFonts w:ascii="Book Antiqua" w:hAnsi="Book Antiqua"/>
          <w:kern w:val="2"/>
          <w:sz w:val="24"/>
          <w:szCs w:val="24"/>
          <w:lang w:val="en-US" w:eastAsia="zh-CN"/>
        </w:rPr>
        <w:t xml:space="preserve"> J, </w:t>
      </w:r>
      <w:proofErr w:type="spellStart"/>
      <w:r w:rsidRPr="003D034F">
        <w:rPr>
          <w:rFonts w:ascii="Book Antiqua" w:hAnsi="Book Antiqua"/>
          <w:kern w:val="2"/>
          <w:sz w:val="24"/>
          <w:szCs w:val="24"/>
          <w:lang w:val="en-US" w:eastAsia="zh-CN"/>
        </w:rPr>
        <w:t>Saitoh</w:t>
      </w:r>
      <w:proofErr w:type="spellEnd"/>
      <w:r w:rsidRPr="003D034F">
        <w:rPr>
          <w:rFonts w:ascii="Book Antiqua" w:hAnsi="Book Antiqua"/>
          <w:kern w:val="2"/>
          <w:sz w:val="24"/>
          <w:szCs w:val="24"/>
          <w:lang w:val="en-US" w:eastAsia="zh-CN"/>
        </w:rPr>
        <w:t xml:space="preserve"> Y, </w:t>
      </w:r>
      <w:proofErr w:type="spellStart"/>
      <w:r w:rsidRPr="003D034F">
        <w:rPr>
          <w:rFonts w:ascii="Book Antiqua" w:hAnsi="Book Antiqua"/>
          <w:kern w:val="2"/>
          <w:sz w:val="24"/>
          <w:szCs w:val="24"/>
          <w:lang w:val="en-US" w:eastAsia="zh-CN"/>
        </w:rPr>
        <w:t>Kohgo</w:t>
      </w:r>
      <w:proofErr w:type="spellEnd"/>
      <w:r w:rsidRPr="003D034F">
        <w:rPr>
          <w:rFonts w:ascii="Book Antiqua" w:hAnsi="Book Antiqua"/>
          <w:kern w:val="2"/>
          <w:sz w:val="24"/>
          <w:szCs w:val="24"/>
          <w:lang w:val="en-US" w:eastAsia="zh-CN"/>
        </w:rPr>
        <w:t xml:space="preserve"> Y. A Bamboo Joint-Like Appearance is a Characteristic Finding in the Upper Gastrointestinal Tract of Crohn’s Disease Patients: A Case-Control Study. </w:t>
      </w:r>
      <w:r w:rsidRPr="003D034F">
        <w:rPr>
          <w:rFonts w:ascii="Book Antiqua" w:hAnsi="Book Antiqua"/>
          <w:i/>
          <w:kern w:val="2"/>
          <w:sz w:val="24"/>
          <w:szCs w:val="24"/>
          <w:lang w:val="en-US" w:eastAsia="zh-CN"/>
        </w:rPr>
        <w:t>Medicine (Baltimore)</w:t>
      </w:r>
      <w:r w:rsidRPr="003D034F">
        <w:rPr>
          <w:rFonts w:ascii="Book Antiqua" w:hAnsi="Book Antiqua"/>
          <w:kern w:val="2"/>
          <w:sz w:val="24"/>
          <w:szCs w:val="24"/>
          <w:lang w:val="en-US" w:eastAsia="zh-CN"/>
        </w:rPr>
        <w:t xml:space="preserve"> 2015; </w:t>
      </w:r>
      <w:r w:rsidRPr="003D034F">
        <w:rPr>
          <w:rFonts w:ascii="Book Antiqua" w:hAnsi="Book Antiqua"/>
          <w:b/>
          <w:kern w:val="2"/>
          <w:sz w:val="24"/>
          <w:szCs w:val="24"/>
          <w:lang w:val="en-US" w:eastAsia="zh-CN"/>
        </w:rPr>
        <w:t>94</w:t>
      </w:r>
      <w:r w:rsidRPr="003D034F">
        <w:rPr>
          <w:rFonts w:ascii="Book Antiqua" w:hAnsi="Book Antiqua"/>
          <w:kern w:val="2"/>
          <w:sz w:val="24"/>
          <w:szCs w:val="24"/>
          <w:lang w:val="en-US" w:eastAsia="zh-CN"/>
        </w:rPr>
        <w:t>: e1500 [PMID: 26376393 DOI: 10.1097/MD.0000000000001500]</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69 </w:t>
      </w:r>
      <w:r w:rsidRPr="003D034F">
        <w:rPr>
          <w:rFonts w:ascii="Book Antiqua" w:hAnsi="Book Antiqua"/>
          <w:b/>
          <w:kern w:val="2"/>
          <w:sz w:val="24"/>
          <w:szCs w:val="24"/>
          <w:lang w:val="en-US" w:eastAsia="zh-CN"/>
        </w:rPr>
        <w:t>Iizuka M</w:t>
      </w:r>
      <w:r w:rsidRPr="003D034F">
        <w:rPr>
          <w:rFonts w:ascii="Book Antiqua" w:hAnsi="Book Antiqua"/>
          <w:kern w:val="2"/>
          <w:sz w:val="24"/>
          <w:szCs w:val="24"/>
          <w:lang w:val="en-US" w:eastAsia="zh-CN"/>
        </w:rPr>
        <w:t xml:space="preserve">, Harada T, </w:t>
      </w:r>
      <w:proofErr w:type="spellStart"/>
      <w:r w:rsidRPr="003D034F">
        <w:rPr>
          <w:rFonts w:ascii="Book Antiqua" w:hAnsi="Book Antiqua"/>
          <w:kern w:val="2"/>
          <w:sz w:val="24"/>
          <w:szCs w:val="24"/>
          <w:lang w:val="en-US" w:eastAsia="zh-CN"/>
        </w:rPr>
        <w:t>Yamano</w:t>
      </w:r>
      <w:proofErr w:type="spellEnd"/>
      <w:r w:rsidRPr="003D034F">
        <w:rPr>
          <w:rFonts w:ascii="Book Antiqua" w:hAnsi="Book Antiqua"/>
          <w:kern w:val="2"/>
          <w:sz w:val="24"/>
          <w:szCs w:val="24"/>
          <w:lang w:val="en-US" w:eastAsia="zh-CN"/>
        </w:rPr>
        <w:t xml:space="preserve"> HO, </w:t>
      </w:r>
      <w:proofErr w:type="spellStart"/>
      <w:r w:rsidRPr="003D034F">
        <w:rPr>
          <w:rFonts w:ascii="Book Antiqua" w:hAnsi="Book Antiqua"/>
          <w:kern w:val="2"/>
          <w:sz w:val="24"/>
          <w:szCs w:val="24"/>
          <w:lang w:val="en-US" w:eastAsia="zh-CN"/>
        </w:rPr>
        <w:t>Etou</w:t>
      </w:r>
      <w:proofErr w:type="spellEnd"/>
      <w:r w:rsidRPr="003D034F">
        <w:rPr>
          <w:rFonts w:ascii="Book Antiqua" w:hAnsi="Book Antiqua"/>
          <w:kern w:val="2"/>
          <w:sz w:val="24"/>
          <w:szCs w:val="24"/>
          <w:lang w:val="en-US" w:eastAsia="zh-CN"/>
        </w:rPr>
        <w:t xml:space="preserve"> T, </w:t>
      </w:r>
      <w:proofErr w:type="spellStart"/>
      <w:r w:rsidRPr="003D034F">
        <w:rPr>
          <w:rFonts w:ascii="Book Antiqua" w:hAnsi="Book Antiqua"/>
          <w:kern w:val="2"/>
          <w:sz w:val="24"/>
          <w:szCs w:val="24"/>
          <w:lang w:val="en-US" w:eastAsia="zh-CN"/>
        </w:rPr>
        <w:t>Sagara</w:t>
      </w:r>
      <w:proofErr w:type="spellEnd"/>
      <w:r w:rsidRPr="003D034F">
        <w:rPr>
          <w:rFonts w:ascii="Book Antiqua" w:hAnsi="Book Antiqua"/>
          <w:kern w:val="2"/>
          <w:sz w:val="24"/>
          <w:szCs w:val="24"/>
          <w:lang w:val="en-US" w:eastAsia="zh-CN"/>
        </w:rPr>
        <w:t xml:space="preserve"> S. Typical gastroduodenal endoscopic findings in a Crohn’s disease patient in remission stage. </w:t>
      </w:r>
      <w:r w:rsidRPr="003D034F">
        <w:rPr>
          <w:rFonts w:ascii="Book Antiqua" w:hAnsi="Book Antiqua"/>
          <w:i/>
          <w:kern w:val="2"/>
          <w:sz w:val="24"/>
          <w:szCs w:val="24"/>
          <w:lang w:val="en-US" w:eastAsia="zh-CN"/>
        </w:rPr>
        <w:t xml:space="preserve">World J </w:t>
      </w:r>
      <w:proofErr w:type="spellStart"/>
      <w:r w:rsidRPr="003D034F">
        <w:rPr>
          <w:rFonts w:ascii="Book Antiqua" w:hAnsi="Book Antiqua"/>
          <w:i/>
          <w:kern w:val="2"/>
          <w:sz w:val="24"/>
          <w:szCs w:val="24"/>
          <w:lang w:val="en-US" w:eastAsia="zh-CN"/>
        </w:rPr>
        <w:t>Gastrointest</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Endosc</w:t>
      </w:r>
      <w:proofErr w:type="spellEnd"/>
      <w:r w:rsidRPr="003D034F">
        <w:rPr>
          <w:rFonts w:ascii="Book Antiqua" w:hAnsi="Book Antiqua"/>
          <w:kern w:val="2"/>
          <w:sz w:val="24"/>
          <w:szCs w:val="24"/>
          <w:lang w:val="en-US" w:eastAsia="zh-CN"/>
        </w:rPr>
        <w:t xml:space="preserve"> 2012; </w:t>
      </w:r>
      <w:r w:rsidRPr="003D034F">
        <w:rPr>
          <w:rFonts w:ascii="Book Antiqua" w:hAnsi="Book Antiqua"/>
          <w:b/>
          <w:kern w:val="2"/>
          <w:sz w:val="24"/>
          <w:szCs w:val="24"/>
          <w:lang w:val="en-US" w:eastAsia="zh-CN"/>
        </w:rPr>
        <w:t>4</w:t>
      </w:r>
      <w:r w:rsidRPr="003D034F">
        <w:rPr>
          <w:rFonts w:ascii="Book Antiqua" w:hAnsi="Book Antiqua"/>
          <w:kern w:val="2"/>
          <w:sz w:val="24"/>
          <w:szCs w:val="24"/>
          <w:lang w:val="en-US" w:eastAsia="zh-CN"/>
        </w:rPr>
        <w:t>: 96-98 [PMID: 22442748 DOI: 10.4253/wjge.v4.i3.96]</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70 </w:t>
      </w:r>
      <w:r w:rsidRPr="003D034F">
        <w:rPr>
          <w:rFonts w:ascii="Book Antiqua" w:hAnsi="Book Antiqua"/>
          <w:b/>
          <w:kern w:val="2"/>
          <w:sz w:val="24"/>
          <w:szCs w:val="24"/>
          <w:lang w:val="en-US" w:eastAsia="zh-CN"/>
        </w:rPr>
        <w:t>Wright CL</w:t>
      </w:r>
      <w:r w:rsidRPr="003D034F">
        <w:rPr>
          <w:rFonts w:ascii="Book Antiqua" w:hAnsi="Book Antiqua"/>
          <w:kern w:val="2"/>
          <w:sz w:val="24"/>
          <w:szCs w:val="24"/>
          <w:lang w:val="en-US" w:eastAsia="zh-CN"/>
        </w:rPr>
        <w:t xml:space="preserve">, Riddell RH. Histology of the stomach and duodenum in Crohn’s disease. </w:t>
      </w:r>
      <w:r w:rsidRPr="003D034F">
        <w:rPr>
          <w:rFonts w:ascii="Book Antiqua" w:hAnsi="Book Antiqua"/>
          <w:i/>
          <w:kern w:val="2"/>
          <w:sz w:val="24"/>
          <w:szCs w:val="24"/>
          <w:lang w:val="en-US" w:eastAsia="zh-CN"/>
        </w:rPr>
        <w:t xml:space="preserve">Am J </w:t>
      </w:r>
      <w:proofErr w:type="spellStart"/>
      <w:r w:rsidRPr="003D034F">
        <w:rPr>
          <w:rFonts w:ascii="Book Antiqua" w:hAnsi="Book Antiqua"/>
          <w:i/>
          <w:kern w:val="2"/>
          <w:sz w:val="24"/>
          <w:szCs w:val="24"/>
          <w:lang w:val="en-US" w:eastAsia="zh-CN"/>
        </w:rPr>
        <w:t>Surg</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Pathol</w:t>
      </w:r>
      <w:proofErr w:type="spellEnd"/>
      <w:r w:rsidRPr="003D034F">
        <w:rPr>
          <w:rFonts w:ascii="Book Antiqua" w:hAnsi="Book Antiqua"/>
          <w:kern w:val="2"/>
          <w:sz w:val="24"/>
          <w:szCs w:val="24"/>
          <w:lang w:val="en-US" w:eastAsia="zh-CN"/>
        </w:rPr>
        <w:t xml:space="preserve"> 1998; </w:t>
      </w:r>
      <w:r w:rsidRPr="003D034F">
        <w:rPr>
          <w:rFonts w:ascii="Book Antiqua" w:hAnsi="Book Antiqua"/>
          <w:b/>
          <w:kern w:val="2"/>
          <w:sz w:val="24"/>
          <w:szCs w:val="24"/>
          <w:lang w:val="en-US" w:eastAsia="zh-CN"/>
        </w:rPr>
        <w:t>22</w:t>
      </w:r>
      <w:r w:rsidRPr="003D034F">
        <w:rPr>
          <w:rFonts w:ascii="Book Antiqua" w:hAnsi="Book Antiqua"/>
          <w:kern w:val="2"/>
          <w:sz w:val="24"/>
          <w:szCs w:val="24"/>
          <w:lang w:val="en-US" w:eastAsia="zh-CN"/>
        </w:rPr>
        <w:t>: 383-390 [PMID: 9537465 DOI: 10.1097/00000478-199804000-00001]</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71 </w:t>
      </w:r>
      <w:r w:rsidRPr="003D034F">
        <w:rPr>
          <w:rFonts w:ascii="Book Antiqua" w:hAnsi="Book Antiqua"/>
          <w:b/>
          <w:kern w:val="2"/>
          <w:sz w:val="24"/>
          <w:szCs w:val="24"/>
          <w:lang w:val="en-US" w:eastAsia="zh-CN"/>
        </w:rPr>
        <w:t>Timmermans WM</w:t>
      </w:r>
      <w:r w:rsidRPr="003D034F">
        <w:rPr>
          <w:rFonts w:ascii="Book Antiqua" w:hAnsi="Book Antiqua"/>
          <w:kern w:val="2"/>
          <w:sz w:val="24"/>
          <w:szCs w:val="24"/>
          <w:lang w:val="en-US" w:eastAsia="zh-CN"/>
        </w:rPr>
        <w:t xml:space="preserve">, van </w:t>
      </w:r>
      <w:proofErr w:type="spellStart"/>
      <w:r w:rsidRPr="003D034F">
        <w:rPr>
          <w:rFonts w:ascii="Book Antiqua" w:hAnsi="Book Antiqua"/>
          <w:kern w:val="2"/>
          <w:sz w:val="24"/>
          <w:szCs w:val="24"/>
          <w:lang w:val="en-US" w:eastAsia="zh-CN"/>
        </w:rPr>
        <w:t>Laar</w:t>
      </w:r>
      <w:proofErr w:type="spellEnd"/>
      <w:r w:rsidRPr="003D034F">
        <w:rPr>
          <w:rFonts w:ascii="Book Antiqua" w:hAnsi="Book Antiqua"/>
          <w:kern w:val="2"/>
          <w:sz w:val="24"/>
          <w:szCs w:val="24"/>
          <w:lang w:val="en-US" w:eastAsia="zh-CN"/>
        </w:rPr>
        <w:t xml:space="preserve"> JA, van Hagen PM, van </w:t>
      </w:r>
      <w:proofErr w:type="spellStart"/>
      <w:r w:rsidRPr="003D034F">
        <w:rPr>
          <w:rFonts w:ascii="Book Antiqua" w:hAnsi="Book Antiqua"/>
          <w:kern w:val="2"/>
          <w:sz w:val="24"/>
          <w:szCs w:val="24"/>
          <w:lang w:val="en-US" w:eastAsia="zh-CN"/>
        </w:rPr>
        <w:t>Zelm</w:t>
      </w:r>
      <w:proofErr w:type="spellEnd"/>
      <w:r w:rsidRPr="003D034F">
        <w:rPr>
          <w:rFonts w:ascii="Book Antiqua" w:hAnsi="Book Antiqua"/>
          <w:kern w:val="2"/>
          <w:sz w:val="24"/>
          <w:szCs w:val="24"/>
          <w:lang w:val="en-US" w:eastAsia="zh-CN"/>
        </w:rPr>
        <w:t xml:space="preserve"> MC. </w:t>
      </w:r>
      <w:proofErr w:type="spellStart"/>
      <w:r w:rsidRPr="003D034F">
        <w:rPr>
          <w:rFonts w:ascii="Book Antiqua" w:hAnsi="Book Antiqua"/>
          <w:kern w:val="2"/>
          <w:sz w:val="24"/>
          <w:szCs w:val="24"/>
          <w:lang w:val="en-US" w:eastAsia="zh-CN"/>
        </w:rPr>
        <w:t>Immunopathogenesis</w:t>
      </w:r>
      <w:proofErr w:type="spellEnd"/>
      <w:r w:rsidRPr="003D034F">
        <w:rPr>
          <w:rFonts w:ascii="Book Antiqua" w:hAnsi="Book Antiqua"/>
          <w:kern w:val="2"/>
          <w:sz w:val="24"/>
          <w:szCs w:val="24"/>
          <w:lang w:val="en-US" w:eastAsia="zh-CN"/>
        </w:rPr>
        <w:t xml:space="preserve"> of granulomas in chronic autoinflammatory diseases. </w:t>
      </w:r>
      <w:proofErr w:type="spellStart"/>
      <w:r w:rsidRPr="003D034F">
        <w:rPr>
          <w:rFonts w:ascii="Book Antiqua" w:hAnsi="Book Antiqua"/>
          <w:i/>
          <w:kern w:val="2"/>
          <w:sz w:val="24"/>
          <w:szCs w:val="24"/>
          <w:lang w:val="en-US" w:eastAsia="zh-CN"/>
        </w:rPr>
        <w:t>Clin</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Transl</w:t>
      </w:r>
      <w:proofErr w:type="spellEnd"/>
      <w:r w:rsidRPr="003D034F">
        <w:rPr>
          <w:rFonts w:ascii="Book Antiqua" w:hAnsi="Book Antiqua"/>
          <w:i/>
          <w:kern w:val="2"/>
          <w:sz w:val="24"/>
          <w:szCs w:val="24"/>
          <w:lang w:val="en-US" w:eastAsia="zh-CN"/>
        </w:rPr>
        <w:t xml:space="preserve"> Immunology</w:t>
      </w:r>
      <w:r w:rsidRPr="003D034F">
        <w:rPr>
          <w:rFonts w:ascii="Book Antiqua" w:hAnsi="Book Antiqua"/>
          <w:kern w:val="2"/>
          <w:sz w:val="24"/>
          <w:szCs w:val="24"/>
          <w:lang w:val="en-US" w:eastAsia="zh-CN"/>
        </w:rPr>
        <w:t xml:space="preserve"> 2016; </w:t>
      </w:r>
      <w:r w:rsidRPr="003D034F">
        <w:rPr>
          <w:rFonts w:ascii="Book Antiqua" w:hAnsi="Book Antiqua"/>
          <w:b/>
          <w:kern w:val="2"/>
          <w:sz w:val="24"/>
          <w:szCs w:val="24"/>
          <w:lang w:val="en-US" w:eastAsia="zh-CN"/>
        </w:rPr>
        <w:t>5</w:t>
      </w:r>
      <w:r w:rsidRPr="003D034F">
        <w:rPr>
          <w:rFonts w:ascii="Book Antiqua" w:hAnsi="Book Antiqua"/>
          <w:kern w:val="2"/>
          <w:sz w:val="24"/>
          <w:szCs w:val="24"/>
          <w:lang w:val="en-US" w:eastAsia="zh-CN"/>
        </w:rPr>
        <w:t>: e118 [PMID: 28090320 DOI: 10.1038/cti.2016.75]</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72 </w:t>
      </w:r>
      <w:proofErr w:type="spellStart"/>
      <w:r w:rsidRPr="003D034F">
        <w:rPr>
          <w:rFonts w:ascii="Book Antiqua" w:hAnsi="Book Antiqua"/>
          <w:b/>
          <w:kern w:val="2"/>
          <w:sz w:val="24"/>
          <w:szCs w:val="24"/>
          <w:lang w:val="en-US" w:eastAsia="zh-CN"/>
        </w:rPr>
        <w:t>Molnár</w:t>
      </w:r>
      <w:proofErr w:type="spellEnd"/>
      <w:r w:rsidRPr="003D034F">
        <w:rPr>
          <w:rFonts w:ascii="Book Antiqua" w:hAnsi="Book Antiqua"/>
          <w:b/>
          <w:kern w:val="2"/>
          <w:sz w:val="24"/>
          <w:szCs w:val="24"/>
          <w:lang w:val="en-US" w:eastAsia="zh-CN"/>
        </w:rPr>
        <w:t xml:space="preserve"> T</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Tiszlavicz</w:t>
      </w:r>
      <w:proofErr w:type="spellEnd"/>
      <w:r w:rsidRPr="003D034F">
        <w:rPr>
          <w:rFonts w:ascii="Book Antiqua" w:hAnsi="Book Antiqua"/>
          <w:kern w:val="2"/>
          <w:sz w:val="24"/>
          <w:szCs w:val="24"/>
          <w:lang w:val="en-US" w:eastAsia="zh-CN"/>
        </w:rPr>
        <w:t xml:space="preserve"> L, Gyulai C, Nagy F, </w:t>
      </w:r>
      <w:proofErr w:type="spellStart"/>
      <w:r w:rsidRPr="003D034F">
        <w:rPr>
          <w:rFonts w:ascii="Book Antiqua" w:hAnsi="Book Antiqua"/>
          <w:kern w:val="2"/>
          <w:sz w:val="24"/>
          <w:szCs w:val="24"/>
          <w:lang w:val="en-US" w:eastAsia="zh-CN"/>
        </w:rPr>
        <w:t>Lonovics</w:t>
      </w:r>
      <w:proofErr w:type="spellEnd"/>
      <w:r w:rsidRPr="003D034F">
        <w:rPr>
          <w:rFonts w:ascii="Book Antiqua" w:hAnsi="Book Antiqua"/>
          <w:kern w:val="2"/>
          <w:sz w:val="24"/>
          <w:szCs w:val="24"/>
          <w:lang w:val="en-US" w:eastAsia="zh-CN"/>
        </w:rPr>
        <w:t xml:space="preserve"> J. Clinical significance of granuloma in Crohn’s disease. </w:t>
      </w:r>
      <w:r w:rsidRPr="003D034F">
        <w:rPr>
          <w:rFonts w:ascii="Book Antiqua" w:hAnsi="Book Antiqua"/>
          <w:i/>
          <w:kern w:val="2"/>
          <w:sz w:val="24"/>
          <w:szCs w:val="24"/>
          <w:lang w:val="en-US" w:eastAsia="zh-CN"/>
        </w:rPr>
        <w:t>World J Gastroenterol</w:t>
      </w:r>
      <w:r w:rsidRPr="003D034F">
        <w:rPr>
          <w:rFonts w:ascii="Book Antiqua" w:hAnsi="Book Antiqua"/>
          <w:kern w:val="2"/>
          <w:sz w:val="24"/>
          <w:szCs w:val="24"/>
          <w:lang w:val="en-US" w:eastAsia="zh-CN"/>
        </w:rPr>
        <w:t xml:space="preserve"> 2005; </w:t>
      </w:r>
      <w:r w:rsidRPr="003D034F">
        <w:rPr>
          <w:rFonts w:ascii="Book Antiqua" w:hAnsi="Book Antiqua"/>
          <w:b/>
          <w:kern w:val="2"/>
          <w:sz w:val="24"/>
          <w:szCs w:val="24"/>
          <w:lang w:val="en-US" w:eastAsia="zh-CN"/>
        </w:rPr>
        <w:t>11</w:t>
      </w:r>
      <w:r w:rsidRPr="003D034F">
        <w:rPr>
          <w:rFonts w:ascii="Book Antiqua" w:hAnsi="Book Antiqua"/>
          <w:kern w:val="2"/>
          <w:sz w:val="24"/>
          <w:szCs w:val="24"/>
          <w:lang w:val="en-US" w:eastAsia="zh-CN"/>
        </w:rPr>
        <w:t>: 3118-3121 [PMID: 15918200]</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73 </w:t>
      </w:r>
      <w:proofErr w:type="spellStart"/>
      <w:r w:rsidRPr="003D034F">
        <w:rPr>
          <w:rFonts w:ascii="Book Antiqua" w:hAnsi="Book Antiqua"/>
          <w:b/>
          <w:kern w:val="2"/>
          <w:sz w:val="24"/>
          <w:szCs w:val="24"/>
          <w:lang w:val="en-US" w:eastAsia="zh-CN"/>
        </w:rPr>
        <w:t>Heresbach</w:t>
      </w:r>
      <w:proofErr w:type="spellEnd"/>
      <w:r w:rsidRPr="003D034F">
        <w:rPr>
          <w:rFonts w:ascii="Book Antiqua" w:hAnsi="Book Antiqua"/>
          <w:b/>
          <w:kern w:val="2"/>
          <w:sz w:val="24"/>
          <w:szCs w:val="24"/>
          <w:lang w:val="en-US" w:eastAsia="zh-CN"/>
        </w:rPr>
        <w:t xml:space="preserve"> D</w:t>
      </w:r>
      <w:r w:rsidRPr="003D034F">
        <w:rPr>
          <w:rFonts w:ascii="Book Antiqua" w:hAnsi="Book Antiqua"/>
          <w:kern w:val="2"/>
          <w:sz w:val="24"/>
          <w:szCs w:val="24"/>
          <w:lang w:val="en-US" w:eastAsia="zh-CN"/>
        </w:rPr>
        <w:t xml:space="preserve">, Alexandre JL, </w:t>
      </w:r>
      <w:proofErr w:type="spellStart"/>
      <w:r w:rsidRPr="003D034F">
        <w:rPr>
          <w:rFonts w:ascii="Book Antiqua" w:hAnsi="Book Antiqua"/>
          <w:kern w:val="2"/>
          <w:sz w:val="24"/>
          <w:szCs w:val="24"/>
          <w:lang w:val="en-US" w:eastAsia="zh-CN"/>
        </w:rPr>
        <w:t>Branger</w:t>
      </w:r>
      <w:proofErr w:type="spellEnd"/>
      <w:r w:rsidRPr="003D034F">
        <w:rPr>
          <w:rFonts w:ascii="Book Antiqua" w:hAnsi="Book Antiqua"/>
          <w:kern w:val="2"/>
          <w:sz w:val="24"/>
          <w:szCs w:val="24"/>
          <w:lang w:val="en-US" w:eastAsia="zh-CN"/>
        </w:rPr>
        <w:t xml:space="preserve"> B, Bretagne JF, </w:t>
      </w:r>
      <w:proofErr w:type="spellStart"/>
      <w:r w:rsidRPr="003D034F">
        <w:rPr>
          <w:rFonts w:ascii="Book Antiqua" w:hAnsi="Book Antiqua"/>
          <w:kern w:val="2"/>
          <w:sz w:val="24"/>
          <w:szCs w:val="24"/>
          <w:lang w:val="en-US" w:eastAsia="zh-CN"/>
        </w:rPr>
        <w:t>Cruchant</w:t>
      </w:r>
      <w:proofErr w:type="spellEnd"/>
      <w:r w:rsidRPr="003D034F">
        <w:rPr>
          <w:rFonts w:ascii="Book Antiqua" w:hAnsi="Book Antiqua"/>
          <w:kern w:val="2"/>
          <w:sz w:val="24"/>
          <w:szCs w:val="24"/>
          <w:lang w:val="en-US" w:eastAsia="zh-CN"/>
        </w:rPr>
        <w:t xml:space="preserve"> E, </w:t>
      </w:r>
      <w:proofErr w:type="spellStart"/>
      <w:r w:rsidRPr="003D034F">
        <w:rPr>
          <w:rFonts w:ascii="Book Antiqua" w:hAnsi="Book Antiqua"/>
          <w:kern w:val="2"/>
          <w:sz w:val="24"/>
          <w:szCs w:val="24"/>
          <w:lang w:val="en-US" w:eastAsia="zh-CN"/>
        </w:rPr>
        <w:t>Dabadie</w:t>
      </w:r>
      <w:proofErr w:type="spellEnd"/>
      <w:r w:rsidRPr="003D034F">
        <w:rPr>
          <w:rFonts w:ascii="Book Antiqua" w:hAnsi="Book Antiqua"/>
          <w:kern w:val="2"/>
          <w:sz w:val="24"/>
          <w:szCs w:val="24"/>
          <w:lang w:val="en-US" w:eastAsia="zh-CN"/>
        </w:rPr>
        <w:t xml:space="preserve"> A, </w:t>
      </w:r>
      <w:proofErr w:type="spellStart"/>
      <w:r w:rsidRPr="003D034F">
        <w:rPr>
          <w:rFonts w:ascii="Book Antiqua" w:hAnsi="Book Antiqua"/>
          <w:kern w:val="2"/>
          <w:sz w:val="24"/>
          <w:szCs w:val="24"/>
          <w:lang w:val="en-US" w:eastAsia="zh-CN"/>
        </w:rPr>
        <w:t>Dartois-Hoguin</w:t>
      </w:r>
      <w:proofErr w:type="spellEnd"/>
      <w:r w:rsidRPr="003D034F">
        <w:rPr>
          <w:rFonts w:ascii="Book Antiqua" w:hAnsi="Book Antiqua"/>
          <w:kern w:val="2"/>
          <w:sz w:val="24"/>
          <w:szCs w:val="24"/>
          <w:lang w:val="en-US" w:eastAsia="zh-CN"/>
        </w:rPr>
        <w:t xml:space="preserve"> M, </w:t>
      </w:r>
      <w:proofErr w:type="spellStart"/>
      <w:r w:rsidRPr="003D034F">
        <w:rPr>
          <w:rFonts w:ascii="Book Antiqua" w:hAnsi="Book Antiqua"/>
          <w:kern w:val="2"/>
          <w:sz w:val="24"/>
          <w:szCs w:val="24"/>
          <w:lang w:val="en-US" w:eastAsia="zh-CN"/>
        </w:rPr>
        <w:t>Girardot</w:t>
      </w:r>
      <w:proofErr w:type="spellEnd"/>
      <w:r w:rsidRPr="003D034F">
        <w:rPr>
          <w:rFonts w:ascii="Book Antiqua" w:hAnsi="Book Antiqua"/>
          <w:kern w:val="2"/>
          <w:sz w:val="24"/>
          <w:szCs w:val="24"/>
          <w:lang w:val="en-US" w:eastAsia="zh-CN"/>
        </w:rPr>
        <w:t xml:space="preserve"> PM, </w:t>
      </w:r>
      <w:proofErr w:type="spellStart"/>
      <w:r w:rsidRPr="003D034F">
        <w:rPr>
          <w:rFonts w:ascii="Book Antiqua" w:hAnsi="Book Antiqua"/>
          <w:kern w:val="2"/>
          <w:sz w:val="24"/>
          <w:szCs w:val="24"/>
          <w:lang w:val="en-US" w:eastAsia="zh-CN"/>
        </w:rPr>
        <w:t>Jouanolle</w:t>
      </w:r>
      <w:proofErr w:type="spellEnd"/>
      <w:r w:rsidRPr="003D034F">
        <w:rPr>
          <w:rFonts w:ascii="Book Antiqua" w:hAnsi="Book Antiqua"/>
          <w:kern w:val="2"/>
          <w:sz w:val="24"/>
          <w:szCs w:val="24"/>
          <w:lang w:val="en-US" w:eastAsia="zh-CN"/>
        </w:rPr>
        <w:t xml:space="preserve"> H, </w:t>
      </w:r>
      <w:proofErr w:type="spellStart"/>
      <w:r w:rsidRPr="003D034F">
        <w:rPr>
          <w:rFonts w:ascii="Book Antiqua" w:hAnsi="Book Antiqua"/>
          <w:kern w:val="2"/>
          <w:sz w:val="24"/>
          <w:szCs w:val="24"/>
          <w:lang w:val="en-US" w:eastAsia="zh-CN"/>
        </w:rPr>
        <w:t>Kerneis</w:t>
      </w:r>
      <w:proofErr w:type="spellEnd"/>
      <w:r w:rsidRPr="003D034F">
        <w:rPr>
          <w:rFonts w:ascii="Book Antiqua" w:hAnsi="Book Antiqua"/>
          <w:kern w:val="2"/>
          <w:sz w:val="24"/>
          <w:szCs w:val="24"/>
          <w:lang w:val="en-US" w:eastAsia="zh-CN"/>
        </w:rPr>
        <w:t xml:space="preserve"> J, Le Verger JC, Louvain V, </w:t>
      </w:r>
      <w:proofErr w:type="spellStart"/>
      <w:r w:rsidRPr="003D034F">
        <w:rPr>
          <w:rFonts w:ascii="Book Antiqua" w:hAnsi="Book Antiqua"/>
          <w:kern w:val="2"/>
          <w:sz w:val="24"/>
          <w:szCs w:val="24"/>
          <w:lang w:val="en-US" w:eastAsia="zh-CN"/>
        </w:rPr>
        <w:t>Politis</w:t>
      </w:r>
      <w:proofErr w:type="spellEnd"/>
      <w:r w:rsidRPr="003D034F">
        <w:rPr>
          <w:rFonts w:ascii="Book Antiqua" w:hAnsi="Book Antiqua"/>
          <w:kern w:val="2"/>
          <w:sz w:val="24"/>
          <w:szCs w:val="24"/>
          <w:lang w:val="en-US" w:eastAsia="zh-CN"/>
        </w:rPr>
        <w:t xml:space="preserve"> J, </w:t>
      </w:r>
      <w:proofErr w:type="spellStart"/>
      <w:r w:rsidRPr="003D034F">
        <w:rPr>
          <w:rFonts w:ascii="Book Antiqua" w:hAnsi="Book Antiqua"/>
          <w:kern w:val="2"/>
          <w:sz w:val="24"/>
          <w:szCs w:val="24"/>
          <w:lang w:val="en-US" w:eastAsia="zh-CN"/>
        </w:rPr>
        <w:t>Richecoeur</w:t>
      </w:r>
      <w:proofErr w:type="spellEnd"/>
      <w:r w:rsidRPr="003D034F">
        <w:rPr>
          <w:rFonts w:ascii="Book Antiqua" w:hAnsi="Book Antiqua"/>
          <w:kern w:val="2"/>
          <w:sz w:val="24"/>
          <w:szCs w:val="24"/>
          <w:lang w:val="en-US" w:eastAsia="zh-CN"/>
        </w:rPr>
        <w:t xml:space="preserve"> M, </w:t>
      </w:r>
      <w:proofErr w:type="spellStart"/>
      <w:r w:rsidRPr="003D034F">
        <w:rPr>
          <w:rFonts w:ascii="Book Antiqua" w:hAnsi="Book Antiqua"/>
          <w:kern w:val="2"/>
          <w:sz w:val="24"/>
          <w:szCs w:val="24"/>
          <w:lang w:val="en-US" w:eastAsia="zh-CN"/>
        </w:rPr>
        <w:t>Robaszkiewicz</w:t>
      </w:r>
      <w:proofErr w:type="spellEnd"/>
      <w:r w:rsidRPr="003D034F">
        <w:rPr>
          <w:rFonts w:ascii="Book Antiqua" w:hAnsi="Book Antiqua"/>
          <w:kern w:val="2"/>
          <w:sz w:val="24"/>
          <w:szCs w:val="24"/>
          <w:lang w:val="en-US" w:eastAsia="zh-CN"/>
        </w:rPr>
        <w:t xml:space="preserve"> M, </w:t>
      </w:r>
      <w:proofErr w:type="spellStart"/>
      <w:r w:rsidRPr="003D034F">
        <w:rPr>
          <w:rFonts w:ascii="Book Antiqua" w:hAnsi="Book Antiqua"/>
          <w:kern w:val="2"/>
          <w:sz w:val="24"/>
          <w:szCs w:val="24"/>
          <w:lang w:val="en-US" w:eastAsia="zh-CN"/>
        </w:rPr>
        <w:t>Seyrig</w:t>
      </w:r>
      <w:proofErr w:type="spellEnd"/>
      <w:r w:rsidRPr="003D034F">
        <w:rPr>
          <w:rFonts w:ascii="Book Antiqua" w:hAnsi="Book Antiqua"/>
          <w:kern w:val="2"/>
          <w:sz w:val="24"/>
          <w:szCs w:val="24"/>
          <w:lang w:val="en-US" w:eastAsia="zh-CN"/>
        </w:rPr>
        <w:t xml:space="preserve"> JA; ABERMAD (Association </w:t>
      </w:r>
      <w:proofErr w:type="spellStart"/>
      <w:r w:rsidRPr="003D034F">
        <w:rPr>
          <w:rFonts w:ascii="Book Antiqua" w:hAnsi="Book Antiqua"/>
          <w:kern w:val="2"/>
          <w:sz w:val="24"/>
          <w:szCs w:val="24"/>
          <w:lang w:val="en-US" w:eastAsia="zh-CN"/>
        </w:rPr>
        <w:t>Bretonne</w:t>
      </w:r>
      <w:proofErr w:type="spellEnd"/>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d'Etude</w:t>
      </w:r>
      <w:proofErr w:type="spellEnd"/>
      <w:r w:rsidRPr="003D034F">
        <w:rPr>
          <w:rFonts w:ascii="Book Antiqua" w:hAnsi="Book Antiqua"/>
          <w:kern w:val="2"/>
          <w:sz w:val="24"/>
          <w:szCs w:val="24"/>
          <w:lang w:val="en-US" w:eastAsia="zh-CN"/>
        </w:rPr>
        <w:t xml:space="preserve"> et de Recherche sur les Maladies de </w:t>
      </w:r>
      <w:proofErr w:type="spellStart"/>
      <w:r w:rsidRPr="003D034F">
        <w:rPr>
          <w:rFonts w:ascii="Book Antiqua" w:hAnsi="Book Antiqua"/>
          <w:kern w:val="2"/>
          <w:sz w:val="24"/>
          <w:szCs w:val="24"/>
          <w:lang w:val="en-US" w:eastAsia="zh-CN"/>
        </w:rPr>
        <w:t>l'Appareil</w:t>
      </w:r>
      <w:proofErr w:type="spellEnd"/>
      <w:r w:rsidRPr="003D034F">
        <w:rPr>
          <w:rFonts w:ascii="Book Antiqua" w:hAnsi="Book Antiqua"/>
          <w:kern w:val="2"/>
          <w:sz w:val="24"/>
          <w:szCs w:val="24"/>
          <w:lang w:val="en-US" w:eastAsia="zh-CN"/>
        </w:rPr>
        <w:t xml:space="preserve"> Digestif). Frequency and significance of granulomas in a cohort of incident </w:t>
      </w:r>
      <w:r w:rsidRPr="003D034F">
        <w:rPr>
          <w:rFonts w:ascii="Book Antiqua" w:hAnsi="Book Antiqua"/>
          <w:kern w:val="2"/>
          <w:sz w:val="24"/>
          <w:szCs w:val="24"/>
          <w:lang w:val="en-US" w:eastAsia="zh-CN"/>
        </w:rPr>
        <w:lastRenderedPageBreak/>
        <w:t xml:space="preserve">cases of Crohn’s disease. </w:t>
      </w:r>
      <w:r w:rsidRPr="003D034F">
        <w:rPr>
          <w:rFonts w:ascii="Book Antiqua" w:hAnsi="Book Antiqua"/>
          <w:i/>
          <w:kern w:val="2"/>
          <w:sz w:val="24"/>
          <w:szCs w:val="24"/>
          <w:lang w:val="en-US" w:eastAsia="zh-CN"/>
        </w:rPr>
        <w:t>Gut</w:t>
      </w:r>
      <w:r w:rsidRPr="003D034F">
        <w:rPr>
          <w:rFonts w:ascii="Book Antiqua" w:hAnsi="Book Antiqua"/>
          <w:kern w:val="2"/>
          <w:sz w:val="24"/>
          <w:szCs w:val="24"/>
          <w:lang w:val="en-US" w:eastAsia="zh-CN"/>
        </w:rPr>
        <w:t xml:space="preserve"> 2005; </w:t>
      </w:r>
      <w:r w:rsidRPr="003D034F">
        <w:rPr>
          <w:rFonts w:ascii="Book Antiqua" w:hAnsi="Book Antiqua"/>
          <w:b/>
          <w:kern w:val="2"/>
          <w:sz w:val="24"/>
          <w:szCs w:val="24"/>
          <w:lang w:val="en-US" w:eastAsia="zh-CN"/>
        </w:rPr>
        <w:t>54</w:t>
      </w:r>
      <w:r w:rsidRPr="003D034F">
        <w:rPr>
          <w:rFonts w:ascii="Book Antiqua" w:hAnsi="Book Antiqua"/>
          <w:kern w:val="2"/>
          <w:sz w:val="24"/>
          <w:szCs w:val="24"/>
          <w:lang w:val="en-US" w:eastAsia="zh-CN"/>
        </w:rPr>
        <w:t>: 215-222 [PMID: 15647184 DOI: 10.1136/gut.2004.041715]</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74 </w:t>
      </w:r>
      <w:proofErr w:type="spellStart"/>
      <w:r w:rsidRPr="003D034F">
        <w:rPr>
          <w:rFonts w:ascii="Book Antiqua" w:hAnsi="Book Antiqua"/>
          <w:b/>
          <w:kern w:val="2"/>
          <w:sz w:val="24"/>
          <w:szCs w:val="24"/>
          <w:lang w:val="en-US" w:eastAsia="zh-CN"/>
        </w:rPr>
        <w:t>Denoya</w:t>
      </w:r>
      <w:proofErr w:type="spellEnd"/>
      <w:r w:rsidRPr="003D034F">
        <w:rPr>
          <w:rFonts w:ascii="Book Antiqua" w:hAnsi="Book Antiqua"/>
          <w:b/>
          <w:kern w:val="2"/>
          <w:sz w:val="24"/>
          <w:szCs w:val="24"/>
          <w:lang w:val="en-US" w:eastAsia="zh-CN"/>
        </w:rPr>
        <w:t xml:space="preserve"> P</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Canedo</w:t>
      </w:r>
      <w:proofErr w:type="spellEnd"/>
      <w:r w:rsidRPr="003D034F">
        <w:rPr>
          <w:rFonts w:ascii="Book Antiqua" w:hAnsi="Book Antiqua"/>
          <w:kern w:val="2"/>
          <w:sz w:val="24"/>
          <w:szCs w:val="24"/>
          <w:lang w:val="en-US" w:eastAsia="zh-CN"/>
        </w:rPr>
        <w:t xml:space="preserve"> J, </w:t>
      </w:r>
      <w:proofErr w:type="spellStart"/>
      <w:r w:rsidRPr="003D034F">
        <w:rPr>
          <w:rFonts w:ascii="Book Antiqua" w:hAnsi="Book Antiqua"/>
          <w:kern w:val="2"/>
          <w:sz w:val="24"/>
          <w:szCs w:val="24"/>
          <w:lang w:val="en-US" w:eastAsia="zh-CN"/>
        </w:rPr>
        <w:t>Berho</w:t>
      </w:r>
      <w:proofErr w:type="spellEnd"/>
      <w:r w:rsidRPr="003D034F">
        <w:rPr>
          <w:rFonts w:ascii="Book Antiqua" w:hAnsi="Book Antiqua"/>
          <w:kern w:val="2"/>
          <w:sz w:val="24"/>
          <w:szCs w:val="24"/>
          <w:lang w:val="en-US" w:eastAsia="zh-CN"/>
        </w:rPr>
        <w:t xml:space="preserve"> M, Allende DS, Bennett AE, Rosen L, Hull T, Wexner SD. Granulomas in Crohn’s disease: Does progression through the bowel layers affect presentation or predict recurrence? </w:t>
      </w:r>
      <w:r w:rsidRPr="003D034F">
        <w:rPr>
          <w:rFonts w:ascii="Book Antiqua" w:hAnsi="Book Antiqua"/>
          <w:i/>
          <w:kern w:val="2"/>
          <w:sz w:val="24"/>
          <w:szCs w:val="24"/>
          <w:lang w:val="en-US" w:eastAsia="zh-CN"/>
        </w:rPr>
        <w:t>Colorectal Dis</w:t>
      </w:r>
      <w:r w:rsidRPr="003D034F">
        <w:rPr>
          <w:rFonts w:ascii="Book Antiqua" w:hAnsi="Book Antiqua"/>
          <w:kern w:val="2"/>
          <w:sz w:val="24"/>
          <w:szCs w:val="24"/>
          <w:lang w:val="en-US" w:eastAsia="zh-CN"/>
        </w:rPr>
        <w:t xml:space="preserve"> 2011; </w:t>
      </w:r>
      <w:r w:rsidRPr="003D034F">
        <w:rPr>
          <w:rFonts w:ascii="Book Antiqua" w:hAnsi="Book Antiqua"/>
          <w:b/>
          <w:kern w:val="2"/>
          <w:sz w:val="24"/>
          <w:szCs w:val="24"/>
          <w:lang w:val="en-US" w:eastAsia="zh-CN"/>
        </w:rPr>
        <w:t>13</w:t>
      </w:r>
      <w:r w:rsidRPr="003D034F">
        <w:rPr>
          <w:rFonts w:ascii="Book Antiqua" w:hAnsi="Book Antiqua"/>
          <w:kern w:val="2"/>
          <w:sz w:val="24"/>
          <w:szCs w:val="24"/>
          <w:lang w:val="en-US" w:eastAsia="zh-CN"/>
        </w:rPr>
        <w:t>: 1142-1147 [PMID: 20860713 DOI: 10.1111/j.1463-1318.2010.02421.x]</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75 </w:t>
      </w:r>
      <w:r w:rsidRPr="003D034F">
        <w:rPr>
          <w:rFonts w:ascii="Book Antiqua" w:hAnsi="Book Antiqua"/>
          <w:b/>
          <w:kern w:val="2"/>
          <w:sz w:val="24"/>
          <w:szCs w:val="24"/>
          <w:lang w:val="en-US" w:eastAsia="zh-CN"/>
        </w:rPr>
        <w:t>Ramzan NN</w:t>
      </w:r>
      <w:r w:rsidRPr="003D034F">
        <w:rPr>
          <w:rFonts w:ascii="Book Antiqua" w:hAnsi="Book Antiqua"/>
          <w:kern w:val="2"/>
          <w:sz w:val="24"/>
          <w:szCs w:val="24"/>
          <w:lang w:val="en-US" w:eastAsia="zh-CN"/>
        </w:rPr>
        <w:t xml:space="preserve">, Leighton JA, </w:t>
      </w:r>
      <w:proofErr w:type="spellStart"/>
      <w:r w:rsidRPr="003D034F">
        <w:rPr>
          <w:rFonts w:ascii="Book Antiqua" w:hAnsi="Book Antiqua"/>
          <w:kern w:val="2"/>
          <w:sz w:val="24"/>
          <w:szCs w:val="24"/>
          <w:lang w:val="en-US" w:eastAsia="zh-CN"/>
        </w:rPr>
        <w:t>Heigh</w:t>
      </w:r>
      <w:proofErr w:type="spellEnd"/>
      <w:r w:rsidRPr="003D034F">
        <w:rPr>
          <w:rFonts w:ascii="Book Antiqua" w:hAnsi="Book Antiqua"/>
          <w:kern w:val="2"/>
          <w:sz w:val="24"/>
          <w:szCs w:val="24"/>
          <w:lang w:val="en-US" w:eastAsia="zh-CN"/>
        </w:rPr>
        <w:t xml:space="preserve"> RI, Shapiro MS. Clinical significance of granuloma in Crohn’s disease. </w:t>
      </w:r>
      <w:proofErr w:type="spellStart"/>
      <w:r w:rsidRPr="003D034F">
        <w:rPr>
          <w:rFonts w:ascii="Book Antiqua" w:hAnsi="Book Antiqua"/>
          <w:i/>
          <w:kern w:val="2"/>
          <w:sz w:val="24"/>
          <w:szCs w:val="24"/>
          <w:lang w:val="en-US" w:eastAsia="zh-CN"/>
        </w:rPr>
        <w:t>Inflamm</w:t>
      </w:r>
      <w:proofErr w:type="spellEnd"/>
      <w:r w:rsidRPr="003D034F">
        <w:rPr>
          <w:rFonts w:ascii="Book Antiqua" w:hAnsi="Book Antiqua"/>
          <w:i/>
          <w:kern w:val="2"/>
          <w:sz w:val="24"/>
          <w:szCs w:val="24"/>
          <w:lang w:val="en-US" w:eastAsia="zh-CN"/>
        </w:rPr>
        <w:t xml:space="preserve"> Bowel Dis</w:t>
      </w:r>
      <w:r w:rsidRPr="003D034F">
        <w:rPr>
          <w:rFonts w:ascii="Book Antiqua" w:hAnsi="Book Antiqua"/>
          <w:kern w:val="2"/>
          <w:sz w:val="24"/>
          <w:szCs w:val="24"/>
          <w:lang w:val="en-US" w:eastAsia="zh-CN"/>
        </w:rPr>
        <w:t xml:space="preserve"> 2002; </w:t>
      </w:r>
      <w:r w:rsidRPr="003D034F">
        <w:rPr>
          <w:rFonts w:ascii="Book Antiqua" w:hAnsi="Book Antiqua"/>
          <w:b/>
          <w:kern w:val="2"/>
          <w:sz w:val="24"/>
          <w:szCs w:val="24"/>
          <w:lang w:val="en-US" w:eastAsia="zh-CN"/>
        </w:rPr>
        <w:t>8</w:t>
      </w:r>
      <w:r w:rsidRPr="003D034F">
        <w:rPr>
          <w:rFonts w:ascii="Book Antiqua" w:hAnsi="Book Antiqua"/>
          <w:kern w:val="2"/>
          <w:sz w:val="24"/>
          <w:szCs w:val="24"/>
          <w:lang w:val="en-US" w:eastAsia="zh-CN"/>
        </w:rPr>
        <w:t>: 168-173 [PMID: 11979136 DOI: 10.1097/00054725-200205000-00002]</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76 </w:t>
      </w:r>
      <w:proofErr w:type="spellStart"/>
      <w:r w:rsidRPr="003D034F">
        <w:rPr>
          <w:rFonts w:ascii="Book Antiqua" w:hAnsi="Book Antiqua"/>
          <w:b/>
          <w:kern w:val="2"/>
          <w:sz w:val="24"/>
          <w:szCs w:val="24"/>
          <w:lang w:val="en-US" w:eastAsia="zh-CN"/>
        </w:rPr>
        <w:t>Simillis</w:t>
      </w:r>
      <w:proofErr w:type="spellEnd"/>
      <w:r w:rsidRPr="003D034F">
        <w:rPr>
          <w:rFonts w:ascii="Book Antiqua" w:hAnsi="Book Antiqua"/>
          <w:b/>
          <w:kern w:val="2"/>
          <w:sz w:val="24"/>
          <w:szCs w:val="24"/>
          <w:lang w:val="en-US" w:eastAsia="zh-CN"/>
        </w:rPr>
        <w:t xml:space="preserve"> C</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Jacovides</w:t>
      </w:r>
      <w:proofErr w:type="spellEnd"/>
      <w:r w:rsidRPr="003D034F">
        <w:rPr>
          <w:rFonts w:ascii="Book Antiqua" w:hAnsi="Book Antiqua"/>
          <w:kern w:val="2"/>
          <w:sz w:val="24"/>
          <w:szCs w:val="24"/>
          <w:lang w:val="en-US" w:eastAsia="zh-CN"/>
        </w:rPr>
        <w:t xml:space="preserve"> M, Reese GE, Yamamoto T, </w:t>
      </w:r>
      <w:proofErr w:type="spellStart"/>
      <w:r w:rsidRPr="003D034F">
        <w:rPr>
          <w:rFonts w:ascii="Book Antiqua" w:hAnsi="Book Antiqua"/>
          <w:kern w:val="2"/>
          <w:sz w:val="24"/>
          <w:szCs w:val="24"/>
          <w:lang w:val="en-US" w:eastAsia="zh-CN"/>
        </w:rPr>
        <w:t>Tekkis</w:t>
      </w:r>
      <w:proofErr w:type="spellEnd"/>
      <w:r w:rsidRPr="003D034F">
        <w:rPr>
          <w:rFonts w:ascii="Book Antiqua" w:hAnsi="Book Antiqua"/>
          <w:kern w:val="2"/>
          <w:sz w:val="24"/>
          <w:szCs w:val="24"/>
          <w:lang w:val="en-US" w:eastAsia="zh-CN"/>
        </w:rPr>
        <w:t xml:space="preserve"> PP. Meta-analysis of the role of granulomas in the recurrence of Crohn disease. </w:t>
      </w:r>
      <w:r w:rsidRPr="003D034F">
        <w:rPr>
          <w:rFonts w:ascii="Book Antiqua" w:hAnsi="Book Antiqua"/>
          <w:i/>
          <w:kern w:val="2"/>
          <w:sz w:val="24"/>
          <w:szCs w:val="24"/>
          <w:lang w:val="en-US" w:eastAsia="zh-CN"/>
        </w:rPr>
        <w:t>Dis Colon Rectum</w:t>
      </w:r>
      <w:r w:rsidRPr="003D034F">
        <w:rPr>
          <w:rFonts w:ascii="Book Antiqua" w:hAnsi="Book Antiqua"/>
          <w:kern w:val="2"/>
          <w:sz w:val="24"/>
          <w:szCs w:val="24"/>
          <w:lang w:val="en-US" w:eastAsia="zh-CN"/>
        </w:rPr>
        <w:t xml:space="preserve"> 2010; </w:t>
      </w:r>
      <w:r w:rsidRPr="003D034F">
        <w:rPr>
          <w:rFonts w:ascii="Book Antiqua" w:hAnsi="Book Antiqua"/>
          <w:b/>
          <w:kern w:val="2"/>
          <w:sz w:val="24"/>
          <w:szCs w:val="24"/>
          <w:lang w:val="en-US" w:eastAsia="zh-CN"/>
        </w:rPr>
        <w:t>53</w:t>
      </w:r>
      <w:r w:rsidRPr="003D034F">
        <w:rPr>
          <w:rFonts w:ascii="Book Antiqua" w:hAnsi="Book Antiqua"/>
          <w:kern w:val="2"/>
          <w:sz w:val="24"/>
          <w:szCs w:val="24"/>
          <w:lang w:val="en-US" w:eastAsia="zh-CN"/>
        </w:rPr>
        <w:t>: 177-185 [PMID: 20087093 DOI: 10.1007/DCR.0b013e3181b7bfb0]</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77 </w:t>
      </w:r>
      <w:r w:rsidRPr="003D034F">
        <w:rPr>
          <w:rFonts w:ascii="Book Antiqua" w:hAnsi="Book Antiqua"/>
          <w:b/>
          <w:kern w:val="2"/>
          <w:sz w:val="24"/>
          <w:szCs w:val="24"/>
          <w:lang w:val="en-US" w:eastAsia="zh-CN"/>
        </w:rPr>
        <w:t>Schmitz-</w:t>
      </w:r>
      <w:proofErr w:type="spellStart"/>
      <w:r w:rsidRPr="003D034F">
        <w:rPr>
          <w:rFonts w:ascii="Book Antiqua" w:hAnsi="Book Antiqua"/>
          <w:b/>
          <w:kern w:val="2"/>
          <w:sz w:val="24"/>
          <w:szCs w:val="24"/>
          <w:lang w:val="en-US" w:eastAsia="zh-CN"/>
        </w:rPr>
        <w:t>Moormann</w:t>
      </w:r>
      <w:proofErr w:type="spellEnd"/>
      <w:r w:rsidRPr="003D034F">
        <w:rPr>
          <w:rFonts w:ascii="Book Antiqua" w:hAnsi="Book Antiqua"/>
          <w:b/>
          <w:kern w:val="2"/>
          <w:sz w:val="24"/>
          <w:szCs w:val="24"/>
          <w:lang w:val="en-US" w:eastAsia="zh-CN"/>
        </w:rPr>
        <w:t xml:space="preserve"> P</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Malchow</w:t>
      </w:r>
      <w:proofErr w:type="spellEnd"/>
      <w:r w:rsidRPr="003D034F">
        <w:rPr>
          <w:rFonts w:ascii="Book Antiqua" w:hAnsi="Book Antiqua"/>
          <w:kern w:val="2"/>
          <w:sz w:val="24"/>
          <w:szCs w:val="24"/>
          <w:lang w:val="en-US" w:eastAsia="zh-CN"/>
        </w:rPr>
        <w:t xml:space="preserve"> H, </w:t>
      </w:r>
      <w:proofErr w:type="spellStart"/>
      <w:r w:rsidRPr="003D034F">
        <w:rPr>
          <w:rFonts w:ascii="Book Antiqua" w:hAnsi="Book Antiqua"/>
          <w:kern w:val="2"/>
          <w:sz w:val="24"/>
          <w:szCs w:val="24"/>
          <w:lang w:val="en-US" w:eastAsia="zh-CN"/>
        </w:rPr>
        <w:t>Pittner</w:t>
      </w:r>
      <w:proofErr w:type="spellEnd"/>
      <w:r w:rsidRPr="003D034F">
        <w:rPr>
          <w:rFonts w:ascii="Book Antiqua" w:hAnsi="Book Antiqua"/>
          <w:kern w:val="2"/>
          <w:sz w:val="24"/>
          <w:szCs w:val="24"/>
          <w:lang w:val="en-US" w:eastAsia="zh-CN"/>
        </w:rPr>
        <w:t xml:space="preserve"> PM. Endoscopic and </w:t>
      </w:r>
      <w:proofErr w:type="spellStart"/>
      <w:r w:rsidRPr="003D034F">
        <w:rPr>
          <w:rFonts w:ascii="Book Antiqua" w:hAnsi="Book Antiqua"/>
          <w:kern w:val="2"/>
          <w:sz w:val="24"/>
          <w:szCs w:val="24"/>
          <w:lang w:val="en-US" w:eastAsia="zh-CN"/>
        </w:rPr>
        <w:t>bioptic</w:t>
      </w:r>
      <w:proofErr w:type="spellEnd"/>
      <w:r w:rsidRPr="003D034F">
        <w:rPr>
          <w:rFonts w:ascii="Book Antiqua" w:hAnsi="Book Antiqua"/>
          <w:kern w:val="2"/>
          <w:sz w:val="24"/>
          <w:szCs w:val="24"/>
          <w:lang w:val="en-US" w:eastAsia="zh-CN"/>
        </w:rPr>
        <w:t xml:space="preserve"> study of the upper gastrointestinal tract in Crohn’s disease patients. </w:t>
      </w:r>
      <w:proofErr w:type="spellStart"/>
      <w:r w:rsidRPr="003D034F">
        <w:rPr>
          <w:rFonts w:ascii="Book Antiqua" w:hAnsi="Book Antiqua"/>
          <w:i/>
          <w:kern w:val="2"/>
          <w:sz w:val="24"/>
          <w:szCs w:val="24"/>
          <w:lang w:val="en-US" w:eastAsia="zh-CN"/>
        </w:rPr>
        <w:t>Pathol</w:t>
      </w:r>
      <w:proofErr w:type="spellEnd"/>
      <w:r w:rsidRPr="003D034F">
        <w:rPr>
          <w:rFonts w:ascii="Book Antiqua" w:hAnsi="Book Antiqua"/>
          <w:i/>
          <w:kern w:val="2"/>
          <w:sz w:val="24"/>
          <w:szCs w:val="24"/>
          <w:lang w:val="en-US" w:eastAsia="zh-CN"/>
        </w:rPr>
        <w:t xml:space="preserve"> Res </w:t>
      </w:r>
      <w:proofErr w:type="spellStart"/>
      <w:r w:rsidRPr="003D034F">
        <w:rPr>
          <w:rFonts w:ascii="Book Antiqua" w:hAnsi="Book Antiqua"/>
          <w:i/>
          <w:kern w:val="2"/>
          <w:sz w:val="24"/>
          <w:szCs w:val="24"/>
          <w:lang w:val="en-US" w:eastAsia="zh-CN"/>
        </w:rPr>
        <w:t>Pract</w:t>
      </w:r>
      <w:proofErr w:type="spellEnd"/>
      <w:r w:rsidRPr="003D034F">
        <w:rPr>
          <w:rFonts w:ascii="Book Antiqua" w:hAnsi="Book Antiqua"/>
          <w:kern w:val="2"/>
          <w:sz w:val="24"/>
          <w:szCs w:val="24"/>
          <w:lang w:val="en-US" w:eastAsia="zh-CN"/>
        </w:rPr>
        <w:t xml:space="preserve"> 1985; </w:t>
      </w:r>
      <w:r w:rsidRPr="003D034F">
        <w:rPr>
          <w:rFonts w:ascii="Book Antiqua" w:hAnsi="Book Antiqua"/>
          <w:b/>
          <w:kern w:val="2"/>
          <w:sz w:val="24"/>
          <w:szCs w:val="24"/>
          <w:lang w:val="en-US" w:eastAsia="zh-CN"/>
        </w:rPr>
        <w:t>179</w:t>
      </w:r>
      <w:r w:rsidRPr="003D034F">
        <w:rPr>
          <w:rFonts w:ascii="Book Antiqua" w:hAnsi="Book Antiqua"/>
          <w:kern w:val="2"/>
          <w:sz w:val="24"/>
          <w:szCs w:val="24"/>
          <w:lang w:val="en-US" w:eastAsia="zh-CN"/>
        </w:rPr>
        <w:t>: 377-387 [PMID: 3983016 DOI: 10.1016/S0344-0338(85)80147-3]</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78 </w:t>
      </w:r>
      <w:r w:rsidRPr="003D034F">
        <w:rPr>
          <w:rFonts w:ascii="Book Antiqua" w:hAnsi="Book Antiqua"/>
          <w:b/>
          <w:kern w:val="2"/>
          <w:sz w:val="24"/>
          <w:szCs w:val="24"/>
          <w:lang w:val="en-US" w:eastAsia="zh-CN"/>
        </w:rPr>
        <w:t>Schmitz-</w:t>
      </w:r>
      <w:proofErr w:type="spellStart"/>
      <w:r w:rsidRPr="003D034F">
        <w:rPr>
          <w:rFonts w:ascii="Book Antiqua" w:hAnsi="Book Antiqua"/>
          <w:b/>
          <w:kern w:val="2"/>
          <w:sz w:val="24"/>
          <w:szCs w:val="24"/>
          <w:lang w:val="en-US" w:eastAsia="zh-CN"/>
        </w:rPr>
        <w:t>Moormann</w:t>
      </w:r>
      <w:proofErr w:type="spellEnd"/>
      <w:r w:rsidRPr="003D034F">
        <w:rPr>
          <w:rFonts w:ascii="Book Antiqua" w:hAnsi="Book Antiqua"/>
          <w:b/>
          <w:kern w:val="2"/>
          <w:sz w:val="24"/>
          <w:szCs w:val="24"/>
          <w:lang w:val="en-US" w:eastAsia="zh-CN"/>
        </w:rPr>
        <w:t xml:space="preserve"> P</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Pittner</w:t>
      </w:r>
      <w:proofErr w:type="spellEnd"/>
      <w:r w:rsidRPr="003D034F">
        <w:rPr>
          <w:rFonts w:ascii="Book Antiqua" w:hAnsi="Book Antiqua"/>
          <w:kern w:val="2"/>
          <w:sz w:val="24"/>
          <w:szCs w:val="24"/>
          <w:lang w:val="en-US" w:eastAsia="zh-CN"/>
        </w:rPr>
        <w:t xml:space="preserve"> PM, </w:t>
      </w:r>
      <w:proofErr w:type="spellStart"/>
      <w:r w:rsidRPr="003D034F">
        <w:rPr>
          <w:rFonts w:ascii="Book Antiqua" w:hAnsi="Book Antiqua"/>
          <w:kern w:val="2"/>
          <w:sz w:val="24"/>
          <w:szCs w:val="24"/>
          <w:lang w:val="en-US" w:eastAsia="zh-CN"/>
        </w:rPr>
        <w:t>Malchow</w:t>
      </w:r>
      <w:proofErr w:type="spellEnd"/>
      <w:r w:rsidRPr="003D034F">
        <w:rPr>
          <w:rFonts w:ascii="Book Antiqua" w:hAnsi="Book Antiqua"/>
          <w:kern w:val="2"/>
          <w:sz w:val="24"/>
          <w:szCs w:val="24"/>
          <w:lang w:val="en-US" w:eastAsia="zh-CN"/>
        </w:rPr>
        <w:t xml:space="preserve"> H, </w:t>
      </w:r>
      <w:proofErr w:type="spellStart"/>
      <w:r w:rsidRPr="003D034F">
        <w:rPr>
          <w:rFonts w:ascii="Book Antiqua" w:hAnsi="Book Antiqua"/>
          <w:kern w:val="2"/>
          <w:sz w:val="24"/>
          <w:szCs w:val="24"/>
          <w:lang w:val="en-US" w:eastAsia="zh-CN"/>
        </w:rPr>
        <w:t>Brandes</w:t>
      </w:r>
      <w:proofErr w:type="spellEnd"/>
      <w:r w:rsidRPr="003D034F">
        <w:rPr>
          <w:rFonts w:ascii="Book Antiqua" w:hAnsi="Book Antiqua"/>
          <w:kern w:val="2"/>
          <w:sz w:val="24"/>
          <w:szCs w:val="24"/>
          <w:lang w:val="en-US" w:eastAsia="zh-CN"/>
        </w:rPr>
        <w:t xml:space="preserve"> JW. The granuloma in Crohn’s disease. A </w:t>
      </w:r>
      <w:proofErr w:type="spellStart"/>
      <w:r w:rsidRPr="003D034F">
        <w:rPr>
          <w:rFonts w:ascii="Book Antiqua" w:hAnsi="Book Antiqua"/>
          <w:kern w:val="2"/>
          <w:sz w:val="24"/>
          <w:szCs w:val="24"/>
          <w:lang w:val="en-US" w:eastAsia="zh-CN"/>
        </w:rPr>
        <w:t>bioptical</w:t>
      </w:r>
      <w:proofErr w:type="spellEnd"/>
      <w:r w:rsidRPr="003D034F">
        <w:rPr>
          <w:rFonts w:ascii="Book Antiqua" w:hAnsi="Book Antiqua"/>
          <w:kern w:val="2"/>
          <w:sz w:val="24"/>
          <w:szCs w:val="24"/>
          <w:lang w:val="en-US" w:eastAsia="zh-CN"/>
        </w:rPr>
        <w:t xml:space="preserve"> study. </w:t>
      </w:r>
      <w:proofErr w:type="spellStart"/>
      <w:r w:rsidRPr="003D034F">
        <w:rPr>
          <w:rFonts w:ascii="Book Antiqua" w:hAnsi="Book Antiqua"/>
          <w:i/>
          <w:kern w:val="2"/>
          <w:sz w:val="24"/>
          <w:szCs w:val="24"/>
          <w:lang w:val="en-US" w:eastAsia="zh-CN"/>
        </w:rPr>
        <w:t>Pathol</w:t>
      </w:r>
      <w:proofErr w:type="spellEnd"/>
      <w:r w:rsidRPr="003D034F">
        <w:rPr>
          <w:rFonts w:ascii="Book Antiqua" w:hAnsi="Book Antiqua"/>
          <w:i/>
          <w:kern w:val="2"/>
          <w:sz w:val="24"/>
          <w:szCs w:val="24"/>
          <w:lang w:val="en-US" w:eastAsia="zh-CN"/>
        </w:rPr>
        <w:t xml:space="preserve"> Res </w:t>
      </w:r>
      <w:proofErr w:type="spellStart"/>
      <w:r w:rsidRPr="003D034F">
        <w:rPr>
          <w:rFonts w:ascii="Book Antiqua" w:hAnsi="Book Antiqua"/>
          <w:i/>
          <w:kern w:val="2"/>
          <w:sz w:val="24"/>
          <w:szCs w:val="24"/>
          <w:lang w:val="en-US" w:eastAsia="zh-CN"/>
        </w:rPr>
        <w:t>Pract</w:t>
      </w:r>
      <w:proofErr w:type="spellEnd"/>
      <w:r w:rsidRPr="003D034F">
        <w:rPr>
          <w:rFonts w:ascii="Book Antiqua" w:hAnsi="Book Antiqua"/>
          <w:kern w:val="2"/>
          <w:sz w:val="24"/>
          <w:szCs w:val="24"/>
          <w:lang w:val="en-US" w:eastAsia="zh-CN"/>
        </w:rPr>
        <w:t xml:space="preserve"> 1984; </w:t>
      </w:r>
      <w:r w:rsidRPr="003D034F">
        <w:rPr>
          <w:rFonts w:ascii="Book Antiqua" w:hAnsi="Book Antiqua"/>
          <w:b/>
          <w:kern w:val="2"/>
          <w:sz w:val="24"/>
          <w:szCs w:val="24"/>
          <w:lang w:val="en-US" w:eastAsia="zh-CN"/>
        </w:rPr>
        <w:t>178</w:t>
      </w:r>
      <w:r w:rsidRPr="003D034F">
        <w:rPr>
          <w:rFonts w:ascii="Book Antiqua" w:hAnsi="Book Antiqua"/>
          <w:kern w:val="2"/>
          <w:sz w:val="24"/>
          <w:szCs w:val="24"/>
          <w:lang w:val="en-US" w:eastAsia="zh-CN"/>
        </w:rPr>
        <w:t>: 467-476 [PMID: 6462950 DOI: 10.1016/S0344-0338(84)80007-2]</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79 </w:t>
      </w:r>
      <w:r w:rsidRPr="003D034F">
        <w:rPr>
          <w:rFonts w:ascii="Book Antiqua" w:hAnsi="Book Antiqua"/>
          <w:b/>
          <w:kern w:val="2"/>
          <w:sz w:val="24"/>
          <w:szCs w:val="24"/>
          <w:lang w:val="en-US" w:eastAsia="zh-CN"/>
        </w:rPr>
        <w:t>Yao K</w:t>
      </w:r>
      <w:r w:rsidRPr="003D034F">
        <w:rPr>
          <w:rFonts w:ascii="Book Antiqua" w:hAnsi="Book Antiqua"/>
          <w:kern w:val="2"/>
          <w:sz w:val="24"/>
          <w:szCs w:val="24"/>
          <w:lang w:val="en-US" w:eastAsia="zh-CN"/>
        </w:rPr>
        <w:t xml:space="preserve">, Yao T, Iwashita A, Matsui T, </w:t>
      </w:r>
      <w:proofErr w:type="spellStart"/>
      <w:r w:rsidRPr="003D034F">
        <w:rPr>
          <w:rFonts w:ascii="Book Antiqua" w:hAnsi="Book Antiqua"/>
          <w:kern w:val="2"/>
          <w:sz w:val="24"/>
          <w:szCs w:val="24"/>
          <w:lang w:val="en-US" w:eastAsia="zh-CN"/>
        </w:rPr>
        <w:t>Kamachi</w:t>
      </w:r>
      <w:proofErr w:type="spellEnd"/>
      <w:r w:rsidRPr="003D034F">
        <w:rPr>
          <w:rFonts w:ascii="Book Antiqua" w:hAnsi="Book Antiqua"/>
          <w:kern w:val="2"/>
          <w:sz w:val="24"/>
          <w:szCs w:val="24"/>
          <w:lang w:val="en-US" w:eastAsia="zh-CN"/>
        </w:rPr>
        <w:t xml:space="preserve"> S. Microaggregate of </w:t>
      </w:r>
      <w:proofErr w:type="spellStart"/>
      <w:r w:rsidRPr="003D034F">
        <w:rPr>
          <w:rFonts w:ascii="Book Antiqua" w:hAnsi="Book Antiqua"/>
          <w:kern w:val="2"/>
          <w:sz w:val="24"/>
          <w:szCs w:val="24"/>
          <w:lang w:val="en-US" w:eastAsia="zh-CN"/>
        </w:rPr>
        <w:t>immunostained</w:t>
      </w:r>
      <w:proofErr w:type="spellEnd"/>
      <w:r w:rsidRPr="003D034F">
        <w:rPr>
          <w:rFonts w:ascii="Book Antiqua" w:hAnsi="Book Antiqua"/>
          <w:kern w:val="2"/>
          <w:sz w:val="24"/>
          <w:szCs w:val="24"/>
          <w:lang w:val="en-US" w:eastAsia="zh-CN"/>
        </w:rPr>
        <w:t xml:space="preserve"> macrophages in noninflamed gastroduodenal mucosa: A new useful histological marker for differentiating Crohn’s colitis from ulcerative colitis. </w:t>
      </w:r>
      <w:r w:rsidRPr="003D034F">
        <w:rPr>
          <w:rFonts w:ascii="Book Antiqua" w:hAnsi="Book Antiqua"/>
          <w:i/>
          <w:kern w:val="2"/>
          <w:sz w:val="24"/>
          <w:szCs w:val="24"/>
          <w:lang w:val="en-US" w:eastAsia="zh-CN"/>
        </w:rPr>
        <w:t>Am J Gastroenterol</w:t>
      </w:r>
      <w:r w:rsidRPr="003D034F">
        <w:rPr>
          <w:rFonts w:ascii="Book Antiqua" w:hAnsi="Book Antiqua"/>
          <w:kern w:val="2"/>
          <w:sz w:val="24"/>
          <w:szCs w:val="24"/>
          <w:lang w:val="en-US" w:eastAsia="zh-CN"/>
        </w:rPr>
        <w:t xml:space="preserve"> 2000; </w:t>
      </w:r>
      <w:r w:rsidRPr="003D034F">
        <w:rPr>
          <w:rFonts w:ascii="Book Antiqua" w:hAnsi="Book Antiqua"/>
          <w:b/>
          <w:kern w:val="2"/>
          <w:sz w:val="24"/>
          <w:szCs w:val="24"/>
          <w:lang w:val="en-US" w:eastAsia="zh-CN"/>
        </w:rPr>
        <w:t>95</w:t>
      </w:r>
      <w:r w:rsidRPr="003D034F">
        <w:rPr>
          <w:rFonts w:ascii="Book Antiqua" w:hAnsi="Book Antiqua"/>
          <w:kern w:val="2"/>
          <w:sz w:val="24"/>
          <w:szCs w:val="24"/>
          <w:lang w:val="en-US" w:eastAsia="zh-CN"/>
        </w:rPr>
        <w:t>: 1967-1973 [PMID: 10950044 DOI: 10.1016/S0002-9270(00)01050-9]</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80 </w:t>
      </w:r>
      <w:proofErr w:type="spellStart"/>
      <w:r w:rsidRPr="003D034F">
        <w:rPr>
          <w:rFonts w:ascii="Book Antiqua" w:hAnsi="Book Antiqua"/>
          <w:b/>
          <w:kern w:val="2"/>
          <w:sz w:val="24"/>
          <w:szCs w:val="24"/>
          <w:lang w:val="en-US" w:eastAsia="zh-CN"/>
        </w:rPr>
        <w:t>Magalhães</w:t>
      </w:r>
      <w:proofErr w:type="spellEnd"/>
      <w:r w:rsidRPr="003D034F">
        <w:rPr>
          <w:rFonts w:ascii="Book Antiqua" w:hAnsi="Book Antiqua"/>
          <w:b/>
          <w:kern w:val="2"/>
          <w:sz w:val="24"/>
          <w:szCs w:val="24"/>
          <w:lang w:val="en-US" w:eastAsia="zh-CN"/>
        </w:rPr>
        <w:t>-Costa MH</w:t>
      </w:r>
      <w:r w:rsidRPr="003D034F">
        <w:rPr>
          <w:rFonts w:ascii="Book Antiqua" w:hAnsi="Book Antiqua"/>
          <w:kern w:val="2"/>
          <w:sz w:val="24"/>
          <w:szCs w:val="24"/>
          <w:lang w:val="en-US" w:eastAsia="zh-CN"/>
        </w:rPr>
        <w:t xml:space="preserve">, Reis BR, Chagas VL, Nunes T, Souza HS, </w:t>
      </w:r>
      <w:proofErr w:type="spellStart"/>
      <w:r w:rsidRPr="003D034F">
        <w:rPr>
          <w:rFonts w:ascii="Book Antiqua" w:hAnsi="Book Antiqua"/>
          <w:kern w:val="2"/>
          <w:sz w:val="24"/>
          <w:szCs w:val="24"/>
          <w:lang w:val="en-US" w:eastAsia="zh-CN"/>
        </w:rPr>
        <w:t>Zaltman</w:t>
      </w:r>
      <w:proofErr w:type="spellEnd"/>
      <w:r w:rsidRPr="003D034F">
        <w:rPr>
          <w:rFonts w:ascii="Book Antiqua" w:hAnsi="Book Antiqua"/>
          <w:kern w:val="2"/>
          <w:sz w:val="24"/>
          <w:szCs w:val="24"/>
          <w:lang w:val="en-US" w:eastAsia="zh-CN"/>
        </w:rPr>
        <w:t xml:space="preserve"> C. Focal enhanced gastritis and macrophage microaggregates in the gastric mucosa: Potential role in the differential diagnosis between Crohn’s disease and ulcerative colitis. </w:t>
      </w:r>
      <w:proofErr w:type="spellStart"/>
      <w:r w:rsidRPr="003D034F">
        <w:rPr>
          <w:rFonts w:ascii="Book Antiqua" w:hAnsi="Book Antiqua"/>
          <w:i/>
          <w:kern w:val="2"/>
          <w:sz w:val="24"/>
          <w:szCs w:val="24"/>
          <w:lang w:val="en-US" w:eastAsia="zh-CN"/>
        </w:rPr>
        <w:t>Arq</w:t>
      </w:r>
      <w:proofErr w:type="spellEnd"/>
      <w:r w:rsidRPr="003D034F">
        <w:rPr>
          <w:rFonts w:ascii="Book Antiqua" w:hAnsi="Book Antiqua"/>
          <w:i/>
          <w:kern w:val="2"/>
          <w:sz w:val="24"/>
          <w:szCs w:val="24"/>
          <w:lang w:val="en-US" w:eastAsia="zh-CN"/>
        </w:rPr>
        <w:t xml:space="preserve"> Gastroenterol</w:t>
      </w:r>
      <w:r w:rsidRPr="003D034F">
        <w:rPr>
          <w:rFonts w:ascii="Book Antiqua" w:hAnsi="Book Antiqua"/>
          <w:kern w:val="2"/>
          <w:sz w:val="24"/>
          <w:szCs w:val="24"/>
          <w:lang w:val="en-US" w:eastAsia="zh-CN"/>
        </w:rPr>
        <w:t xml:space="preserve"> 2014; </w:t>
      </w:r>
      <w:r w:rsidRPr="003D034F">
        <w:rPr>
          <w:rFonts w:ascii="Book Antiqua" w:hAnsi="Book Antiqua"/>
          <w:b/>
          <w:kern w:val="2"/>
          <w:sz w:val="24"/>
          <w:szCs w:val="24"/>
          <w:lang w:val="en-US" w:eastAsia="zh-CN"/>
        </w:rPr>
        <w:t>51</w:t>
      </w:r>
      <w:r w:rsidRPr="003D034F">
        <w:rPr>
          <w:rFonts w:ascii="Book Antiqua" w:hAnsi="Book Antiqua"/>
          <w:kern w:val="2"/>
          <w:sz w:val="24"/>
          <w:szCs w:val="24"/>
          <w:lang w:val="en-US" w:eastAsia="zh-CN"/>
        </w:rPr>
        <w:t>: 276-282 [PMID: 25591154 DOI: 10.1590/S0004-28032014000400003]</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81 </w:t>
      </w:r>
      <w:proofErr w:type="spellStart"/>
      <w:r w:rsidRPr="003D034F">
        <w:rPr>
          <w:rFonts w:ascii="Book Antiqua" w:hAnsi="Book Antiqua"/>
          <w:b/>
          <w:kern w:val="2"/>
          <w:sz w:val="24"/>
          <w:szCs w:val="24"/>
          <w:lang w:val="en-US" w:eastAsia="zh-CN"/>
        </w:rPr>
        <w:t>Oberhuber</w:t>
      </w:r>
      <w:proofErr w:type="spellEnd"/>
      <w:r w:rsidRPr="003D034F">
        <w:rPr>
          <w:rFonts w:ascii="Book Antiqua" w:hAnsi="Book Antiqua"/>
          <w:b/>
          <w:kern w:val="2"/>
          <w:sz w:val="24"/>
          <w:szCs w:val="24"/>
          <w:lang w:val="en-US" w:eastAsia="zh-CN"/>
        </w:rPr>
        <w:t xml:space="preserve"> G</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Püspök</w:t>
      </w:r>
      <w:proofErr w:type="spellEnd"/>
      <w:r w:rsidRPr="003D034F">
        <w:rPr>
          <w:rFonts w:ascii="Book Antiqua" w:hAnsi="Book Antiqua"/>
          <w:kern w:val="2"/>
          <w:sz w:val="24"/>
          <w:szCs w:val="24"/>
          <w:lang w:val="en-US" w:eastAsia="zh-CN"/>
        </w:rPr>
        <w:t xml:space="preserve"> A, </w:t>
      </w:r>
      <w:proofErr w:type="spellStart"/>
      <w:r w:rsidRPr="003D034F">
        <w:rPr>
          <w:rFonts w:ascii="Book Antiqua" w:hAnsi="Book Antiqua"/>
          <w:kern w:val="2"/>
          <w:sz w:val="24"/>
          <w:szCs w:val="24"/>
          <w:lang w:val="en-US" w:eastAsia="zh-CN"/>
        </w:rPr>
        <w:t>Oesterreicher</w:t>
      </w:r>
      <w:proofErr w:type="spellEnd"/>
      <w:r w:rsidRPr="003D034F">
        <w:rPr>
          <w:rFonts w:ascii="Book Antiqua" w:hAnsi="Book Antiqua"/>
          <w:kern w:val="2"/>
          <w:sz w:val="24"/>
          <w:szCs w:val="24"/>
          <w:lang w:val="en-US" w:eastAsia="zh-CN"/>
        </w:rPr>
        <w:t xml:space="preserve"> C, </w:t>
      </w:r>
      <w:proofErr w:type="spellStart"/>
      <w:r w:rsidRPr="003D034F">
        <w:rPr>
          <w:rFonts w:ascii="Book Antiqua" w:hAnsi="Book Antiqua"/>
          <w:kern w:val="2"/>
          <w:sz w:val="24"/>
          <w:szCs w:val="24"/>
          <w:lang w:val="en-US" w:eastAsia="zh-CN"/>
        </w:rPr>
        <w:t>Novacek</w:t>
      </w:r>
      <w:proofErr w:type="spellEnd"/>
      <w:r w:rsidRPr="003D034F">
        <w:rPr>
          <w:rFonts w:ascii="Book Antiqua" w:hAnsi="Book Antiqua"/>
          <w:kern w:val="2"/>
          <w:sz w:val="24"/>
          <w:szCs w:val="24"/>
          <w:lang w:val="en-US" w:eastAsia="zh-CN"/>
        </w:rPr>
        <w:t xml:space="preserve"> G, </w:t>
      </w:r>
      <w:proofErr w:type="spellStart"/>
      <w:r w:rsidRPr="003D034F">
        <w:rPr>
          <w:rFonts w:ascii="Book Antiqua" w:hAnsi="Book Antiqua"/>
          <w:kern w:val="2"/>
          <w:sz w:val="24"/>
          <w:szCs w:val="24"/>
          <w:lang w:val="en-US" w:eastAsia="zh-CN"/>
        </w:rPr>
        <w:t>Zauner</w:t>
      </w:r>
      <w:proofErr w:type="spellEnd"/>
      <w:r w:rsidRPr="003D034F">
        <w:rPr>
          <w:rFonts w:ascii="Book Antiqua" w:hAnsi="Book Antiqua"/>
          <w:kern w:val="2"/>
          <w:sz w:val="24"/>
          <w:szCs w:val="24"/>
          <w:lang w:val="en-US" w:eastAsia="zh-CN"/>
        </w:rPr>
        <w:t xml:space="preserve"> C, </w:t>
      </w:r>
      <w:proofErr w:type="spellStart"/>
      <w:r w:rsidRPr="003D034F">
        <w:rPr>
          <w:rFonts w:ascii="Book Antiqua" w:hAnsi="Book Antiqua"/>
          <w:kern w:val="2"/>
          <w:sz w:val="24"/>
          <w:szCs w:val="24"/>
          <w:lang w:val="en-US" w:eastAsia="zh-CN"/>
        </w:rPr>
        <w:t>Burghuber</w:t>
      </w:r>
      <w:proofErr w:type="spellEnd"/>
      <w:r w:rsidRPr="003D034F">
        <w:rPr>
          <w:rFonts w:ascii="Book Antiqua" w:hAnsi="Book Antiqua"/>
          <w:kern w:val="2"/>
          <w:sz w:val="24"/>
          <w:szCs w:val="24"/>
          <w:lang w:val="en-US" w:eastAsia="zh-CN"/>
        </w:rPr>
        <w:t xml:space="preserve"> M, Vogelsang H, </w:t>
      </w:r>
      <w:proofErr w:type="spellStart"/>
      <w:r w:rsidRPr="003D034F">
        <w:rPr>
          <w:rFonts w:ascii="Book Antiqua" w:hAnsi="Book Antiqua"/>
          <w:kern w:val="2"/>
          <w:sz w:val="24"/>
          <w:szCs w:val="24"/>
          <w:lang w:val="en-US" w:eastAsia="zh-CN"/>
        </w:rPr>
        <w:t>Pötzi</w:t>
      </w:r>
      <w:proofErr w:type="spellEnd"/>
      <w:r w:rsidRPr="003D034F">
        <w:rPr>
          <w:rFonts w:ascii="Book Antiqua" w:hAnsi="Book Antiqua"/>
          <w:kern w:val="2"/>
          <w:sz w:val="24"/>
          <w:szCs w:val="24"/>
          <w:lang w:val="en-US" w:eastAsia="zh-CN"/>
        </w:rPr>
        <w:t xml:space="preserve"> R, </w:t>
      </w:r>
      <w:proofErr w:type="spellStart"/>
      <w:r w:rsidRPr="003D034F">
        <w:rPr>
          <w:rFonts w:ascii="Book Antiqua" w:hAnsi="Book Antiqua"/>
          <w:kern w:val="2"/>
          <w:sz w:val="24"/>
          <w:szCs w:val="24"/>
          <w:lang w:val="en-US" w:eastAsia="zh-CN"/>
        </w:rPr>
        <w:t>Stolte</w:t>
      </w:r>
      <w:proofErr w:type="spellEnd"/>
      <w:r w:rsidRPr="003D034F">
        <w:rPr>
          <w:rFonts w:ascii="Book Antiqua" w:hAnsi="Book Antiqua"/>
          <w:kern w:val="2"/>
          <w:sz w:val="24"/>
          <w:szCs w:val="24"/>
          <w:lang w:val="en-US" w:eastAsia="zh-CN"/>
        </w:rPr>
        <w:t xml:space="preserve"> M, </w:t>
      </w:r>
      <w:proofErr w:type="spellStart"/>
      <w:r w:rsidRPr="003D034F">
        <w:rPr>
          <w:rFonts w:ascii="Book Antiqua" w:hAnsi="Book Antiqua"/>
          <w:kern w:val="2"/>
          <w:sz w:val="24"/>
          <w:szCs w:val="24"/>
          <w:lang w:val="en-US" w:eastAsia="zh-CN"/>
        </w:rPr>
        <w:t>Wrba</w:t>
      </w:r>
      <w:proofErr w:type="spellEnd"/>
      <w:r w:rsidRPr="003D034F">
        <w:rPr>
          <w:rFonts w:ascii="Book Antiqua" w:hAnsi="Book Antiqua"/>
          <w:kern w:val="2"/>
          <w:sz w:val="24"/>
          <w:szCs w:val="24"/>
          <w:lang w:val="en-US" w:eastAsia="zh-CN"/>
        </w:rPr>
        <w:t xml:space="preserve"> F. Focally enhanced gastritis: A frequent type of gastritis in patients with Crohn’s disease. </w:t>
      </w:r>
      <w:r w:rsidRPr="003D034F">
        <w:rPr>
          <w:rFonts w:ascii="Book Antiqua" w:hAnsi="Book Antiqua"/>
          <w:i/>
          <w:kern w:val="2"/>
          <w:sz w:val="24"/>
          <w:szCs w:val="24"/>
          <w:lang w:val="en-US" w:eastAsia="zh-CN"/>
        </w:rPr>
        <w:t>Gastroenterology</w:t>
      </w:r>
      <w:r w:rsidRPr="003D034F">
        <w:rPr>
          <w:rFonts w:ascii="Book Antiqua" w:hAnsi="Book Antiqua"/>
          <w:kern w:val="2"/>
          <w:sz w:val="24"/>
          <w:szCs w:val="24"/>
          <w:lang w:val="en-US" w:eastAsia="zh-CN"/>
        </w:rPr>
        <w:t xml:space="preserve"> 1997; </w:t>
      </w:r>
      <w:r w:rsidRPr="003D034F">
        <w:rPr>
          <w:rFonts w:ascii="Book Antiqua" w:hAnsi="Book Antiqua"/>
          <w:b/>
          <w:kern w:val="2"/>
          <w:sz w:val="24"/>
          <w:szCs w:val="24"/>
          <w:lang w:val="en-US" w:eastAsia="zh-CN"/>
        </w:rPr>
        <w:lastRenderedPageBreak/>
        <w:t>112</w:t>
      </w:r>
      <w:r w:rsidRPr="003D034F">
        <w:rPr>
          <w:rFonts w:ascii="Book Antiqua" w:hAnsi="Book Antiqua"/>
          <w:kern w:val="2"/>
          <w:sz w:val="24"/>
          <w:szCs w:val="24"/>
          <w:lang w:val="en-US" w:eastAsia="zh-CN"/>
        </w:rPr>
        <w:t>: 698-706 [PMID: 9041230 DOI: 10.1053/gast.1997.v112.pm9041230]</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82 </w:t>
      </w:r>
      <w:proofErr w:type="spellStart"/>
      <w:r w:rsidRPr="003D034F">
        <w:rPr>
          <w:rFonts w:ascii="Book Antiqua" w:hAnsi="Book Antiqua"/>
          <w:b/>
          <w:kern w:val="2"/>
          <w:sz w:val="24"/>
          <w:szCs w:val="24"/>
          <w:lang w:val="en-US" w:eastAsia="zh-CN"/>
        </w:rPr>
        <w:t>Parente</w:t>
      </w:r>
      <w:proofErr w:type="spellEnd"/>
      <w:r w:rsidRPr="003D034F">
        <w:rPr>
          <w:rFonts w:ascii="Book Antiqua" w:hAnsi="Book Antiqua"/>
          <w:b/>
          <w:kern w:val="2"/>
          <w:sz w:val="24"/>
          <w:szCs w:val="24"/>
          <w:lang w:val="en-US" w:eastAsia="zh-CN"/>
        </w:rPr>
        <w:t xml:space="preserve"> F</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Cucino</w:t>
      </w:r>
      <w:proofErr w:type="spellEnd"/>
      <w:r w:rsidRPr="003D034F">
        <w:rPr>
          <w:rFonts w:ascii="Book Antiqua" w:hAnsi="Book Antiqua"/>
          <w:kern w:val="2"/>
          <w:sz w:val="24"/>
          <w:szCs w:val="24"/>
          <w:lang w:val="en-US" w:eastAsia="zh-CN"/>
        </w:rPr>
        <w:t xml:space="preserve"> C, </w:t>
      </w:r>
      <w:proofErr w:type="spellStart"/>
      <w:r w:rsidRPr="003D034F">
        <w:rPr>
          <w:rFonts w:ascii="Book Antiqua" w:hAnsi="Book Antiqua"/>
          <w:kern w:val="2"/>
          <w:sz w:val="24"/>
          <w:szCs w:val="24"/>
          <w:lang w:val="en-US" w:eastAsia="zh-CN"/>
        </w:rPr>
        <w:t>Bollani</w:t>
      </w:r>
      <w:proofErr w:type="spellEnd"/>
      <w:r w:rsidRPr="003D034F">
        <w:rPr>
          <w:rFonts w:ascii="Book Antiqua" w:hAnsi="Book Antiqua"/>
          <w:kern w:val="2"/>
          <w:sz w:val="24"/>
          <w:szCs w:val="24"/>
          <w:lang w:val="en-US" w:eastAsia="zh-CN"/>
        </w:rPr>
        <w:t xml:space="preserve"> S, </w:t>
      </w:r>
      <w:proofErr w:type="spellStart"/>
      <w:r w:rsidRPr="003D034F">
        <w:rPr>
          <w:rFonts w:ascii="Book Antiqua" w:hAnsi="Book Antiqua"/>
          <w:kern w:val="2"/>
          <w:sz w:val="24"/>
          <w:szCs w:val="24"/>
          <w:lang w:val="en-US" w:eastAsia="zh-CN"/>
        </w:rPr>
        <w:t>Imbesi</w:t>
      </w:r>
      <w:proofErr w:type="spellEnd"/>
      <w:r w:rsidRPr="003D034F">
        <w:rPr>
          <w:rFonts w:ascii="Book Antiqua" w:hAnsi="Book Antiqua"/>
          <w:kern w:val="2"/>
          <w:sz w:val="24"/>
          <w:szCs w:val="24"/>
          <w:lang w:val="en-US" w:eastAsia="zh-CN"/>
        </w:rPr>
        <w:t xml:space="preserve"> V, </w:t>
      </w:r>
      <w:proofErr w:type="spellStart"/>
      <w:r w:rsidRPr="003D034F">
        <w:rPr>
          <w:rFonts w:ascii="Book Antiqua" w:hAnsi="Book Antiqua"/>
          <w:kern w:val="2"/>
          <w:sz w:val="24"/>
          <w:szCs w:val="24"/>
          <w:lang w:val="en-US" w:eastAsia="zh-CN"/>
        </w:rPr>
        <w:t>Maconi</w:t>
      </w:r>
      <w:proofErr w:type="spellEnd"/>
      <w:r w:rsidRPr="003D034F">
        <w:rPr>
          <w:rFonts w:ascii="Book Antiqua" w:hAnsi="Book Antiqua"/>
          <w:kern w:val="2"/>
          <w:sz w:val="24"/>
          <w:szCs w:val="24"/>
          <w:lang w:val="en-US" w:eastAsia="zh-CN"/>
        </w:rPr>
        <w:t xml:space="preserve"> G, </w:t>
      </w:r>
      <w:proofErr w:type="spellStart"/>
      <w:r w:rsidRPr="003D034F">
        <w:rPr>
          <w:rFonts w:ascii="Book Antiqua" w:hAnsi="Book Antiqua"/>
          <w:kern w:val="2"/>
          <w:sz w:val="24"/>
          <w:szCs w:val="24"/>
          <w:lang w:val="en-US" w:eastAsia="zh-CN"/>
        </w:rPr>
        <w:t>Bonetto</w:t>
      </w:r>
      <w:proofErr w:type="spellEnd"/>
      <w:r w:rsidRPr="003D034F">
        <w:rPr>
          <w:rFonts w:ascii="Book Antiqua" w:hAnsi="Book Antiqua"/>
          <w:kern w:val="2"/>
          <w:sz w:val="24"/>
          <w:szCs w:val="24"/>
          <w:lang w:val="en-US" w:eastAsia="zh-CN"/>
        </w:rPr>
        <w:t xml:space="preserve"> S, </w:t>
      </w:r>
      <w:proofErr w:type="spellStart"/>
      <w:r w:rsidRPr="003D034F">
        <w:rPr>
          <w:rFonts w:ascii="Book Antiqua" w:hAnsi="Book Antiqua"/>
          <w:kern w:val="2"/>
          <w:sz w:val="24"/>
          <w:szCs w:val="24"/>
          <w:lang w:val="en-US" w:eastAsia="zh-CN"/>
        </w:rPr>
        <w:t>Vago</w:t>
      </w:r>
      <w:proofErr w:type="spellEnd"/>
      <w:r w:rsidRPr="003D034F">
        <w:rPr>
          <w:rFonts w:ascii="Book Antiqua" w:hAnsi="Book Antiqua"/>
          <w:kern w:val="2"/>
          <w:sz w:val="24"/>
          <w:szCs w:val="24"/>
          <w:lang w:val="en-US" w:eastAsia="zh-CN"/>
        </w:rPr>
        <w:t xml:space="preserve"> L, Bianchi </w:t>
      </w:r>
      <w:proofErr w:type="spellStart"/>
      <w:r w:rsidRPr="003D034F">
        <w:rPr>
          <w:rFonts w:ascii="Book Antiqua" w:hAnsi="Book Antiqua"/>
          <w:kern w:val="2"/>
          <w:sz w:val="24"/>
          <w:szCs w:val="24"/>
          <w:lang w:val="en-US" w:eastAsia="zh-CN"/>
        </w:rPr>
        <w:t>Porro</w:t>
      </w:r>
      <w:proofErr w:type="spellEnd"/>
      <w:r w:rsidRPr="003D034F">
        <w:rPr>
          <w:rFonts w:ascii="Book Antiqua" w:hAnsi="Book Antiqua"/>
          <w:kern w:val="2"/>
          <w:sz w:val="24"/>
          <w:szCs w:val="24"/>
          <w:lang w:val="en-US" w:eastAsia="zh-CN"/>
        </w:rPr>
        <w:t xml:space="preserve"> G. Focal gastric inflammatory infiltrates in inflammatory bowel diseases: Prevalence, immunohistochemical characteristics, and diagnostic role. </w:t>
      </w:r>
      <w:r w:rsidRPr="003D034F">
        <w:rPr>
          <w:rFonts w:ascii="Book Antiqua" w:hAnsi="Book Antiqua"/>
          <w:i/>
          <w:kern w:val="2"/>
          <w:sz w:val="24"/>
          <w:szCs w:val="24"/>
          <w:lang w:val="en-US" w:eastAsia="zh-CN"/>
        </w:rPr>
        <w:t>Am J Gastroenterol</w:t>
      </w:r>
      <w:r w:rsidRPr="003D034F">
        <w:rPr>
          <w:rFonts w:ascii="Book Antiqua" w:hAnsi="Book Antiqua"/>
          <w:kern w:val="2"/>
          <w:sz w:val="24"/>
          <w:szCs w:val="24"/>
          <w:lang w:val="en-US" w:eastAsia="zh-CN"/>
        </w:rPr>
        <w:t xml:space="preserve"> 2000; </w:t>
      </w:r>
      <w:r w:rsidRPr="003D034F">
        <w:rPr>
          <w:rFonts w:ascii="Book Antiqua" w:hAnsi="Book Antiqua"/>
          <w:b/>
          <w:kern w:val="2"/>
          <w:sz w:val="24"/>
          <w:szCs w:val="24"/>
          <w:lang w:val="en-US" w:eastAsia="zh-CN"/>
        </w:rPr>
        <w:t>95</w:t>
      </w:r>
      <w:r w:rsidRPr="003D034F">
        <w:rPr>
          <w:rFonts w:ascii="Book Antiqua" w:hAnsi="Book Antiqua"/>
          <w:kern w:val="2"/>
          <w:sz w:val="24"/>
          <w:szCs w:val="24"/>
          <w:lang w:val="en-US" w:eastAsia="zh-CN"/>
        </w:rPr>
        <w:t>: 705-711 [PMID: 10710061 DOI: 10.1111/j.1572-0241.2000.01851.x]</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83 </w:t>
      </w:r>
      <w:r w:rsidRPr="003D034F">
        <w:rPr>
          <w:rFonts w:ascii="Book Antiqua" w:hAnsi="Book Antiqua"/>
          <w:b/>
          <w:kern w:val="2"/>
          <w:sz w:val="24"/>
          <w:szCs w:val="24"/>
          <w:lang w:val="en-US" w:eastAsia="zh-CN"/>
        </w:rPr>
        <w:t>Hori K</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Ikeuchi</w:t>
      </w:r>
      <w:proofErr w:type="spellEnd"/>
      <w:r w:rsidRPr="003D034F">
        <w:rPr>
          <w:rFonts w:ascii="Book Antiqua" w:hAnsi="Book Antiqua"/>
          <w:kern w:val="2"/>
          <w:sz w:val="24"/>
          <w:szCs w:val="24"/>
          <w:lang w:val="en-US" w:eastAsia="zh-CN"/>
        </w:rPr>
        <w:t xml:space="preserve"> H, Nakano H, Uchino M, Tomita T, </w:t>
      </w:r>
      <w:proofErr w:type="spellStart"/>
      <w:r w:rsidRPr="003D034F">
        <w:rPr>
          <w:rFonts w:ascii="Book Antiqua" w:hAnsi="Book Antiqua"/>
          <w:kern w:val="2"/>
          <w:sz w:val="24"/>
          <w:szCs w:val="24"/>
          <w:lang w:val="en-US" w:eastAsia="zh-CN"/>
        </w:rPr>
        <w:t>Ohda</w:t>
      </w:r>
      <w:proofErr w:type="spellEnd"/>
      <w:r w:rsidRPr="003D034F">
        <w:rPr>
          <w:rFonts w:ascii="Book Antiqua" w:hAnsi="Book Antiqua"/>
          <w:kern w:val="2"/>
          <w:sz w:val="24"/>
          <w:szCs w:val="24"/>
          <w:lang w:val="en-US" w:eastAsia="zh-CN"/>
        </w:rPr>
        <w:t xml:space="preserve"> Y, </w:t>
      </w:r>
      <w:proofErr w:type="spellStart"/>
      <w:r w:rsidRPr="003D034F">
        <w:rPr>
          <w:rFonts w:ascii="Book Antiqua" w:hAnsi="Book Antiqua"/>
          <w:kern w:val="2"/>
          <w:sz w:val="24"/>
          <w:szCs w:val="24"/>
          <w:lang w:val="en-US" w:eastAsia="zh-CN"/>
        </w:rPr>
        <w:t>Hida</w:t>
      </w:r>
      <w:proofErr w:type="spellEnd"/>
      <w:r w:rsidRPr="003D034F">
        <w:rPr>
          <w:rFonts w:ascii="Book Antiqua" w:hAnsi="Book Antiqua"/>
          <w:kern w:val="2"/>
          <w:sz w:val="24"/>
          <w:szCs w:val="24"/>
          <w:lang w:val="en-US" w:eastAsia="zh-CN"/>
        </w:rPr>
        <w:t xml:space="preserve"> N, Matsumoto T, Fukuda Y, Miwa H. </w:t>
      </w:r>
      <w:proofErr w:type="spellStart"/>
      <w:r w:rsidRPr="003D034F">
        <w:rPr>
          <w:rFonts w:ascii="Book Antiqua" w:hAnsi="Book Antiqua"/>
          <w:kern w:val="2"/>
          <w:sz w:val="24"/>
          <w:szCs w:val="24"/>
          <w:lang w:val="en-US" w:eastAsia="zh-CN"/>
        </w:rPr>
        <w:t>Gastroduodenitis</w:t>
      </w:r>
      <w:proofErr w:type="spellEnd"/>
      <w:r w:rsidRPr="003D034F">
        <w:rPr>
          <w:rFonts w:ascii="Book Antiqua" w:hAnsi="Book Antiqua"/>
          <w:kern w:val="2"/>
          <w:sz w:val="24"/>
          <w:szCs w:val="24"/>
          <w:lang w:val="en-US" w:eastAsia="zh-CN"/>
        </w:rPr>
        <w:t xml:space="preserve"> associated with ulcerative colitis. </w:t>
      </w:r>
      <w:r w:rsidRPr="003D034F">
        <w:rPr>
          <w:rFonts w:ascii="Book Antiqua" w:hAnsi="Book Antiqua"/>
          <w:i/>
          <w:kern w:val="2"/>
          <w:sz w:val="24"/>
          <w:szCs w:val="24"/>
          <w:lang w:val="en-US" w:eastAsia="zh-CN"/>
        </w:rPr>
        <w:t>J Gastroenterol</w:t>
      </w:r>
      <w:r w:rsidRPr="003D034F">
        <w:rPr>
          <w:rFonts w:ascii="Book Antiqua" w:hAnsi="Book Antiqua"/>
          <w:kern w:val="2"/>
          <w:sz w:val="24"/>
          <w:szCs w:val="24"/>
          <w:lang w:val="en-US" w:eastAsia="zh-CN"/>
        </w:rPr>
        <w:t xml:space="preserve"> 2008; </w:t>
      </w:r>
      <w:r w:rsidRPr="003D034F">
        <w:rPr>
          <w:rFonts w:ascii="Book Antiqua" w:hAnsi="Book Antiqua"/>
          <w:b/>
          <w:kern w:val="2"/>
          <w:sz w:val="24"/>
          <w:szCs w:val="24"/>
          <w:lang w:val="en-US" w:eastAsia="zh-CN"/>
        </w:rPr>
        <w:t>43</w:t>
      </w:r>
      <w:r w:rsidRPr="003D034F">
        <w:rPr>
          <w:rFonts w:ascii="Book Antiqua" w:hAnsi="Book Antiqua"/>
          <w:kern w:val="2"/>
          <w:sz w:val="24"/>
          <w:szCs w:val="24"/>
          <w:lang w:val="en-US" w:eastAsia="zh-CN"/>
        </w:rPr>
        <w:t>: 193-201 [PMID: 18373161 DOI: 10.1007/s00535-007-2143-8]</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84 </w:t>
      </w:r>
      <w:proofErr w:type="spellStart"/>
      <w:r w:rsidRPr="003D034F">
        <w:rPr>
          <w:rFonts w:ascii="Book Antiqua" w:hAnsi="Book Antiqua"/>
          <w:b/>
          <w:kern w:val="2"/>
          <w:sz w:val="24"/>
          <w:szCs w:val="24"/>
          <w:lang w:val="en-US" w:eastAsia="zh-CN"/>
        </w:rPr>
        <w:t>Hirokawa</w:t>
      </w:r>
      <w:proofErr w:type="spellEnd"/>
      <w:r w:rsidRPr="003D034F">
        <w:rPr>
          <w:rFonts w:ascii="Book Antiqua" w:hAnsi="Book Antiqua"/>
          <w:b/>
          <w:kern w:val="2"/>
          <w:sz w:val="24"/>
          <w:szCs w:val="24"/>
          <w:lang w:val="en-US" w:eastAsia="zh-CN"/>
        </w:rPr>
        <w:t xml:space="preserve"> M</w:t>
      </w:r>
      <w:r w:rsidRPr="003D034F">
        <w:rPr>
          <w:rFonts w:ascii="Book Antiqua" w:hAnsi="Book Antiqua"/>
          <w:kern w:val="2"/>
          <w:sz w:val="24"/>
          <w:szCs w:val="24"/>
          <w:lang w:val="en-US" w:eastAsia="zh-CN"/>
        </w:rPr>
        <w:t xml:space="preserve">, Shimizu M, </w:t>
      </w:r>
      <w:proofErr w:type="spellStart"/>
      <w:r w:rsidRPr="003D034F">
        <w:rPr>
          <w:rFonts w:ascii="Book Antiqua" w:hAnsi="Book Antiqua"/>
          <w:kern w:val="2"/>
          <w:sz w:val="24"/>
          <w:szCs w:val="24"/>
          <w:lang w:val="en-US" w:eastAsia="zh-CN"/>
        </w:rPr>
        <w:t>Terayama</w:t>
      </w:r>
      <w:proofErr w:type="spellEnd"/>
      <w:r w:rsidRPr="003D034F">
        <w:rPr>
          <w:rFonts w:ascii="Book Antiqua" w:hAnsi="Book Antiqua"/>
          <w:kern w:val="2"/>
          <w:sz w:val="24"/>
          <w:szCs w:val="24"/>
          <w:lang w:val="en-US" w:eastAsia="zh-CN"/>
        </w:rPr>
        <w:t xml:space="preserve"> K, Tamai M, Takeda M, Iida M, Manabe T. Bamboo-joint-like appearance of the stomach: A histopathological study. </w:t>
      </w:r>
      <w:r w:rsidRPr="003D034F">
        <w:rPr>
          <w:rFonts w:ascii="Book Antiqua" w:hAnsi="Book Antiqua"/>
          <w:i/>
          <w:kern w:val="2"/>
          <w:sz w:val="24"/>
          <w:szCs w:val="24"/>
          <w:lang w:val="en-US" w:eastAsia="zh-CN"/>
        </w:rPr>
        <w:t>APMIS</w:t>
      </w:r>
      <w:r w:rsidRPr="003D034F">
        <w:rPr>
          <w:rFonts w:ascii="Book Antiqua" w:hAnsi="Book Antiqua"/>
          <w:kern w:val="2"/>
          <w:sz w:val="24"/>
          <w:szCs w:val="24"/>
          <w:lang w:val="en-US" w:eastAsia="zh-CN"/>
        </w:rPr>
        <w:t xml:space="preserve"> 1999; </w:t>
      </w:r>
      <w:r w:rsidRPr="003D034F">
        <w:rPr>
          <w:rFonts w:ascii="Book Antiqua" w:hAnsi="Book Antiqua"/>
          <w:b/>
          <w:kern w:val="2"/>
          <w:sz w:val="24"/>
          <w:szCs w:val="24"/>
          <w:lang w:val="en-US" w:eastAsia="zh-CN"/>
        </w:rPr>
        <w:t>107</w:t>
      </w:r>
      <w:r w:rsidRPr="003D034F">
        <w:rPr>
          <w:rFonts w:ascii="Book Antiqua" w:hAnsi="Book Antiqua"/>
          <w:kern w:val="2"/>
          <w:sz w:val="24"/>
          <w:szCs w:val="24"/>
          <w:lang w:val="en-US" w:eastAsia="zh-CN"/>
        </w:rPr>
        <w:t>: 951-956 [PMID: 10549593 DOI: 10.1111/j.1699-0463.1999.tb01496.x]</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85 </w:t>
      </w:r>
      <w:r w:rsidRPr="003D034F">
        <w:rPr>
          <w:rFonts w:ascii="Book Antiqua" w:hAnsi="Book Antiqua"/>
          <w:b/>
          <w:kern w:val="2"/>
          <w:sz w:val="24"/>
          <w:szCs w:val="24"/>
          <w:lang w:val="en-US" w:eastAsia="zh-CN"/>
        </w:rPr>
        <w:t>So H</w:t>
      </w:r>
      <w:r w:rsidRPr="003D034F">
        <w:rPr>
          <w:rFonts w:ascii="Book Antiqua" w:hAnsi="Book Antiqua"/>
          <w:kern w:val="2"/>
          <w:sz w:val="24"/>
          <w:szCs w:val="24"/>
          <w:lang w:val="en-US" w:eastAsia="zh-CN"/>
        </w:rPr>
        <w:t xml:space="preserve">, Ye BD, Park YS, Kim J, Kim JS, Moon W, Lee KM, Kim YS, </w:t>
      </w:r>
      <w:proofErr w:type="spellStart"/>
      <w:r w:rsidRPr="003D034F">
        <w:rPr>
          <w:rFonts w:ascii="Book Antiqua" w:hAnsi="Book Antiqua"/>
          <w:kern w:val="2"/>
          <w:sz w:val="24"/>
          <w:szCs w:val="24"/>
          <w:lang w:val="en-US" w:eastAsia="zh-CN"/>
        </w:rPr>
        <w:t>Keum</w:t>
      </w:r>
      <w:proofErr w:type="spellEnd"/>
      <w:r w:rsidRPr="003D034F">
        <w:rPr>
          <w:rFonts w:ascii="Book Antiqua" w:hAnsi="Book Antiqua"/>
          <w:kern w:val="2"/>
          <w:sz w:val="24"/>
          <w:szCs w:val="24"/>
          <w:lang w:val="en-US" w:eastAsia="zh-CN"/>
        </w:rPr>
        <w:t xml:space="preserve"> B, Kim SE, Kim KO, Kim ES, Lee CK, Hong SP, </w:t>
      </w:r>
      <w:proofErr w:type="spellStart"/>
      <w:r w:rsidRPr="003D034F">
        <w:rPr>
          <w:rFonts w:ascii="Book Antiqua" w:hAnsi="Book Antiqua"/>
          <w:kern w:val="2"/>
          <w:sz w:val="24"/>
          <w:szCs w:val="24"/>
          <w:lang w:val="en-US" w:eastAsia="zh-CN"/>
        </w:rPr>
        <w:t>Im</w:t>
      </w:r>
      <w:proofErr w:type="spellEnd"/>
      <w:r w:rsidRPr="003D034F">
        <w:rPr>
          <w:rFonts w:ascii="Book Antiqua" w:hAnsi="Book Antiqua"/>
          <w:kern w:val="2"/>
          <w:sz w:val="24"/>
          <w:szCs w:val="24"/>
          <w:lang w:val="en-US" w:eastAsia="zh-CN"/>
        </w:rPr>
        <w:t xml:space="preserve"> JP, Koo JS, Choi CH, Shin JE, Lee BI, Huh KC, Kim YH, Kim HS, Park YS, Han DS; Korean Association for the Study of Intestinal Diseases. Gastric lesions in patients with Crohn’s disease in Korea: A multicenter study. </w:t>
      </w:r>
      <w:proofErr w:type="spellStart"/>
      <w:r w:rsidRPr="003D034F">
        <w:rPr>
          <w:rFonts w:ascii="Book Antiqua" w:hAnsi="Book Antiqua"/>
          <w:i/>
          <w:kern w:val="2"/>
          <w:sz w:val="24"/>
          <w:szCs w:val="24"/>
          <w:lang w:val="en-US" w:eastAsia="zh-CN"/>
        </w:rPr>
        <w:t>Intest</w:t>
      </w:r>
      <w:proofErr w:type="spellEnd"/>
      <w:r w:rsidRPr="003D034F">
        <w:rPr>
          <w:rFonts w:ascii="Book Antiqua" w:hAnsi="Book Antiqua"/>
          <w:i/>
          <w:kern w:val="2"/>
          <w:sz w:val="24"/>
          <w:szCs w:val="24"/>
          <w:lang w:val="en-US" w:eastAsia="zh-CN"/>
        </w:rPr>
        <w:t xml:space="preserve"> Res</w:t>
      </w:r>
      <w:r w:rsidRPr="003D034F">
        <w:rPr>
          <w:rFonts w:ascii="Book Antiqua" w:hAnsi="Book Antiqua"/>
          <w:kern w:val="2"/>
          <w:sz w:val="24"/>
          <w:szCs w:val="24"/>
          <w:lang w:val="en-US" w:eastAsia="zh-CN"/>
        </w:rPr>
        <w:t xml:space="preserve"> 2016; </w:t>
      </w:r>
      <w:r w:rsidRPr="003D034F">
        <w:rPr>
          <w:rFonts w:ascii="Book Antiqua" w:hAnsi="Book Antiqua"/>
          <w:b/>
          <w:kern w:val="2"/>
          <w:sz w:val="24"/>
          <w:szCs w:val="24"/>
          <w:lang w:val="en-US" w:eastAsia="zh-CN"/>
        </w:rPr>
        <w:t>14</w:t>
      </w:r>
      <w:r w:rsidRPr="003D034F">
        <w:rPr>
          <w:rFonts w:ascii="Book Antiqua" w:hAnsi="Book Antiqua"/>
          <w:kern w:val="2"/>
          <w:sz w:val="24"/>
          <w:szCs w:val="24"/>
          <w:lang w:val="en-US" w:eastAsia="zh-CN"/>
        </w:rPr>
        <w:t>: 60-68 [PMID: 26884736 DOI: 10.5217/ir.2016.14.1.60]</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86 </w:t>
      </w:r>
      <w:proofErr w:type="spellStart"/>
      <w:r w:rsidRPr="003D034F">
        <w:rPr>
          <w:rFonts w:ascii="Book Antiqua" w:hAnsi="Book Antiqua"/>
          <w:b/>
          <w:kern w:val="2"/>
          <w:sz w:val="24"/>
          <w:szCs w:val="24"/>
          <w:lang w:val="en-US" w:eastAsia="zh-CN"/>
        </w:rPr>
        <w:t>Zbar</w:t>
      </w:r>
      <w:proofErr w:type="spellEnd"/>
      <w:r w:rsidRPr="003D034F">
        <w:rPr>
          <w:rFonts w:ascii="Book Antiqua" w:hAnsi="Book Antiqua"/>
          <w:b/>
          <w:kern w:val="2"/>
          <w:sz w:val="24"/>
          <w:szCs w:val="24"/>
          <w:lang w:val="en-US" w:eastAsia="zh-CN"/>
        </w:rPr>
        <w:t xml:space="preserve"> AP</w:t>
      </w:r>
      <w:r w:rsidRPr="003D034F">
        <w:rPr>
          <w:rFonts w:ascii="Book Antiqua" w:hAnsi="Book Antiqua"/>
          <w:kern w:val="2"/>
          <w:sz w:val="24"/>
          <w:szCs w:val="24"/>
          <w:lang w:val="en-US" w:eastAsia="zh-CN"/>
        </w:rPr>
        <w:t>, Ben-</w:t>
      </w:r>
      <w:proofErr w:type="spellStart"/>
      <w:r w:rsidRPr="003D034F">
        <w:rPr>
          <w:rFonts w:ascii="Book Antiqua" w:hAnsi="Book Antiqua"/>
          <w:kern w:val="2"/>
          <w:sz w:val="24"/>
          <w:szCs w:val="24"/>
          <w:lang w:val="en-US" w:eastAsia="zh-CN"/>
        </w:rPr>
        <w:t>Horin</w:t>
      </w:r>
      <w:proofErr w:type="spellEnd"/>
      <w:r w:rsidRPr="003D034F">
        <w:rPr>
          <w:rFonts w:ascii="Book Antiqua" w:hAnsi="Book Antiqua"/>
          <w:kern w:val="2"/>
          <w:sz w:val="24"/>
          <w:szCs w:val="24"/>
          <w:lang w:val="en-US" w:eastAsia="zh-CN"/>
        </w:rPr>
        <w:t xml:space="preserve"> S, Beer-Gabel M, Eliakim R. Oral Crohn’s disease: Is it a separable disease from orofacial granulomatosis? A review. </w:t>
      </w:r>
      <w:r w:rsidRPr="003D034F">
        <w:rPr>
          <w:rFonts w:ascii="Book Antiqua" w:hAnsi="Book Antiqua"/>
          <w:i/>
          <w:kern w:val="2"/>
          <w:sz w:val="24"/>
          <w:szCs w:val="24"/>
          <w:lang w:val="en-US" w:eastAsia="zh-CN"/>
        </w:rPr>
        <w:t xml:space="preserve">J </w:t>
      </w:r>
      <w:proofErr w:type="spellStart"/>
      <w:r w:rsidRPr="003D034F">
        <w:rPr>
          <w:rFonts w:ascii="Book Antiqua" w:hAnsi="Book Antiqua"/>
          <w:i/>
          <w:kern w:val="2"/>
          <w:sz w:val="24"/>
          <w:szCs w:val="24"/>
          <w:lang w:val="en-US" w:eastAsia="zh-CN"/>
        </w:rPr>
        <w:t>Crohns</w:t>
      </w:r>
      <w:proofErr w:type="spellEnd"/>
      <w:r w:rsidRPr="003D034F">
        <w:rPr>
          <w:rFonts w:ascii="Book Antiqua" w:hAnsi="Book Antiqua"/>
          <w:i/>
          <w:kern w:val="2"/>
          <w:sz w:val="24"/>
          <w:szCs w:val="24"/>
          <w:lang w:val="en-US" w:eastAsia="zh-CN"/>
        </w:rPr>
        <w:t xml:space="preserve"> Colitis</w:t>
      </w:r>
      <w:r w:rsidRPr="003D034F">
        <w:rPr>
          <w:rFonts w:ascii="Book Antiqua" w:hAnsi="Book Antiqua"/>
          <w:kern w:val="2"/>
          <w:sz w:val="24"/>
          <w:szCs w:val="24"/>
          <w:lang w:val="en-US" w:eastAsia="zh-CN"/>
        </w:rPr>
        <w:t xml:space="preserve"> 2012; </w:t>
      </w:r>
      <w:r w:rsidRPr="003D034F">
        <w:rPr>
          <w:rFonts w:ascii="Book Antiqua" w:hAnsi="Book Antiqua"/>
          <w:b/>
          <w:kern w:val="2"/>
          <w:sz w:val="24"/>
          <w:szCs w:val="24"/>
          <w:lang w:val="en-US" w:eastAsia="zh-CN"/>
        </w:rPr>
        <w:t>6</w:t>
      </w:r>
      <w:r w:rsidRPr="003D034F">
        <w:rPr>
          <w:rFonts w:ascii="Book Antiqua" w:hAnsi="Book Antiqua"/>
          <w:kern w:val="2"/>
          <w:sz w:val="24"/>
          <w:szCs w:val="24"/>
          <w:lang w:val="en-US" w:eastAsia="zh-CN"/>
        </w:rPr>
        <w:t>: 135-142 [PMID: 22325167 DOI: 10.1016/j.crohns.2011.07.001]</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87 </w:t>
      </w:r>
      <w:r w:rsidRPr="003D034F">
        <w:rPr>
          <w:rFonts w:ascii="Book Antiqua" w:hAnsi="Book Antiqua"/>
          <w:b/>
          <w:kern w:val="2"/>
          <w:sz w:val="24"/>
          <w:szCs w:val="24"/>
          <w:lang w:val="en-US" w:eastAsia="zh-CN"/>
        </w:rPr>
        <w:t>Sonnenberg A</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Genta</w:t>
      </w:r>
      <w:proofErr w:type="spellEnd"/>
      <w:r w:rsidRPr="003D034F">
        <w:rPr>
          <w:rFonts w:ascii="Book Antiqua" w:hAnsi="Book Antiqua"/>
          <w:kern w:val="2"/>
          <w:sz w:val="24"/>
          <w:szCs w:val="24"/>
          <w:lang w:val="en-US" w:eastAsia="zh-CN"/>
        </w:rPr>
        <w:t xml:space="preserve"> RM. Low prevalence of Helicobacter pylori infection among patients with inflammatory bowel disease. </w:t>
      </w:r>
      <w:r w:rsidRPr="003D034F">
        <w:rPr>
          <w:rFonts w:ascii="Book Antiqua" w:hAnsi="Book Antiqua"/>
          <w:i/>
          <w:kern w:val="2"/>
          <w:sz w:val="24"/>
          <w:szCs w:val="24"/>
          <w:lang w:val="en-US" w:eastAsia="zh-CN"/>
        </w:rPr>
        <w:t xml:space="preserve">Aliment </w:t>
      </w:r>
      <w:proofErr w:type="spellStart"/>
      <w:r w:rsidRPr="003D034F">
        <w:rPr>
          <w:rFonts w:ascii="Book Antiqua" w:hAnsi="Book Antiqua"/>
          <w:i/>
          <w:kern w:val="2"/>
          <w:sz w:val="24"/>
          <w:szCs w:val="24"/>
          <w:lang w:val="en-US" w:eastAsia="zh-CN"/>
        </w:rPr>
        <w:t>Pharmacol</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Ther</w:t>
      </w:r>
      <w:proofErr w:type="spellEnd"/>
      <w:r w:rsidRPr="003D034F">
        <w:rPr>
          <w:rFonts w:ascii="Book Antiqua" w:hAnsi="Book Antiqua"/>
          <w:kern w:val="2"/>
          <w:sz w:val="24"/>
          <w:szCs w:val="24"/>
          <w:lang w:val="en-US" w:eastAsia="zh-CN"/>
        </w:rPr>
        <w:t xml:space="preserve"> 2012; </w:t>
      </w:r>
      <w:r w:rsidRPr="003D034F">
        <w:rPr>
          <w:rFonts w:ascii="Book Antiqua" w:hAnsi="Book Antiqua"/>
          <w:b/>
          <w:kern w:val="2"/>
          <w:sz w:val="24"/>
          <w:szCs w:val="24"/>
          <w:lang w:val="en-US" w:eastAsia="zh-CN"/>
        </w:rPr>
        <w:t>35</w:t>
      </w:r>
      <w:r w:rsidRPr="003D034F">
        <w:rPr>
          <w:rFonts w:ascii="Book Antiqua" w:hAnsi="Book Antiqua"/>
          <w:kern w:val="2"/>
          <w:sz w:val="24"/>
          <w:szCs w:val="24"/>
          <w:lang w:val="en-US" w:eastAsia="zh-CN"/>
        </w:rPr>
        <w:t>: 469-476 [PMID: 22221289 DOI: 10.1111/j.1365-2036.2011.04969.x]</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88 </w:t>
      </w:r>
      <w:proofErr w:type="spellStart"/>
      <w:r w:rsidRPr="003D034F">
        <w:rPr>
          <w:rFonts w:ascii="Book Antiqua" w:hAnsi="Book Antiqua"/>
          <w:b/>
          <w:kern w:val="2"/>
          <w:sz w:val="24"/>
          <w:szCs w:val="24"/>
          <w:lang w:val="en-US" w:eastAsia="zh-CN"/>
        </w:rPr>
        <w:t>Genta</w:t>
      </w:r>
      <w:proofErr w:type="spellEnd"/>
      <w:r w:rsidRPr="003D034F">
        <w:rPr>
          <w:rFonts w:ascii="Book Antiqua" w:hAnsi="Book Antiqua"/>
          <w:b/>
          <w:kern w:val="2"/>
          <w:sz w:val="24"/>
          <w:szCs w:val="24"/>
          <w:lang w:val="en-US" w:eastAsia="zh-CN"/>
        </w:rPr>
        <w:t xml:space="preserve"> RM</w:t>
      </w:r>
      <w:r w:rsidRPr="003D034F">
        <w:rPr>
          <w:rFonts w:ascii="Book Antiqua" w:hAnsi="Book Antiqua"/>
          <w:kern w:val="2"/>
          <w:sz w:val="24"/>
          <w:szCs w:val="24"/>
          <w:lang w:val="en-US" w:eastAsia="zh-CN"/>
        </w:rPr>
        <w:t xml:space="preserve">, Sonnenberg A. Non-Helicobacter pylori gastritis is common among </w:t>
      </w:r>
      <w:proofErr w:type="spellStart"/>
      <w:r w:rsidRPr="003D034F">
        <w:rPr>
          <w:rFonts w:ascii="Book Antiqua" w:hAnsi="Book Antiqua"/>
          <w:kern w:val="2"/>
          <w:sz w:val="24"/>
          <w:szCs w:val="24"/>
          <w:lang w:val="en-US" w:eastAsia="zh-CN"/>
        </w:rPr>
        <w:t>paediatric</w:t>
      </w:r>
      <w:proofErr w:type="spellEnd"/>
      <w:r w:rsidRPr="003D034F">
        <w:rPr>
          <w:rFonts w:ascii="Book Antiqua" w:hAnsi="Book Antiqua"/>
          <w:kern w:val="2"/>
          <w:sz w:val="24"/>
          <w:szCs w:val="24"/>
          <w:lang w:val="en-US" w:eastAsia="zh-CN"/>
        </w:rPr>
        <w:t xml:space="preserve"> patients with inflammatory bowel disease. </w:t>
      </w:r>
      <w:r w:rsidRPr="003D034F">
        <w:rPr>
          <w:rFonts w:ascii="Book Antiqua" w:hAnsi="Book Antiqua"/>
          <w:i/>
          <w:kern w:val="2"/>
          <w:sz w:val="24"/>
          <w:szCs w:val="24"/>
          <w:lang w:val="en-US" w:eastAsia="zh-CN"/>
        </w:rPr>
        <w:t xml:space="preserve">Aliment </w:t>
      </w:r>
      <w:proofErr w:type="spellStart"/>
      <w:r w:rsidRPr="003D034F">
        <w:rPr>
          <w:rFonts w:ascii="Book Antiqua" w:hAnsi="Book Antiqua"/>
          <w:i/>
          <w:kern w:val="2"/>
          <w:sz w:val="24"/>
          <w:szCs w:val="24"/>
          <w:lang w:val="en-US" w:eastAsia="zh-CN"/>
        </w:rPr>
        <w:t>Pharmacol</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Ther</w:t>
      </w:r>
      <w:proofErr w:type="spellEnd"/>
      <w:r w:rsidRPr="003D034F">
        <w:rPr>
          <w:rFonts w:ascii="Book Antiqua" w:hAnsi="Book Antiqua"/>
          <w:kern w:val="2"/>
          <w:sz w:val="24"/>
          <w:szCs w:val="24"/>
          <w:lang w:val="en-US" w:eastAsia="zh-CN"/>
        </w:rPr>
        <w:t xml:space="preserve"> 2012; </w:t>
      </w:r>
      <w:r w:rsidRPr="003D034F">
        <w:rPr>
          <w:rFonts w:ascii="Book Antiqua" w:hAnsi="Book Antiqua"/>
          <w:b/>
          <w:kern w:val="2"/>
          <w:sz w:val="24"/>
          <w:szCs w:val="24"/>
          <w:lang w:val="en-US" w:eastAsia="zh-CN"/>
        </w:rPr>
        <w:t>35</w:t>
      </w:r>
      <w:r w:rsidRPr="003D034F">
        <w:rPr>
          <w:rFonts w:ascii="Book Antiqua" w:hAnsi="Book Antiqua"/>
          <w:kern w:val="2"/>
          <w:sz w:val="24"/>
          <w:szCs w:val="24"/>
          <w:lang w:val="en-US" w:eastAsia="zh-CN"/>
        </w:rPr>
        <w:t>: 1310-1316 [PMID: 22486730 DOI: 10.1111/j.1365-2036.2012.05090.x]</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89 </w:t>
      </w:r>
      <w:r w:rsidRPr="003D034F">
        <w:rPr>
          <w:rFonts w:ascii="Book Antiqua" w:hAnsi="Book Antiqua"/>
          <w:b/>
          <w:kern w:val="2"/>
          <w:sz w:val="24"/>
          <w:szCs w:val="24"/>
          <w:lang w:val="en-US" w:eastAsia="zh-CN"/>
        </w:rPr>
        <w:t>Sonnenberg A</w:t>
      </w:r>
      <w:r w:rsidRPr="003D034F">
        <w:rPr>
          <w:rFonts w:ascii="Book Antiqua" w:hAnsi="Book Antiqua"/>
          <w:kern w:val="2"/>
          <w:sz w:val="24"/>
          <w:szCs w:val="24"/>
          <w:lang w:val="en-US" w:eastAsia="zh-CN"/>
        </w:rPr>
        <w:t xml:space="preserve">, Melton SD, </w:t>
      </w:r>
      <w:proofErr w:type="spellStart"/>
      <w:r w:rsidRPr="003D034F">
        <w:rPr>
          <w:rFonts w:ascii="Book Antiqua" w:hAnsi="Book Antiqua"/>
          <w:kern w:val="2"/>
          <w:sz w:val="24"/>
          <w:szCs w:val="24"/>
          <w:lang w:val="en-US" w:eastAsia="zh-CN"/>
        </w:rPr>
        <w:t>Genta</w:t>
      </w:r>
      <w:proofErr w:type="spellEnd"/>
      <w:r w:rsidRPr="003D034F">
        <w:rPr>
          <w:rFonts w:ascii="Book Antiqua" w:hAnsi="Book Antiqua"/>
          <w:kern w:val="2"/>
          <w:sz w:val="24"/>
          <w:szCs w:val="24"/>
          <w:lang w:val="en-US" w:eastAsia="zh-CN"/>
        </w:rPr>
        <w:t xml:space="preserve"> RM. Frequent occurrence of gastritis and duodenitis in patients with inflammatory bowel disease. </w:t>
      </w:r>
      <w:proofErr w:type="spellStart"/>
      <w:r w:rsidRPr="003D034F">
        <w:rPr>
          <w:rFonts w:ascii="Book Antiqua" w:hAnsi="Book Antiqua"/>
          <w:i/>
          <w:kern w:val="2"/>
          <w:sz w:val="24"/>
          <w:szCs w:val="24"/>
          <w:lang w:val="en-US" w:eastAsia="zh-CN"/>
        </w:rPr>
        <w:t>Inflamm</w:t>
      </w:r>
      <w:proofErr w:type="spellEnd"/>
      <w:r w:rsidRPr="003D034F">
        <w:rPr>
          <w:rFonts w:ascii="Book Antiqua" w:hAnsi="Book Antiqua"/>
          <w:i/>
          <w:kern w:val="2"/>
          <w:sz w:val="24"/>
          <w:szCs w:val="24"/>
          <w:lang w:val="en-US" w:eastAsia="zh-CN"/>
        </w:rPr>
        <w:t xml:space="preserve"> Bowel Dis</w:t>
      </w:r>
      <w:r w:rsidRPr="003D034F">
        <w:rPr>
          <w:rFonts w:ascii="Book Antiqua" w:hAnsi="Book Antiqua"/>
          <w:kern w:val="2"/>
          <w:sz w:val="24"/>
          <w:szCs w:val="24"/>
          <w:lang w:val="en-US" w:eastAsia="zh-CN"/>
        </w:rPr>
        <w:t xml:space="preserve"> 2011; </w:t>
      </w:r>
      <w:r w:rsidRPr="003D034F">
        <w:rPr>
          <w:rFonts w:ascii="Book Antiqua" w:hAnsi="Book Antiqua"/>
          <w:b/>
          <w:kern w:val="2"/>
          <w:sz w:val="24"/>
          <w:szCs w:val="24"/>
          <w:lang w:val="en-US" w:eastAsia="zh-CN"/>
        </w:rPr>
        <w:lastRenderedPageBreak/>
        <w:t>17</w:t>
      </w:r>
      <w:r w:rsidRPr="003D034F">
        <w:rPr>
          <w:rFonts w:ascii="Book Antiqua" w:hAnsi="Book Antiqua"/>
          <w:kern w:val="2"/>
          <w:sz w:val="24"/>
          <w:szCs w:val="24"/>
          <w:lang w:val="en-US" w:eastAsia="zh-CN"/>
        </w:rPr>
        <w:t>: 39-44 [PMID: 20848539 DOI: 10.1002/ibd.21356]</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90 </w:t>
      </w:r>
      <w:r w:rsidRPr="003D034F">
        <w:rPr>
          <w:rFonts w:ascii="Book Antiqua" w:hAnsi="Book Antiqua"/>
          <w:b/>
          <w:kern w:val="2"/>
          <w:sz w:val="24"/>
          <w:szCs w:val="24"/>
          <w:lang w:val="en-US" w:eastAsia="zh-CN"/>
        </w:rPr>
        <w:t>Luther J</w:t>
      </w:r>
      <w:r w:rsidRPr="003D034F">
        <w:rPr>
          <w:rFonts w:ascii="Book Antiqua" w:hAnsi="Book Antiqua"/>
          <w:kern w:val="2"/>
          <w:sz w:val="24"/>
          <w:szCs w:val="24"/>
          <w:lang w:val="en-US" w:eastAsia="zh-CN"/>
        </w:rPr>
        <w:t xml:space="preserve">, Dave M, Higgins PD, Kao JY. Association between Helicobacter pylori infection and inflammatory bowel disease: A meta-analysis and systematic review of the literature. </w:t>
      </w:r>
      <w:proofErr w:type="spellStart"/>
      <w:r w:rsidRPr="003D034F">
        <w:rPr>
          <w:rFonts w:ascii="Book Antiqua" w:hAnsi="Book Antiqua"/>
          <w:i/>
          <w:kern w:val="2"/>
          <w:sz w:val="24"/>
          <w:szCs w:val="24"/>
          <w:lang w:val="en-US" w:eastAsia="zh-CN"/>
        </w:rPr>
        <w:t>Inflamm</w:t>
      </w:r>
      <w:proofErr w:type="spellEnd"/>
      <w:r w:rsidRPr="003D034F">
        <w:rPr>
          <w:rFonts w:ascii="Book Antiqua" w:hAnsi="Book Antiqua"/>
          <w:i/>
          <w:kern w:val="2"/>
          <w:sz w:val="24"/>
          <w:szCs w:val="24"/>
          <w:lang w:val="en-US" w:eastAsia="zh-CN"/>
        </w:rPr>
        <w:t xml:space="preserve"> Bowel Dis</w:t>
      </w:r>
      <w:r w:rsidRPr="003D034F">
        <w:rPr>
          <w:rFonts w:ascii="Book Antiqua" w:hAnsi="Book Antiqua"/>
          <w:kern w:val="2"/>
          <w:sz w:val="24"/>
          <w:szCs w:val="24"/>
          <w:lang w:val="en-US" w:eastAsia="zh-CN"/>
        </w:rPr>
        <w:t xml:space="preserve"> 2010; </w:t>
      </w:r>
      <w:r w:rsidRPr="003D034F">
        <w:rPr>
          <w:rFonts w:ascii="Book Antiqua" w:hAnsi="Book Antiqua"/>
          <w:b/>
          <w:kern w:val="2"/>
          <w:sz w:val="24"/>
          <w:szCs w:val="24"/>
          <w:lang w:val="en-US" w:eastAsia="zh-CN"/>
        </w:rPr>
        <w:t>16</w:t>
      </w:r>
      <w:r w:rsidRPr="003D034F">
        <w:rPr>
          <w:rFonts w:ascii="Book Antiqua" w:hAnsi="Book Antiqua"/>
          <w:kern w:val="2"/>
          <w:sz w:val="24"/>
          <w:szCs w:val="24"/>
          <w:lang w:val="en-US" w:eastAsia="zh-CN"/>
        </w:rPr>
        <w:t>: 1077-1084 [PMID: 19760778 DOI: 10.1002/ibd.21116]</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91 </w:t>
      </w:r>
      <w:proofErr w:type="spellStart"/>
      <w:r w:rsidRPr="003D034F">
        <w:rPr>
          <w:rFonts w:ascii="Book Antiqua" w:hAnsi="Book Antiqua"/>
          <w:b/>
          <w:kern w:val="2"/>
          <w:sz w:val="24"/>
          <w:szCs w:val="24"/>
          <w:lang w:val="en-US" w:eastAsia="zh-CN"/>
        </w:rPr>
        <w:t>Papamichael</w:t>
      </w:r>
      <w:proofErr w:type="spellEnd"/>
      <w:r w:rsidRPr="003D034F">
        <w:rPr>
          <w:rFonts w:ascii="Book Antiqua" w:hAnsi="Book Antiqua"/>
          <w:b/>
          <w:kern w:val="2"/>
          <w:sz w:val="24"/>
          <w:szCs w:val="24"/>
          <w:lang w:val="en-US" w:eastAsia="zh-CN"/>
        </w:rPr>
        <w:t xml:space="preserve"> K</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Konstantopoulos</w:t>
      </w:r>
      <w:proofErr w:type="spellEnd"/>
      <w:r w:rsidRPr="003D034F">
        <w:rPr>
          <w:rFonts w:ascii="Book Antiqua" w:hAnsi="Book Antiqua"/>
          <w:kern w:val="2"/>
          <w:sz w:val="24"/>
          <w:szCs w:val="24"/>
          <w:lang w:val="en-US" w:eastAsia="zh-CN"/>
        </w:rPr>
        <w:t xml:space="preserve"> P, </w:t>
      </w:r>
      <w:proofErr w:type="spellStart"/>
      <w:r w:rsidRPr="003D034F">
        <w:rPr>
          <w:rFonts w:ascii="Book Antiqua" w:hAnsi="Book Antiqua"/>
          <w:kern w:val="2"/>
          <w:sz w:val="24"/>
          <w:szCs w:val="24"/>
          <w:lang w:val="en-US" w:eastAsia="zh-CN"/>
        </w:rPr>
        <w:t>Mantzaris</w:t>
      </w:r>
      <w:proofErr w:type="spellEnd"/>
      <w:r w:rsidRPr="003D034F">
        <w:rPr>
          <w:rFonts w:ascii="Book Antiqua" w:hAnsi="Book Antiqua"/>
          <w:kern w:val="2"/>
          <w:sz w:val="24"/>
          <w:szCs w:val="24"/>
          <w:lang w:val="en-US" w:eastAsia="zh-CN"/>
        </w:rPr>
        <w:t xml:space="preserve"> GJ. Helicobacter pylori infection and inflammatory bowel disease: Is there a link? </w:t>
      </w:r>
      <w:r w:rsidRPr="003D034F">
        <w:rPr>
          <w:rFonts w:ascii="Book Antiqua" w:hAnsi="Book Antiqua"/>
          <w:i/>
          <w:kern w:val="2"/>
          <w:sz w:val="24"/>
          <w:szCs w:val="24"/>
          <w:lang w:val="en-US" w:eastAsia="zh-CN"/>
        </w:rPr>
        <w:t>World J Gastroenterol</w:t>
      </w:r>
      <w:r w:rsidRPr="003D034F">
        <w:rPr>
          <w:rFonts w:ascii="Book Antiqua" w:hAnsi="Book Antiqua"/>
          <w:kern w:val="2"/>
          <w:sz w:val="24"/>
          <w:szCs w:val="24"/>
          <w:lang w:val="en-US" w:eastAsia="zh-CN"/>
        </w:rPr>
        <w:t xml:space="preserve"> 2014; </w:t>
      </w:r>
      <w:r w:rsidRPr="003D034F">
        <w:rPr>
          <w:rFonts w:ascii="Book Antiqua" w:hAnsi="Book Antiqua"/>
          <w:b/>
          <w:kern w:val="2"/>
          <w:sz w:val="24"/>
          <w:szCs w:val="24"/>
          <w:lang w:val="en-US" w:eastAsia="zh-CN"/>
        </w:rPr>
        <w:t>20</w:t>
      </w:r>
      <w:r w:rsidRPr="003D034F">
        <w:rPr>
          <w:rFonts w:ascii="Book Antiqua" w:hAnsi="Book Antiqua"/>
          <w:kern w:val="2"/>
          <w:sz w:val="24"/>
          <w:szCs w:val="24"/>
          <w:lang w:val="en-US" w:eastAsia="zh-CN"/>
        </w:rPr>
        <w:t>: 6374-6385 [PMID: 24914359 DOI: 10.3748/wjg.v20.i21.6374]</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92 </w:t>
      </w:r>
      <w:r w:rsidRPr="003D034F">
        <w:rPr>
          <w:rFonts w:ascii="Book Antiqua" w:hAnsi="Book Antiqua"/>
          <w:b/>
          <w:kern w:val="2"/>
          <w:sz w:val="24"/>
          <w:szCs w:val="24"/>
          <w:lang w:val="en-US" w:eastAsia="zh-CN"/>
        </w:rPr>
        <w:t>Wu XW</w:t>
      </w:r>
      <w:r w:rsidRPr="003D034F">
        <w:rPr>
          <w:rFonts w:ascii="Book Antiqua" w:hAnsi="Book Antiqua"/>
          <w:kern w:val="2"/>
          <w:sz w:val="24"/>
          <w:szCs w:val="24"/>
          <w:lang w:val="en-US" w:eastAsia="zh-CN"/>
        </w:rPr>
        <w:t xml:space="preserve">, Ji HZ, Yang MF, Wu L, Wang FY. Helicobacter pylori infection and inflammatory bowel disease in Asians: A meta-analysis. </w:t>
      </w:r>
      <w:r w:rsidRPr="003D034F">
        <w:rPr>
          <w:rFonts w:ascii="Book Antiqua" w:hAnsi="Book Antiqua"/>
          <w:i/>
          <w:kern w:val="2"/>
          <w:sz w:val="24"/>
          <w:szCs w:val="24"/>
          <w:lang w:val="en-US" w:eastAsia="zh-CN"/>
        </w:rPr>
        <w:t>World J Gastroenterol</w:t>
      </w:r>
      <w:r w:rsidRPr="003D034F">
        <w:rPr>
          <w:rFonts w:ascii="Book Antiqua" w:hAnsi="Book Antiqua"/>
          <w:kern w:val="2"/>
          <w:sz w:val="24"/>
          <w:szCs w:val="24"/>
          <w:lang w:val="en-US" w:eastAsia="zh-CN"/>
        </w:rPr>
        <w:t xml:space="preserve"> 2015; </w:t>
      </w:r>
      <w:r w:rsidRPr="003D034F">
        <w:rPr>
          <w:rFonts w:ascii="Book Antiqua" w:hAnsi="Book Antiqua"/>
          <w:b/>
          <w:kern w:val="2"/>
          <w:sz w:val="24"/>
          <w:szCs w:val="24"/>
          <w:lang w:val="en-US" w:eastAsia="zh-CN"/>
        </w:rPr>
        <w:t>21</w:t>
      </w:r>
      <w:r w:rsidRPr="003D034F">
        <w:rPr>
          <w:rFonts w:ascii="Book Antiqua" w:hAnsi="Book Antiqua"/>
          <w:kern w:val="2"/>
          <w:sz w:val="24"/>
          <w:szCs w:val="24"/>
          <w:lang w:val="en-US" w:eastAsia="zh-CN"/>
        </w:rPr>
        <w:t>: 4750-4756 [PMID: 25914487 DOI: 10.3748/wjg.v21.i15.4750]</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93 </w:t>
      </w:r>
      <w:r w:rsidRPr="003D034F">
        <w:rPr>
          <w:rFonts w:ascii="Book Antiqua" w:hAnsi="Book Antiqua"/>
          <w:b/>
          <w:kern w:val="2"/>
          <w:sz w:val="24"/>
          <w:szCs w:val="24"/>
          <w:lang w:val="en-US" w:eastAsia="zh-CN"/>
        </w:rPr>
        <w:t>Ando T</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Nobata</w:t>
      </w:r>
      <w:proofErr w:type="spellEnd"/>
      <w:r w:rsidRPr="003D034F">
        <w:rPr>
          <w:rFonts w:ascii="Book Antiqua" w:hAnsi="Book Antiqua"/>
          <w:kern w:val="2"/>
          <w:sz w:val="24"/>
          <w:szCs w:val="24"/>
          <w:lang w:val="en-US" w:eastAsia="zh-CN"/>
        </w:rPr>
        <w:t xml:space="preserve"> K, Watanabe O, </w:t>
      </w:r>
      <w:proofErr w:type="spellStart"/>
      <w:r w:rsidRPr="003D034F">
        <w:rPr>
          <w:rFonts w:ascii="Book Antiqua" w:hAnsi="Book Antiqua"/>
          <w:kern w:val="2"/>
          <w:sz w:val="24"/>
          <w:szCs w:val="24"/>
          <w:lang w:val="en-US" w:eastAsia="zh-CN"/>
        </w:rPr>
        <w:t>Kusugami</w:t>
      </w:r>
      <w:proofErr w:type="spellEnd"/>
      <w:r w:rsidRPr="003D034F">
        <w:rPr>
          <w:rFonts w:ascii="Book Antiqua" w:hAnsi="Book Antiqua"/>
          <w:kern w:val="2"/>
          <w:sz w:val="24"/>
          <w:szCs w:val="24"/>
          <w:lang w:val="en-US" w:eastAsia="zh-CN"/>
        </w:rPr>
        <w:t xml:space="preserve"> K, Maeda O, Ishiguro K, </w:t>
      </w:r>
      <w:proofErr w:type="spellStart"/>
      <w:r w:rsidRPr="003D034F">
        <w:rPr>
          <w:rFonts w:ascii="Book Antiqua" w:hAnsi="Book Antiqua"/>
          <w:kern w:val="2"/>
          <w:sz w:val="24"/>
          <w:szCs w:val="24"/>
          <w:lang w:val="en-US" w:eastAsia="zh-CN"/>
        </w:rPr>
        <w:t>Ohmiya</w:t>
      </w:r>
      <w:proofErr w:type="spellEnd"/>
      <w:r w:rsidRPr="003D034F">
        <w:rPr>
          <w:rFonts w:ascii="Book Antiqua" w:hAnsi="Book Antiqua"/>
          <w:kern w:val="2"/>
          <w:sz w:val="24"/>
          <w:szCs w:val="24"/>
          <w:lang w:val="en-US" w:eastAsia="zh-CN"/>
        </w:rPr>
        <w:t xml:space="preserve"> N, </w:t>
      </w:r>
      <w:proofErr w:type="spellStart"/>
      <w:r w:rsidRPr="003D034F">
        <w:rPr>
          <w:rFonts w:ascii="Book Antiqua" w:hAnsi="Book Antiqua"/>
          <w:kern w:val="2"/>
          <w:sz w:val="24"/>
          <w:szCs w:val="24"/>
          <w:lang w:val="en-US" w:eastAsia="zh-CN"/>
        </w:rPr>
        <w:t>Niwa</w:t>
      </w:r>
      <w:proofErr w:type="spellEnd"/>
      <w:r w:rsidRPr="003D034F">
        <w:rPr>
          <w:rFonts w:ascii="Book Antiqua" w:hAnsi="Book Antiqua"/>
          <w:kern w:val="2"/>
          <w:sz w:val="24"/>
          <w:szCs w:val="24"/>
          <w:lang w:val="en-US" w:eastAsia="zh-CN"/>
        </w:rPr>
        <w:t xml:space="preserve"> Y, </w:t>
      </w:r>
      <w:proofErr w:type="spellStart"/>
      <w:r w:rsidRPr="003D034F">
        <w:rPr>
          <w:rFonts w:ascii="Book Antiqua" w:hAnsi="Book Antiqua"/>
          <w:kern w:val="2"/>
          <w:sz w:val="24"/>
          <w:szCs w:val="24"/>
          <w:lang w:val="en-US" w:eastAsia="zh-CN"/>
        </w:rPr>
        <w:t>Goto</w:t>
      </w:r>
      <w:proofErr w:type="spellEnd"/>
      <w:r w:rsidRPr="003D034F">
        <w:rPr>
          <w:rFonts w:ascii="Book Antiqua" w:hAnsi="Book Antiqua"/>
          <w:kern w:val="2"/>
          <w:sz w:val="24"/>
          <w:szCs w:val="24"/>
          <w:lang w:val="en-US" w:eastAsia="zh-CN"/>
        </w:rPr>
        <w:t xml:space="preserve"> H. Abnormalities in the upper gastrointestinal tract in inflammatory bowel disease. </w:t>
      </w:r>
      <w:proofErr w:type="spellStart"/>
      <w:r w:rsidRPr="003D034F">
        <w:rPr>
          <w:rFonts w:ascii="Book Antiqua" w:hAnsi="Book Antiqua"/>
          <w:i/>
          <w:kern w:val="2"/>
          <w:sz w:val="24"/>
          <w:szCs w:val="24"/>
          <w:lang w:val="en-US" w:eastAsia="zh-CN"/>
        </w:rPr>
        <w:t>Inflammopharmacology</w:t>
      </w:r>
      <w:proofErr w:type="spellEnd"/>
      <w:r w:rsidRPr="003D034F">
        <w:rPr>
          <w:rFonts w:ascii="Book Antiqua" w:hAnsi="Book Antiqua"/>
          <w:kern w:val="2"/>
          <w:sz w:val="24"/>
          <w:szCs w:val="24"/>
          <w:lang w:val="en-US" w:eastAsia="zh-CN"/>
        </w:rPr>
        <w:t xml:space="preserve"> 2007; </w:t>
      </w:r>
      <w:r w:rsidRPr="003D034F">
        <w:rPr>
          <w:rFonts w:ascii="Book Antiqua" w:hAnsi="Book Antiqua"/>
          <w:b/>
          <w:kern w:val="2"/>
          <w:sz w:val="24"/>
          <w:szCs w:val="24"/>
          <w:lang w:val="en-US" w:eastAsia="zh-CN"/>
        </w:rPr>
        <w:t>15</w:t>
      </w:r>
      <w:r w:rsidRPr="003D034F">
        <w:rPr>
          <w:rFonts w:ascii="Book Antiqua" w:hAnsi="Book Antiqua"/>
          <w:kern w:val="2"/>
          <w:sz w:val="24"/>
          <w:szCs w:val="24"/>
          <w:lang w:val="en-US" w:eastAsia="zh-CN"/>
        </w:rPr>
        <w:t>: 101-104 [PMID: 17464554 DOI: 10.1007/s10787-006-0735-1]</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94 </w:t>
      </w:r>
      <w:proofErr w:type="spellStart"/>
      <w:r w:rsidRPr="003D034F">
        <w:rPr>
          <w:rFonts w:ascii="Book Antiqua" w:hAnsi="Book Antiqua"/>
          <w:b/>
          <w:kern w:val="2"/>
          <w:sz w:val="24"/>
          <w:szCs w:val="24"/>
          <w:lang w:val="en-US" w:eastAsia="zh-CN"/>
        </w:rPr>
        <w:t>Mottet</w:t>
      </w:r>
      <w:proofErr w:type="spellEnd"/>
      <w:r w:rsidRPr="003D034F">
        <w:rPr>
          <w:rFonts w:ascii="Book Antiqua" w:hAnsi="Book Antiqua"/>
          <w:b/>
          <w:kern w:val="2"/>
          <w:sz w:val="24"/>
          <w:szCs w:val="24"/>
          <w:lang w:val="en-US" w:eastAsia="zh-CN"/>
        </w:rPr>
        <w:t xml:space="preserve"> C</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Juillerat</w:t>
      </w:r>
      <w:proofErr w:type="spellEnd"/>
      <w:r w:rsidRPr="003D034F">
        <w:rPr>
          <w:rFonts w:ascii="Book Antiqua" w:hAnsi="Book Antiqua"/>
          <w:kern w:val="2"/>
          <w:sz w:val="24"/>
          <w:szCs w:val="24"/>
          <w:lang w:val="en-US" w:eastAsia="zh-CN"/>
        </w:rPr>
        <w:t xml:space="preserve"> P, </w:t>
      </w:r>
      <w:proofErr w:type="spellStart"/>
      <w:r w:rsidRPr="003D034F">
        <w:rPr>
          <w:rFonts w:ascii="Book Antiqua" w:hAnsi="Book Antiqua"/>
          <w:kern w:val="2"/>
          <w:sz w:val="24"/>
          <w:szCs w:val="24"/>
          <w:lang w:val="en-US" w:eastAsia="zh-CN"/>
        </w:rPr>
        <w:t>Gonvers</w:t>
      </w:r>
      <w:proofErr w:type="spellEnd"/>
      <w:r w:rsidRPr="003D034F">
        <w:rPr>
          <w:rFonts w:ascii="Book Antiqua" w:hAnsi="Book Antiqua"/>
          <w:kern w:val="2"/>
          <w:sz w:val="24"/>
          <w:szCs w:val="24"/>
          <w:lang w:val="en-US" w:eastAsia="zh-CN"/>
        </w:rPr>
        <w:t xml:space="preserve"> JJ, </w:t>
      </w:r>
      <w:proofErr w:type="spellStart"/>
      <w:r w:rsidRPr="003D034F">
        <w:rPr>
          <w:rFonts w:ascii="Book Antiqua" w:hAnsi="Book Antiqua"/>
          <w:kern w:val="2"/>
          <w:sz w:val="24"/>
          <w:szCs w:val="24"/>
          <w:lang w:val="en-US" w:eastAsia="zh-CN"/>
        </w:rPr>
        <w:t>Michetti</w:t>
      </w:r>
      <w:proofErr w:type="spellEnd"/>
      <w:r w:rsidRPr="003D034F">
        <w:rPr>
          <w:rFonts w:ascii="Book Antiqua" w:hAnsi="Book Antiqua"/>
          <w:kern w:val="2"/>
          <w:sz w:val="24"/>
          <w:szCs w:val="24"/>
          <w:lang w:val="en-US" w:eastAsia="zh-CN"/>
        </w:rPr>
        <w:t xml:space="preserve"> P, </w:t>
      </w:r>
      <w:proofErr w:type="spellStart"/>
      <w:r w:rsidRPr="003D034F">
        <w:rPr>
          <w:rFonts w:ascii="Book Antiqua" w:hAnsi="Book Antiqua"/>
          <w:kern w:val="2"/>
          <w:sz w:val="24"/>
          <w:szCs w:val="24"/>
          <w:lang w:val="en-US" w:eastAsia="zh-CN"/>
        </w:rPr>
        <w:t>Burnand</w:t>
      </w:r>
      <w:proofErr w:type="spellEnd"/>
      <w:r w:rsidRPr="003D034F">
        <w:rPr>
          <w:rFonts w:ascii="Book Antiqua" w:hAnsi="Book Antiqua"/>
          <w:kern w:val="2"/>
          <w:sz w:val="24"/>
          <w:szCs w:val="24"/>
          <w:lang w:val="en-US" w:eastAsia="zh-CN"/>
        </w:rPr>
        <w:t xml:space="preserve"> B, Vader JP, </w:t>
      </w:r>
      <w:proofErr w:type="spellStart"/>
      <w:r w:rsidRPr="003D034F">
        <w:rPr>
          <w:rFonts w:ascii="Book Antiqua" w:hAnsi="Book Antiqua"/>
          <w:kern w:val="2"/>
          <w:sz w:val="24"/>
          <w:szCs w:val="24"/>
          <w:lang w:val="en-US" w:eastAsia="zh-CN"/>
        </w:rPr>
        <w:t>Felley</w:t>
      </w:r>
      <w:proofErr w:type="spellEnd"/>
      <w:r w:rsidRPr="003D034F">
        <w:rPr>
          <w:rFonts w:ascii="Book Antiqua" w:hAnsi="Book Antiqua"/>
          <w:kern w:val="2"/>
          <w:sz w:val="24"/>
          <w:szCs w:val="24"/>
          <w:lang w:val="en-US" w:eastAsia="zh-CN"/>
        </w:rPr>
        <w:t xml:space="preserve"> C, Froehlich F. Treatment of gastroduodenal Crohn’s disease. </w:t>
      </w:r>
      <w:r w:rsidRPr="003D034F">
        <w:rPr>
          <w:rFonts w:ascii="Book Antiqua" w:hAnsi="Book Antiqua"/>
          <w:i/>
          <w:kern w:val="2"/>
          <w:sz w:val="24"/>
          <w:szCs w:val="24"/>
          <w:lang w:val="en-US" w:eastAsia="zh-CN"/>
        </w:rPr>
        <w:t>Digestion</w:t>
      </w:r>
      <w:r w:rsidRPr="003D034F">
        <w:rPr>
          <w:rFonts w:ascii="Book Antiqua" w:hAnsi="Book Antiqua"/>
          <w:kern w:val="2"/>
          <w:sz w:val="24"/>
          <w:szCs w:val="24"/>
          <w:lang w:val="en-US" w:eastAsia="zh-CN"/>
        </w:rPr>
        <w:t xml:space="preserve"> 2005; </w:t>
      </w:r>
      <w:r w:rsidRPr="003D034F">
        <w:rPr>
          <w:rFonts w:ascii="Book Antiqua" w:hAnsi="Book Antiqua"/>
          <w:b/>
          <w:kern w:val="2"/>
          <w:sz w:val="24"/>
          <w:szCs w:val="24"/>
          <w:lang w:val="en-US" w:eastAsia="zh-CN"/>
        </w:rPr>
        <w:t>71</w:t>
      </w:r>
      <w:r w:rsidRPr="003D034F">
        <w:rPr>
          <w:rFonts w:ascii="Book Antiqua" w:hAnsi="Book Antiqua"/>
          <w:kern w:val="2"/>
          <w:sz w:val="24"/>
          <w:szCs w:val="24"/>
          <w:lang w:val="en-US" w:eastAsia="zh-CN"/>
        </w:rPr>
        <w:t>: 37-40 [PMID: 15711048 DOI: 10.1159/000083871]</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95 </w:t>
      </w:r>
      <w:r w:rsidRPr="003D034F">
        <w:rPr>
          <w:rFonts w:ascii="Book Antiqua" w:hAnsi="Book Antiqua"/>
          <w:b/>
          <w:kern w:val="2"/>
          <w:sz w:val="24"/>
          <w:szCs w:val="24"/>
          <w:lang w:val="en-US" w:eastAsia="zh-CN"/>
        </w:rPr>
        <w:t xml:space="preserve">Rodríguez-Grau </w:t>
      </w:r>
      <w:proofErr w:type="spellStart"/>
      <w:r w:rsidRPr="003D034F">
        <w:rPr>
          <w:rFonts w:ascii="Book Antiqua" w:hAnsi="Book Antiqua"/>
          <w:b/>
          <w:kern w:val="2"/>
          <w:sz w:val="24"/>
          <w:szCs w:val="24"/>
          <w:lang w:val="en-US" w:eastAsia="zh-CN"/>
        </w:rPr>
        <w:t>Mdel</w:t>
      </w:r>
      <w:proofErr w:type="spellEnd"/>
      <w:r w:rsidRPr="003D034F">
        <w:rPr>
          <w:rFonts w:ascii="Book Antiqua" w:hAnsi="Book Antiqua"/>
          <w:b/>
          <w:kern w:val="2"/>
          <w:sz w:val="24"/>
          <w:szCs w:val="24"/>
          <w:lang w:val="en-US" w:eastAsia="zh-CN"/>
        </w:rPr>
        <w:t xml:space="preserve"> C</w:t>
      </w:r>
      <w:r w:rsidRPr="003D034F">
        <w:rPr>
          <w:rFonts w:ascii="Book Antiqua" w:hAnsi="Book Antiqua"/>
          <w:kern w:val="2"/>
          <w:sz w:val="24"/>
          <w:szCs w:val="24"/>
          <w:lang w:val="en-US" w:eastAsia="zh-CN"/>
        </w:rPr>
        <w:t xml:space="preserve">, Chaparro M, Díaz R, </w:t>
      </w:r>
      <w:proofErr w:type="spellStart"/>
      <w:r w:rsidRPr="003D034F">
        <w:rPr>
          <w:rFonts w:ascii="Book Antiqua" w:hAnsi="Book Antiqua"/>
          <w:kern w:val="2"/>
          <w:sz w:val="24"/>
          <w:szCs w:val="24"/>
          <w:lang w:val="en-US" w:eastAsia="zh-CN"/>
        </w:rPr>
        <w:t>Gisbert</w:t>
      </w:r>
      <w:proofErr w:type="spellEnd"/>
      <w:r w:rsidRPr="003D034F">
        <w:rPr>
          <w:rFonts w:ascii="Book Antiqua" w:hAnsi="Book Antiqua"/>
          <w:kern w:val="2"/>
          <w:sz w:val="24"/>
          <w:szCs w:val="24"/>
          <w:lang w:val="en-US" w:eastAsia="zh-CN"/>
        </w:rPr>
        <w:t xml:space="preserve"> JP. [Infliximab in the treatment of refractory gastroduodenal Crohn’s disease]. </w:t>
      </w:r>
      <w:r w:rsidRPr="003D034F">
        <w:rPr>
          <w:rFonts w:ascii="Book Antiqua" w:hAnsi="Book Antiqua"/>
          <w:i/>
          <w:kern w:val="2"/>
          <w:sz w:val="24"/>
          <w:szCs w:val="24"/>
          <w:lang w:val="en-US" w:eastAsia="zh-CN"/>
        </w:rPr>
        <w:t xml:space="preserve">Gastroenterol </w:t>
      </w:r>
      <w:proofErr w:type="spellStart"/>
      <w:r w:rsidRPr="003D034F">
        <w:rPr>
          <w:rFonts w:ascii="Book Antiqua" w:hAnsi="Book Antiqua"/>
          <w:i/>
          <w:kern w:val="2"/>
          <w:sz w:val="24"/>
          <w:szCs w:val="24"/>
          <w:lang w:val="en-US" w:eastAsia="zh-CN"/>
        </w:rPr>
        <w:t>Hepatol</w:t>
      </w:r>
      <w:proofErr w:type="spellEnd"/>
      <w:r w:rsidRPr="003D034F">
        <w:rPr>
          <w:rFonts w:ascii="Book Antiqua" w:hAnsi="Book Antiqua"/>
          <w:kern w:val="2"/>
          <w:sz w:val="24"/>
          <w:szCs w:val="24"/>
          <w:lang w:val="en-US" w:eastAsia="zh-CN"/>
        </w:rPr>
        <w:t xml:space="preserve"> 2014; </w:t>
      </w:r>
      <w:r w:rsidRPr="003D034F">
        <w:rPr>
          <w:rFonts w:ascii="Book Antiqua" w:hAnsi="Book Antiqua"/>
          <w:b/>
          <w:kern w:val="2"/>
          <w:sz w:val="24"/>
          <w:szCs w:val="24"/>
          <w:lang w:val="en-US" w:eastAsia="zh-CN"/>
        </w:rPr>
        <w:t>37</w:t>
      </w:r>
      <w:r w:rsidRPr="003D034F">
        <w:rPr>
          <w:rFonts w:ascii="Book Antiqua" w:hAnsi="Book Antiqua"/>
          <w:kern w:val="2"/>
          <w:sz w:val="24"/>
          <w:szCs w:val="24"/>
          <w:lang w:val="en-US" w:eastAsia="zh-CN"/>
        </w:rPr>
        <w:t>: 21-22 [PMID: 24029174 DOI: 10.1016/j.gastrohep.2013.06.008]</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96 </w:t>
      </w:r>
      <w:r w:rsidRPr="003D034F">
        <w:rPr>
          <w:rFonts w:ascii="Book Antiqua" w:hAnsi="Book Antiqua"/>
          <w:b/>
          <w:kern w:val="2"/>
          <w:sz w:val="24"/>
          <w:szCs w:val="24"/>
          <w:lang w:val="en-US" w:eastAsia="zh-CN"/>
        </w:rPr>
        <w:t>Knapp AB</w:t>
      </w:r>
      <w:r w:rsidRPr="003D034F">
        <w:rPr>
          <w:rFonts w:ascii="Book Antiqua" w:hAnsi="Book Antiqua"/>
          <w:kern w:val="2"/>
          <w:sz w:val="24"/>
          <w:szCs w:val="24"/>
          <w:lang w:val="en-US" w:eastAsia="zh-CN"/>
        </w:rPr>
        <w:t xml:space="preserve">, Mirsky FJ, Dillon EH, </w:t>
      </w:r>
      <w:proofErr w:type="spellStart"/>
      <w:r w:rsidRPr="003D034F">
        <w:rPr>
          <w:rFonts w:ascii="Book Antiqua" w:hAnsi="Book Antiqua"/>
          <w:kern w:val="2"/>
          <w:sz w:val="24"/>
          <w:szCs w:val="24"/>
          <w:lang w:val="en-US" w:eastAsia="zh-CN"/>
        </w:rPr>
        <w:t>Korelitz</w:t>
      </w:r>
      <w:proofErr w:type="spellEnd"/>
      <w:r w:rsidRPr="003D034F">
        <w:rPr>
          <w:rFonts w:ascii="Book Antiqua" w:hAnsi="Book Antiqua"/>
          <w:kern w:val="2"/>
          <w:sz w:val="24"/>
          <w:szCs w:val="24"/>
          <w:lang w:val="en-US" w:eastAsia="zh-CN"/>
        </w:rPr>
        <w:t xml:space="preserve"> BI. Successful infliximab therapy for a duodenal stricture caused by Crohn’s disease. </w:t>
      </w:r>
      <w:proofErr w:type="spellStart"/>
      <w:r w:rsidRPr="003D034F">
        <w:rPr>
          <w:rFonts w:ascii="Book Antiqua" w:hAnsi="Book Antiqua"/>
          <w:i/>
          <w:kern w:val="2"/>
          <w:sz w:val="24"/>
          <w:szCs w:val="24"/>
          <w:lang w:val="en-US" w:eastAsia="zh-CN"/>
        </w:rPr>
        <w:t>Inflamm</w:t>
      </w:r>
      <w:proofErr w:type="spellEnd"/>
      <w:r w:rsidRPr="003D034F">
        <w:rPr>
          <w:rFonts w:ascii="Book Antiqua" w:hAnsi="Book Antiqua"/>
          <w:i/>
          <w:kern w:val="2"/>
          <w:sz w:val="24"/>
          <w:szCs w:val="24"/>
          <w:lang w:val="en-US" w:eastAsia="zh-CN"/>
        </w:rPr>
        <w:t xml:space="preserve"> Bowel Dis</w:t>
      </w:r>
      <w:r w:rsidRPr="003D034F">
        <w:rPr>
          <w:rFonts w:ascii="Book Antiqua" w:hAnsi="Book Antiqua"/>
          <w:kern w:val="2"/>
          <w:sz w:val="24"/>
          <w:szCs w:val="24"/>
          <w:lang w:val="en-US" w:eastAsia="zh-CN"/>
        </w:rPr>
        <w:t xml:space="preserve"> 2005; </w:t>
      </w:r>
      <w:r w:rsidRPr="003D034F">
        <w:rPr>
          <w:rFonts w:ascii="Book Antiqua" w:hAnsi="Book Antiqua"/>
          <w:b/>
          <w:kern w:val="2"/>
          <w:sz w:val="24"/>
          <w:szCs w:val="24"/>
          <w:lang w:val="en-US" w:eastAsia="zh-CN"/>
        </w:rPr>
        <w:t>11</w:t>
      </w:r>
      <w:r w:rsidRPr="003D034F">
        <w:rPr>
          <w:rFonts w:ascii="Book Antiqua" w:hAnsi="Book Antiqua"/>
          <w:kern w:val="2"/>
          <w:sz w:val="24"/>
          <w:szCs w:val="24"/>
          <w:lang w:val="en-US" w:eastAsia="zh-CN"/>
        </w:rPr>
        <w:t>: 1123-1125 [PMID: 16306777 DOI: 10.1097/01.MIB.0000191612.43584.94]</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97 </w:t>
      </w:r>
      <w:r w:rsidRPr="003D034F">
        <w:rPr>
          <w:rFonts w:ascii="Book Antiqua" w:hAnsi="Book Antiqua"/>
          <w:b/>
          <w:kern w:val="2"/>
          <w:sz w:val="24"/>
          <w:szCs w:val="24"/>
          <w:lang w:val="en-US" w:eastAsia="zh-CN"/>
        </w:rPr>
        <w:t>Kim YL</w:t>
      </w:r>
      <w:r w:rsidRPr="003D034F">
        <w:rPr>
          <w:rFonts w:ascii="Book Antiqua" w:hAnsi="Book Antiqua"/>
          <w:kern w:val="2"/>
          <w:sz w:val="24"/>
          <w:szCs w:val="24"/>
          <w:lang w:val="en-US" w:eastAsia="zh-CN"/>
        </w:rPr>
        <w:t xml:space="preserve">, Park YS, Park EK, Park DR, Choi GS, </w:t>
      </w:r>
      <w:proofErr w:type="spellStart"/>
      <w:r w:rsidRPr="003D034F">
        <w:rPr>
          <w:rFonts w:ascii="Book Antiqua" w:hAnsi="Book Antiqua"/>
          <w:kern w:val="2"/>
          <w:sz w:val="24"/>
          <w:szCs w:val="24"/>
          <w:lang w:val="en-US" w:eastAsia="zh-CN"/>
        </w:rPr>
        <w:t>Ahn</w:t>
      </w:r>
      <w:proofErr w:type="spellEnd"/>
      <w:r w:rsidRPr="003D034F">
        <w:rPr>
          <w:rFonts w:ascii="Book Antiqua" w:hAnsi="Book Antiqua"/>
          <w:kern w:val="2"/>
          <w:sz w:val="24"/>
          <w:szCs w:val="24"/>
          <w:lang w:val="en-US" w:eastAsia="zh-CN"/>
        </w:rPr>
        <w:t xml:space="preserve"> SB, Kim SH, Jo YJ. Refractory duodenal Crohn’s disease successfully treated with infliximab. </w:t>
      </w:r>
      <w:proofErr w:type="spellStart"/>
      <w:r w:rsidRPr="003D034F">
        <w:rPr>
          <w:rFonts w:ascii="Book Antiqua" w:hAnsi="Book Antiqua"/>
          <w:i/>
          <w:kern w:val="2"/>
          <w:sz w:val="24"/>
          <w:szCs w:val="24"/>
          <w:lang w:val="en-US" w:eastAsia="zh-CN"/>
        </w:rPr>
        <w:t>Intest</w:t>
      </w:r>
      <w:proofErr w:type="spellEnd"/>
      <w:r w:rsidRPr="003D034F">
        <w:rPr>
          <w:rFonts w:ascii="Book Antiqua" w:hAnsi="Book Antiqua"/>
          <w:i/>
          <w:kern w:val="2"/>
          <w:sz w:val="24"/>
          <w:szCs w:val="24"/>
          <w:lang w:val="en-US" w:eastAsia="zh-CN"/>
        </w:rPr>
        <w:t xml:space="preserve"> Res</w:t>
      </w:r>
      <w:r w:rsidRPr="003D034F">
        <w:rPr>
          <w:rFonts w:ascii="Book Antiqua" w:hAnsi="Book Antiqua"/>
          <w:kern w:val="2"/>
          <w:sz w:val="24"/>
          <w:szCs w:val="24"/>
          <w:lang w:val="en-US" w:eastAsia="zh-CN"/>
        </w:rPr>
        <w:t xml:space="preserve"> 2014; </w:t>
      </w:r>
      <w:r w:rsidRPr="003D034F">
        <w:rPr>
          <w:rFonts w:ascii="Book Antiqua" w:hAnsi="Book Antiqua"/>
          <w:b/>
          <w:kern w:val="2"/>
          <w:sz w:val="24"/>
          <w:szCs w:val="24"/>
          <w:lang w:val="en-US" w:eastAsia="zh-CN"/>
        </w:rPr>
        <w:t>12</w:t>
      </w:r>
      <w:r w:rsidRPr="003D034F">
        <w:rPr>
          <w:rFonts w:ascii="Book Antiqua" w:hAnsi="Book Antiqua"/>
          <w:kern w:val="2"/>
          <w:sz w:val="24"/>
          <w:szCs w:val="24"/>
          <w:lang w:val="en-US" w:eastAsia="zh-CN"/>
        </w:rPr>
        <w:t>: 66-69 [PMID: 25349566 DOI: 10.5217/ir.2014.12.1.66]</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98 </w:t>
      </w:r>
      <w:proofErr w:type="spellStart"/>
      <w:r w:rsidRPr="003D034F">
        <w:rPr>
          <w:rFonts w:ascii="Book Antiqua" w:hAnsi="Book Antiqua"/>
          <w:b/>
          <w:kern w:val="2"/>
          <w:sz w:val="24"/>
          <w:szCs w:val="24"/>
          <w:lang w:val="en-US" w:eastAsia="zh-CN"/>
        </w:rPr>
        <w:t>Pajares</w:t>
      </w:r>
      <w:proofErr w:type="spellEnd"/>
      <w:r w:rsidRPr="003D034F">
        <w:rPr>
          <w:rFonts w:ascii="Book Antiqua" w:hAnsi="Book Antiqua"/>
          <w:b/>
          <w:kern w:val="2"/>
          <w:sz w:val="24"/>
          <w:szCs w:val="24"/>
          <w:lang w:val="en-US" w:eastAsia="zh-CN"/>
        </w:rPr>
        <w:t xml:space="preserve"> JA</w:t>
      </w:r>
      <w:r w:rsidRPr="003D034F">
        <w:rPr>
          <w:rFonts w:ascii="Book Antiqua" w:hAnsi="Book Antiqua"/>
          <w:kern w:val="2"/>
          <w:sz w:val="24"/>
          <w:szCs w:val="24"/>
          <w:lang w:val="en-US" w:eastAsia="zh-CN"/>
        </w:rPr>
        <w:t xml:space="preserve">, Hernández L, </w:t>
      </w:r>
      <w:proofErr w:type="spellStart"/>
      <w:r w:rsidRPr="003D034F">
        <w:rPr>
          <w:rFonts w:ascii="Book Antiqua" w:hAnsi="Book Antiqua"/>
          <w:kern w:val="2"/>
          <w:sz w:val="24"/>
          <w:szCs w:val="24"/>
          <w:lang w:val="en-US" w:eastAsia="zh-CN"/>
        </w:rPr>
        <w:t>Menchén</w:t>
      </w:r>
      <w:proofErr w:type="spellEnd"/>
      <w:r w:rsidRPr="003D034F">
        <w:rPr>
          <w:rFonts w:ascii="Book Antiqua" w:hAnsi="Book Antiqua"/>
          <w:kern w:val="2"/>
          <w:sz w:val="24"/>
          <w:szCs w:val="24"/>
          <w:lang w:val="en-US" w:eastAsia="zh-CN"/>
        </w:rPr>
        <w:t xml:space="preserve"> P, </w:t>
      </w:r>
      <w:proofErr w:type="spellStart"/>
      <w:r w:rsidRPr="003D034F">
        <w:rPr>
          <w:rFonts w:ascii="Book Antiqua" w:hAnsi="Book Antiqua"/>
          <w:kern w:val="2"/>
          <w:sz w:val="24"/>
          <w:szCs w:val="24"/>
          <w:lang w:val="en-US" w:eastAsia="zh-CN"/>
        </w:rPr>
        <w:t>Menchén</w:t>
      </w:r>
      <w:proofErr w:type="spellEnd"/>
      <w:r w:rsidRPr="003D034F">
        <w:rPr>
          <w:rFonts w:ascii="Book Antiqua" w:hAnsi="Book Antiqua"/>
          <w:kern w:val="2"/>
          <w:sz w:val="24"/>
          <w:szCs w:val="24"/>
          <w:lang w:val="en-US" w:eastAsia="zh-CN"/>
        </w:rPr>
        <w:t xml:space="preserve"> L. </w:t>
      </w:r>
      <w:proofErr w:type="spellStart"/>
      <w:r w:rsidRPr="003D034F">
        <w:rPr>
          <w:rFonts w:ascii="Book Antiqua" w:hAnsi="Book Antiqua"/>
          <w:kern w:val="2"/>
          <w:sz w:val="24"/>
          <w:szCs w:val="24"/>
          <w:lang w:val="en-US" w:eastAsia="zh-CN"/>
        </w:rPr>
        <w:t>Duodenopancreatic</w:t>
      </w:r>
      <w:proofErr w:type="spellEnd"/>
      <w:r w:rsidRPr="003D034F">
        <w:rPr>
          <w:rFonts w:ascii="Book Antiqua" w:hAnsi="Book Antiqua"/>
          <w:kern w:val="2"/>
          <w:sz w:val="24"/>
          <w:szCs w:val="24"/>
          <w:lang w:val="en-US" w:eastAsia="zh-CN"/>
        </w:rPr>
        <w:t xml:space="preserve"> fistula complicating upper gastrointestinal Crohn’s disease: Successful treatment with infliximab. </w:t>
      </w:r>
      <w:r w:rsidRPr="003D034F">
        <w:rPr>
          <w:rFonts w:ascii="Book Antiqua" w:hAnsi="Book Antiqua"/>
          <w:i/>
          <w:kern w:val="2"/>
          <w:sz w:val="24"/>
          <w:szCs w:val="24"/>
          <w:lang w:val="en-US" w:eastAsia="zh-CN"/>
        </w:rPr>
        <w:t>Am J Gastroenterol</w:t>
      </w:r>
      <w:r w:rsidRPr="003D034F">
        <w:rPr>
          <w:rFonts w:ascii="Book Antiqua" w:hAnsi="Book Antiqua"/>
          <w:kern w:val="2"/>
          <w:sz w:val="24"/>
          <w:szCs w:val="24"/>
          <w:lang w:val="en-US" w:eastAsia="zh-CN"/>
        </w:rPr>
        <w:t xml:space="preserve"> 2009; </w:t>
      </w:r>
      <w:r w:rsidRPr="003D034F">
        <w:rPr>
          <w:rFonts w:ascii="Book Antiqua" w:hAnsi="Book Antiqua"/>
          <w:b/>
          <w:kern w:val="2"/>
          <w:sz w:val="24"/>
          <w:szCs w:val="24"/>
          <w:lang w:val="en-US" w:eastAsia="zh-CN"/>
        </w:rPr>
        <w:t>104</w:t>
      </w:r>
      <w:r w:rsidRPr="003D034F">
        <w:rPr>
          <w:rFonts w:ascii="Book Antiqua" w:hAnsi="Book Antiqua"/>
          <w:kern w:val="2"/>
          <w:sz w:val="24"/>
          <w:szCs w:val="24"/>
          <w:lang w:val="en-US" w:eastAsia="zh-CN"/>
        </w:rPr>
        <w:t>: 1863-1864 [PMID: 19436276 DOI: 10.1038/ajg.2009.180]</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lastRenderedPageBreak/>
        <w:t xml:space="preserve">99 </w:t>
      </w:r>
      <w:proofErr w:type="spellStart"/>
      <w:r w:rsidRPr="003D034F">
        <w:rPr>
          <w:rFonts w:ascii="Book Antiqua" w:hAnsi="Book Antiqua"/>
          <w:b/>
          <w:kern w:val="2"/>
          <w:sz w:val="24"/>
          <w:szCs w:val="24"/>
          <w:lang w:val="en-US" w:eastAsia="zh-CN"/>
        </w:rPr>
        <w:t>Odashima</w:t>
      </w:r>
      <w:proofErr w:type="spellEnd"/>
      <w:r w:rsidRPr="003D034F">
        <w:rPr>
          <w:rFonts w:ascii="Book Antiqua" w:hAnsi="Book Antiqua"/>
          <w:b/>
          <w:kern w:val="2"/>
          <w:sz w:val="24"/>
          <w:szCs w:val="24"/>
          <w:lang w:val="en-US" w:eastAsia="zh-CN"/>
        </w:rPr>
        <w:t xml:space="preserve"> M</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Otaka</w:t>
      </w:r>
      <w:proofErr w:type="spellEnd"/>
      <w:r w:rsidRPr="003D034F">
        <w:rPr>
          <w:rFonts w:ascii="Book Antiqua" w:hAnsi="Book Antiqua"/>
          <w:kern w:val="2"/>
          <w:sz w:val="24"/>
          <w:szCs w:val="24"/>
          <w:lang w:val="en-US" w:eastAsia="zh-CN"/>
        </w:rPr>
        <w:t xml:space="preserve"> M, </w:t>
      </w:r>
      <w:proofErr w:type="spellStart"/>
      <w:r w:rsidRPr="003D034F">
        <w:rPr>
          <w:rFonts w:ascii="Book Antiqua" w:hAnsi="Book Antiqua"/>
          <w:kern w:val="2"/>
          <w:sz w:val="24"/>
          <w:szCs w:val="24"/>
          <w:lang w:val="en-US" w:eastAsia="zh-CN"/>
        </w:rPr>
        <w:t>Jin</w:t>
      </w:r>
      <w:proofErr w:type="spellEnd"/>
      <w:r w:rsidRPr="003D034F">
        <w:rPr>
          <w:rFonts w:ascii="Book Antiqua" w:hAnsi="Book Antiqua"/>
          <w:kern w:val="2"/>
          <w:sz w:val="24"/>
          <w:szCs w:val="24"/>
          <w:lang w:val="en-US" w:eastAsia="zh-CN"/>
        </w:rPr>
        <w:t xml:space="preserve"> M, Horikawa Y, </w:t>
      </w:r>
      <w:proofErr w:type="spellStart"/>
      <w:r w:rsidRPr="003D034F">
        <w:rPr>
          <w:rFonts w:ascii="Book Antiqua" w:hAnsi="Book Antiqua"/>
          <w:kern w:val="2"/>
          <w:sz w:val="24"/>
          <w:szCs w:val="24"/>
          <w:lang w:val="en-US" w:eastAsia="zh-CN"/>
        </w:rPr>
        <w:t>Matsuhashi</w:t>
      </w:r>
      <w:proofErr w:type="spellEnd"/>
      <w:r w:rsidRPr="003D034F">
        <w:rPr>
          <w:rFonts w:ascii="Book Antiqua" w:hAnsi="Book Antiqua"/>
          <w:kern w:val="2"/>
          <w:sz w:val="24"/>
          <w:szCs w:val="24"/>
          <w:lang w:val="en-US" w:eastAsia="zh-CN"/>
        </w:rPr>
        <w:t xml:space="preserve"> T, </w:t>
      </w:r>
      <w:proofErr w:type="spellStart"/>
      <w:r w:rsidRPr="003D034F">
        <w:rPr>
          <w:rFonts w:ascii="Book Antiqua" w:hAnsi="Book Antiqua"/>
          <w:kern w:val="2"/>
          <w:sz w:val="24"/>
          <w:szCs w:val="24"/>
          <w:lang w:val="en-US" w:eastAsia="zh-CN"/>
        </w:rPr>
        <w:t>Ohba</w:t>
      </w:r>
      <w:proofErr w:type="spellEnd"/>
      <w:r w:rsidRPr="003D034F">
        <w:rPr>
          <w:rFonts w:ascii="Book Antiqua" w:hAnsi="Book Antiqua"/>
          <w:kern w:val="2"/>
          <w:sz w:val="24"/>
          <w:szCs w:val="24"/>
          <w:lang w:val="en-US" w:eastAsia="zh-CN"/>
        </w:rPr>
        <w:t xml:space="preserve"> R, Koizumi S, Kinoshita N, Takahashi T, Watanabe S. Successful treatment of refractory duodenal Crohn’s disease with infliximab. </w:t>
      </w:r>
      <w:r w:rsidRPr="003D034F">
        <w:rPr>
          <w:rFonts w:ascii="Book Antiqua" w:hAnsi="Book Antiqua"/>
          <w:i/>
          <w:kern w:val="2"/>
          <w:sz w:val="24"/>
          <w:szCs w:val="24"/>
          <w:lang w:val="en-US" w:eastAsia="zh-CN"/>
        </w:rPr>
        <w:t>Dig Dis Sci</w:t>
      </w:r>
      <w:r w:rsidRPr="003D034F">
        <w:rPr>
          <w:rFonts w:ascii="Book Antiqua" w:hAnsi="Book Antiqua"/>
          <w:kern w:val="2"/>
          <w:sz w:val="24"/>
          <w:szCs w:val="24"/>
          <w:lang w:val="en-US" w:eastAsia="zh-CN"/>
        </w:rPr>
        <w:t xml:space="preserve"> 2007; </w:t>
      </w:r>
      <w:r w:rsidRPr="003D034F">
        <w:rPr>
          <w:rFonts w:ascii="Book Antiqua" w:hAnsi="Book Antiqua"/>
          <w:b/>
          <w:kern w:val="2"/>
          <w:sz w:val="24"/>
          <w:szCs w:val="24"/>
          <w:lang w:val="en-US" w:eastAsia="zh-CN"/>
        </w:rPr>
        <w:t>52</w:t>
      </w:r>
      <w:r w:rsidRPr="003D034F">
        <w:rPr>
          <w:rFonts w:ascii="Book Antiqua" w:hAnsi="Book Antiqua"/>
          <w:kern w:val="2"/>
          <w:sz w:val="24"/>
          <w:szCs w:val="24"/>
          <w:lang w:val="en-US" w:eastAsia="zh-CN"/>
        </w:rPr>
        <w:t>: 31-32 [PMID: 17171444 DOI: 10.1007/s10620-006-9585-3]</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100 </w:t>
      </w:r>
      <w:proofErr w:type="spellStart"/>
      <w:r w:rsidRPr="003D034F">
        <w:rPr>
          <w:rFonts w:ascii="Book Antiqua" w:hAnsi="Book Antiqua"/>
          <w:b/>
          <w:kern w:val="2"/>
          <w:sz w:val="24"/>
          <w:szCs w:val="24"/>
          <w:lang w:val="en-US" w:eastAsia="zh-CN"/>
        </w:rPr>
        <w:t>Hanauer</w:t>
      </w:r>
      <w:proofErr w:type="spellEnd"/>
      <w:r w:rsidRPr="003D034F">
        <w:rPr>
          <w:rFonts w:ascii="Book Antiqua" w:hAnsi="Book Antiqua"/>
          <w:b/>
          <w:kern w:val="2"/>
          <w:sz w:val="24"/>
          <w:szCs w:val="24"/>
          <w:lang w:val="en-US" w:eastAsia="zh-CN"/>
        </w:rPr>
        <w:t xml:space="preserve"> SB</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Feagan</w:t>
      </w:r>
      <w:proofErr w:type="spellEnd"/>
      <w:r w:rsidRPr="003D034F">
        <w:rPr>
          <w:rFonts w:ascii="Book Antiqua" w:hAnsi="Book Antiqua"/>
          <w:kern w:val="2"/>
          <w:sz w:val="24"/>
          <w:szCs w:val="24"/>
          <w:lang w:val="en-US" w:eastAsia="zh-CN"/>
        </w:rPr>
        <w:t xml:space="preserve"> BG, Lichtenstein GR, Mayer LF, Schreiber S, </w:t>
      </w:r>
      <w:proofErr w:type="spellStart"/>
      <w:r w:rsidRPr="003D034F">
        <w:rPr>
          <w:rFonts w:ascii="Book Antiqua" w:hAnsi="Book Antiqua"/>
          <w:kern w:val="2"/>
          <w:sz w:val="24"/>
          <w:szCs w:val="24"/>
          <w:lang w:val="en-US" w:eastAsia="zh-CN"/>
        </w:rPr>
        <w:t>Colombel</w:t>
      </w:r>
      <w:proofErr w:type="spellEnd"/>
      <w:r w:rsidRPr="003D034F">
        <w:rPr>
          <w:rFonts w:ascii="Book Antiqua" w:hAnsi="Book Antiqua"/>
          <w:kern w:val="2"/>
          <w:sz w:val="24"/>
          <w:szCs w:val="24"/>
          <w:lang w:val="en-US" w:eastAsia="zh-CN"/>
        </w:rPr>
        <w:t xml:space="preserve"> JF, </w:t>
      </w:r>
      <w:proofErr w:type="spellStart"/>
      <w:r w:rsidRPr="003D034F">
        <w:rPr>
          <w:rFonts w:ascii="Book Antiqua" w:hAnsi="Book Antiqua"/>
          <w:kern w:val="2"/>
          <w:sz w:val="24"/>
          <w:szCs w:val="24"/>
          <w:lang w:val="en-US" w:eastAsia="zh-CN"/>
        </w:rPr>
        <w:t>Rachmilewitz</w:t>
      </w:r>
      <w:proofErr w:type="spellEnd"/>
      <w:r w:rsidRPr="003D034F">
        <w:rPr>
          <w:rFonts w:ascii="Book Antiqua" w:hAnsi="Book Antiqua"/>
          <w:kern w:val="2"/>
          <w:sz w:val="24"/>
          <w:szCs w:val="24"/>
          <w:lang w:val="en-US" w:eastAsia="zh-CN"/>
        </w:rPr>
        <w:t xml:space="preserve"> D, Wolf DC, Olson A, Bao W, </w:t>
      </w:r>
      <w:proofErr w:type="spellStart"/>
      <w:r w:rsidRPr="003D034F">
        <w:rPr>
          <w:rFonts w:ascii="Book Antiqua" w:hAnsi="Book Antiqua"/>
          <w:kern w:val="2"/>
          <w:sz w:val="24"/>
          <w:szCs w:val="24"/>
          <w:lang w:val="en-US" w:eastAsia="zh-CN"/>
        </w:rPr>
        <w:t>Rutgeerts</w:t>
      </w:r>
      <w:proofErr w:type="spellEnd"/>
      <w:r w:rsidRPr="003D034F">
        <w:rPr>
          <w:rFonts w:ascii="Book Antiqua" w:hAnsi="Book Antiqua"/>
          <w:kern w:val="2"/>
          <w:sz w:val="24"/>
          <w:szCs w:val="24"/>
          <w:lang w:val="en-US" w:eastAsia="zh-CN"/>
        </w:rPr>
        <w:t xml:space="preserve"> P; ACCENT I Study Group. Maintenance infliximab for Crohn’s disease: The ACCENT I </w:t>
      </w:r>
      <w:proofErr w:type="spellStart"/>
      <w:r w:rsidRPr="003D034F">
        <w:rPr>
          <w:rFonts w:ascii="Book Antiqua" w:hAnsi="Book Antiqua"/>
          <w:kern w:val="2"/>
          <w:sz w:val="24"/>
          <w:szCs w:val="24"/>
          <w:lang w:val="en-US" w:eastAsia="zh-CN"/>
        </w:rPr>
        <w:t>randomised</w:t>
      </w:r>
      <w:proofErr w:type="spellEnd"/>
      <w:r w:rsidRPr="003D034F">
        <w:rPr>
          <w:rFonts w:ascii="Book Antiqua" w:hAnsi="Book Antiqua"/>
          <w:kern w:val="2"/>
          <w:sz w:val="24"/>
          <w:szCs w:val="24"/>
          <w:lang w:val="en-US" w:eastAsia="zh-CN"/>
        </w:rPr>
        <w:t xml:space="preserve"> trial. </w:t>
      </w:r>
      <w:r w:rsidRPr="003D034F">
        <w:rPr>
          <w:rFonts w:ascii="Book Antiqua" w:hAnsi="Book Antiqua"/>
          <w:i/>
          <w:kern w:val="2"/>
          <w:sz w:val="24"/>
          <w:szCs w:val="24"/>
          <w:lang w:val="en-US" w:eastAsia="zh-CN"/>
        </w:rPr>
        <w:t>Lancet</w:t>
      </w:r>
      <w:r w:rsidRPr="003D034F">
        <w:rPr>
          <w:rFonts w:ascii="Book Antiqua" w:hAnsi="Book Antiqua"/>
          <w:kern w:val="2"/>
          <w:sz w:val="24"/>
          <w:szCs w:val="24"/>
          <w:lang w:val="en-US" w:eastAsia="zh-CN"/>
        </w:rPr>
        <w:t xml:space="preserve"> 2002; </w:t>
      </w:r>
      <w:r w:rsidRPr="003D034F">
        <w:rPr>
          <w:rFonts w:ascii="Book Antiqua" w:hAnsi="Book Antiqua"/>
          <w:b/>
          <w:kern w:val="2"/>
          <w:sz w:val="24"/>
          <w:szCs w:val="24"/>
          <w:lang w:val="en-US" w:eastAsia="zh-CN"/>
        </w:rPr>
        <w:t>359</w:t>
      </w:r>
      <w:r w:rsidRPr="003D034F">
        <w:rPr>
          <w:rFonts w:ascii="Book Antiqua" w:hAnsi="Book Antiqua"/>
          <w:kern w:val="2"/>
          <w:sz w:val="24"/>
          <w:szCs w:val="24"/>
          <w:lang w:val="en-US" w:eastAsia="zh-CN"/>
        </w:rPr>
        <w:t>: 1541-1549 [PMID: 12047962 DOI: 10.1016/S0140-6736(02)08512-4]</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101 </w:t>
      </w:r>
      <w:proofErr w:type="spellStart"/>
      <w:r w:rsidRPr="003D034F">
        <w:rPr>
          <w:rFonts w:ascii="Book Antiqua" w:hAnsi="Book Antiqua"/>
          <w:b/>
          <w:kern w:val="2"/>
          <w:sz w:val="24"/>
          <w:szCs w:val="24"/>
          <w:lang w:val="en-US" w:eastAsia="zh-CN"/>
        </w:rPr>
        <w:t>Gaggar</w:t>
      </w:r>
      <w:proofErr w:type="spellEnd"/>
      <w:r w:rsidRPr="003D034F">
        <w:rPr>
          <w:rFonts w:ascii="Book Antiqua" w:hAnsi="Book Antiqua"/>
          <w:b/>
          <w:kern w:val="2"/>
          <w:sz w:val="24"/>
          <w:szCs w:val="24"/>
          <w:lang w:val="en-US" w:eastAsia="zh-CN"/>
        </w:rPr>
        <w:t xml:space="preserve"> S</w:t>
      </w:r>
      <w:r w:rsidRPr="003D034F">
        <w:rPr>
          <w:rFonts w:ascii="Book Antiqua" w:hAnsi="Book Antiqua"/>
          <w:kern w:val="2"/>
          <w:sz w:val="24"/>
          <w:szCs w:val="24"/>
          <w:lang w:val="en-US" w:eastAsia="zh-CN"/>
        </w:rPr>
        <w:t xml:space="preserve">, Scott J, Thompson N. Pyloric stenosis associated Crohn’s disease responding to adalimumab therapy. </w:t>
      </w:r>
      <w:r w:rsidRPr="003D034F">
        <w:rPr>
          <w:rFonts w:ascii="Book Antiqua" w:hAnsi="Book Antiqua"/>
          <w:i/>
          <w:kern w:val="2"/>
          <w:sz w:val="24"/>
          <w:szCs w:val="24"/>
          <w:lang w:val="en-US" w:eastAsia="zh-CN"/>
        </w:rPr>
        <w:t xml:space="preserve">World J </w:t>
      </w:r>
      <w:proofErr w:type="spellStart"/>
      <w:r w:rsidRPr="003D034F">
        <w:rPr>
          <w:rFonts w:ascii="Book Antiqua" w:hAnsi="Book Antiqua"/>
          <w:i/>
          <w:kern w:val="2"/>
          <w:sz w:val="24"/>
          <w:szCs w:val="24"/>
          <w:lang w:val="en-US" w:eastAsia="zh-CN"/>
        </w:rPr>
        <w:t>Gastrointest</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Pharmacol</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Ther</w:t>
      </w:r>
      <w:proofErr w:type="spellEnd"/>
      <w:r w:rsidRPr="003D034F">
        <w:rPr>
          <w:rFonts w:ascii="Book Antiqua" w:hAnsi="Book Antiqua"/>
          <w:kern w:val="2"/>
          <w:sz w:val="24"/>
          <w:szCs w:val="24"/>
          <w:lang w:val="en-US" w:eastAsia="zh-CN"/>
        </w:rPr>
        <w:t xml:space="preserve"> 2012; </w:t>
      </w:r>
      <w:r w:rsidRPr="003D034F">
        <w:rPr>
          <w:rFonts w:ascii="Book Antiqua" w:hAnsi="Book Antiqua"/>
          <w:b/>
          <w:kern w:val="2"/>
          <w:sz w:val="24"/>
          <w:szCs w:val="24"/>
          <w:lang w:val="en-US" w:eastAsia="zh-CN"/>
        </w:rPr>
        <w:t>3</w:t>
      </w:r>
      <w:r w:rsidRPr="003D034F">
        <w:rPr>
          <w:rFonts w:ascii="Book Antiqua" w:hAnsi="Book Antiqua"/>
          <w:kern w:val="2"/>
          <w:sz w:val="24"/>
          <w:szCs w:val="24"/>
          <w:lang w:val="en-US" w:eastAsia="zh-CN"/>
        </w:rPr>
        <w:t>: 97-99 [PMID: 23494865 DOI: 10.4292/wjgpt.v3.i6.97]</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102 </w:t>
      </w:r>
      <w:proofErr w:type="spellStart"/>
      <w:r w:rsidRPr="003D034F">
        <w:rPr>
          <w:rFonts w:ascii="Book Antiqua" w:hAnsi="Book Antiqua"/>
          <w:b/>
          <w:kern w:val="2"/>
          <w:sz w:val="24"/>
          <w:szCs w:val="24"/>
          <w:lang w:val="en-US" w:eastAsia="zh-CN"/>
        </w:rPr>
        <w:t>Tursi</w:t>
      </w:r>
      <w:proofErr w:type="spellEnd"/>
      <w:r w:rsidRPr="003D034F">
        <w:rPr>
          <w:rFonts w:ascii="Book Antiqua" w:hAnsi="Book Antiqua"/>
          <w:b/>
          <w:kern w:val="2"/>
          <w:sz w:val="24"/>
          <w:szCs w:val="24"/>
          <w:lang w:val="en-US" w:eastAsia="zh-CN"/>
        </w:rPr>
        <w:t xml:space="preserve"> A</w:t>
      </w:r>
      <w:r w:rsidRPr="003D034F">
        <w:rPr>
          <w:rFonts w:ascii="Book Antiqua" w:hAnsi="Book Antiqua"/>
          <w:kern w:val="2"/>
          <w:sz w:val="24"/>
          <w:szCs w:val="24"/>
          <w:lang w:val="en-US" w:eastAsia="zh-CN"/>
        </w:rPr>
        <w:t xml:space="preserve">. Duodenal Crohn’s disease successfully treated with adalimumab. </w:t>
      </w:r>
      <w:r w:rsidRPr="003D034F">
        <w:rPr>
          <w:rFonts w:ascii="Book Antiqua" w:hAnsi="Book Antiqua"/>
          <w:i/>
          <w:kern w:val="2"/>
          <w:sz w:val="24"/>
          <w:szCs w:val="24"/>
          <w:lang w:val="en-US" w:eastAsia="zh-CN"/>
        </w:rPr>
        <w:t>Endoscopy</w:t>
      </w:r>
      <w:r w:rsidRPr="003D034F">
        <w:rPr>
          <w:rFonts w:ascii="Book Antiqua" w:hAnsi="Book Antiqua"/>
          <w:kern w:val="2"/>
          <w:sz w:val="24"/>
          <w:szCs w:val="24"/>
          <w:lang w:val="en-US" w:eastAsia="zh-CN"/>
        </w:rPr>
        <w:t xml:space="preserve"> 2011; </w:t>
      </w:r>
      <w:r w:rsidRPr="003D034F">
        <w:rPr>
          <w:rFonts w:ascii="Book Antiqua" w:hAnsi="Book Antiqua"/>
          <w:b/>
          <w:kern w:val="2"/>
          <w:sz w:val="24"/>
          <w:szCs w:val="24"/>
          <w:lang w:val="en-US" w:eastAsia="zh-CN"/>
        </w:rPr>
        <w:t xml:space="preserve">43 </w:t>
      </w:r>
      <w:proofErr w:type="spellStart"/>
      <w:r w:rsidRPr="003D034F">
        <w:rPr>
          <w:rFonts w:ascii="Book Antiqua" w:hAnsi="Book Antiqua"/>
          <w:b/>
          <w:kern w:val="2"/>
          <w:sz w:val="24"/>
          <w:szCs w:val="24"/>
          <w:lang w:val="en-US" w:eastAsia="zh-CN"/>
        </w:rPr>
        <w:t>Suppl</w:t>
      </w:r>
      <w:proofErr w:type="spellEnd"/>
      <w:r w:rsidRPr="003D034F">
        <w:rPr>
          <w:rFonts w:ascii="Book Antiqua" w:hAnsi="Book Antiqua"/>
          <w:b/>
          <w:kern w:val="2"/>
          <w:sz w:val="24"/>
          <w:szCs w:val="24"/>
          <w:lang w:val="en-US" w:eastAsia="zh-CN"/>
        </w:rPr>
        <w:t xml:space="preserve"> 2 UCTN</w:t>
      </w:r>
      <w:r w:rsidRPr="003D034F">
        <w:rPr>
          <w:rFonts w:ascii="Book Antiqua" w:hAnsi="Book Antiqua"/>
          <w:kern w:val="2"/>
          <w:sz w:val="24"/>
          <w:szCs w:val="24"/>
          <w:lang w:val="en-US" w:eastAsia="zh-CN"/>
        </w:rPr>
        <w:t>: E22 [PMID: 21271523 DOI: 10.1055/s-0030-1255893]</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103 </w:t>
      </w:r>
      <w:r w:rsidRPr="003D034F">
        <w:rPr>
          <w:rFonts w:ascii="Book Antiqua" w:hAnsi="Book Antiqua"/>
          <w:b/>
          <w:kern w:val="2"/>
          <w:sz w:val="24"/>
          <w:szCs w:val="24"/>
          <w:lang w:val="en-US" w:eastAsia="zh-CN"/>
        </w:rPr>
        <w:t>Matsui T</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Hatakeyama</w:t>
      </w:r>
      <w:proofErr w:type="spellEnd"/>
      <w:r w:rsidRPr="003D034F">
        <w:rPr>
          <w:rFonts w:ascii="Book Antiqua" w:hAnsi="Book Antiqua"/>
          <w:kern w:val="2"/>
          <w:sz w:val="24"/>
          <w:szCs w:val="24"/>
          <w:lang w:val="en-US" w:eastAsia="zh-CN"/>
        </w:rPr>
        <w:t xml:space="preserve"> S, Ikeda K, Yao T, </w:t>
      </w:r>
      <w:proofErr w:type="spellStart"/>
      <w:r w:rsidRPr="003D034F">
        <w:rPr>
          <w:rFonts w:ascii="Book Antiqua" w:hAnsi="Book Antiqua"/>
          <w:kern w:val="2"/>
          <w:sz w:val="24"/>
          <w:szCs w:val="24"/>
          <w:lang w:val="en-US" w:eastAsia="zh-CN"/>
        </w:rPr>
        <w:t>Takenaka</w:t>
      </w:r>
      <w:proofErr w:type="spellEnd"/>
      <w:r w:rsidRPr="003D034F">
        <w:rPr>
          <w:rFonts w:ascii="Book Antiqua" w:hAnsi="Book Antiqua"/>
          <w:kern w:val="2"/>
          <w:sz w:val="24"/>
          <w:szCs w:val="24"/>
          <w:lang w:val="en-US" w:eastAsia="zh-CN"/>
        </w:rPr>
        <w:t xml:space="preserve"> K, Sakurai T. Long-term outcome of endoscopic balloon dilation in obstructive gastroduodenal Crohn’s disease. </w:t>
      </w:r>
      <w:r w:rsidRPr="003D034F">
        <w:rPr>
          <w:rFonts w:ascii="Book Antiqua" w:hAnsi="Book Antiqua"/>
          <w:i/>
          <w:kern w:val="2"/>
          <w:sz w:val="24"/>
          <w:szCs w:val="24"/>
          <w:lang w:val="en-US" w:eastAsia="zh-CN"/>
        </w:rPr>
        <w:t>Endoscopy</w:t>
      </w:r>
      <w:r w:rsidRPr="003D034F">
        <w:rPr>
          <w:rFonts w:ascii="Book Antiqua" w:hAnsi="Book Antiqua"/>
          <w:kern w:val="2"/>
          <w:sz w:val="24"/>
          <w:szCs w:val="24"/>
          <w:lang w:val="en-US" w:eastAsia="zh-CN"/>
        </w:rPr>
        <w:t xml:space="preserve"> 1997; </w:t>
      </w:r>
      <w:r w:rsidRPr="003D034F">
        <w:rPr>
          <w:rFonts w:ascii="Book Antiqua" w:hAnsi="Book Antiqua"/>
          <w:b/>
          <w:kern w:val="2"/>
          <w:sz w:val="24"/>
          <w:szCs w:val="24"/>
          <w:lang w:val="en-US" w:eastAsia="zh-CN"/>
        </w:rPr>
        <w:t>29</w:t>
      </w:r>
      <w:r w:rsidRPr="003D034F">
        <w:rPr>
          <w:rFonts w:ascii="Book Antiqua" w:hAnsi="Book Antiqua"/>
          <w:kern w:val="2"/>
          <w:sz w:val="24"/>
          <w:szCs w:val="24"/>
          <w:lang w:val="en-US" w:eastAsia="zh-CN"/>
        </w:rPr>
        <w:t>: 640-645 [PMID: 9360875 DOI: 10.1055/s-2007-1004271]</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104 </w:t>
      </w:r>
      <w:r w:rsidRPr="003D034F">
        <w:rPr>
          <w:rFonts w:ascii="Book Antiqua" w:hAnsi="Book Antiqua"/>
          <w:b/>
          <w:kern w:val="2"/>
          <w:sz w:val="24"/>
          <w:szCs w:val="24"/>
          <w:lang w:val="en-US" w:eastAsia="zh-CN"/>
        </w:rPr>
        <w:t>Guo F</w:t>
      </w:r>
      <w:r w:rsidRPr="003D034F">
        <w:rPr>
          <w:rFonts w:ascii="Book Antiqua" w:hAnsi="Book Antiqua"/>
          <w:kern w:val="2"/>
          <w:sz w:val="24"/>
          <w:szCs w:val="24"/>
          <w:lang w:val="en-US" w:eastAsia="zh-CN"/>
        </w:rPr>
        <w:t xml:space="preserve">, Huang Y, Zhu W, Wang Z, Cao L, Chen A, Guo Z, Li Y, Gong J, Li J. Efficacy and Safety of Endoscopic Balloon Dilation for Upper Gastrointestinal Strictures of Crohn’s Disease. </w:t>
      </w:r>
      <w:r w:rsidRPr="003D034F">
        <w:rPr>
          <w:rFonts w:ascii="Book Antiqua" w:hAnsi="Book Antiqua"/>
          <w:i/>
          <w:kern w:val="2"/>
          <w:sz w:val="24"/>
          <w:szCs w:val="24"/>
          <w:lang w:val="en-US" w:eastAsia="zh-CN"/>
        </w:rPr>
        <w:t>Dig Dis Sci</w:t>
      </w:r>
      <w:r w:rsidRPr="003D034F">
        <w:rPr>
          <w:rFonts w:ascii="Book Antiqua" w:hAnsi="Book Antiqua"/>
          <w:kern w:val="2"/>
          <w:sz w:val="24"/>
          <w:szCs w:val="24"/>
          <w:lang w:val="en-US" w:eastAsia="zh-CN"/>
        </w:rPr>
        <w:t xml:space="preserve"> 2016; </w:t>
      </w:r>
      <w:r w:rsidRPr="003D034F">
        <w:rPr>
          <w:rFonts w:ascii="Book Antiqua" w:hAnsi="Book Antiqua"/>
          <w:b/>
          <w:kern w:val="2"/>
          <w:sz w:val="24"/>
          <w:szCs w:val="24"/>
          <w:lang w:val="en-US" w:eastAsia="zh-CN"/>
        </w:rPr>
        <w:t>61</w:t>
      </w:r>
      <w:r w:rsidRPr="003D034F">
        <w:rPr>
          <w:rFonts w:ascii="Book Antiqua" w:hAnsi="Book Antiqua"/>
          <w:kern w:val="2"/>
          <w:sz w:val="24"/>
          <w:szCs w:val="24"/>
          <w:lang w:val="en-US" w:eastAsia="zh-CN"/>
        </w:rPr>
        <w:t>: 2977-2985 [PMID: 27401273 DOI: 10.1007/s10620-016-4242-y]</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105 </w:t>
      </w:r>
      <w:r w:rsidRPr="003D034F">
        <w:rPr>
          <w:rFonts w:ascii="Book Antiqua" w:hAnsi="Book Antiqua"/>
          <w:b/>
          <w:kern w:val="2"/>
          <w:sz w:val="24"/>
          <w:szCs w:val="24"/>
          <w:lang w:val="en-US" w:eastAsia="zh-CN"/>
        </w:rPr>
        <w:t>Hassan C</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Zullo</w:t>
      </w:r>
      <w:proofErr w:type="spellEnd"/>
      <w:r w:rsidRPr="003D034F">
        <w:rPr>
          <w:rFonts w:ascii="Book Antiqua" w:hAnsi="Book Antiqua"/>
          <w:kern w:val="2"/>
          <w:sz w:val="24"/>
          <w:szCs w:val="24"/>
          <w:lang w:val="en-US" w:eastAsia="zh-CN"/>
        </w:rPr>
        <w:t xml:space="preserve"> A, De Francesco V, </w:t>
      </w:r>
      <w:proofErr w:type="spellStart"/>
      <w:r w:rsidRPr="003D034F">
        <w:rPr>
          <w:rFonts w:ascii="Book Antiqua" w:hAnsi="Book Antiqua"/>
          <w:kern w:val="2"/>
          <w:sz w:val="24"/>
          <w:szCs w:val="24"/>
          <w:lang w:val="en-US" w:eastAsia="zh-CN"/>
        </w:rPr>
        <w:t>Ierardi</w:t>
      </w:r>
      <w:proofErr w:type="spellEnd"/>
      <w:r w:rsidRPr="003D034F">
        <w:rPr>
          <w:rFonts w:ascii="Book Antiqua" w:hAnsi="Book Antiqua"/>
          <w:kern w:val="2"/>
          <w:sz w:val="24"/>
          <w:szCs w:val="24"/>
          <w:lang w:val="en-US" w:eastAsia="zh-CN"/>
        </w:rPr>
        <w:t xml:space="preserve"> E, </w:t>
      </w:r>
      <w:proofErr w:type="spellStart"/>
      <w:r w:rsidRPr="003D034F">
        <w:rPr>
          <w:rFonts w:ascii="Book Antiqua" w:hAnsi="Book Antiqua"/>
          <w:kern w:val="2"/>
          <w:sz w:val="24"/>
          <w:szCs w:val="24"/>
          <w:lang w:val="en-US" w:eastAsia="zh-CN"/>
        </w:rPr>
        <w:t>Giustini</w:t>
      </w:r>
      <w:proofErr w:type="spellEnd"/>
      <w:r w:rsidRPr="003D034F">
        <w:rPr>
          <w:rFonts w:ascii="Book Antiqua" w:hAnsi="Book Antiqua"/>
          <w:kern w:val="2"/>
          <w:sz w:val="24"/>
          <w:szCs w:val="24"/>
          <w:lang w:val="en-US" w:eastAsia="zh-CN"/>
        </w:rPr>
        <w:t xml:space="preserve"> M, </w:t>
      </w:r>
      <w:proofErr w:type="spellStart"/>
      <w:r w:rsidRPr="003D034F">
        <w:rPr>
          <w:rFonts w:ascii="Book Antiqua" w:hAnsi="Book Antiqua"/>
          <w:kern w:val="2"/>
          <w:sz w:val="24"/>
          <w:szCs w:val="24"/>
          <w:lang w:val="en-US" w:eastAsia="zh-CN"/>
        </w:rPr>
        <w:t>Pitidis</w:t>
      </w:r>
      <w:proofErr w:type="spellEnd"/>
      <w:r w:rsidRPr="003D034F">
        <w:rPr>
          <w:rFonts w:ascii="Book Antiqua" w:hAnsi="Book Antiqua"/>
          <w:kern w:val="2"/>
          <w:sz w:val="24"/>
          <w:szCs w:val="24"/>
          <w:lang w:val="en-US" w:eastAsia="zh-CN"/>
        </w:rPr>
        <w:t xml:space="preserve"> A, </w:t>
      </w:r>
      <w:proofErr w:type="spellStart"/>
      <w:r w:rsidRPr="003D034F">
        <w:rPr>
          <w:rFonts w:ascii="Book Antiqua" w:hAnsi="Book Antiqua"/>
          <w:kern w:val="2"/>
          <w:sz w:val="24"/>
          <w:szCs w:val="24"/>
          <w:lang w:val="en-US" w:eastAsia="zh-CN"/>
        </w:rPr>
        <w:t>Taggi</w:t>
      </w:r>
      <w:proofErr w:type="spellEnd"/>
      <w:r w:rsidRPr="003D034F">
        <w:rPr>
          <w:rFonts w:ascii="Book Antiqua" w:hAnsi="Book Antiqua"/>
          <w:kern w:val="2"/>
          <w:sz w:val="24"/>
          <w:szCs w:val="24"/>
          <w:lang w:val="en-US" w:eastAsia="zh-CN"/>
        </w:rPr>
        <w:t xml:space="preserve"> F, Winn S, </w:t>
      </w:r>
      <w:proofErr w:type="spellStart"/>
      <w:r w:rsidRPr="003D034F">
        <w:rPr>
          <w:rFonts w:ascii="Book Antiqua" w:hAnsi="Book Antiqua"/>
          <w:kern w:val="2"/>
          <w:sz w:val="24"/>
          <w:szCs w:val="24"/>
          <w:lang w:val="en-US" w:eastAsia="zh-CN"/>
        </w:rPr>
        <w:t>Morini</w:t>
      </w:r>
      <w:proofErr w:type="spellEnd"/>
      <w:r w:rsidRPr="003D034F">
        <w:rPr>
          <w:rFonts w:ascii="Book Antiqua" w:hAnsi="Book Antiqua"/>
          <w:kern w:val="2"/>
          <w:sz w:val="24"/>
          <w:szCs w:val="24"/>
          <w:lang w:val="en-US" w:eastAsia="zh-CN"/>
        </w:rPr>
        <w:t xml:space="preserve"> S. Systematic review: Endoscopic dilatation in Crohn’s disease. </w:t>
      </w:r>
      <w:r w:rsidRPr="003D034F">
        <w:rPr>
          <w:rFonts w:ascii="Book Antiqua" w:hAnsi="Book Antiqua"/>
          <w:i/>
          <w:kern w:val="2"/>
          <w:sz w:val="24"/>
          <w:szCs w:val="24"/>
          <w:lang w:val="en-US" w:eastAsia="zh-CN"/>
        </w:rPr>
        <w:t xml:space="preserve">Aliment </w:t>
      </w:r>
      <w:proofErr w:type="spellStart"/>
      <w:r w:rsidRPr="003D034F">
        <w:rPr>
          <w:rFonts w:ascii="Book Antiqua" w:hAnsi="Book Antiqua"/>
          <w:i/>
          <w:kern w:val="2"/>
          <w:sz w:val="24"/>
          <w:szCs w:val="24"/>
          <w:lang w:val="en-US" w:eastAsia="zh-CN"/>
        </w:rPr>
        <w:t>Pharmacol</w:t>
      </w:r>
      <w:proofErr w:type="spellEnd"/>
      <w:r w:rsidRPr="003D034F">
        <w:rPr>
          <w:rFonts w:ascii="Book Antiqua" w:hAnsi="Book Antiqua"/>
          <w:i/>
          <w:kern w:val="2"/>
          <w:sz w:val="24"/>
          <w:szCs w:val="24"/>
          <w:lang w:val="en-US" w:eastAsia="zh-CN"/>
        </w:rPr>
        <w:t xml:space="preserve"> </w:t>
      </w:r>
      <w:proofErr w:type="spellStart"/>
      <w:r w:rsidRPr="003D034F">
        <w:rPr>
          <w:rFonts w:ascii="Book Antiqua" w:hAnsi="Book Antiqua"/>
          <w:i/>
          <w:kern w:val="2"/>
          <w:sz w:val="24"/>
          <w:szCs w:val="24"/>
          <w:lang w:val="en-US" w:eastAsia="zh-CN"/>
        </w:rPr>
        <w:t>Ther</w:t>
      </w:r>
      <w:proofErr w:type="spellEnd"/>
      <w:r w:rsidRPr="003D034F">
        <w:rPr>
          <w:rFonts w:ascii="Book Antiqua" w:hAnsi="Book Antiqua"/>
          <w:kern w:val="2"/>
          <w:sz w:val="24"/>
          <w:szCs w:val="24"/>
          <w:lang w:val="en-US" w:eastAsia="zh-CN"/>
        </w:rPr>
        <w:t xml:space="preserve"> 2007; </w:t>
      </w:r>
      <w:r w:rsidRPr="003D034F">
        <w:rPr>
          <w:rFonts w:ascii="Book Antiqua" w:hAnsi="Book Antiqua"/>
          <w:b/>
          <w:kern w:val="2"/>
          <w:sz w:val="24"/>
          <w:szCs w:val="24"/>
          <w:lang w:val="en-US" w:eastAsia="zh-CN"/>
        </w:rPr>
        <w:t>26</w:t>
      </w:r>
      <w:r w:rsidRPr="003D034F">
        <w:rPr>
          <w:rFonts w:ascii="Book Antiqua" w:hAnsi="Book Antiqua"/>
          <w:kern w:val="2"/>
          <w:sz w:val="24"/>
          <w:szCs w:val="24"/>
          <w:lang w:val="en-US" w:eastAsia="zh-CN"/>
        </w:rPr>
        <w:t>: 1457-1464 [PMID: 17903236 DOI: 10.1111/j.1365-2036.2007.03532.x]</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106 </w:t>
      </w:r>
      <w:r w:rsidRPr="003D034F">
        <w:rPr>
          <w:rFonts w:ascii="Book Antiqua" w:hAnsi="Book Antiqua"/>
          <w:b/>
          <w:kern w:val="2"/>
          <w:sz w:val="24"/>
          <w:szCs w:val="24"/>
          <w:lang w:val="en-US" w:eastAsia="zh-CN"/>
        </w:rPr>
        <w:t>Edwards AM</w:t>
      </w:r>
      <w:r w:rsidRPr="003D034F">
        <w:rPr>
          <w:rFonts w:ascii="Book Antiqua" w:hAnsi="Book Antiqua"/>
          <w:kern w:val="2"/>
          <w:sz w:val="24"/>
          <w:szCs w:val="24"/>
          <w:lang w:val="en-US" w:eastAsia="zh-CN"/>
        </w:rPr>
        <w:t xml:space="preserve">, </w:t>
      </w:r>
      <w:proofErr w:type="spellStart"/>
      <w:r w:rsidRPr="003D034F">
        <w:rPr>
          <w:rFonts w:ascii="Book Antiqua" w:hAnsi="Book Antiqua"/>
          <w:kern w:val="2"/>
          <w:sz w:val="24"/>
          <w:szCs w:val="24"/>
          <w:lang w:val="en-US" w:eastAsia="zh-CN"/>
        </w:rPr>
        <w:t>Michalyshyn</w:t>
      </w:r>
      <w:proofErr w:type="spellEnd"/>
      <w:r w:rsidRPr="003D034F">
        <w:rPr>
          <w:rFonts w:ascii="Book Antiqua" w:hAnsi="Book Antiqua"/>
          <w:kern w:val="2"/>
          <w:sz w:val="24"/>
          <w:szCs w:val="24"/>
          <w:lang w:val="en-US" w:eastAsia="zh-CN"/>
        </w:rPr>
        <w:t xml:space="preserve"> B, </w:t>
      </w:r>
      <w:proofErr w:type="spellStart"/>
      <w:r w:rsidRPr="003D034F">
        <w:rPr>
          <w:rFonts w:ascii="Book Antiqua" w:hAnsi="Book Antiqua"/>
          <w:kern w:val="2"/>
          <w:sz w:val="24"/>
          <w:szCs w:val="24"/>
          <w:lang w:val="en-US" w:eastAsia="zh-CN"/>
        </w:rPr>
        <w:t>Sherbaniuk</w:t>
      </w:r>
      <w:proofErr w:type="spellEnd"/>
      <w:r w:rsidRPr="003D034F">
        <w:rPr>
          <w:rFonts w:ascii="Book Antiqua" w:hAnsi="Book Antiqua"/>
          <w:kern w:val="2"/>
          <w:sz w:val="24"/>
          <w:szCs w:val="24"/>
          <w:lang w:val="en-US" w:eastAsia="zh-CN"/>
        </w:rPr>
        <w:t xml:space="preserve"> RW, </w:t>
      </w:r>
      <w:proofErr w:type="spellStart"/>
      <w:r w:rsidRPr="003D034F">
        <w:rPr>
          <w:rFonts w:ascii="Book Antiqua" w:hAnsi="Book Antiqua"/>
          <w:kern w:val="2"/>
          <w:sz w:val="24"/>
          <w:szCs w:val="24"/>
          <w:lang w:val="en-US" w:eastAsia="zh-CN"/>
        </w:rPr>
        <w:t>Costopoulos</w:t>
      </w:r>
      <w:proofErr w:type="spellEnd"/>
      <w:r w:rsidRPr="003D034F">
        <w:rPr>
          <w:rFonts w:ascii="Book Antiqua" w:hAnsi="Book Antiqua"/>
          <w:kern w:val="2"/>
          <w:sz w:val="24"/>
          <w:szCs w:val="24"/>
          <w:lang w:val="en-US" w:eastAsia="zh-CN"/>
        </w:rPr>
        <w:t xml:space="preserve"> LB. Regional enteritis of the duodenum: A review and report of five cases. </w:t>
      </w:r>
      <w:r w:rsidRPr="003D034F">
        <w:rPr>
          <w:rFonts w:ascii="Book Antiqua" w:hAnsi="Book Antiqua"/>
          <w:i/>
          <w:kern w:val="2"/>
          <w:sz w:val="24"/>
          <w:szCs w:val="24"/>
          <w:lang w:val="en-US" w:eastAsia="zh-CN"/>
        </w:rPr>
        <w:t xml:space="preserve">Can Med </w:t>
      </w:r>
      <w:proofErr w:type="spellStart"/>
      <w:r w:rsidRPr="003D034F">
        <w:rPr>
          <w:rFonts w:ascii="Book Antiqua" w:hAnsi="Book Antiqua"/>
          <w:i/>
          <w:kern w:val="2"/>
          <w:sz w:val="24"/>
          <w:szCs w:val="24"/>
          <w:lang w:val="en-US" w:eastAsia="zh-CN"/>
        </w:rPr>
        <w:t>Assoc</w:t>
      </w:r>
      <w:proofErr w:type="spellEnd"/>
      <w:r w:rsidRPr="003D034F">
        <w:rPr>
          <w:rFonts w:ascii="Book Antiqua" w:hAnsi="Book Antiqua"/>
          <w:i/>
          <w:kern w:val="2"/>
          <w:sz w:val="24"/>
          <w:szCs w:val="24"/>
          <w:lang w:val="en-US" w:eastAsia="zh-CN"/>
        </w:rPr>
        <w:t xml:space="preserve"> J</w:t>
      </w:r>
      <w:r w:rsidRPr="003D034F">
        <w:rPr>
          <w:rFonts w:ascii="Book Antiqua" w:hAnsi="Book Antiqua"/>
          <w:kern w:val="2"/>
          <w:sz w:val="24"/>
          <w:szCs w:val="24"/>
          <w:lang w:val="en-US" w:eastAsia="zh-CN"/>
        </w:rPr>
        <w:t xml:space="preserve"> 1965; </w:t>
      </w:r>
      <w:r w:rsidRPr="003D034F">
        <w:rPr>
          <w:rFonts w:ascii="Book Antiqua" w:hAnsi="Book Antiqua"/>
          <w:b/>
          <w:kern w:val="2"/>
          <w:sz w:val="24"/>
          <w:szCs w:val="24"/>
          <w:lang w:val="en-US" w:eastAsia="zh-CN"/>
        </w:rPr>
        <w:t>93</w:t>
      </w:r>
      <w:r w:rsidRPr="003D034F">
        <w:rPr>
          <w:rFonts w:ascii="Book Antiqua" w:hAnsi="Book Antiqua"/>
          <w:kern w:val="2"/>
          <w:sz w:val="24"/>
          <w:szCs w:val="24"/>
          <w:lang w:val="en-US" w:eastAsia="zh-CN"/>
        </w:rPr>
        <w:t>: 1283-1295 [PMID: 5843869]</w:t>
      </w:r>
    </w:p>
    <w:p w:rsidR="000E0A24" w:rsidRPr="003D034F" w:rsidRDefault="000E0A24" w:rsidP="003D034F">
      <w:pPr>
        <w:widowControl w:val="0"/>
        <w:spacing w:after="0" w:line="360" w:lineRule="auto"/>
        <w:jc w:val="both"/>
        <w:rPr>
          <w:rFonts w:ascii="Book Antiqua" w:hAnsi="Book Antiqua"/>
          <w:kern w:val="2"/>
          <w:sz w:val="24"/>
          <w:szCs w:val="24"/>
          <w:lang w:val="en-US" w:eastAsia="zh-CN"/>
        </w:rPr>
      </w:pPr>
      <w:r w:rsidRPr="003D034F">
        <w:rPr>
          <w:rFonts w:ascii="Book Antiqua" w:hAnsi="Book Antiqua"/>
          <w:kern w:val="2"/>
          <w:sz w:val="24"/>
          <w:szCs w:val="24"/>
          <w:lang w:val="en-US" w:eastAsia="zh-CN"/>
        </w:rPr>
        <w:t xml:space="preserve">107 </w:t>
      </w:r>
      <w:proofErr w:type="spellStart"/>
      <w:r w:rsidRPr="003D034F">
        <w:rPr>
          <w:rFonts w:ascii="Book Antiqua" w:hAnsi="Book Antiqua"/>
          <w:b/>
          <w:kern w:val="2"/>
          <w:sz w:val="24"/>
          <w:szCs w:val="24"/>
          <w:lang w:val="en-US" w:eastAsia="zh-CN"/>
        </w:rPr>
        <w:t>Salky</w:t>
      </w:r>
      <w:proofErr w:type="spellEnd"/>
      <w:r w:rsidRPr="003D034F">
        <w:rPr>
          <w:rFonts w:ascii="Book Antiqua" w:hAnsi="Book Antiqua"/>
          <w:b/>
          <w:kern w:val="2"/>
          <w:sz w:val="24"/>
          <w:szCs w:val="24"/>
          <w:lang w:val="en-US" w:eastAsia="zh-CN"/>
        </w:rPr>
        <w:t xml:space="preserve"> B</w:t>
      </w:r>
      <w:r w:rsidRPr="003D034F">
        <w:rPr>
          <w:rFonts w:ascii="Book Antiqua" w:hAnsi="Book Antiqua"/>
          <w:kern w:val="2"/>
          <w:sz w:val="24"/>
          <w:szCs w:val="24"/>
          <w:lang w:val="en-US" w:eastAsia="zh-CN"/>
        </w:rPr>
        <w:t xml:space="preserve">. Severe gastroduodenal Crohn’s disease: Surgical treatment. </w:t>
      </w:r>
      <w:proofErr w:type="spellStart"/>
      <w:r w:rsidRPr="003D034F">
        <w:rPr>
          <w:rFonts w:ascii="Book Antiqua" w:hAnsi="Book Antiqua"/>
          <w:i/>
          <w:kern w:val="2"/>
          <w:sz w:val="24"/>
          <w:szCs w:val="24"/>
          <w:lang w:val="en-US" w:eastAsia="zh-CN"/>
        </w:rPr>
        <w:lastRenderedPageBreak/>
        <w:t>Inflamm</w:t>
      </w:r>
      <w:proofErr w:type="spellEnd"/>
      <w:r w:rsidRPr="003D034F">
        <w:rPr>
          <w:rFonts w:ascii="Book Antiqua" w:hAnsi="Book Antiqua"/>
          <w:i/>
          <w:kern w:val="2"/>
          <w:sz w:val="24"/>
          <w:szCs w:val="24"/>
          <w:lang w:val="en-US" w:eastAsia="zh-CN"/>
        </w:rPr>
        <w:t xml:space="preserve"> Bowel Dis</w:t>
      </w:r>
      <w:r w:rsidRPr="003D034F">
        <w:rPr>
          <w:rFonts w:ascii="Book Antiqua" w:hAnsi="Book Antiqua"/>
          <w:kern w:val="2"/>
          <w:sz w:val="24"/>
          <w:szCs w:val="24"/>
          <w:lang w:val="en-US" w:eastAsia="zh-CN"/>
        </w:rPr>
        <w:t xml:space="preserve"> 2003; </w:t>
      </w:r>
      <w:r w:rsidRPr="003D034F">
        <w:rPr>
          <w:rFonts w:ascii="Book Antiqua" w:hAnsi="Book Antiqua"/>
          <w:b/>
          <w:kern w:val="2"/>
          <w:sz w:val="24"/>
          <w:szCs w:val="24"/>
          <w:lang w:val="en-US" w:eastAsia="zh-CN"/>
        </w:rPr>
        <w:t>9</w:t>
      </w:r>
      <w:r w:rsidRPr="003D034F">
        <w:rPr>
          <w:rFonts w:ascii="Book Antiqua" w:hAnsi="Book Antiqua"/>
          <w:kern w:val="2"/>
          <w:sz w:val="24"/>
          <w:szCs w:val="24"/>
          <w:lang w:val="en-US" w:eastAsia="zh-CN"/>
        </w:rPr>
        <w:t>: 129-30; discussion 131 [PMID: 12769448 DOI: 10.1097/00054725-200303000-00009]</w:t>
      </w:r>
    </w:p>
    <w:p w:rsidR="000E0A24" w:rsidRPr="003D034F" w:rsidRDefault="000E0A24" w:rsidP="003D034F">
      <w:pPr>
        <w:spacing w:after="0" w:line="360" w:lineRule="auto"/>
        <w:jc w:val="both"/>
        <w:rPr>
          <w:rFonts w:ascii="Book Antiqua" w:hAnsi="Book Antiqua" w:cs="Arial"/>
          <w:b/>
          <w:sz w:val="24"/>
          <w:szCs w:val="24"/>
          <w:u w:val="single"/>
          <w:lang w:val="en-US" w:eastAsia="zh-CN"/>
        </w:rPr>
      </w:pPr>
    </w:p>
    <w:p w:rsidR="000E0A24" w:rsidRPr="003D034F" w:rsidRDefault="000E0A24" w:rsidP="003D034F">
      <w:pPr>
        <w:widowControl w:val="0"/>
        <w:adjustRightInd w:val="0"/>
        <w:snapToGrid w:val="0"/>
        <w:spacing w:after="0" w:line="360" w:lineRule="auto"/>
        <w:jc w:val="right"/>
        <w:rPr>
          <w:rFonts w:ascii="Book Antiqua" w:hAnsi="Book Antiqua"/>
          <w:color w:val="000000"/>
          <w:kern w:val="2"/>
          <w:sz w:val="24"/>
          <w:szCs w:val="24"/>
          <w:lang w:val="en-US" w:eastAsia="zh-CN"/>
        </w:rPr>
      </w:pPr>
      <w:bookmarkStart w:id="58" w:name="OLE_LINK139"/>
      <w:bookmarkStart w:id="59" w:name="OLE_LINK140"/>
      <w:bookmarkStart w:id="60" w:name="OLE_LINK287"/>
      <w:bookmarkStart w:id="61" w:name="OLE_LINK288"/>
      <w:bookmarkStart w:id="62" w:name="OLE_LINK70"/>
      <w:bookmarkStart w:id="63" w:name="OLE_LINK110"/>
      <w:bookmarkStart w:id="64" w:name="OLE_LINK109"/>
      <w:bookmarkStart w:id="65" w:name="OLE_LINK138"/>
      <w:bookmarkStart w:id="66" w:name="OLE_LINK72"/>
      <w:bookmarkStart w:id="67" w:name="OLE_LINK116"/>
      <w:bookmarkStart w:id="68" w:name="OLE_LINK95"/>
      <w:bookmarkStart w:id="69" w:name="OLE_LINK118"/>
      <w:bookmarkStart w:id="70" w:name="OLE_LINK198"/>
      <w:bookmarkStart w:id="71" w:name="OLE_LINK154"/>
      <w:bookmarkStart w:id="72" w:name="OLE_LINK251"/>
      <w:bookmarkStart w:id="73" w:name="OLE_LINK167"/>
      <w:bookmarkStart w:id="74" w:name="OLE_LINK126"/>
      <w:bookmarkStart w:id="75" w:name="OLE_LINK234"/>
      <w:bookmarkStart w:id="76" w:name="OLE_LINK157"/>
      <w:bookmarkStart w:id="77" w:name="OLE_LINK187"/>
      <w:bookmarkStart w:id="78" w:name="OLE_LINK204"/>
      <w:bookmarkStart w:id="79" w:name="OLE_LINK255"/>
      <w:bookmarkStart w:id="80" w:name="OLE_LINK229"/>
      <w:bookmarkStart w:id="81" w:name="OLE_LINK268"/>
      <w:bookmarkStart w:id="82" w:name="OLE_LINK310"/>
      <w:bookmarkStart w:id="83" w:name="OLE_LINK338"/>
      <w:bookmarkStart w:id="84" w:name="OLE_LINK340"/>
      <w:bookmarkStart w:id="85" w:name="OLE_LINK264"/>
      <w:bookmarkStart w:id="86" w:name="OLE_LINK345"/>
      <w:bookmarkStart w:id="87" w:name="OLE_LINK256"/>
      <w:bookmarkStart w:id="88" w:name="OLE_LINK299"/>
      <w:bookmarkStart w:id="89" w:name="OLE_LINK265"/>
      <w:bookmarkStart w:id="90" w:name="OLE_LINK254"/>
      <w:bookmarkStart w:id="91" w:name="OLE_LINK357"/>
      <w:bookmarkStart w:id="92" w:name="OLE_LINK382"/>
      <w:bookmarkStart w:id="93" w:name="OLE_LINK333"/>
      <w:bookmarkStart w:id="94" w:name="OLE_LINK334"/>
      <w:bookmarkStart w:id="95" w:name="OLE_LINK400"/>
      <w:bookmarkStart w:id="96" w:name="OLE_LINK365"/>
      <w:bookmarkStart w:id="97" w:name="OLE_LINK467"/>
      <w:bookmarkStart w:id="98" w:name="OLE_LINK443"/>
      <w:bookmarkStart w:id="99" w:name="OLE_LINK425"/>
      <w:bookmarkStart w:id="100" w:name="OLE_LINK450"/>
      <w:r w:rsidRPr="003D034F">
        <w:rPr>
          <w:rFonts w:ascii="Book Antiqua" w:hAnsi="Book Antiqua"/>
          <w:b/>
          <w:bCs/>
          <w:color w:val="000000"/>
          <w:kern w:val="2"/>
          <w:sz w:val="24"/>
          <w:szCs w:val="24"/>
          <w:lang w:val="en-US" w:eastAsia="zh-CN"/>
        </w:rPr>
        <w:t>P-Reviewer:</w:t>
      </w:r>
      <w:r w:rsidRPr="003D034F">
        <w:rPr>
          <w:rFonts w:ascii="Book Antiqua" w:hAnsi="Book Antiqua"/>
          <w:bCs/>
          <w:color w:val="000000"/>
          <w:kern w:val="2"/>
          <w:sz w:val="24"/>
          <w:szCs w:val="24"/>
          <w:lang w:val="en-US" w:eastAsia="zh-CN"/>
        </w:rPr>
        <w:t xml:space="preserve"> </w:t>
      </w:r>
      <w:r w:rsidRPr="003D034F">
        <w:rPr>
          <w:rFonts w:ascii="Book Antiqua" w:hAnsi="Book Antiqua"/>
          <w:bCs/>
          <w:color w:val="000000"/>
          <w:kern w:val="2"/>
          <w:sz w:val="24"/>
          <w:szCs w:val="24"/>
          <w:lang w:eastAsia="zh-CN"/>
        </w:rPr>
        <w:t xml:space="preserve">Panes J </w:t>
      </w:r>
      <w:r w:rsidRPr="003D034F">
        <w:rPr>
          <w:rFonts w:ascii="Book Antiqua" w:hAnsi="Book Antiqua"/>
          <w:b/>
          <w:bCs/>
          <w:color w:val="000000"/>
          <w:kern w:val="2"/>
          <w:sz w:val="24"/>
          <w:szCs w:val="24"/>
          <w:lang w:val="en-US" w:eastAsia="zh-CN"/>
        </w:rPr>
        <w:t>S-Editor:</w:t>
      </w:r>
      <w:r w:rsidRPr="003D034F">
        <w:rPr>
          <w:rFonts w:ascii="Book Antiqua" w:hAnsi="Book Antiqua"/>
          <w:color w:val="000000"/>
          <w:kern w:val="2"/>
          <w:sz w:val="24"/>
          <w:szCs w:val="24"/>
          <w:lang w:val="en-US" w:eastAsia="zh-CN"/>
        </w:rPr>
        <w:t xml:space="preserve"> Yan JP</w:t>
      </w:r>
    </w:p>
    <w:p w:rsidR="000E0A24" w:rsidRPr="003D034F" w:rsidRDefault="000E0A24" w:rsidP="003D034F">
      <w:pPr>
        <w:widowControl w:val="0"/>
        <w:adjustRightInd w:val="0"/>
        <w:snapToGrid w:val="0"/>
        <w:spacing w:after="0" w:line="360" w:lineRule="auto"/>
        <w:jc w:val="right"/>
        <w:rPr>
          <w:rFonts w:ascii="Book Antiqua" w:hAnsi="Book Antiqua"/>
          <w:b/>
          <w:bCs/>
          <w:color w:val="000000"/>
          <w:kern w:val="2"/>
          <w:sz w:val="24"/>
          <w:szCs w:val="24"/>
          <w:lang w:val="en-US" w:eastAsia="zh-CN"/>
        </w:rPr>
      </w:pPr>
      <w:r w:rsidRPr="003D034F">
        <w:rPr>
          <w:rFonts w:ascii="Book Antiqua" w:hAnsi="Book Antiqua"/>
          <w:b/>
          <w:bCs/>
          <w:color w:val="000000"/>
          <w:kern w:val="2"/>
          <w:sz w:val="24"/>
          <w:szCs w:val="24"/>
          <w:lang w:val="en-US" w:eastAsia="zh-CN"/>
        </w:rPr>
        <w:t>L-Editor:</w:t>
      </w:r>
      <w:r w:rsidR="003D034F" w:rsidRPr="003D034F">
        <w:rPr>
          <w:rFonts w:ascii="Book Antiqua" w:hAnsi="Book Antiqua"/>
          <w:color w:val="000000"/>
          <w:kern w:val="2"/>
          <w:sz w:val="24"/>
          <w:szCs w:val="24"/>
          <w:lang w:val="en-US" w:eastAsia="zh-CN"/>
        </w:rPr>
        <w:t xml:space="preserve"> A </w:t>
      </w:r>
      <w:r w:rsidRPr="003D034F">
        <w:rPr>
          <w:rFonts w:ascii="Book Antiqua" w:hAnsi="Book Antiqua"/>
          <w:b/>
          <w:bCs/>
          <w:color w:val="000000"/>
          <w:kern w:val="2"/>
          <w:sz w:val="24"/>
          <w:szCs w:val="24"/>
          <w:lang w:val="en-US" w:eastAsia="zh-CN"/>
        </w:rPr>
        <w:t>E-Editor:</w:t>
      </w:r>
      <w:r w:rsidR="003D034F" w:rsidRPr="003D034F">
        <w:rPr>
          <w:rFonts w:ascii="Book Antiqua" w:hAnsi="Book Antiqua"/>
          <w:b/>
          <w:bCs/>
          <w:color w:val="000000"/>
          <w:kern w:val="2"/>
          <w:sz w:val="24"/>
          <w:szCs w:val="24"/>
          <w:lang w:val="en-US" w:eastAsia="zh-CN"/>
        </w:rPr>
        <w:t xml:space="preserve"> </w:t>
      </w:r>
      <w:r w:rsidR="003D034F" w:rsidRPr="003D034F">
        <w:rPr>
          <w:rFonts w:ascii="Book Antiqua" w:hAnsi="Book Antiqua"/>
          <w:bCs/>
          <w:color w:val="000000"/>
          <w:kern w:val="2"/>
          <w:sz w:val="24"/>
          <w:szCs w:val="24"/>
          <w:lang w:val="en-US" w:eastAsia="zh-CN"/>
        </w:rPr>
        <w:t>Song H</w:t>
      </w:r>
    </w:p>
    <w:bookmarkEnd w:id="58"/>
    <w:bookmarkEnd w:id="59"/>
    <w:p w:rsidR="000E0A24" w:rsidRPr="003D034F" w:rsidRDefault="000E0A24" w:rsidP="003D034F">
      <w:pPr>
        <w:widowControl w:val="0"/>
        <w:adjustRightInd w:val="0"/>
        <w:snapToGrid w:val="0"/>
        <w:spacing w:after="0" w:line="360" w:lineRule="auto"/>
        <w:jc w:val="both"/>
        <w:rPr>
          <w:rFonts w:ascii="Book Antiqua" w:hAnsi="Book Antiqua"/>
          <w:color w:val="000000"/>
          <w:kern w:val="2"/>
          <w:sz w:val="24"/>
          <w:szCs w:val="24"/>
          <w:lang w:val="en-US" w:eastAsia="zh-CN"/>
        </w:rPr>
      </w:pPr>
    </w:p>
    <w:p w:rsidR="000E0A24" w:rsidRPr="003D034F" w:rsidRDefault="000E0A24" w:rsidP="003D034F">
      <w:pPr>
        <w:spacing w:after="0" w:line="360" w:lineRule="auto"/>
        <w:rPr>
          <w:rFonts w:ascii="Book Antiqua" w:hAnsi="Book Antiqua" w:cs="宋体"/>
          <w:sz w:val="24"/>
          <w:szCs w:val="24"/>
          <w:lang w:val="en-US" w:eastAsia="zh-CN"/>
        </w:rPr>
      </w:pPr>
      <w:r w:rsidRPr="003D034F">
        <w:rPr>
          <w:rFonts w:ascii="Book Antiqua" w:hAnsi="Book Antiqua" w:cs="宋体"/>
          <w:b/>
          <w:sz w:val="24"/>
          <w:szCs w:val="24"/>
          <w:lang w:val="en-US" w:eastAsia="zh-CN"/>
        </w:rPr>
        <w:t xml:space="preserve">Specialty type: </w:t>
      </w:r>
      <w:r w:rsidRPr="003D034F">
        <w:rPr>
          <w:rFonts w:ascii="Book Antiqua" w:eastAsia="微软雅黑" w:hAnsi="Book Antiqua" w:cs="宋体"/>
          <w:sz w:val="24"/>
          <w:szCs w:val="24"/>
          <w:lang w:val="en-US" w:eastAsia="zh-CN"/>
        </w:rPr>
        <w:t>Gastroenterology and hepatology</w:t>
      </w:r>
      <w:r w:rsidRPr="003D034F">
        <w:rPr>
          <w:rFonts w:ascii="Book Antiqua" w:hAnsi="Book Antiqua" w:cs="宋体"/>
          <w:sz w:val="24"/>
          <w:szCs w:val="24"/>
          <w:lang w:val="en-US" w:eastAsia="zh-CN"/>
        </w:rPr>
        <w:t xml:space="preserve"> </w:t>
      </w:r>
      <w:r w:rsidRPr="003D034F">
        <w:rPr>
          <w:rFonts w:ascii="Book Antiqua" w:hAnsi="Book Antiqua" w:cs="宋体"/>
          <w:sz w:val="24"/>
          <w:szCs w:val="24"/>
          <w:lang w:val="en-US" w:eastAsia="zh-CN"/>
        </w:rPr>
        <w:br/>
      </w:r>
      <w:r w:rsidRPr="003D034F">
        <w:rPr>
          <w:rFonts w:ascii="Book Antiqua" w:hAnsi="Book Antiqua" w:cs="宋体"/>
          <w:b/>
          <w:sz w:val="24"/>
          <w:szCs w:val="24"/>
          <w:lang w:val="en-US" w:eastAsia="zh-CN"/>
        </w:rPr>
        <w:t xml:space="preserve">Country of origin: </w:t>
      </w:r>
      <w:r w:rsidRPr="003D034F">
        <w:rPr>
          <w:rFonts w:ascii="Book Antiqua" w:hAnsi="Book Antiqua" w:cs="宋体"/>
          <w:sz w:val="24"/>
          <w:szCs w:val="24"/>
          <w:lang w:val="en-US" w:eastAsia="zh-CN"/>
        </w:rPr>
        <w:t xml:space="preserve">Brazil </w:t>
      </w:r>
      <w:r w:rsidRPr="003D034F">
        <w:rPr>
          <w:rFonts w:ascii="Book Antiqua" w:hAnsi="Book Antiqua" w:cs="宋体"/>
          <w:sz w:val="24"/>
          <w:szCs w:val="24"/>
          <w:lang w:val="en-US" w:eastAsia="zh-CN"/>
        </w:rPr>
        <w:br/>
      </w:r>
      <w:r w:rsidRPr="003D034F">
        <w:rPr>
          <w:rFonts w:ascii="Book Antiqua" w:hAnsi="Book Antiqua" w:cs="宋体"/>
          <w:b/>
          <w:sz w:val="24"/>
          <w:szCs w:val="24"/>
          <w:lang w:val="en-US" w:eastAsia="zh-CN"/>
        </w:rPr>
        <w:t>Peer-review report classification</w:t>
      </w:r>
      <w:r w:rsidRPr="003D034F">
        <w:rPr>
          <w:rFonts w:ascii="Book Antiqua" w:hAnsi="Book Antiqua" w:cs="宋体"/>
          <w:sz w:val="24"/>
          <w:szCs w:val="24"/>
          <w:lang w:val="en-US" w:eastAsia="zh-CN"/>
        </w:rPr>
        <w:br/>
      </w:r>
      <w:r w:rsidRPr="003D034F">
        <w:rPr>
          <w:rFonts w:ascii="Book Antiqua" w:hAnsi="Book Antiqua" w:cs="宋体"/>
          <w:b/>
          <w:sz w:val="24"/>
          <w:szCs w:val="24"/>
          <w:lang w:val="en-US" w:eastAsia="zh-CN"/>
        </w:rPr>
        <w:t xml:space="preserve">Grade A (Excellent): </w:t>
      </w:r>
      <w:r w:rsidRPr="003D034F">
        <w:rPr>
          <w:rFonts w:ascii="Book Antiqua" w:hAnsi="Book Antiqua" w:cs="宋体"/>
          <w:sz w:val="24"/>
          <w:szCs w:val="24"/>
          <w:lang w:val="en-US" w:eastAsia="zh-CN"/>
        </w:rPr>
        <w:t>0</w:t>
      </w:r>
      <w:r w:rsidRPr="003D034F">
        <w:rPr>
          <w:rFonts w:ascii="Book Antiqua" w:hAnsi="Book Antiqua" w:cs="宋体"/>
          <w:sz w:val="24"/>
          <w:szCs w:val="24"/>
          <w:lang w:val="en-US" w:eastAsia="zh-CN"/>
        </w:rPr>
        <w:br/>
      </w:r>
      <w:r w:rsidRPr="003D034F">
        <w:rPr>
          <w:rFonts w:ascii="Book Antiqua" w:hAnsi="Book Antiqua" w:cs="宋体"/>
          <w:b/>
          <w:sz w:val="24"/>
          <w:szCs w:val="24"/>
          <w:lang w:val="en-US" w:eastAsia="zh-CN"/>
        </w:rPr>
        <w:t xml:space="preserve">Grade B (Very good): </w:t>
      </w:r>
      <w:r w:rsidRPr="003D034F">
        <w:rPr>
          <w:rFonts w:ascii="Book Antiqua" w:hAnsi="Book Antiqua" w:cs="宋体"/>
          <w:sz w:val="24"/>
          <w:szCs w:val="24"/>
          <w:lang w:val="en-US" w:eastAsia="zh-CN"/>
        </w:rPr>
        <w:t>0</w:t>
      </w:r>
      <w:r w:rsidRPr="003D034F">
        <w:rPr>
          <w:rFonts w:ascii="Book Antiqua" w:hAnsi="Book Antiqua" w:cs="宋体"/>
          <w:sz w:val="24"/>
          <w:szCs w:val="24"/>
          <w:lang w:val="en-US" w:eastAsia="zh-CN"/>
        </w:rPr>
        <w:br/>
      </w:r>
      <w:r w:rsidRPr="003D034F">
        <w:rPr>
          <w:rFonts w:ascii="Book Antiqua" w:hAnsi="Book Antiqua" w:cs="宋体"/>
          <w:b/>
          <w:sz w:val="24"/>
          <w:szCs w:val="24"/>
          <w:lang w:val="en-US" w:eastAsia="zh-CN"/>
        </w:rPr>
        <w:t xml:space="preserve">Grade C (Good): </w:t>
      </w:r>
      <w:r w:rsidRPr="003D034F">
        <w:rPr>
          <w:rFonts w:ascii="Book Antiqua" w:hAnsi="Book Antiqua" w:cs="宋体"/>
          <w:sz w:val="24"/>
          <w:szCs w:val="24"/>
          <w:lang w:val="en-US" w:eastAsia="zh-CN"/>
        </w:rPr>
        <w:t>C</w:t>
      </w:r>
      <w:r w:rsidRPr="003D034F">
        <w:rPr>
          <w:rFonts w:ascii="Book Antiqua" w:hAnsi="Book Antiqua" w:cs="宋体"/>
          <w:sz w:val="24"/>
          <w:szCs w:val="24"/>
          <w:lang w:val="en-US" w:eastAsia="zh-CN"/>
        </w:rPr>
        <w:br/>
      </w:r>
      <w:r w:rsidRPr="003D034F">
        <w:rPr>
          <w:rFonts w:ascii="Book Antiqua" w:hAnsi="Book Antiqua" w:cs="宋体"/>
          <w:b/>
          <w:sz w:val="24"/>
          <w:szCs w:val="24"/>
          <w:lang w:val="en-US" w:eastAsia="zh-CN"/>
        </w:rPr>
        <w:t xml:space="preserve">Grade D (Fair): </w:t>
      </w:r>
      <w:r w:rsidRPr="003D034F">
        <w:rPr>
          <w:rFonts w:ascii="Book Antiqua" w:hAnsi="Book Antiqua" w:cs="宋体"/>
          <w:sz w:val="24"/>
          <w:szCs w:val="24"/>
          <w:lang w:val="en-US" w:eastAsia="zh-CN"/>
        </w:rPr>
        <w:t>0</w:t>
      </w:r>
      <w:r w:rsidRPr="003D034F">
        <w:rPr>
          <w:rFonts w:ascii="Book Antiqua" w:hAnsi="Book Antiqua" w:cs="宋体"/>
          <w:b/>
          <w:sz w:val="24"/>
          <w:szCs w:val="24"/>
          <w:lang w:val="en-US" w:eastAsia="zh-CN"/>
        </w:rPr>
        <w:br/>
        <w:t xml:space="preserve">Grade E (Poor): </w:t>
      </w:r>
      <w:r w:rsidRPr="003D034F">
        <w:rPr>
          <w:rFonts w:ascii="Book Antiqua" w:hAnsi="Book Antiqua" w:cs="宋体"/>
          <w:sz w:val="24"/>
          <w:szCs w:val="24"/>
          <w:lang w:val="en-US" w:eastAsia="zh-CN"/>
        </w:rPr>
        <w:t>0</w:t>
      </w:r>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rsidR="000E0A24" w:rsidRPr="003D034F" w:rsidRDefault="000E0A24" w:rsidP="003D034F">
      <w:pPr>
        <w:spacing w:after="0" w:line="360" w:lineRule="auto"/>
        <w:jc w:val="both"/>
        <w:rPr>
          <w:rFonts w:ascii="Book Antiqua" w:hAnsi="Book Antiqua" w:cs="Arial"/>
          <w:b/>
          <w:sz w:val="24"/>
          <w:szCs w:val="24"/>
          <w:u w:val="single"/>
          <w:lang w:val="en-US" w:eastAsia="zh-CN"/>
        </w:rPr>
      </w:pPr>
    </w:p>
    <w:p w:rsidR="00AF373E" w:rsidRPr="003D034F" w:rsidRDefault="002D134F" w:rsidP="003D034F">
      <w:pPr>
        <w:widowControl w:val="0"/>
        <w:autoSpaceDE w:val="0"/>
        <w:autoSpaceDN w:val="0"/>
        <w:adjustRightInd w:val="0"/>
        <w:spacing w:after="0" w:line="360" w:lineRule="auto"/>
        <w:ind w:left="640" w:hanging="640"/>
        <w:jc w:val="both"/>
        <w:rPr>
          <w:rFonts w:ascii="Book Antiqua" w:hAnsi="Book Antiqua" w:cs="Arial"/>
          <w:b/>
          <w:sz w:val="24"/>
          <w:szCs w:val="24"/>
          <w:lang w:val="en-US" w:eastAsia="zh-CN"/>
        </w:rPr>
      </w:pPr>
      <w:r w:rsidRPr="003D034F">
        <w:rPr>
          <w:rFonts w:ascii="Book Antiqua" w:hAnsi="Book Antiqua" w:cs="Arial"/>
          <w:b/>
          <w:sz w:val="24"/>
          <w:szCs w:val="24"/>
          <w:u w:val="single"/>
          <w:lang w:val="en-US"/>
        </w:rPr>
        <w:br w:type="page"/>
      </w:r>
      <w:r w:rsidR="005E329F" w:rsidRPr="003D034F">
        <w:rPr>
          <w:rFonts w:ascii="Book Antiqua" w:hAnsi="Book Antiqua" w:cs="Arial"/>
          <w:b/>
          <w:noProof/>
          <w:sz w:val="24"/>
          <w:szCs w:val="24"/>
          <w:lang w:val="en-US" w:eastAsia="zh-C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spaço Reservado para Conteúdo 4" o:spid="_x0000_i1025" type="#_x0000_t75" style="width:197.55pt;height:168.75pt;visibility:visible">
            <v:imagedata r:id="rId9" o:title=""/>
            <o:lock v:ext="edit" grouping="t"/>
          </v:shape>
        </w:pict>
      </w:r>
      <w:r w:rsidR="00AF373E" w:rsidRPr="003D034F">
        <w:rPr>
          <w:rFonts w:ascii="Book Antiqua" w:hAnsi="Book Antiqua"/>
          <w:noProof/>
          <w:sz w:val="24"/>
          <w:szCs w:val="24"/>
          <w:lang w:val="en-US" w:eastAsia="zh-CN"/>
        </w:rPr>
        <w:t xml:space="preserve"> </w:t>
      </w:r>
      <w:r w:rsidR="005E329F" w:rsidRPr="003D034F">
        <w:rPr>
          <w:rFonts w:ascii="Book Antiqua" w:hAnsi="Book Antiqua" w:cs="Arial"/>
          <w:b/>
          <w:noProof/>
          <w:sz w:val="24"/>
          <w:szCs w:val="24"/>
          <w:lang w:val="en-US" w:eastAsia="zh-CN"/>
        </w:rPr>
        <w:pict>
          <v:shape id="Imagem 6" o:spid="_x0000_i1026" type="#_x0000_t75" style="width:201.6pt;height:166.45pt;visibility:visible">
            <v:imagedata r:id="rId10" o:title=""/>
          </v:shape>
        </w:pict>
      </w:r>
    </w:p>
    <w:p w:rsidR="00AF373E" w:rsidRPr="003D034F" w:rsidRDefault="00AF373E" w:rsidP="003D034F">
      <w:pPr>
        <w:widowControl w:val="0"/>
        <w:autoSpaceDE w:val="0"/>
        <w:autoSpaceDN w:val="0"/>
        <w:adjustRightInd w:val="0"/>
        <w:spacing w:after="0" w:line="360" w:lineRule="auto"/>
        <w:ind w:left="640" w:hanging="640"/>
        <w:jc w:val="both"/>
        <w:rPr>
          <w:rFonts w:ascii="Book Antiqua" w:hAnsi="Book Antiqua" w:cs="Arial"/>
          <w:b/>
          <w:sz w:val="24"/>
          <w:szCs w:val="24"/>
          <w:lang w:val="en-US" w:eastAsia="zh-CN"/>
        </w:rPr>
      </w:pPr>
    </w:p>
    <w:p w:rsidR="00AF373E" w:rsidRPr="003D034F" w:rsidRDefault="00AF373E" w:rsidP="003D034F">
      <w:pPr>
        <w:widowControl w:val="0"/>
        <w:autoSpaceDE w:val="0"/>
        <w:autoSpaceDN w:val="0"/>
        <w:adjustRightInd w:val="0"/>
        <w:spacing w:after="0" w:line="360" w:lineRule="auto"/>
        <w:jc w:val="both"/>
        <w:rPr>
          <w:rFonts w:ascii="Book Antiqua" w:hAnsi="Book Antiqua" w:cs="Arial"/>
          <w:b/>
          <w:sz w:val="24"/>
          <w:szCs w:val="24"/>
          <w:lang w:val="en-US" w:eastAsia="zh-CN"/>
        </w:rPr>
      </w:pPr>
      <w:r w:rsidRPr="003D034F">
        <w:rPr>
          <w:rFonts w:ascii="Book Antiqua" w:hAnsi="Book Antiqua" w:cs="Arial"/>
          <w:b/>
          <w:sz w:val="24"/>
          <w:szCs w:val="24"/>
          <w:lang w:eastAsia="zh-CN"/>
        </w:rPr>
        <w:t xml:space="preserve">Figures 1 Duodenal involvement in a patient with Crohn’s disease and </w:t>
      </w:r>
      <w:r w:rsidRPr="003D034F">
        <w:rPr>
          <w:rFonts w:ascii="Book Antiqua" w:hAnsi="Book Antiqua" w:cs="Arial"/>
          <w:b/>
          <w:i/>
          <w:sz w:val="24"/>
          <w:szCs w:val="24"/>
          <w:lang w:eastAsia="zh-CN"/>
        </w:rPr>
        <w:t>Helicobacter pylori</w:t>
      </w:r>
      <w:r w:rsidRPr="003D034F">
        <w:rPr>
          <w:rFonts w:ascii="Book Antiqua" w:hAnsi="Book Antiqua" w:cs="Arial"/>
          <w:b/>
          <w:sz w:val="24"/>
          <w:szCs w:val="24"/>
          <w:lang w:eastAsia="zh-CN"/>
        </w:rPr>
        <w:t xml:space="preserve"> negative.</w:t>
      </w:r>
    </w:p>
    <w:p w:rsidR="00D11B61" w:rsidRPr="003D034F" w:rsidRDefault="00D11B61" w:rsidP="003D034F">
      <w:pPr>
        <w:spacing w:after="0" w:line="360" w:lineRule="auto"/>
        <w:jc w:val="both"/>
        <w:rPr>
          <w:rFonts w:ascii="Book Antiqua" w:hAnsi="Book Antiqua" w:cs="Arial"/>
          <w:b/>
          <w:sz w:val="24"/>
          <w:szCs w:val="24"/>
          <w:u w:val="single"/>
          <w:lang w:val="en-US" w:eastAsia="zh-CN"/>
        </w:rPr>
      </w:pPr>
    </w:p>
    <w:p w:rsidR="00AF373E" w:rsidRPr="003D034F" w:rsidRDefault="00AF373E" w:rsidP="003D034F">
      <w:pPr>
        <w:spacing w:after="0" w:line="360" w:lineRule="auto"/>
        <w:jc w:val="both"/>
        <w:rPr>
          <w:rFonts w:ascii="Book Antiqua" w:hAnsi="Book Antiqua" w:cs="Arial"/>
          <w:b/>
          <w:sz w:val="24"/>
          <w:szCs w:val="24"/>
          <w:u w:val="single"/>
          <w:lang w:val="en-US" w:eastAsia="zh-CN"/>
        </w:rPr>
      </w:pPr>
    </w:p>
    <w:p w:rsidR="00AF373E" w:rsidRPr="003D034F" w:rsidRDefault="00AF373E" w:rsidP="003D034F">
      <w:pPr>
        <w:spacing w:after="0" w:line="360" w:lineRule="auto"/>
        <w:jc w:val="both"/>
        <w:rPr>
          <w:rFonts w:ascii="Book Antiqua" w:hAnsi="Book Antiqua" w:cs="Arial"/>
          <w:b/>
          <w:sz w:val="24"/>
          <w:szCs w:val="24"/>
          <w:lang w:val="en-US" w:eastAsia="zh-CN"/>
        </w:rPr>
      </w:pPr>
      <w:r w:rsidRPr="003D034F">
        <w:rPr>
          <w:rFonts w:ascii="Book Antiqua" w:hAnsi="Book Antiqua" w:cs="Arial"/>
          <w:b/>
          <w:sz w:val="24"/>
          <w:szCs w:val="24"/>
          <w:lang w:val="en-US" w:eastAsia="zh-CN"/>
        </w:rPr>
        <w:br w:type="page"/>
      </w:r>
    </w:p>
    <w:p w:rsidR="00C524CF" w:rsidRPr="003D034F" w:rsidRDefault="005E329F" w:rsidP="003D034F">
      <w:pPr>
        <w:widowControl w:val="0"/>
        <w:autoSpaceDE w:val="0"/>
        <w:autoSpaceDN w:val="0"/>
        <w:adjustRightInd w:val="0"/>
        <w:spacing w:after="0" w:line="360" w:lineRule="auto"/>
        <w:ind w:left="640" w:hanging="640"/>
        <w:jc w:val="both"/>
        <w:rPr>
          <w:rFonts w:ascii="Book Antiqua" w:hAnsi="Book Antiqua" w:cs="Arial"/>
          <w:b/>
          <w:sz w:val="24"/>
          <w:szCs w:val="24"/>
          <w:lang w:val="en-US" w:eastAsia="zh-CN"/>
        </w:rPr>
      </w:pPr>
      <w:r w:rsidRPr="003D034F">
        <w:rPr>
          <w:rFonts w:ascii="Book Antiqua" w:hAnsi="Book Antiqua" w:cs="Arial"/>
          <w:b/>
          <w:noProof/>
          <w:sz w:val="24"/>
          <w:szCs w:val="24"/>
          <w:lang w:val="en-US"/>
        </w:rPr>
        <w:pict>
          <v:shape id="_x0000_i1027" type="#_x0000_t75" style="width:201.6pt;height:161.85pt;visibility:visible">
            <v:imagedata r:id="rId11" o:title=""/>
            <o:lock v:ext="edit" grouping="t"/>
          </v:shape>
        </w:pict>
      </w:r>
      <w:r w:rsidR="001D6A2A" w:rsidRPr="003D034F">
        <w:rPr>
          <w:rFonts w:ascii="Book Antiqua" w:hAnsi="Book Antiqua"/>
          <w:noProof/>
          <w:sz w:val="24"/>
          <w:szCs w:val="24"/>
          <w:lang w:val="en-US" w:eastAsia="zh-CN"/>
        </w:rPr>
        <w:t xml:space="preserve"> </w:t>
      </w:r>
      <w:r w:rsidRPr="003D034F">
        <w:rPr>
          <w:rFonts w:ascii="Book Antiqua" w:hAnsi="Book Antiqua" w:cs="Arial"/>
          <w:b/>
          <w:noProof/>
          <w:sz w:val="24"/>
          <w:szCs w:val="24"/>
          <w:lang w:val="en-US"/>
        </w:rPr>
        <w:pict>
          <v:shape id="_x0000_i1028" type="#_x0000_t75" style="width:206.2pt;height:160.7pt;visibility:visible">
            <v:imagedata r:id="rId12" o:title=""/>
          </v:shape>
        </w:pict>
      </w:r>
    </w:p>
    <w:p w:rsidR="001D6A2A" w:rsidRPr="003D034F" w:rsidRDefault="001D6A2A" w:rsidP="003D034F">
      <w:pPr>
        <w:widowControl w:val="0"/>
        <w:autoSpaceDE w:val="0"/>
        <w:autoSpaceDN w:val="0"/>
        <w:adjustRightInd w:val="0"/>
        <w:spacing w:after="0" w:line="360" w:lineRule="auto"/>
        <w:ind w:left="640" w:hanging="640"/>
        <w:jc w:val="both"/>
        <w:rPr>
          <w:rFonts w:ascii="Book Antiqua" w:hAnsi="Book Antiqua" w:cs="Arial"/>
          <w:b/>
          <w:sz w:val="24"/>
          <w:szCs w:val="24"/>
          <w:lang w:val="en-US" w:eastAsia="zh-CN"/>
        </w:rPr>
      </w:pPr>
    </w:p>
    <w:p w:rsidR="001D6A2A" w:rsidRPr="003D034F" w:rsidRDefault="001D6A2A" w:rsidP="003D034F">
      <w:pPr>
        <w:widowControl w:val="0"/>
        <w:autoSpaceDE w:val="0"/>
        <w:autoSpaceDN w:val="0"/>
        <w:adjustRightInd w:val="0"/>
        <w:spacing w:after="0" w:line="360" w:lineRule="auto"/>
        <w:ind w:left="640" w:hanging="640"/>
        <w:jc w:val="both"/>
        <w:rPr>
          <w:rFonts w:ascii="Book Antiqua" w:hAnsi="Book Antiqua" w:cs="Arial"/>
          <w:b/>
          <w:sz w:val="24"/>
          <w:szCs w:val="24"/>
          <w:lang w:eastAsia="zh-CN"/>
        </w:rPr>
      </w:pPr>
      <w:r w:rsidRPr="003D034F">
        <w:rPr>
          <w:rFonts w:ascii="Book Antiqua" w:hAnsi="Book Antiqua" w:cs="Arial"/>
          <w:b/>
          <w:sz w:val="24"/>
          <w:szCs w:val="24"/>
          <w:lang w:val="en-US" w:eastAsia="zh-CN"/>
        </w:rPr>
        <w:t xml:space="preserve">Figure </w:t>
      </w:r>
      <w:r w:rsidR="00AF373E" w:rsidRPr="003D034F">
        <w:rPr>
          <w:rFonts w:ascii="Book Antiqua" w:hAnsi="Book Antiqua" w:cs="Arial"/>
          <w:b/>
          <w:sz w:val="24"/>
          <w:szCs w:val="24"/>
          <w:lang w:val="en-US" w:eastAsia="zh-CN"/>
        </w:rPr>
        <w:t>2</w:t>
      </w:r>
      <w:r w:rsidRPr="003D034F">
        <w:rPr>
          <w:rFonts w:ascii="Book Antiqua" w:hAnsi="Book Antiqua" w:cs="Arial"/>
          <w:b/>
          <w:sz w:val="24"/>
          <w:szCs w:val="24"/>
          <w:lang w:val="en-US" w:eastAsia="zh-CN"/>
        </w:rPr>
        <w:t xml:space="preserve"> </w:t>
      </w:r>
      <w:r w:rsidRPr="003D034F">
        <w:rPr>
          <w:rFonts w:ascii="Book Antiqua" w:hAnsi="Book Antiqua" w:cs="Arial"/>
          <w:b/>
          <w:sz w:val="24"/>
          <w:szCs w:val="24"/>
          <w:lang w:eastAsia="zh-CN"/>
        </w:rPr>
        <w:t>Esophageal ulcers in a patient with Crohn’s disease.</w:t>
      </w:r>
    </w:p>
    <w:p w:rsidR="001D6A2A" w:rsidRPr="003D034F" w:rsidRDefault="001D6A2A" w:rsidP="003D034F">
      <w:pPr>
        <w:widowControl w:val="0"/>
        <w:autoSpaceDE w:val="0"/>
        <w:autoSpaceDN w:val="0"/>
        <w:adjustRightInd w:val="0"/>
        <w:spacing w:after="0" w:line="360" w:lineRule="auto"/>
        <w:ind w:left="640" w:hanging="640"/>
        <w:jc w:val="both"/>
        <w:rPr>
          <w:rFonts w:ascii="Book Antiqua" w:hAnsi="Book Antiqua" w:cs="Arial"/>
          <w:b/>
          <w:sz w:val="24"/>
          <w:szCs w:val="24"/>
          <w:lang w:eastAsia="zh-CN"/>
        </w:rPr>
      </w:pPr>
      <w:r w:rsidRPr="003D034F">
        <w:rPr>
          <w:rFonts w:ascii="Book Antiqua" w:hAnsi="Book Antiqua" w:cs="Arial"/>
          <w:b/>
          <w:sz w:val="24"/>
          <w:szCs w:val="24"/>
          <w:lang w:eastAsia="zh-CN"/>
        </w:rPr>
        <w:br w:type="page"/>
      </w:r>
    </w:p>
    <w:p w:rsidR="001D6A2A" w:rsidRPr="003D034F" w:rsidRDefault="005E329F" w:rsidP="003D034F">
      <w:pPr>
        <w:widowControl w:val="0"/>
        <w:autoSpaceDE w:val="0"/>
        <w:autoSpaceDN w:val="0"/>
        <w:adjustRightInd w:val="0"/>
        <w:spacing w:after="0" w:line="360" w:lineRule="auto"/>
        <w:ind w:left="640" w:hanging="640"/>
        <w:jc w:val="both"/>
        <w:rPr>
          <w:rFonts w:ascii="Book Antiqua" w:hAnsi="Book Antiqua" w:cs="Arial"/>
          <w:b/>
          <w:sz w:val="24"/>
          <w:szCs w:val="24"/>
          <w:lang w:val="en-US" w:eastAsia="zh-CN"/>
        </w:rPr>
      </w:pPr>
      <w:r w:rsidRPr="003D034F">
        <w:rPr>
          <w:rFonts w:ascii="Book Antiqua" w:hAnsi="Book Antiqua" w:cs="Arial"/>
          <w:b/>
          <w:noProof/>
          <w:sz w:val="24"/>
          <w:szCs w:val="24"/>
          <w:lang w:val="en-US" w:eastAsia="zh-CN"/>
        </w:rPr>
        <w:pict>
          <v:shape id="_x0000_i1029" type="#_x0000_t75" style="width:223.5pt;height:171.65pt;visibility:visible">
            <v:imagedata r:id="rId13" o:title=""/>
            <o:lock v:ext="edit" grouping="t"/>
          </v:shape>
        </w:pict>
      </w:r>
    </w:p>
    <w:p w:rsidR="001D6A2A" w:rsidRPr="003D034F" w:rsidRDefault="001D6A2A" w:rsidP="003D034F">
      <w:pPr>
        <w:widowControl w:val="0"/>
        <w:autoSpaceDE w:val="0"/>
        <w:autoSpaceDN w:val="0"/>
        <w:adjustRightInd w:val="0"/>
        <w:spacing w:after="0" w:line="360" w:lineRule="auto"/>
        <w:ind w:left="640" w:hanging="640"/>
        <w:jc w:val="both"/>
        <w:rPr>
          <w:rFonts w:ascii="Book Antiqua" w:hAnsi="Book Antiqua" w:cs="Arial"/>
          <w:b/>
          <w:sz w:val="24"/>
          <w:szCs w:val="24"/>
          <w:lang w:val="en-US" w:eastAsia="zh-CN"/>
        </w:rPr>
      </w:pPr>
    </w:p>
    <w:p w:rsidR="001D6A2A" w:rsidRPr="003D034F" w:rsidRDefault="001D6A2A" w:rsidP="003D034F">
      <w:pPr>
        <w:widowControl w:val="0"/>
        <w:autoSpaceDE w:val="0"/>
        <w:autoSpaceDN w:val="0"/>
        <w:adjustRightInd w:val="0"/>
        <w:spacing w:after="0" w:line="360" w:lineRule="auto"/>
        <w:ind w:left="640" w:hanging="640"/>
        <w:jc w:val="both"/>
        <w:rPr>
          <w:rFonts w:ascii="Book Antiqua" w:hAnsi="Book Antiqua" w:cs="Arial"/>
          <w:b/>
          <w:sz w:val="24"/>
          <w:szCs w:val="24"/>
          <w:lang w:eastAsia="zh-CN"/>
        </w:rPr>
      </w:pPr>
      <w:r w:rsidRPr="003D034F">
        <w:rPr>
          <w:rFonts w:ascii="Book Antiqua" w:hAnsi="Book Antiqua" w:cs="Arial"/>
          <w:b/>
          <w:sz w:val="24"/>
          <w:szCs w:val="24"/>
          <w:lang w:eastAsia="zh-CN"/>
        </w:rPr>
        <w:t xml:space="preserve">Figure </w:t>
      </w:r>
      <w:r w:rsidR="00AF373E" w:rsidRPr="003D034F">
        <w:rPr>
          <w:rFonts w:ascii="Book Antiqua" w:hAnsi="Book Antiqua" w:cs="Arial"/>
          <w:b/>
          <w:sz w:val="24"/>
          <w:szCs w:val="24"/>
          <w:lang w:eastAsia="zh-CN"/>
        </w:rPr>
        <w:t>3</w:t>
      </w:r>
      <w:r w:rsidRPr="003D034F">
        <w:rPr>
          <w:rFonts w:ascii="Book Antiqua" w:hAnsi="Book Antiqua" w:cs="Arial"/>
          <w:b/>
          <w:sz w:val="24"/>
          <w:szCs w:val="24"/>
          <w:lang w:eastAsia="zh-CN"/>
        </w:rPr>
        <w:t xml:space="preserve"> Pre-pyloric gastric ulcer in a patient with Crohn’s disease.</w:t>
      </w:r>
    </w:p>
    <w:p w:rsidR="001D6A2A" w:rsidRPr="003D034F" w:rsidRDefault="001D6A2A" w:rsidP="003D034F">
      <w:pPr>
        <w:widowControl w:val="0"/>
        <w:autoSpaceDE w:val="0"/>
        <w:autoSpaceDN w:val="0"/>
        <w:adjustRightInd w:val="0"/>
        <w:spacing w:after="0" w:line="360" w:lineRule="auto"/>
        <w:ind w:left="640" w:hanging="640"/>
        <w:jc w:val="both"/>
        <w:rPr>
          <w:rFonts w:ascii="Book Antiqua" w:hAnsi="Book Antiqua" w:cs="Arial"/>
          <w:b/>
          <w:sz w:val="24"/>
          <w:szCs w:val="24"/>
          <w:lang w:eastAsia="zh-CN"/>
        </w:rPr>
      </w:pPr>
    </w:p>
    <w:p w:rsidR="001D6A2A" w:rsidRPr="003D034F" w:rsidRDefault="001D6A2A" w:rsidP="003D034F">
      <w:pPr>
        <w:widowControl w:val="0"/>
        <w:autoSpaceDE w:val="0"/>
        <w:autoSpaceDN w:val="0"/>
        <w:adjustRightInd w:val="0"/>
        <w:spacing w:after="0" w:line="360" w:lineRule="auto"/>
        <w:jc w:val="both"/>
        <w:rPr>
          <w:rFonts w:ascii="Book Antiqua" w:hAnsi="Book Antiqua" w:cs="Arial"/>
          <w:b/>
          <w:sz w:val="24"/>
          <w:szCs w:val="24"/>
          <w:lang w:val="en-US" w:eastAsia="zh-CN"/>
        </w:rPr>
      </w:pPr>
    </w:p>
    <w:sectPr w:rsidR="001D6A2A" w:rsidRPr="003D034F" w:rsidSect="00056AC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233" w:rsidRDefault="00F90233" w:rsidP="004D3AA7">
      <w:pPr>
        <w:spacing w:after="0" w:line="240" w:lineRule="auto"/>
      </w:pPr>
      <w:r>
        <w:separator/>
      </w:r>
    </w:p>
  </w:endnote>
  <w:endnote w:type="continuationSeparator" w:id="0">
    <w:p w:rsidR="00F90233" w:rsidRDefault="00F90233" w:rsidP="004D3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Garamond-Bold">
    <w:charset w:val="00"/>
    <w:family w:val="auto"/>
    <w:pitch w:val="variable"/>
    <w:sig w:usb0="00000287" w:usb1="00000000" w:usb2="00000000" w:usb3="00000000" w:csb0="0000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AdvTimes">
    <w:altName w:val="MingLiU"/>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233" w:rsidRDefault="00F90233" w:rsidP="004D3AA7">
      <w:pPr>
        <w:spacing w:after="0" w:line="240" w:lineRule="auto"/>
      </w:pPr>
      <w:r>
        <w:separator/>
      </w:r>
    </w:p>
  </w:footnote>
  <w:footnote w:type="continuationSeparator" w:id="0">
    <w:p w:rsidR="00F90233" w:rsidRDefault="00F90233" w:rsidP="004D3A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70629"/>
    <w:multiLevelType w:val="multilevel"/>
    <w:tmpl w:val="E1F8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136EFA"/>
    <w:multiLevelType w:val="hybridMultilevel"/>
    <w:tmpl w:val="D03E646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EE31E05"/>
    <w:multiLevelType w:val="hybridMultilevel"/>
    <w:tmpl w:val="CBB0B0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0B415D4"/>
    <w:multiLevelType w:val="hybridMultilevel"/>
    <w:tmpl w:val="7F0ED4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B753AA3"/>
    <w:multiLevelType w:val="hybridMultilevel"/>
    <w:tmpl w:val="38BC0C7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70E67110"/>
    <w:multiLevelType w:val="multilevel"/>
    <w:tmpl w:val="622805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MachineID" w:val="189|207|197|188|207|197|198|207|197|202|190|197|198|204|197|206|199|"/>
    <w:docVar w:name="Username" w:val="Quality Control Editor"/>
  </w:docVars>
  <w:rsids>
    <w:rsidRoot w:val="003832B0"/>
    <w:rsid w:val="00000075"/>
    <w:rsid w:val="000006D9"/>
    <w:rsid w:val="00000710"/>
    <w:rsid w:val="000018D3"/>
    <w:rsid w:val="00001A72"/>
    <w:rsid w:val="000029AA"/>
    <w:rsid w:val="000029B1"/>
    <w:rsid w:val="00002B6E"/>
    <w:rsid w:val="00002D2B"/>
    <w:rsid w:val="00003CDD"/>
    <w:rsid w:val="00003DD7"/>
    <w:rsid w:val="0000537E"/>
    <w:rsid w:val="00005D69"/>
    <w:rsid w:val="00005D72"/>
    <w:rsid w:val="00006B69"/>
    <w:rsid w:val="00006ECB"/>
    <w:rsid w:val="000071E5"/>
    <w:rsid w:val="00007299"/>
    <w:rsid w:val="000078B2"/>
    <w:rsid w:val="000110B4"/>
    <w:rsid w:val="000116D3"/>
    <w:rsid w:val="00011728"/>
    <w:rsid w:val="00012046"/>
    <w:rsid w:val="0001350F"/>
    <w:rsid w:val="00014B8D"/>
    <w:rsid w:val="0001652A"/>
    <w:rsid w:val="000170FF"/>
    <w:rsid w:val="0002002E"/>
    <w:rsid w:val="00020C79"/>
    <w:rsid w:val="000221D7"/>
    <w:rsid w:val="00022FE8"/>
    <w:rsid w:val="000237B6"/>
    <w:rsid w:val="000239BB"/>
    <w:rsid w:val="00023DF2"/>
    <w:rsid w:val="0002410D"/>
    <w:rsid w:val="00024853"/>
    <w:rsid w:val="00024EDF"/>
    <w:rsid w:val="00026ACF"/>
    <w:rsid w:val="000270C5"/>
    <w:rsid w:val="00027206"/>
    <w:rsid w:val="0003167F"/>
    <w:rsid w:val="000323F3"/>
    <w:rsid w:val="00033B43"/>
    <w:rsid w:val="000344A8"/>
    <w:rsid w:val="000354C9"/>
    <w:rsid w:val="0003592B"/>
    <w:rsid w:val="000362DE"/>
    <w:rsid w:val="00036B90"/>
    <w:rsid w:val="000375F5"/>
    <w:rsid w:val="000403BF"/>
    <w:rsid w:val="000417D9"/>
    <w:rsid w:val="00042240"/>
    <w:rsid w:val="00042571"/>
    <w:rsid w:val="000445EF"/>
    <w:rsid w:val="00045E0F"/>
    <w:rsid w:val="0004696F"/>
    <w:rsid w:val="00046F9D"/>
    <w:rsid w:val="000470C2"/>
    <w:rsid w:val="0004779C"/>
    <w:rsid w:val="00047DC8"/>
    <w:rsid w:val="00050221"/>
    <w:rsid w:val="00050E26"/>
    <w:rsid w:val="0005143C"/>
    <w:rsid w:val="000521EC"/>
    <w:rsid w:val="00052886"/>
    <w:rsid w:val="00052EAF"/>
    <w:rsid w:val="00053422"/>
    <w:rsid w:val="00054164"/>
    <w:rsid w:val="0005433C"/>
    <w:rsid w:val="00054F1E"/>
    <w:rsid w:val="00055624"/>
    <w:rsid w:val="00055766"/>
    <w:rsid w:val="00055FDC"/>
    <w:rsid w:val="000560FA"/>
    <w:rsid w:val="00056AC0"/>
    <w:rsid w:val="00056F74"/>
    <w:rsid w:val="00057099"/>
    <w:rsid w:val="000603D3"/>
    <w:rsid w:val="00060686"/>
    <w:rsid w:val="00060F5A"/>
    <w:rsid w:val="00062E57"/>
    <w:rsid w:val="000632E2"/>
    <w:rsid w:val="00064617"/>
    <w:rsid w:val="00064C54"/>
    <w:rsid w:val="000670DB"/>
    <w:rsid w:val="00067511"/>
    <w:rsid w:val="000715F4"/>
    <w:rsid w:val="000735AE"/>
    <w:rsid w:val="00073829"/>
    <w:rsid w:val="000738D6"/>
    <w:rsid w:val="00074C55"/>
    <w:rsid w:val="0007740B"/>
    <w:rsid w:val="00080192"/>
    <w:rsid w:val="00080794"/>
    <w:rsid w:val="00081128"/>
    <w:rsid w:val="0008209A"/>
    <w:rsid w:val="00082A3D"/>
    <w:rsid w:val="00082A96"/>
    <w:rsid w:val="000848B9"/>
    <w:rsid w:val="0008585C"/>
    <w:rsid w:val="00086983"/>
    <w:rsid w:val="00087622"/>
    <w:rsid w:val="000876C1"/>
    <w:rsid w:val="000878F8"/>
    <w:rsid w:val="000900FA"/>
    <w:rsid w:val="00090BB2"/>
    <w:rsid w:val="00092667"/>
    <w:rsid w:val="00092714"/>
    <w:rsid w:val="00092D96"/>
    <w:rsid w:val="00092EAC"/>
    <w:rsid w:val="000935E6"/>
    <w:rsid w:val="000940FA"/>
    <w:rsid w:val="0009596A"/>
    <w:rsid w:val="00097E89"/>
    <w:rsid w:val="000A0644"/>
    <w:rsid w:val="000A1173"/>
    <w:rsid w:val="000A15DE"/>
    <w:rsid w:val="000A360C"/>
    <w:rsid w:val="000A46D4"/>
    <w:rsid w:val="000A4855"/>
    <w:rsid w:val="000A497C"/>
    <w:rsid w:val="000A5B62"/>
    <w:rsid w:val="000A6415"/>
    <w:rsid w:val="000A69E6"/>
    <w:rsid w:val="000A78A3"/>
    <w:rsid w:val="000B0E16"/>
    <w:rsid w:val="000B14D3"/>
    <w:rsid w:val="000B172D"/>
    <w:rsid w:val="000B1EA3"/>
    <w:rsid w:val="000B210F"/>
    <w:rsid w:val="000B21FF"/>
    <w:rsid w:val="000B3899"/>
    <w:rsid w:val="000B3963"/>
    <w:rsid w:val="000B4F49"/>
    <w:rsid w:val="000B63AA"/>
    <w:rsid w:val="000B6A24"/>
    <w:rsid w:val="000B7401"/>
    <w:rsid w:val="000B7A72"/>
    <w:rsid w:val="000B7DD6"/>
    <w:rsid w:val="000C00CE"/>
    <w:rsid w:val="000C2D40"/>
    <w:rsid w:val="000C4099"/>
    <w:rsid w:val="000C51A6"/>
    <w:rsid w:val="000C5AB0"/>
    <w:rsid w:val="000C5BC8"/>
    <w:rsid w:val="000C66CA"/>
    <w:rsid w:val="000C79C7"/>
    <w:rsid w:val="000C7D32"/>
    <w:rsid w:val="000D0CA8"/>
    <w:rsid w:val="000D0D29"/>
    <w:rsid w:val="000D1461"/>
    <w:rsid w:val="000D1DF0"/>
    <w:rsid w:val="000D53E4"/>
    <w:rsid w:val="000D5A55"/>
    <w:rsid w:val="000D6D80"/>
    <w:rsid w:val="000D7849"/>
    <w:rsid w:val="000E0568"/>
    <w:rsid w:val="000E0575"/>
    <w:rsid w:val="000E058A"/>
    <w:rsid w:val="000E06D2"/>
    <w:rsid w:val="000E0A24"/>
    <w:rsid w:val="000E223A"/>
    <w:rsid w:val="000E23CE"/>
    <w:rsid w:val="000E4F0C"/>
    <w:rsid w:val="000E5332"/>
    <w:rsid w:val="000F097D"/>
    <w:rsid w:val="000F0C1B"/>
    <w:rsid w:val="000F14F5"/>
    <w:rsid w:val="000F2601"/>
    <w:rsid w:val="000F3C37"/>
    <w:rsid w:val="000F3CA2"/>
    <w:rsid w:val="000F445A"/>
    <w:rsid w:val="000F5964"/>
    <w:rsid w:val="000F60AF"/>
    <w:rsid w:val="000F61CC"/>
    <w:rsid w:val="000F6935"/>
    <w:rsid w:val="000F6A23"/>
    <w:rsid w:val="000F6DC1"/>
    <w:rsid w:val="000F7059"/>
    <w:rsid w:val="001001BA"/>
    <w:rsid w:val="00100814"/>
    <w:rsid w:val="00100F36"/>
    <w:rsid w:val="00101921"/>
    <w:rsid w:val="00102684"/>
    <w:rsid w:val="00103D4F"/>
    <w:rsid w:val="00104201"/>
    <w:rsid w:val="0010588C"/>
    <w:rsid w:val="001059A3"/>
    <w:rsid w:val="001064A8"/>
    <w:rsid w:val="001106CB"/>
    <w:rsid w:val="0011086F"/>
    <w:rsid w:val="00110C43"/>
    <w:rsid w:val="00111CEF"/>
    <w:rsid w:val="0011238B"/>
    <w:rsid w:val="00112922"/>
    <w:rsid w:val="00113417"/>
    <w:rsid w:val="0011461D"/>
    <w:rsid w:val="001147B4"/>
    <w:rsid w:val="00114883"/>
    <w:rsid w:val="001152EC"/>
    <w:rsid w:val="00115684"/>
    <w:rsid w:val="00115927"/>
    <w:rsid w:val="00115A48"/>
    <w:rsid w:val="00116533"/>
    <w:rsid w:val="00117BC2"/>
    <w:rsid w:val="001209A6"/>
    <w:rsid w:val="00120E0F"/>
    <w:rsid w:val="001229A4"/>
    <w:rsid w:val="00124D6A"/>
    <w:rsid w:val="00124F2C"/>
    <w:rsid w:val="00125EFD"/>
    <w:rsid w:val="00126902"/>
    <w:rsid w:val="00127118"/>
    <w:rsid w:val="00127EAD"/>
    <w:rsid w:val="00127F1F"/>
    <w:rsid w:val="0013018E"/>
    <w:rsid w:val="001313CA"/>
    <w:rsid w:val="00131694"/>
    <w:rsid w:val="00132191"/>
    <w:rsid w:val="00132F9B"/>
    <w:rsid w:val="001346FA"/>
    <w:rsid w:val="00134CB8"/>
    <w:rsid w:val="00135223"/>
    <w:rsid w:val="001356B4"/>
    <w:rsid w:val="00135970"/>
    <w:rsid w:val="00135DD2"/>
    <w:rsid w:val="00136E72"/>
    <w:rsid w:val="00136F11"/>
    <w:rsid w:val="00137435"/>
    <w:rsid w:val="00141DF6"/>
    <w:rsid w:val="00142E67"/>
    <w:rsid w:val="00142F0F"/>
    <w:rsid w:val="00145189"/>
    <w:rsid w:val="00145530"/>
    <w:rsid w:val="001463E4"/>
    <w:rsid w:val="00146B41"/>
    <w:rsid w:val="0015080D"/>
    <w:rsid w:val="001511C5"/>
    <w:rsid w:val="00151416"/>
    <w:rsid w:val="00151895"/>
    <w:rsid w:val="0015240A"/>
    <w:rsid w:val="001526B4"/>
    <w:rsid w:val="001529DB"/>
    <w:rsid w:val="00152C79"/>
    <w:rsid w:val="00152E1B"/>
    <w:rsid w:val="00153781"/>
    <w:rsid w:val="00153816"/>
    <w:rsid w:val="001538FE"/>
    <w:rsid w:val="00153C25"/>
    <w:rsid w:val="00154512"/>
    <w:rsid w:val="00160442"/>
    <w:rsid w:val="00161D6E"/>
    <w:rsid w:val="0016395F"/>
    <w:rsid w:val="00164E6B"/>
    <w:rsid w:val="00164EA1"/>
    <w:rsid w:val="00165E4C"/>
    <w:rsid w:val="00166D9F"/>
    <w:rsid w:val="001679E5"/>
    <w:rsid w:val="00167D8E"/>
    <w:rsid w:val="00167DCF"/>
    <w:rsid w:val="001700DC"/>
    <w:rsid w:val="00170EE4"/>
    <w:rsid w:val="00170F41"/>
    <w:rsid w:val="001711B1"/>
    <w:rsid w:val="00174349"/>
    <w:rsid w:val="00174EC3"/>
    <w:rsid w:val="001756EB"/>
    <w:rsid w:val="00175850"/>
    <w:rsid w:val="00176A4D"/>
    <w:rsid w:val="0017771D"/>
    <w:rsid w:val="001778C0"/>
    <w:rsid w:val="00177A6F"/>
    <w:rsid w:val="001802B5"/>
    <w:rsid w:val="00180579"/>
    <w:rsid w:val="00180FD4"/>
    <w:rsid w:val="00181DA6"/>
    <w:rsid w:val="00184F79"/>
    <w:rsid w:val="00185ED3"/>
    <w:rsid w:val="00185FAC"/>
    <w:rsid w:val="001871E9"/>
    <w:rsid w:val="00187764"/>
    <w:rsid w:val="00187F03"/>
    <w:rsid w:val="00191406"/>
    <w:rsid w:val="00192362"/>
    <w:rsid w:val="00192E00"/>
    <w:rsid w:val="001933CE"/>
    <w:rsid w:val="00193995"/>
    <w:rsid w:val="00194FA9"/>
    <w:rsid w:val="00195AAF"/>
    <w:rsid w:val="0019636C"/>
    <w:rsid w:val="001972C6"/>
    <w:rsid w:val="001973FF"/>
    <w:rsid w:val="0019782D"/>
    <w:rsid w:val="001A148C"/>
    <w:rsid w:val="001A1D8C"/>
    <w:rsid w:val="001A2063"/>
    <w:rsid w:val="001A4C16"/>
    <w:rsid w:val="001A5576"/>
    <w:rsid w:val="001A59DF"/>
    <w:rsid w:val="001A5AB0"/>
    <w:rsid w:val="001A76CC"/>
    <w:rsid w:val="001A785A"/>
    <w:rsid w:val="001B0044"/>
    <w:rsid w:val="001B070C"/>
    <w:rsid w:val="001B16BA"/>
    <w:rsid w:val="001B1A66"/>
    <w:rsid w:val="001B1FC3"/>
    <w:rsid w:val="001B27E6"/>
    <w:rsid w:val="001B2D73"/>
    <w:rsid w:val="001B2E6A"/>
    <w:rsid w:val="001B2FB2"/>
    <w:rsid w:val="001B36AA"/>
    <w:rsid w:val="001B3B91"/>
    <w:rsid w:val="001B3C32"/>
    <w:rsid w:val="001B4B8D"/>
    <w:rsid w:val="001B4EFF"/>
    <w:rsid w:val="001B52AE"/>
    <w:rsid w:val="001B56CB"/>
    <w:rsid w:val="001B5794"/>
    <w:rsid w:val="001B65A9"/>
    <w:rsid w:val="001B70BB"/>
    <w:rsid w:val="001B71FB"/>
    <w:rsid w:val="001C0E67"/>
    <w:rsid w:val="001C11E8"/>
    <w:rsid w:val="001C1E1E"/>
    <w:rsid w:val="001C2A02"/>
    <w:rsid w:val="001C3047"/>
    <w:rsid w:val="001C355B"/>
    <w:rsid w:val="001C4999"/>
    <w:rsid w:val="001C5212"/>
    <w:rsid w:val="001D03FB"/>
    <w:rsid w:val="001D0BC0"/>
    <w:rsid w:val="001D0E8E"/>
    <w:rsid w:val="001D1546"/>
    <w:rsid w:val="001D166B"/>
    <w:rsid w:val="001D1FCA"/>
    <w:rsid w:val="001D2D18"/>
    <w:rsid w:val="001D3036"/>
    <w:rsid w:val="001D3237"/>
    <w:rsid w:val="001D32B6"/>
    <w:rsid w:val="001D470A"/>
    <w:rsid w:val="001D4F52"/>
    <w:rsid w:val="001D5A52"/>
    <w:rsid w:val="001D63A8"/>
    <w:rsid w:val="001D6A2A"/>
    <w:rsid w:val="001D7F84"/>
    <w:rsid w:val="001E13E9"/>
    <w:rsid w:val="001E1465"/>
    <w:rsid w:val="001E201B"/>
    <w:rsid w:val="001E26AC"/>
    <w:rsid w:val="001E2F09"/>
    <w:rsid w:val="001E3066"/>
    <w:rsid w:val="001E3FDE"/>
    <w:rsid w:val="001E4929"/>
    <w:rsid w:val="001E4B17"/>
    <w:rsid w:val="001E67D8"/>
    <w:rsid w:val="001E76DD"/>
    <w:rsid w:val="001F0157"/>
    <w:rsid w:val="001F0C81"/>
    <w:rsid w:val="001F27DA"/>
    <w:rsid w:val="001F2C3B"/>
    <w:rsid w:val="001F4F0F"/>
    <w:rsid w:val="001F532E"/>
    <w:rsid w:val="001F569E"/>
    <w:rsid w:val="001F56FF"/>
    <w:rsid w:val="001F5DA8"/>
    <w:rsid w:val="001F6AE4"/>
    <w:rsid w:val="001F6C36"/>
    <w:rsid w:val="002009DA"/>
    <w:rsid w:val="00201937"/>
    <w:rsid w:val="00201D4A"/>
    <w:rsid w:val="002023A7"/>
    <w:rsid w:val="00203574"/>
    <w:rsid w:val="00203A73"/>
    <w:rsid w:val="00203E12"/>
    <w:rsid w:val="002058C2"/>
    <w:rsid w:val="00206FF8"/>
    <w:rsid w:val="0020740C"/>
    <w:rsid w:val="0021020A"/>
    <w:rsid w:val="00210244"/>
    <w:rsid w:val="002103EB"/>
    <w:rsid w:val="00210628"/>
    <w:rsid w:val="002109BD"/>
    <w:rsid w:val="00210BD8"/>
    <w:rsid w:val="00211FF9"/>
    <w:rsid w:val="00213919"/>
    <w:rsid w:val="00214FFE"/>
    <w:rsid w:val="0021622B"/>
    <w:rsid w:val="00216554"/>
    <w:rsid w:val="00216AB0"/>
    <w:rsid w:val="00217343"/>
    <w:rsid w:val="00217A07"/>
    <w:rsid w:val="00217CD2"/>
    <w:rsid w:val="0022015D"/>
    <w:rsid w:val="0022105D"/>
    <w:rsid w:val="002210DE"/>
    <w:rsid w:val="00221AD6"/>
    <w:rsid w:val="00222646"/>
    <w:rsid w:val="00222736"/>
    <w:rsid w:val="00222BC2"/>
    <w:rsid w:val="00224374"/>
    <w:rsid w:val="00224407"/>
    <w:rsid w:val="00225539"/>
    <w:rsid w:val="00225A29"/>
    <w:rsid w:val="002264AE"/>
    <w:rsid w:val="002265C4"/>
    <w:rsid w:val="00226A8B"/>
    <w:rsid w:val="00226F95"/>
    <w:rsid w:val="002272DC"/>
    <w:rsid w:val="0022737B"/>
    <w:rsid w:val="002277F8"/>
    <w:rsid w:val="00227DAD"/>
    <w:rsid w:val="00230427"/>
    <w:rsid w:val="002308B6"/>
    <w:rsid w:val="002310B9"/>
    <w:rsid w:val="00231869"/>
    <w:rsid w:val="00231B7B"/>
    <w:rsid w:val="002322A6"/>
    <w:rsid w:val="00232FEE"/>
    <w:rsid w:val="002339D9"/>
    <w:rsid w:val="00233A6A"/>
    <w:rsid w:val="00234C5D"/>
    <w:rsid w:val="002352BD"/>
    <w:rsid w:val="0023546F"/>
    <w:rsid w:val="00235C01"/>
    <w:rsid w:val="002365F6"/>
    <w:rsid w:val="00237889"/>
    <w:rsid w:val="00237AF7"/>
    <w:rsid w:val="00237D87"/>
    <w:rsid w:val="0024024F"/>
    <w:rsid w:val="0024156C"/>
    <w:rsid w:val="00241EA6"/>
    <w:rsid w:val="002436D7"/>
    <w:rsid w:val="00243E2E"/>
    <w:rsid w:val="00244481"/>
    <w:rsid w:val="00245262"/>
    <w:rsid w:val="00245859"/>
    <w:rsid w:val="00250839"/>
    <w:rsid w:val="00250D01"/>
    <w:rsid w:val="00252079"/>
    <w:rsid w:val="00252C12"/>
    <w:rsid w:val="00252D78"/>
    <w:rsid w:val="0025359C"/>
    <w:rsid w:val="002541F2"/>
    <w:rsid w:val="00254206"/>
    <w:rsid w:val="0025474B"/>
    <w:rsid w:val="00255C6C"/>
    <w:rsid w:val="00255F8A"/>
    <w:rsid w:val="0025673C"/>
    <w:rsid w:val="00256D06"/>
    <w:rsid w:val="00256E4C"/>
    <w:rsid w:val="00260885"/>
    <w:rsid w:val="00261033"/>
    <w:rsid w:val="002611BC"/>
    <w:rsid w:val="002612A4"/>
    <w:rsid w:val="0026267D"/>
    <w:rsid w:val="00263294"/>
    <w:rsid w:val="00263346"/>
    <w:rsid w:val="0026511E"/>
    <w:rsid w:val="00265EF2"/>
    <w:rsid w:val="00265FCD"/>
    <w:rsid w:val="00266158"/>
    <w:rsid w:val="00267134"/>
    <w:rsid w:val="00267272"/>
    <w:rsid w:val="00270114"/>
    <w:rsid w:val="00270B0C"/>
    <w:rsid w:val="00270C1B"/>
    <w:rsid w:val="00270F27"/>
    <w:rsid w:val="00270FFD"/>
    <w:rsid w:val="002718FF"/>
    <w:rsid w:val="00271E26"/>
    <w:rsid w:val="002722B2"/>
    <w:rsid w:val="002728E3"/>
    <w:rsid w:val="0027505F"/>
    <w:rsid w:val="00276179"/>
    <w:rsid w:val="002800C3"/>
    <w:rsid w:val="002808E3"/>
    <w:rsid w:val="00280BB8"/>
    <w:rsid w:val="002810E9"/>
    <w:rsid w:val="00282FF3"/>
    <w:rsid w:val="002834A4"/>
    <w:rsid w:val="00284437"/>
    <w:rsid w:val="002845B1"/>
    <w:rsid w:val="002875BA"/>
    <w:rsid w:val="002878BF"/>
    <w:rsid w:val="00292879"/>
    <w:rsid w:val="002949E6"/>
    <w:rsid w:val="00294D05"/>
    <w:rsid w:val="00294EC6"/>
    <w:rsid w:val="00294EE4"/>
    <w:rsid w:val="00295307"/>
    <w:rsid w:val="00295B0B"/>
    <w:rsid w:val="00295C35"/>
    <w:rsid w:val="0029645D"/>
    <w:rsid w:val="00297005"/>
    <w:rsid w:val="00297E05"/>
    <w:rsid w:val="00297F66"/>
    <w:rsid w:val="002A02B4"/>
    <w:rsid w:val="002A072A"/>
    <w:rsid w:val="002A0B13"/>
    <w:rsid w:val="002A0B85"/>
    <w:rsid w:val="002A1D0C"/>
    <w:rsid w:val="002A235A"/>
    <w:rsid w:val="002A2897"/>
    <w:rsid w:val="002A2D30"/>
    <w:rsid w:val="002A2F38"/>
    <w:rsid w:val="002A3518"/>
    <w:rsid w:val="002A3561"/>
    <w:rsid w:val="002A474E"/>
    <w:rsid w:val="002A4831"/>
    <w:rsid w:val="002A51B9"/>
    <w:rsid w:val="002A5475"/>
    <w:rsid w:val="002A58B2"/>
    <w:rsid w:val="002A6515"/>
    <w:rsid w:val="002A6ECE"/>
    <w:rsid w:val="002B11AD"/>
    <w:rsid w:val="002B13E2"/>
    <w:rsid w:val="002B25DF"/>
    <w:rsid w:val="002B27F8"/>
    <w:rsid w:val="002B29A8"/>
    <w:rsid w:val="002B2E0E"/>
    <w:rsid w:val="002B3F57"/>
    <w:rsid w:val="002B5518"/>
    <w:rsid w:val="002B5BEF"/>
    <w:rsid w:val="002B5F4B"/>
    <w:rsid w:val="002B6427"/>
    <w:rsid w:val="002B771D"/>
    <w:rsid w:val="002B7814"/>
    <w:rsid w:val="002B7E1B"/>
    <w:rsid w:val="002C0C8D"/>
    <w:rsid w:val="002C0D29"/>
    <w:rsid w:val="002C14C3"/>
    <w:rsid w:val="002C2B36"/>
    <w:rsid w:val="002C3EE8"/>
    <w:rsid w:val="002C4794"/>
    <w:rsid w:val="002C4F2E"/>
    <w:rsid w:val="002C67B1"/>
    <w:rsid w:val="002C7111"/>
    <w:rsid w:val="002C76C0"/>
    <w:rsid w:val="002D134F"/>
    <w:rsid w:val="002D1707"/>
    <w:rsid w:val="002D1FE0"/>
    <w:rsid w:val="002D277C"/>
    <w:rsid w:val="002D3756"/>
    <w:rsid w:val="002D4875"/>
    <w:rsid w:val="002D5ED0"/>
    <w:rsid w:val="002D6684"/>
    <w:rsid w:val="002D6964"/>
    <w:rsid w:val="002D7307"/>
    <w:rsid w:val="002D792A"/>
    <w:rsid w:val="002E0BAB"/>
    <w:rsid w:val="002E1755"/>
    <w:rsid w:val="002E18AB"/>
    <w:rsid w:val="002E1BB5"/>
    <w:rsid w:val="002E408D"/>
    <w:rsid w:val="002E4A21"/>
    <w:rsid w:val="002E4FE3"/>
    <w:rsid w:val="002E5089"/>
    <w:rsid w:val="002E5CBB"/>
    <w:rsid w:val="002E611A"/>
    <w:rsid w:val="002E658D"/>
    <w:rsid w:val="002E6D5C"/>
    <w:rsid w:val="002E771A"/>
    <w:rsid w:val="002E7C88"/>
    <w:rsid w:val="002E7FAA"/>
    <w:rsid w:val="002F0173"/>
    <w:rsid w:val="002F05D0"/>
    <w:rsid w:val="002F0798"/>
    <w:rsid w:val="002F0B30"/>
    <w:rsid w:val="002F1155"/>
    <w:rsid w:val="002F116C"/>
    <w:rsid w:val="002F1423"/>
    <w:rsid w:val="002F1EDC"/>
    <w:rsid w:val="002F2164"/>
    <w:rsid w:val="002F24A4"/>
    <w:rsid w:val="002F2CC3"/>
    <w:rsid w:val="002F381B"/>
    <w:rsid w:val="002F3DD1"/>
    <w:rsid w:val="002F41EC"/>
    <w:rsid w:val="002F4428"/>
    <w:rsid w:val="002F4E8A"/>
    <w:rsid w:val="002F52E0"/>
    <w:rsid w:val="002F6354"/>
    <w:rsid w:val="002F6F4E"/>
    <w:rsid w:val="002F756A"/>
    <w:rsid w:val="00300D29"/>
    <w:rsid w:val="00300DDB"/>
    <w:rsid w:val="00302064"/>
    <w:rsid w:val="003029E7"/>
    <w:rsid w:val="00303ACF"/>
    <w:rsid w:val="0030500E"/>
    <w:rsid w:val="003060DC"/>
    <w:rsid w:val="00307A54"/>
    <w:rsid w:val="00307F4E"/>
    <w:rsid w:val="00311FCE"/>
    <w:rsid w:val="00312D33"/>
    <w:rsid w:val="00313B90"/>
    <w:rsid w:val="00313C48"/>
    <w:rsid w:val="00313D9B"/>
    <w:rsid w:val="0031487D"/>
    <w:rsid w:val="003151A5"/>
    <w:rsid w:val="00315290"/>
    <w:rsid w:val="003157C1"/>
    <w:rsid w:val="00315DC2"/>
    <w:rsid w:val="00317787"/>
    <w:rsid w:val="00320300"/>
    <w:rsid w:val="00321400"/>
    <w:rsid w:val="0032174B"/>
    <w:rsid w:val="003218A5"/>
    <w:rsid w:val="00321933"/>
    <w:rsid w:val="0032196E"/>
    <w:rsid w:val="003229DF"/>
    <w:rsid w:val="00323579"/>
    <w:rsid w:val="00323FC3"/>
    <w:rsid w:val="003257F7"/>
    <w:rsid w:val="003301A5"/>
    <w:rsid w:val="00330DF9"/>
    <w:rsid w:val="003314DA"/>
    <w:rsid w:val="00331AE4"/>
    <w:rsid w:val="00331F4E"/>
    <w:rsid w:val="003320E6"/>
    <w:rsid w:val="00332B43"/>
    <w:rsid w:val="003347D5"/>
    <w:rsid w:val="003348CD"/>
    <w:rsid w:val="003348CE"/>
    <w:rsid w:val="00334F50"/>
    <w:rsid w:val="00336DFF"/>
    <w:rsid w:val="003373F8"/>
    <w:rsid w:val="00337B53"/>
    <w:rsid w:val="003405A7"/>
    <w:rsid w:val="003406E2"/>
    <w:rsid w:val="00341207"/>
    <w:rsid w:val="00341FD2"/>
    <w:rsid w:val="00342038"/>
    <w:rsid w:val="0034243D"/>
    <w:rsid w:val="00342742"/>
    <w:rsid w:val="003429D6"/>
    <w:rsid w:val="00342A0A"/>
    <w:rsid w:val="00342DF9"/>
    <w:rsid w:val="00343704"/>
    <w:rsid w:val="00343807"/>
    <w:rsid w:val="00345B25"/>
    <w:rsid w:val="0035028F"/>
    <w:rsid w:val="00350A5D"/>
    <w:rsid w:val="003519D5"/>
    <w:rsid w:val="00352373"/>
    <w:rsid w:val="00353DDB"/>
    <w:rsid w:val="00354538"/>
    <w:rsid w:val="00354D3D"/>
    <w:rsid w:val="00355989"/>
    <w:rsid w:val="00355F80"/>
    <w:rsid w:val="00356E5C"/>
    <w:rsid w:val="00356E8E"/>
    <w:rsid w:val="00360346"/>
    <w:rsid w:val="00361449"/>
    <w:rsid w:val="00362425"/>
    <w:rsid w:val="003636ED"/>
    <w:rsid w:val="003641BD"/>
    <w:rsid w:val="0036436E"/>
    <w:rsid w:val="0036439A"/>
    <w:rsid w:val="003643DD"/>
    <w:rsid w:val="00364C30"/>
    <w:rsid w:val="00364CB4"/>
    <w:rsid w:val="00365FC1"/>
    <w:rsid w:val="003669B5"/>
    <w:rsid w:val="0036722C"/>
    <w:rsid w:val="00367801"/>
    <w:rsid w:val="00370227"/>
    <w:rsid w:val="0037084B"/>
    <w:rsid w:val="00371B09"/>
    <w:rsid w:val="00371E06"/>
    <w:rsid w:val="003729B1"/>
    <w:rsid w:val="00373344"/>
    <w:rsid w:val="0037471F"/>
    <w:rsid w:val="0037613A"/>
    <w:rsid w:val="003767DD"/>
    <w:rsid w:val="00376B90"/>
    <w:rsid w:val="00377186"/>
    <w:rsid w:val="00377283"/>
    <w:rsid w:val="0037754D"/>
    <w:rsid w:val="00377C86"/>
    <w:rsid w:val="00380898"/>
    <w:rsid w:val="00380A75"/>
    <w:rsid w:val="00381188"/>
    <w:rsid w:val="00382191"/>
    <w:rsid w:val="003832B0"/>
    <w:rsid w:val="003834D6"/>
    <w:rsid w:val="00383DA1"/>
    <w:rsid w:val="00383EF1"/>
    <w:rsid w:val="003846C7"/>
    <w:rsid w:val="00384793"/>
    <w:rsid w:val="00384D5F"/>
    <w:rsid w:val="00385639"/>
    <w:rsid w:val="0038599E"/>
    <w:rsid w:val="003862D2"/>
    <w:rsid w:val="003875C1"/>
    <w:rsid w:val="003876E0"/>
    <w:rsid w:val="003900B4"/>
    <w:rsid w:val="00392983"/>
    <w:rsid w:val="0039481F"/>
    <w:rsid w:val="00394A44"/>
    <w:rsid w:val="00395291"/>
    <w:rsid w:val="0039538A"/>
    <w:rsid w:val="003954FE"/>
    <w:rsid w:val="00395DB7"/>
    <w:rsid w:val="00396B3D"/>
    <w:rsid w:val="003A054B"/>
    <w:rsid w:val="003A14EC"/>
    <w:rsid w:val="003A1BBF"/>
    <w:rsid w:val="003A1CED"/>
    <w:rsid w:val="003A38EA"/>
    <w:rsid w:val="003A42AF"/>
    <w:rsid w:val="003A430A"/>
    <w:rsid w:val="003A5BFD"/>
    <w:rsid w:val="003A5DF9"/>
    <w:rsid w:val="003A5F99"/>
    <w:rsid w:val="003A61E2"/>
    <w:rsid w:val="003A709E"/>
    <w:rsid w:val="003A7356"/>
    <w:rsid w:val="003A7C9C"/>
    <w:rsid w:val="003B082E"/>
    <w:rsid w:val="003B1008"/>
    <w:rsid w:val="003B2032"/>
    <w:rsid w:val="003B430C"/>
    <w:rsid w:val="003B4499"/>
    <w:rsid w:val="003B505F"/>
    <w:rsid w:val="003B5C5C"/>
    <w:rsid w:val="003B6E83"/>
    <w:rsid w:val="003B7491"/>
    <w:rsid w:val="003B7E54"/>
    <w:rsid w:val="003C023D"/>
    <w:rsid w:val="003C14A3"/>
    <w:rsid w:val="003C1AED"/>
    <w:rsid w:val="003C2A14"/>
    <w:rsid w:val="003C2CFE"/>
    <w:rsid w:val="003C3E6E"/>
    <w:rsid w:val="003C4350"/>
    <w:rsid w:val="003C4A23"/>
    <w:rsid w:val="003C698B"/>
    <w:rsid w:val="003C6993"/>
    <w:rsid w:val="003C6AD8"/>
    <w:rsid w:val="003C6EF3"/>
    <w:rsid w:val="003D034F"/>
    <w:rsid w:val="003D06EC"/>
    <w:rsid w:val="003D143C"/>
    <w:rsid w:val="003D376F"/>
    <w:rsid w:val="003D457D"/>
    <w:rsid w:val="003D5014"/>
    <w:rsid w:val="003D5165"/>
    <w:rsid w:val="003D534B"/>
    <w:rsid w:val="003D6E2B"/>
    <w:rsid w:val="003D75DD"/>
    <w:rsid w:val="003D77B9"/>
    <w:rsid w:val="003D7E62"/>
    <w:rsid w:val="003E16B3"/>
    <w:rsid w:val="003E16E9"/>
    <w:rsid w:val="003E26DF"/>
    <w:rsid w:val="003E2A89"/>
    <w:rsid w:val="003E30C4"/>
    <w:rsid w:val="003E566C"/>
    <w:rsid w:val="003E58C6"/>
    <w:rsid w:val="003E660A"/>
    <w:rsid w:val="003E6885"/>
    <w:rsid w:val="003E7774"/>
    <w:rsid w:val="003F024D"/>
    <w:rsid w:val="003F16F0"/>
    <w:rsid w:val="003F1853"/>
    <w:rsid w:val="003F1997"/>
    <w:rsid w:val="003F1F3D"/>
    <w:rsid w:val="003F40B5"/>
    <w:rsid w:val="003F41A8"/>
    <w:rsid w:val="003F4AC7"/>
    <w:rsid w:val="003F511B"/>
    <w:rsid w:val="003F5627"/>
    <w:rsid w:val="003F57FD"/>
    <w:rsid w:val="003F63C8"/>
    <w:rsid w:val="003F6826"/>
    <w:rsid w:val="003F692C"/>
    <w:rsid w:val="003F6A65"/>
    <w:rsid w:val="003F6D0C"/>
    <w:rsid w:val="003F7575"/>
    <w:rsid w:val="003F7EA8"/>
    <w:rsid w:val="00400173"/>
    <w:rsid w:val="004027D2"/>
    <w:rsid w:val="004031F7"/>
    <w:rsid w:val="0040371B"/>
    <w:rsid w:val="0040397B"/>
    <w:rsid w:val="004043AF"/>
    <w:rsid w:val="00404B24"/>
    <w:rsid w:val="00404CB5"/>
    <w:rsid w:val="00404F19"/>
    <w:rsid w:val="00405363"/>
    <w:rsid w:val="004055D6"/>
    <w:rsid w:val="00405772"/>
    <w:rsid w:val="00405BF7"/>
    <w:rsid w:val="0040652A"/>
    <w:rsid w:val="004065C8"/>
    <w:rsid w:val="00406C46"/>
    <w:rsid w:val="00406E51"/>
    <w:rsid w:val="00407046"/>
    <w:rsid w:val="004071A7"/>
    <w:rsid w:val="00407DC1"/>
    <w:rsid w:val="00410633"/>
    <w:rsid w:val="00411FC3"/>
    <w:rsid w:val="004121C0"/>
    <w:rsid w:val="004129C1"/>
    <w:rsid w:val="00412F42"/>
    <w:rsid w:val="00414D62"/>
    <w:rsid w:val="00414F90"/>
    <w:rsid w:val="00415240"/>
    <w:rsid w:val="004155B8"/>
    <w:rsid w:val="00416FEB"/>
    <w:rsid w:val="00417820"/>
    <w:rsid w:val="00421C85"/>
    <w:rsid w:val="00421E53"/>
    <w:rsid w:val="004222DE"/>
    <w:rsid w:val="00423219"/>
    <w:rsid w:val="00423D37"/>
    <w:rsid w:val="00424D9E"/>
    <w:rsid w:val="00425F3C"/>
    <w:rsid w:val="004303BB"/>
    <w:rsid w:val="00430F08"/>
    <w:rsid w:val="00431046"/>
    <w:rsid w:val="00431949"/>
    <w:rsid w:val="004319FC"/>
    <w:rsid w:val="0043328E"/>
    <w:rsid w:val="0043489A"/>
    <w:rsid w:val="004349DF"/>
    <w:rsid w:val="00434EBA"/>
    <w:rsid w:val="00435491"/>
    <w:rsid w:val="0043592F"/>
    <w:rsid w:val="00435DD3"/>
    <w:rsid w:val="00436B89"/>
    <w:rsid w:val="00437E44"/>
    <w:rsid w:val="00437F8B"/>
    <w:rsid w:val="00437FC4"/>
    <w:rsid w:val="00440263"/>
    <w:rsid w:val="00441186"/>
    <w:rsid w:val="00441B14"/>
    <w:rsid w:val="00441FA2"/>
    <w:rsid w:val="00442D5A"/>
    <w:rsid w:val="004431E4"/>
    <w:rsid w:val="00444445"/>
    <w:rsid w:val="00444E4D"/>
    <w:rsid w:val="004464D3"/>
    <w:rsid w:val="00447C85"/>
    <w:rsid w:val="004500EA"/>
    <w:rsid w:val="00451C27"/>
    <w:rsid w:val="0045326E"/>
    <w:rsid w:val="0045340D"/>
    <w:rsid w:val="00453478"/>
    <w:rsid w:val="0045369F"/>
    <w:rsid w:val="004537F1"/>
    <w:rsid w:val="00453E00"/>
    <w:rsid w:val="0045404D"/>
    <w:rsid w:val="0045526D"/>
    <w:rsid w:val="00455F12"/>
    <w:rsid w:val="004562FF"/>
    <w:rsid w:val="00456F89"/>
    <w:rsid w:val="00457191"/>
    <w:rsid w:val="004577B8"/>
    <w:rsid w:val="00457AF1"/>
    <w:rsid w:val="00457FA2"/>
    <w:rsid w:val="004607CB"/>
    <w:rsid w:val="00461113"/>
    <w:rsid w:val="00462008"/>
    <w:rsid w:val="0046222F"/>
    <w:rsid w:val="0046265D"/>
    <w:rsid w:val="0046364B"/>
    <w:rsid w:val="004637D1"/>
    <w:rsid w:val="004642C7"/>
    <w:rsid w:val="0046495A"/>
    <w:rsid w:val="00464D48"/>
    <w:rsid w:val="00465A78"/>
    <w:rsid w:val="00465DA1"/>
    <w:rsid w:val="00465DDA"/>
    <w:rsid w:val="004670A8"/>
    <w:rsid w:val="004678D3"/>
    <w:rsid w:val="00470436"/>
    <w:rsid w:val="004704B6"/>
    <w:rsid w:val="00471194"/>
    <w:rsid w:val="0047402A"/>
    <w:rsid w:val="00474206"/>
    <w:rsid w:val="00474682"/>
    <w:rsid w:val="00474737"/>
    <w:rsid w:val="00475890"/>
    <w:rsid w:val="0047615F"/>
    <w:rsid w:val="0047667E"/>
    <w:rsid w:val="00480A4E"/>
    <w:rsid w:val="00480B0E"/>
    <w:rsid w:val="004827A1"/>
    <w:rsid w:val="00482BE5"/>
    <w:rsid w:val="00482C62"/>
    <w:rsid w:val="004838C1"/>
    <w:rsid w:val="00483EBC"/>
    <w:rsid w:val="00483FD4"/>
    <w:rsid w:val="004842CB"/>
    <w:rsid w:val="00484B1B"/>
    <w:rsid w:val="004853A6"/>
    <w:rsid w:val="00485B18"/>
    <w:rsid w:val="00486846"/>
    <w:rsid w:val="00486C57"/>
    <w:rsid w:val="004870C1"/>
    <w:rsid w:val="00487ADC"/>
    <w:rsid w:val="00490175"/>
    <w:rsid w:val="00490351"/>
    <w:rsid w:val="0049055C"/>
    <w:rsid w:val="00490758"/>
    <w:rsid w:val="00492425"/>
    <w:rsid w:val="00492B82"/>
    <w:rsid w:val="00493316"/>
    <w:rsid w:val="00493E5A"/>
    <w:rsid w:val="004945E3"/>
    <w:rsid w:val="00495547"/>
    <w:rsid w:val="00496F9D"/>
    <w:rsid w:val="00497BCA"/>
    <w:rsid w:val="004A20F2"/>
    <w:rsid w:val="004A323E"/>
    <w:rsid w:val="004A3FC2"/>
    <w:rsid w:val="004A4D6F"/>
    <w:rsid w:val="004A5A2F"/>
    <w:rsid w:val="004A664D"/>
    <w:rsid w:val="004A69CD"/>
    <w:rsid w:val="004A6C34"/>
    <w:rsid w:val="004A6CEF"/>
    <w:rsid w:val="004A79F3"/>
    <w:rsid w:val="004A7F54"/>
    <w:rsid w:val="004B0A52"/>
    <w:rsid w:val="004B2965"/>
    <w:rsid w:val="004B38A4"/>
    <w:rsid w:val="004B5324"/>
    <w:rsid w:val="004B557C"/>
    <w:rsid w:val="004B59EB"/>
    <w:rsid w:val="004B60BC"/>
    <w:rsid w:val="004B62C2"/>
    <w:rsid w:val="004C0025"/>
    <w:rsid w:val="004C042B"/>
    <w:rsid w:val="004C0B72"/>
    <w:rsid w:val="004C24BE"/>
    <w:rsid w:val="004C2B97"/>
    <w:rsid w:val="004C2B98"/>
    <w:rsid w:val="004C3551"/>
    <w:rsid w:val="004C37DF"/>
    <w:rsid w:val="004C3980"/>
    <w:rsid w:val="004C3B53"/>
    <w:rsid w:val="004C4766"/>
    <w:rsid w:val="004C534F"/>
    <w:rsid w:val="004C6496"/>
    <w:rsid w:val="004C6CE9"/>
    <w:rsid w:val="004C6EA9"/>
    <w:rsid w:val="004D1899"/>
    <w:rsid w:val="004D2E52"/>
    <w:rsid w:val="004D2FB6"/>
    <w:rsid w:val="004D3257"/>
    <w:rsid w:val="004D3AA7"/>
    <w:rsid w:val="004D3CE1"/>
    <w:rsid w:val="004D4003"/>
    <w:rsid w:val="004D527E"/>
    <w:rsid w:val="004D6EEE"/>
    <w:rsid w:val="004D7CDD"/>
    <w:rsid w:val="004E00F7"/>
    <w:rsid w:val="004E080B"/>
    <w:rsid w:val="004E0E4E"/>
    <w:rsid w:val="004E0F03"/>
    <w:rsid w:val="004E24CC"/>
    <w:rsid w:val="004E4F69"/>
    <w:rsid w:val="004E5968"/>
    <w:rsid w:val="004E59CD"/>
    <w:rsid w:val="004E630C"/>
    <w:rsid w:val="004E67ED"/>
    <w:rsid w:val="004E7247"/>
    <w:rsid w:val="004E7BBC"/>
    <w:rsid w:val="004F04C6"/>
    <w:rsid w:val="004F0AFB"/>
    <w:rsid w:val="004F1903"/>
    <w:rsid w:val="004F1B3D"/>
    <w:rsid w:val="004F3B62"/>
    <w:rsid w:val="004F43CD"/>
    <w:rsid w:val="004F4A77"/>
    <w:rsid w:val="004F5075"/>
    <w:rsid w:val="004F5C6E"/>
    <w:rsid w:val="004F67CE"/>
    <w:rsid w:val="004F68D8"/>
    <w:rsid w:val="004F6BD9"/>
    <w:rsid w:val="004F71D5"/>
    <w:rsid w:val="00500044"/>
    <w:rsid w:val="0050147F"/>
    <w:rsid w:val="00501C98"/>
    <w:rsid w:val="00502130"/>
    <w:rsid w:val="00502BA3"/>
    <w:rsid w:val="00503C46"/>
    <w:rsid w:val="00503F99"/>
    <w:rsid w:val="00504ACA"/>
    <w:rsid w:val="00504DD7"/>
    <w:rsid w:val="005052CB"/>
    <w:rsid w:val="005056FF"/>
    <w:rsid w:val="005066CA"/>
    <w:rsid w:val="005072A1"/>
    <w:rsid w:val="00507C7C"/>
    <w:rsid w:val="00510276"/>
    <w:rsid w:val="0051048D"/>
    <w:rsid w:val="005116EF"/>
    <w:rsid w:val="00512820"/>
    <w:rsid w:val="00512956"/>
    <w:rsid w:val="005129DD"/>
    <w:rsid w:val="00513151"/>
    <w:rsid w:val="005133CE"/>
    <w:rsid w:val="00513686"/>
    <w:rsid w:val="00513A55"/>
    <w:rsid w:val="00513DFE"/>
    <w:rsid w:val="005150AD"/>
    <w:rsid w:val="005158C7"/>
    <w:rsid w:val="005159DB"/>
    <w:rsid w:val="00515C58"/>
    <w:rsid w:val="00516EC3"/>
    <w:rsid w:val="0051711B"/>
    <w:rsid w:val="00517B96"/>
    <w:rsid w:val="00517DDD"/>
    <w:rsid w:val="00520B58"/>
    <w:rsid w:val="005210C3"/>
    <w:rsid w:val="00521400"/>
    <w:rsid w:val="00521A69"/>
    <w:rsid w:val="005229B7"/>
    <w:rsid w:val="00522AB1"/>
    <w:rsid w:val="00523096"/>
    <w:rsid w:val="0052473F"/>
    <w:rsid w:val="00524E5C"/>
    <w:rsid w:val="005257B2"/>
    <w:rsid w:val="00525845"/>
    <w:rsid w:val="005260F8"/>
    <w:rsid w:val="00526457"/>
    <w:rsid w:val="005267A1"/>
    <w:rsid w:val="00526A1C"/>
    <w:rsid w:val="0052758B"/>
    <w:rsid w:val="00527D85"/>
    <w:rsid w:val="005303D8"/>
    <w:rsid w:val="005304E0"/>
    <w:rsid w:val="005309FE"/>
    <w:rsid w:val="0053329A"/>
    <w:rsid w:val="00533604"/>
    <w:rsid w:val="00533614"/>
    <w:rsid w:val="00533AB2"/>
    <w:rsid w:val="00534FD0"/>
    <w:rsid w:val="00535E32"/>
    <w:rsid w:val="005367B5"/>
    <w:rsid w:val="00536C56"/>
    <w:rsid w:val="00537289"/>
    <w:rsid w:val="00537BB6"/>
    <w:rsid w:val="005406EF"/>
    <w:rsid w:val="005408F8"/>
    <w:rsid w:val="00540EB1"/>
    <w:rsid w:val="00540FA2"/>
    <w:rsid w:val="005413CF"/>
    <w:rsid w:val="00541788"/>
    <w:rsid w:val="00543014"/>
    <w:rsid w:val="00543BC0"/>
    <w:rsid w:val="00544190"/>
    <w:rsid w:val="00544813"/>
    <w:rsid w:val="00544D11"/>
    <w:rsid w:val="0054652F"/>
    <w:rsid w:val="0054747E"/>
    <w:rsid w:val="00547715"/>
    <w:rsid w:val="00547A1C"/>
    <w:rsid w:val="00551580"/>
    <w:rsid w:val="00551C2B"/>
    <w:rsid w:val="00551FCC"/>
    <w:rsid w:val="005524A8"/>
    <w:rsid w:val="00554F81"/>
    <w:rsid w:val="005561BB"/>
    <w:rsid w:val="005569A9"/>
    <w:rsid w:val="005603F7"/>
    <w:rsid w:val="00561275"/>
    <w:rsid w:val="00561ABF"/>
    <w:rsid w:val="00561C1F"/>
    <w:rsid w:val="0056211A"/>
    <w:rsid w:val="00562A71"/>
    <w:rsid w:val="00563B31"/>
    <w:rsid w:val="0056402C"/>
    <w:rsid w:val="005643A5"/>
    <w:rsid w:val="005657FB"/>
    <w:rsid w:val="00565BB5"/>
    <w:rsid w:val="00566563"/>
    <w:rsid w:val="005666D5"/>
    <w:rsid w:val="00567318"/>
    <w:rsid w:val="005706BF"/>
    <w:rsid w:val="00570D87"/>
    <w:rsid w:val="00571622"/>
    <w:rsid w:val="00571AF2"/>
    <w:rsid w:val="00572ECB"/>
    <w:rsid w:val="00573450"/>
    <w:rsid w:val="00573997"/>
    <w:rsid w:val="0057494C"/>
    <w:rsid w:val="00574E32"/>
    <w:rsid w:val="00575754"/>
    <w:rsid w:val="005758E8"/>
    <w:rsid w:val="005760EB"/>
    <w:rsid w:val="00580397"/>
    <w:rsid w:val="0058040B"/>
    <w:rsid w:val="00580543"/>
    <w:rsid w:val="0058096D"/>
    <w:rsid w:val="00580B2A"/>
    <w:rsid w:val="00580E73"/>
    <w:rsid w:val="005817E1"/>
    <w:rsid w:val="005825CD"/>
    <w:rsid w:val="005831EB"/>
    <w:rsid w:val="0058322A"/>
    <w:rsid w:val="00583967"/>
    <w:rsid w:val="00585F86"/>
    <w:rsid w:val="00586A52"/>
    <w:rsid w:val="00586BD5"/>
    <w:rsid w:val="00586F6B"/>
    <w:rsid w:val="005912B2"/>
    <w:rsid w:val="005913A7"/>
    <w:rsid w:val="00591CCD"/>
    <w:rsid w:val="00593AB9"/>
    <w:rsid w:val="0059477D"/>
    <w:rsid w:val="00596628"/>
    <w:rsid w:val="00596F85"/>
    <w:rsid w:val="0059755B"/>
    <w:rsid w:val="005A0EF4"/>
    <w:rsid w:val="005A120F"/>
    <w:rsid w:val="005A1C67"/>
    <w:rsid w:val="005A1DD6"/>
    <w:rsid w:val="005A1EB5"/>
    <w:rsid w:val="005A468B"/>
    <w:rsid w:val="005A6098"/>
    <w:rsid w:val="005A6F18"/>
    <w:rsid w:val="005A7A11"/>
    <w:rsid w:val="005B096C"/>
    <w:rsid w:val="005B099C"/>
    <w:rsid w:val="005B0BB2"/>
    <w:rsid w:val="005B0C10"/>
    <w:rsid w:val="005B0D67"/>
    <w:rsid w:val="005B14ED"/>
    <w:rsid w:val="005B1F90"/>
    <w:rsid w:val="005B21E6"/>
    <w:rsid w:val="005B2685"/>
    <w:rsid w:val="005B2B7B"/>
    <w:rsid w:val="005B2C29"/>
    <w:rsid w:val="005B327E"/>
    <w:rsid w:val="005B416E"/>
    <w:rsid w:val="005B43A8"/>
    <w:rsid w:val="005B46CE"/>
    <w:rsid w:val="005B48E4"/>
    <w:rsid w:val="005B4F41"/>
    <w:rsid w:val="005B5858"/>
    <w:rsid w:val="005B653A"/>
    <w:rsid w:val="005B741B"/>
    <w:rsid w:val="005B7B6D"/>
    <w:rsid w:val="005C0014"/>
    <w:rsid w:val="005C0271"/>
    <w:rsid w:val="005C184F"/>
    <w:rsid w:val="005C21DA"/>
    <w:rsid w:val="005C2422"/>
    <w:rsid w:val="005C32D4"/>
    <w:rsid w:val="005C42E2"/>
    <w:rsid w:val="005C524B"/>
    <w:rsid w:val="005C62E1"/>
    <w:rsid w:val="005C66DD"/>
    <w:rsid w:val="005C6907"/>
    <w:rsid w:val="005C6AC7"/>
    <w:rsid w:val="005C7556"/>
    <w:rsid w:val="005C757E"/>
    <w:rsid w:val="005D0573"/>
    <w:rsid w:val="005D089F"/>
    <w:rsid w:val="005D0E11"/>
    <w:rsid w:val="005D1449"/>
    <w:rsid w:val="005D16BC"/>
    <w:rsid w:val="005D1FBD"/>
    <w:rsid w:val="005D337A"/>
    <w:rsid w:val="005D38F4"/>
    <w:rsid w:val="005D3D61"/>
    <w:rsid w:val="005D3E47"/>
    <w:rsid w:val="005D5336"/>
    <w:rsid w:val="005D5689"/>
    <w:rsid w:val="005D597E"/>
    <w:rsid w:val="005D5BAB"/>
    <w:rsid w:val="005D5EB5"/>
    <w:rsid w:val="005D6CEE"/>
    <w:rsid w:val="005D7B7F"/>
    <w:rsid w:val="005D7C93"/>
    <w:rsid w:val="005E0550"/>
    <w:rsid w:val="005E0897"/>
    <w:rsid w:val="005E0D59"/>
    <w:rsid w:val="005E1DC0"/>
    <w:rsid w:val="005E2A8C"/>
    <w:rsid w:val="005E329F"/>
    <w:rsid w:val="005E5CEF"/>
    <w:rsid w:val="005E6168"/>
    <w:rsid w:val="005E667C"/>
    <w:rsid w:val="005E7415"/>
    <w:rsid w:val="005F008C"/>
    <w:rsid w:val="005F03D7"/>
    <w:rsid w:val="005F1A7A"/>
    <w:rsid w:val="005F1D9D"/>
    <w:rsid w:val="005F1F4C"/>
    <w:rsid w:val="005F357E"/>
    <w:rsid w:val="005F3A76"/>
    <w:rsid w:val="005F5535"/>
    <w:rsid w:val="005F5777"/>
    <w:rsid w:val="005F6D09"/>
    <w:rsid w:val="0060046D"/>
    <w:rsid w:val="00600B06"/>
    <w:rsid w:val="00601162"/>
    <w:rsid w:val="006011B9"/>
    <w:rsid w:val="00601419"/>
    <w:rsid w:val="00602607"/>
    <w:rsid w:val="006030F9"/>
    <w:rsid w:val="00604CEA"/>
    <w:rsid w:val="00605DAE"/>
    <w:rsid w:val="00605F11"/>
    <w:rsid w:val="006063CF"/>
    <w:rsid w:val="00606B1C"/>
    <w:rsid w:val="00610115"/>
    <w:rsid w:val="006108BC"/>
    <w:rsid w:val="00610EB5"/>
    <w:rsid w:val="00613259"/>
    <w:rsid w:val="00613FB5"/>
    <w:rsid w:val="0061406D"/>
    <w:rsid w:val="006157E6"/>
    <w:rsid w:val="00616092"/>
    <w:rsid w:val="00617281"/>
    <w:rsid w:val="006177C1"/>
    <w:rsid w:val="0062142D"/>
    <w:rsid w:val="0062149F"/>
    <w:rsid w:val="006230EB"/>
    <w:rsid w:val="006231B5"/>
    <w:rsid w:val="00623372"/>
    <w:rsid w:val="00624635"/>
    <w:rsid w:val="00626577"/>
    <w:rsid w:val="00627308"/>
    <w:rsid w:val="006273DC"/>
    <w:rsid w:val="00630AAF"/>
    <w:rsid w:val="006347E0"/>
    <w:rsid w:val="0063683F"/>
    <w:rsid w:val="00637DD1"/>
    <w:rsid w:val="006410CC"/>
    <w:rsid w:val="006410D5"/>
    <w:rsid w:val="0064124B"/>
    <w:rsid w:val="0064157B"/>
    <w:rsid w:val="00641E2D"/>
    <w:rsid w:val="006420E5"/>
    <w:rsid w:val="00642AF3"/>
    <w:rsid w:val="00644096"/>
    <w:rsid w:val="0064472A"/>
    <w:rsid w:val="0064479E"/>
    <w:rsid w:val="0064586B"/>
    <w:rsid w:val="0064648E"/>
    <w:rsid w:val="006464A7"/>
    <w:rsid w:val="00646911"/>
    <w:rsid w:val="00647A51"/>
    <w:rsid w:val="00647C7E"/>
    <w:rsid w:val="006509E4"/>
    <w:rsid w:val="00650F68"/>
    <w:rsid w:val="006511A6"/>
    <w:rsid w:val="00651873"/>
    <w:rsid w:val="006527BD"/>
    <w:rsid w:val="00652EEC"/>
    <w:rsid w:val="0065568B"/>
    <w:rsid w:val="0065578E"/>
    <w:rsid w:val="006560EB"/>
    <w:rsid w:val="00656BE2"/>
    <w:rsid w:val="006579A3"/>
    <w:rsid w:val="006602EF"/>
    <w:rsid w:val="006624C1"/>
    <w:rsid w:val="00662AA2"/>
    <w:rsid w:val="00663375"/>
    <w:rsid w:val="006635CA"/>
    <w:rsid w:val="0066408E"/>
    <w:rsid w:val="006642C3"/>
    <w:rsid w:val="006651B3"/>
    <w:rsid w:val="0066610B"/>
    <w:rsid w:val="00666545"/>
    <w:rsid w:val="006665FA"/>
    <w:rsid w:val="006670A8"/>
    <w:rsid w:val="00667770"/>
    <w:rsid w:val="00670A85"/>
    <w:rsid w:val="00672BF1"/>
    <w:rsid w:val="00674881"/>
    <w:rsid w:val="00674EC2"/>
    <w:rsid w:val="0067566F"/>
    <w:rsid w:val="00676696"/>
    <w:rsid w:val="00676D67"/>
    <w:rsid w:val="00677188"/>
    <w:rsid w:val="006778BD"/>
    <w:rsid w:val="00680AE4"/>
    <w:rsid w:val="00681268"/>
    <w:rsid w:val="006815F9"/>
    <w:rsid w:val="00682070"/>
    <w:rsid w:val="006851B8"/>
    <w:rsid w:val="00685806"/>
    <w:rsid w:val="00687205"/>
    <w:rsid w:val="00687B68"/>
    <w:rsid w:val="006905E2"/>
    <w:rsid w:val="00690A83"/>
    <w:rsid w:val="00691BD0"/>
    <w:rsid w:val="00691CD5"/>
    <w:rsid w:val="0069245A"/>
    <w:rsid w:val="00692A4D"/>
    <w:rsid w:val="006932F0"/>
    <w:rsid w:val="00693C0A"/>
    <w:rsid w:val="00694064"/>
    <w:rsid w:val="006946CC"/>
    <w:rsid w:val="006952ED"/>
    <w:rsid w:val="0069596E"/>
    <w:rsid w:val="00696B83"/>
    <w:rsid w:val="0069711F"/>
    <w:rsid w:val="00697976"/>
    <w:rsid w:val="006979DF"/>
    <w:rsid w:val="006A17D3"/>
    <w:rsid w:val="006A18E4"/>
    <w:rsid w:val="006A23BE"/>
    <w:rsid w:val="006A3A08"/>
    <w:rsid w:val="006A3AA8"/>
    <w:rsid w:val="006A431F"/>
    <w:rsid w:val="006A4707"/>
    <w:rsid w:val="006B0F61"/>
    <w:rsid w:val="006B19E0"/>
    <w:rsid w:val="006B2091"/>
    <w:rsid w:val="006B34AC"/>
    <w:rsid w:val="006B4442"/>
    <w:rsid w:val="006B4C98"/>
    <w:rsid w:val="006B5AB3"/>
    <w:rsid w:val="006B6021"/>
    <w:rsid w:val="006B755C"/>
    <w:rsid w:val="006B7680"/>
    <w:rsid w:val="006B7B0B"/>
    <w:rsid w:val="006C02DB"/>
    <w:rsid w:val="006C2B36"/>
    <w:rsid w:val="006C32F4"/>
    <w:rsid w:val="006C3AE4"/>
    <w:rsid w:val="006C3F08"/>
    <w:rsid w:val="006C425E"/>
    <w:rsid w:val="006C504D"/>
    <w:rsid w:val="006C5294"/>
    <w:rsid w:val="006C5E9F"/>
    <w:rsid w:val="006C6C1E"/>
    <w:rsid w:val="006C6CB7"/>
    <w:rsid w:val="006C7A73"/>
    <w:rsid w:val="006C7F78"/>
    <w:rsid w:val="006C7FE7"/>
    <w:rsid w:val="006D019C"/>
    <w:rsid w:val="006D01C5"/>
    <w:rsid w:val="006D080A"/>
    <w:rsid w:val="006D0ED0"/>
    <w:rsid w:val="006D0FDC"/>
    <w:rsid w:val="006D11EE"/>
    <w:rsid w:val="006D122B"/>
    <w:rsid w:val="006D13AD"/>
    <w:rsid w:val="006D2C44"/>
    <w:rsid w:val="006D5737"/>
    <w:rsid w:val="006D5EB1"/>
    <w:rsid w:val="006D64B6"/>
    <w:rsid w:val="006D6A49"/>
    <w:rsid w:val="006D73F1"/>
    <w:rsid w:val="006E01D8"/>
    <w:rsid w:val="006E0815"/>
    <w:rsid w:val="006E0B04"/>
    <w:rsid w:val="006E25A0"/>
    <w:rsid w:val="006E31F2"/>
    <w:rsid w:val="006E3391"/>
    <w:rsid w:val="006E3C24"/>
    <w:rsid w:val="006E4049"/>
    <w:rsid w:val="006E41F5"/>
    <w:rsid w:val="006E4FAB"/>
    <w:rsid w:val="006E5C7A"/>
    <w:rsid w:val="006E5EA4"/>
    <w:rsid w:val="006E5F2F"/>
    <w:rsid w:val="006E6435"/>
    <w:rsid w:val="006E6B95"/>
    <w:rsid w:val="006E7737"/>
    <w:rsid w:val="006F03E8"/>
    <w:rsid w:val="006F0830"/>
    <w:rsid w:val="006F0B6E"/>
    <w:rsid w:val="006F0C16"/>
    <w:rsid w:val="006F0CA3"/>
    <w:rsid w:val="006F2542"/>
    <w:rsid w:val="006F3586"/>
    <w:rsid w:val="006F3DB1"/>
    <w:rsid w:val="006F4094"/>
    <w:rsid w:val="006F5309"/>
    <w:rsid w:val="006F5841"/>
    <w:rsid w:val="006F5DA9"/>
    <w:rsid w:val="006F6669"/>
    <w:rsid w:val="006F6873"/>
    <w:rsid w:val="006F708D"/>
    <w:rsid w:val="006F78F7"/>
    <w:rsid w:val="006F7A54"/>
    <w:rsid w:val="006F7B30"/>
    <w:rsid w:val="006F7D6F"/>
    <w:rsid w:val="006F7E57"/>
    <w:rsid w:val="00700BBC"/>
    <w:rsid w:val="00700F65"/>
    <w:rsid w:val="00701689"/>
    <w:rsid w:val="007018A0"/>
    <w:rsid w:val="007020E5"/>
    <w:rsid w:val="00703A58"/>
    <w:rsid w:val="0070444D"/>
    <w:rsid w:val="00704964"/>
    <w:rsid w:val="00704AE8"/>
    <w:rsid w:val="007050E9"/>
    <w:rsid w:val="00705684"/>
    <w:rsid w:val="00705A58"/>
    <w:rsid w:val="00705E5B"/>
    <w:rsid w:val="00705F82"/>
    <w:rsid w:val="00706363"/>
    <w:rsid w:val="00706C6D"/>
    <w:rsid w:val="00706F2C"/>
    <w:rsid w:val="00707498"/>
    <w:rsid w:val="00711863"/>
    <w:rsid w:val="00711AF7"/>
    <w:rsid w:val="00712562"/>
    <w:rsid w:val="00713D94"/>
    <w:rsid w:val="00713E5C"/>
    <w:rsid w:val="0071451A"/>
    <w:rsid w:val="00714D4C"/>
    <w:rsid w:val="00714F51"/>
    <w:rsid w:val="00715F8F"/>
    <w:rsid w:val="007160DC"/>
    <w:rsid w:val="00716178"/>
    <w:rsid w:val="00717A4D"/>
    <w:rsid w:val="00720721"/>
    <w:rsid w:val="00720876"/>
    <w:rsid w:val="00720A23"/>
    <w:rsid w:val="00722D2B"/>
    <w:rsid w:val="00723D55"/>
    <w:rsid w:val="0072483A"/>
    <w:rsid w:val="00724A31"/>
    <w:rsid w:val="00724CBD"/>
    <w:rsid w:val="00724CBE"/>
    <w:rsid w:val="007252F2"/>
    <w:rsid w:val="0072582A"/>
    <w:rsid w:val="00726287"/>
    <w:rsid w:val="00726C4F"/>
    <w:rsid w:val="00726D92"/>
    <w:rsid w:val="00727735"/>
    <w:rsid w:val="00727A7E"/>
    <w:rsid w:val="007308F3"/>
    <w:rsid w:val="00730F2E"/>
    <w:rsid w:val="00730F4D"/>
    <w:rsid w:val="0073122E"/>
    <w:rsid w:val="007312DA"/>
    <w:rsid w:val="007329D6"/>
    <w:rsid w:val="0073351A"/>
    <w:rsid w:val="00733AB2"/>
    <w:rsid w:val="00734749"/>
    <w:rsid w:val="00734F1F"/>
    <w:rsid w:val="00735381"/>
    <w:rsid w:val="007358E2"/>
    <w:rsid w:val="00735AE8"/>
    <w:rsid w:val="00736C77"/>
    <w:rsid w:val="007372A7"/>
    <w:rsid w:val="007377A9"/>
    <w:rsid w:val="00737DCA"/>
    <w:rsid w:val="007401BF"/>
    <w:rsid w:val="00740542"/>
    <w:rsid w:val="00740FB7"/>
    <w:rsid w:val="00741502"/>
    <w:rsid w:val="007418D0"/>
    <w:rsid w:val="00743AD2"/>
    <w:rsid w:val="00743D61"/>
    <w:rsid w:val="00744307"/>
    <w:rsid w:val="00744503"/>
    <w:rsid w:val="007459A2"/>
    <w:rsid w:val="007468E2"/>
    <w:rsid w:val="00746ABE"/>
    <w:rsid w:val="00746F1A"/>
    <w:rsid w:val="00747ECC"/>
    <w:rsid w:val="00750121"/>
    <w:rsid w:val="007502B8"/>
    <w:rsid w:val="00750B26"/>
    <w:rsid w:val="00750CAB"/>
    <w:rsid w:val="00750FAC"/>
    <w:rsid w:val="007512F2"/>
    <w:rsid w:val="00751820"/>
    <w:rsid w:val="00751E31"/>
    <w:rsid w:val="007525FE"/>
    <w:rsid w:val="00752B10"/>
    <w:rsid w:val="007531E2"/>
    <w:rsid w:val="00753508"/>
    <w:rsid w:val="00754230"/>
    <w:rsid w:val="00754D0D"/>
    <w:rsid w:val="00754FCE"/>
    <w:rsid w:val="00755C62"/>
    <w:rsid w:val="007567AA"/>
    <w:rsid w:val="00756AEA"/>
    <w:rsid w:val="00756C8D"/>
    <w:rsid w:val="00757547"/>
    <w:rsid w:val="00757BAC"/>
    <w:rsid w:val="00757E16"/>
    <w:rsid w:val="00760F75"/>
    <w:rsid w:val="007616FE"/>
    <w:rsid w:val="007617B4"/>
    <w:rsid w:val="0076303E"/>
    <w:rsid w:val="00764B08"/>
    <w:rsid w:val="007651EF"/>
    <w:rsid w:val="00766DF1"/>
    <w:rsid w:val="00766F7D"/>
    <w:rsid w:val="00770774"/>
    <w:rsid w:val="007715D9"/>
    <w:rsid w:val="00771A2C"/>
    <w:rsid w:val="007732E8"/>
    <w:rsid w:val="00774790"/>
    <w:rsid w:val="00774C29"/>
    <w:rsid w:val="00774D83"/>
    <w:rsid w:val="007759CF"/>
    <w:rsid w:val="00776176"/>
    <w:rsid w:val="00777438"/>
    <w:rsid w:val="00777E54"/>
    <w:rsid w:val="00780922"/>
    <w:rsid w:val="0078120E"/>
    <w:rsid w:val="0078186A"/>
    <w:rsid w:val="00783087"/>
    <w:rsid w:val="00784661"/>
    <w:rsid w:val="00784717"/>
    <w:rsid w:val="00784F3C"/>
    <w:rsid w:val="0078555E"/>
    <w:rsid w:val="007857E6"/>
    <w:rsid w:val="00785924"/>
    <w:rsid w:val="00786675"/>
    <w:rsid w:val="007873C1"/>
    <w:rsid w:val="007878B9"/>
    <w:rsid w:val="007902BC"/>
    <w:rsid w:val="007909EF"/>
    <w:rsid w:val="00791793"/>
    <w:rsid w:val="00792A02"/>
    <w:rsid w:val="00792E46"/>
    <w:rsid w:val="00793840"/>
    <w:rsid w:val="00793B97"/>
    <w:rsid w:val="00793CD3"/>
    <w:rsid w:val="007943B4"/>
    <w:rsid w:val="007961AD"/>
    <w:rsid w:val="00796A84"/>
    <w:rsid w:val="00796EEA"/>
    <w:rsid w:val="00796F82"/>
    <w:rsid w:val="007A1765"/>
    <w:rsid w:val="007A2681"/>
    <w:rsid w:val="007A32AA"/>
    <w:rsid w:val="007A3ED5"/>
    <w:rsid w:val="007A48B3"/>
    <w:rsid w:val="007A573A"/>
    <w:rsid w:val="007A5986"/>
    <w:rsid w:val="007A5F5F"/>
    <w:rsid w:val="007A6365"/>
    <w:rsid w:val="007A6577"/>
    <w:rsid w:val="007A6718"/>
    <w:rsid w:val="007A67DA"/>
    <w:rsid w:val="007A6958"/>
    <w:rsid w:val="007A7617"/>
    <w:rsid w:val="007A7A14"/>
    <w:rsid w:val="007A7B93"/>
    <w:rsid w:val="007B0114"/>
    <w:rsid w:val="007B0744"/>
    <w:rsid w:val="007B0EE1"/>
    <w:rsid w:val="007B0F10"/>
    <w:rsid w:val="007B12D6"/>
    <w:rsid w:val="007B34C7"/>
    <w:rsid w:val="007B4AC8"/>
    <w:rsid w:val="007B51B9"/>
    <w:rsid w:val="007B7018"/>
    <w:rsid w:val="007B7105"/>
    <w:rsid w:val="007C23D4"/>
    <w:rsid w:val="007C4EC2"/>
    <w:rsid w:val="007C5C23"/>
    <w:rsid w:val="007C5E27"/>
    <w:rsid w:val="007C6501"/>
    <w:rsid w:val="007C7490"/>
    <w:rsid w:val="007C7973"/>
    <w:rsid w:val="007C7FF4"/>
    <w:rsid w:val="007D0F92"/>
    <w:rsid w:val="007D16D2"/>
    <w:rsid w:val="007D1D5F"/>
    <w:rsid w:val="007D2F01"/>
    <w:rsid w:val="007D30A4"/>
    <w:rsid w:val="007D3955"/>
    <w:rsid w:val="007D45E8"/>
    <w:rsid w:val="007D5397"/>
    <w:rsid w:val="007D564B"/>
    <w:rsid w:val="007D5B67"/>
    <w:rsid w:val="007D6162"/>
    <w:rsid w:val="007D6A23"/>
    <w:rsid w:val="007E04D3"/>
    <w:rsid w:val="007E0773"/>
    <w:rsid w:val="007E1B3A"/>
    <w:rsid w:val="007E1C49"/>
    <w:rsid w:val="007E3A6C"/>
    <w:rsid w:val="007E41F4"/>
    <w:rsid w:val="007E430A"/>
    <w:rsid w:val="007E4F18"/>
    <w:rsid w:val="007E5068"/>
    <w:rsid w:val="007E516E"/>
    <w:rsid w:val="007E51CA"/>
    <w:rsid w:val="007E5612"/>
    <w:rsid w:val="007E5854"/>
    <w:rsid w:val="007E585D"/>
    <w:rsid w:val="007E5FF4"/>
    <w:rsid w:val="007E6F04"/>
    <w:rsid w:val="007E722C"/>
    <w:rsid w:val="007E7585"/>
    <w:rsid w:val="007E7DA0"/>
    <w:rsid w:val="007F070E"/>
    <w:rsid w:val="007F107D"/>
    <w:rsid w:val="007F2D53"/>
    <w:rsid w:val="007F3823"/>
    <w:rsid w:val="007F3B1A"/>
    <w:rsid w:val="007F566D"/>
    <w:rsid w:val="007F6A47"/>
    <w:rsid w:val="008002CB"/>
    <w:rsid w:val="008008CD"/>
    <w:rsid w:val="008013F4"/>
    <w:rsid w:val="00801794"/>
    <w:rsid w:val="008017EF"/>
    <w:rsid w:val="00801C20"/>
    <w:rsid w:val="00801FB5"/>
    <w:rsid w:val="00803FC9"/>
    <w:rsid w:val="00804161"/>
    <w:rsid w:val="00804A3E"/>
    <w:rsid w:val="00804F1B"/>
    <w:rsid w:val="00805CED"/>
    <w:rsid w:val="00805DA4"/>
    <w:rsid w:val="008075D4"/>
    <w:rsid w:val="00807719"/>
    <w:rsid w:val="00807BC9"/>
    <w:rsid w:val="0081063B"/>
    <w:rsid w:val="00812788"/>
    <w:rsid w:val="00812864"/>
    <w:rsid w:val="00812DA0"/>
    <w:rsid w:val="00814200"/>
    <w:rsid w:val="008147A5"/>
    <w:rsid w:val="00814C50"/>
    <w:rsid w:val="00815914"/>
    <w:rsid w:val="0081701C"/>
    <w:rsid w:val="008203EF"/>
    <w:rsid w:val="00820494"/>
    <w:rsid w:val="00820B76"/>
    <w:rsid w:val="008210D6"/>
    <w:rsid w:val="00821A6F"/>
    <w:rsid w:val="00822015"/>
    <w:rsid w:val="0082245B"/>
    <w:rsid w:val="00822763"/>
    <w:rsid w:val="00823D66"/>
    <w:rsid w:val="00823ECB"/>
    <w:rsid w:val="00825ACA"/>
    <w:rsid w:val="00825B03"/>
    <w:rsid w:val="00825E6C"/>
    <w:rsid w:val="008261A4"/>
    <w:rsid w:val="00826200"/>
    <w:rsid w:val="00827590"/>
    <w:rsid w:val="00830672"/>
    <w:rsid w:val="00830E44"/>
    <w:rsid w:val="00831B56"/>
    <w:rsid w:val="00832067"/>
    <w:rsid w:val="008320D3"/>
    <w:rsid w:val="00833400"/>
    <w:rsid w:val="0083466B"/>
    <w:rsid w:val="00835023"/>
    <w:rsid w:val="008358E1"/>
    <w:rsid w:val="00836677"/>
    <w:rsid w:val="008373D6"/>
    <w:rsid w:val="00837A59"/>
    <w:rsid w:val="0084109E"/>
    <w:rsid w:val="008416B1"/>
    <w:rsid w:val="00843A75"/>
    <w:rsid w:val="00844CE7"/>
    <w:rsid w:val="00845DB7"/>
    <w:rsid w:val="00846B7B"/>
    <w:rsid w:val="00847D77"/>
    <w:rsid w:val="00850FBA"/>
    <w:rsid w:val="0085110B"/>
    <w:rsid w:val="00851156"/>
    <w:rsid w:val="0085179B"/>
    <w:rsid w:val="008517EF"/>
    <w:rsid w:val="00851B20"/>
    <w:rsid w:val="00852100"/>
    <w:rsid w:val="008529C0"/>
    <w:rsid w:val="00852C7D"/>
    <w:rsid w:val="00853133"/>
    <w:rsid w:val="008543F7"/>
    <w:rsid w:val="00854CAA"/>
    <w:rsid w:val="00855176"/>
    <w:rsid w:val="00855670"/>
    <w:rsid w:val="00855982"/>
    <w:rsid w:val="008560D0"/>
    <w:rsid w:val="0085678F"/>
    <w:rsid w:val="0085681B"/>
    <w:rsid w:val="00856D68"/>
    <w:rsid w:val="00856E00"/>
    <w:rsid w:val="00857AE6"/>
    <w:rsid w:val="00857C5D"/>
    <w:rsid w:val="00857EA1"/>
    <w:rsid w:val="008607FC"/>
    <w:rsid w:val="00860FE1"/>
    <w:rsid w:val="00860FFC"/>
    <w:rsid w:val="008615C5"/>
    <w:rsid w:val="008619D1"/>
    <w:rsid w:val="00861B7C"/>
    <w:rsid w:val="00861B87"/>
    <w:rsid w:val="00861ED9"/>
    <w:rsid w:val="0086236A"/>
    <w:rsid w:val="008628D6"/>
    <w:rsid w:val="00864C85"/>
    <w:rsid w:val="00864FC5"/>
    <w:rsid w:val="00865150"/>
    <w:rsid w:val="00865834"/>
    <w:rsid w:val="00865D00"/>
    <w:rsid w:val="008660D4"/>
    <w:rsid w:val="008677D3"/>
    <w:rsid w:val="00867839"/>
    <w:rsid w:val="0086783D"/>
    <w:rsid w:val="00867E33"/>
    <w:rsid w:val="00870225"/>
    <w:rsid w:val="00870561"/>
    <w:rsid w:val="00872329"/>
    <w:rsid w:val="00873D7E"/>
    <w:rsid w:val="00874ACE"/>
    <w:rsid w:val="00874CF0"/>
    <w:rsid w:val="0087607D"/>
    <w:rsid w:val="00877021"/>
    <w:rsid w:val="008773D9"/>
    <w:rsid w:val="0088019A"/>
    <w:rsid w:val="0088202A"/>
    <w:rsid w:val="008820C3"/>
    <w:rsid w:val="00882180"/>
    <w:rsid w:val="00882354"/>
    <w:rsid w:val="00882499"/>
    <w:rsid w:val="00882C9B"/>
    <w:rsid w:val="00882F96"/>
    <w:rsid w:val="00883176"/>
    <w:rsid w:val="008843EC"/>
    <w:rsid w:val="00884F9E"/>
    <w:rsid w:val="00885735"/>
    <w:rsid w:val="00886128"/>
    <w:rsid w:val="0088746D"/>
    <w:rsid w:val="00887A94"/>
    <w:rsid w:val="00890223"/>
    <w:rsid w:val="00890828"/>
    <w:rsid w:val="00892905"/>
    <w:rsid w:val="00892C47"/>
    <w:rsid w:val="00892C73"/>
    <w:rsid w:val="00892F07"/>
    <w:rsid w:val="0089377F"/>
    <w:rsid w:val="00893AE0"/>
    <w:rsid w:val="00893C77"/>
    <w:rsid w:val="0089420F"/>
    <w:rsid w:val="0089433E"/>
    <w:rsid w:val="00894E8F"/>
    <w:rsid w:val="00895260"/>
    <w:rsid w:val="008955D6"/>
    <w:rsid w:val="00896451"/>
    <w:rsid w:val="0089662E"/>
    <w:rsid w:val="0089685D"/>
    <w:rsid w:val="00896DF7"/>
    <w:rsid w:val="00897567"/>
    <w:rsid w:val="0089782B"/>
    <w:rsid w:val="008A0580"/>
    <w:rsid w:val="008A076F"/>
    <w:rsid w:val="008A0873"/>
    <w:rsid w:val="008A0B50"/>
    <w:rsid w:val="008A1644"/>
    <w:rsid w:val="008A203B"/>
    <w:rsid w:val="008A2A7C"/>
    <w:rsid w:val="008A313B"/>
    <w:rsid w:val="008A36EE"/>
    <w:rsid w:val="008A3D46"/>
    <w:rsid w:val="008A61C0"/>
    <w:rsid w:val="008A6DEB"/>
    <w:rsid w:val="008B0C42"/>
    <w:rsid w:val="008B0F6E"/>
    <w:rsid w:val="008B13E0"/>
    <w:rsid w:val="008B13FA"/>
    <w:rsid w:val="008B145B"/>
    <w:rsid w:val="008B16F0"/>
    <w:rsid w:val="008B2382"/>
    <w:rsid w:val="008B2700"/>
    <w:rsid w:val="008B4424"/>
    <w:rsid w:val="008B4474"/>
    <w:rsid w:val="008B4B1E"/>
    <w:rsid w:val="008B617C"/>
    <w:rsid w:val="008B666A"/>
    <w:rsid w:val="008B6F2E"/>
    <w:rsid w:val="008C008E"/>
    <w:rsid w:val="008C0D49"/>
    <w:rsid w:val="008C0D60"/>
    <w:rsid w:val="008C133B"/>
    <w:rsid w:val="008C13D8"/>
    <w:rsid w:val="008C1750"/>
    <w:rsid w:val="008C1C82"/>
    <w:rsid w:val="008C21F6"/>
    <w:rsid w:val="008C3356"/>
    <w:rsid w:val="008C4EBF"/>
    <w:rsid w:val="008C5FFB"/>
    <w:rsid w:val="008C652E"/>
    <w:rsid w:val="008C7EC6"/>
    <w:rsid w:val="008D0299"/>
    <w:rsid w:val="008D0D88"/>
    <w:rsid w:val="008D13D1"/>
    <w:rsid w:val="008D203A"/>
    <w:rsid w:val="008D24CA"/>
    <w:rsid w:val="008D274E"/>
    <w:rsid w:val="008D459E"/>
    <w:rsid w:val="008D50CA"/>
    <w:rsid w:val="008D50E5"/>
    <w:rsid w:val="008D5F18"/>
    <w:rsid w:val="008D5FD4"/>
    <w:rsid w:val="008D6C03"/>
    <w:rsid w:val="008D75FA"/>
    <w:rsid w:val="008E0048"/>
    <w:rsid w:val="008E0F78"/>
    <w:rsid w:val="008E0FAB"/>
    <w:rsid w:val="008E133C"/>
    <w:rsid w:val="008E13AE"/>
    <w:rsid w:val="008E1562"/>
    <w:rsid w:val="008E1757"/>
    <w:rsid w:val="008E342D"/>
    <w:rsid w:val="008E35AF"/>
    <w:rsid w:val="008E405B"/>
    <w:rsid w:val="008E51FA"/>
    <w:rsid w:val="008E584D"/>
    <w:rsid w:val="008E636A"/>
    <w:rsid w:val="008E6E58"/>
    <w:rsid w:val="008E7066"/>
    <w:rsid w:val="008E7B9D"/>
    <w:rsid w:val="008F07A8"/>
    <w:rsid w:val="008F0C0B"/>
    <w:rsid w:val="008F173E"/>
    <w:rsid w:val="008F1C90"/>
    <w:rsid w:val="008F3299"/>
    <w:rsid w:val="008F373E"/>
    <w:rsid w:val="008F386C"/>
    <w:rsid w:val="008F46A1"/>
    <w:rsid w:val="008F4CB4"/>
    <w:rsid w:val="008F5BAA"/>
    <w:rsid w:val="008F5BB5"/>
    <w:rsid w:val="008F5ED4"/>
    <w:rsid w:val="008F613F"/>
    <w:rsid w:val="008F6CB0"/>
    <w:rsid w:val="008F711D"/>
    <w:rsid w:val="008F737C"/>
    <w:rsid w:val="008F74EA"/>
    <w:rsid w:val="008F7C9B"/>
    <w:rsid w:val="00901945"/>
    <w:rsid w:val="00901FC7"/>
    <w:rsid w:val="00902024"/>
    <w:rsid w:val="00904239"/>
    <w:rsid w:val="00904BC0"/>
    <w:rsid w:val="00904E45"/>
    <w:rsid w:val="00905E18"/>
    <w:rsid w:val="0090659E"/>
    <w:rsid w:val="0090794B"/>
    <w:rsid w:val="00910049"/>
    <w:rsid w:val="00910A42"/>
    <w:rsid w:val="00910D9B"/>
    <w:rsid w:val="009115C0"/>
    <w:rsid w:val="00911C1F"/>
    <w:rsid w:val="0091207D"/>
    <w:rsid w:val="009120B7"/>
    <w:rsid w:val="00912640"/>
    <w:rsid w:val="009127A0"/>
    <w:rsid w:val="009134B1"/>
    <w:rsid w:val="0091361B"/>
    <w:rsid w:val="00913802"/>
    <w:rsid w:val="00913AE2"/>
    <w:rsid w:val="009142E2"/>
    <w:rsid w:val="009144B1"/>
    <w:rsid w:val="00914A33"/>
    <w:rsid w:val="00914FC5"/>
    <w:rsid w:val="00915440"/>
    <w:rsid w:val="00915A06"/>
    <w:rsid w:val="00915E5B"/>
    <w:rsid w:val="009166FA"/>
    <w:rsid w:val="00916B98"/>
    <w:rsid w:val="009174C1"/>
    <w:rsid w:val="00917D06"/>
    <w:rsid w:val="009211AE"/>
    <w:rsid w:val="009213E1"/>
    <w:rsid w:val="00921E88"/>
    <w:rsid w:val="00922450"/>
    <w:rsid w:val="0092246F"/>
    <w:rsid w:val="00922628"/>
    <w:rsid w:val="00922C9E"/>
    <w:rsid w:val="00923617"/>
    <w:rsid w:val="00923A53"/>
    <w:rsid w:val="009256EC"/>
    <w:rsid w:val="00926505"/>
    <w:rsid w:val="0092737A"/>
    <w:rsid w:val="00927D57"/>
    <w:rsid w:val="00927F95"/>
    <w:rsid w:val="00930DA4"/>
    <w:rsid w:val="00931138"/>
    <w:rsid w:val="00932534"/>
    <w:rsid w:val="009326FC"/>
    <w:rsid w:val="00933B29"/>
    <w:rsid w:val="009342EF"/>
    <w:rsid w:val="00934FA9"/>
    <w:rsid w:val="009362C7"/>
    <w:rsid w:val="00936DDA"/>
    <w:rsid w:val="009409BA"/>
    <w:rsid w:val="009415FA"/>
    <w:rsid w:val="009435A3"/>
    <w:rsid w:val="00943BAA"/>
    <w:rsid w:val="009448F6"/>
    <w:rsid w:val="0094553C"/>
    <w:rsid w:val="00947CF3"/>
    <w:rsid w:val="00947F1E"/>
    <w:rsid w:val="00950C3A"/>
    <w:rsid w:val="00952342"/>
    <w:rsid w:val="00954330"/>
    <w:rsid w:val="0095436B"/>
    <w:rsid w:val="009544C5"/>
    <w:rsid w:val="00954FB4"/>
    <w:rsid w:val="00955331"/>
    <w:rsid w:val="00955AFB"/>
    <w:rsid w:val="00955DA9"/>
    <w:rsid w:val="00955E44"/>
    <w:rsid w:val="00956560"/>
    <w:rsid w:val="00956A54"/>
    <w:rsid w:val="00957131"/>
    <w:rsid w:val="009575D9"/>
    <w:rsid w:val="00957737"/>
    <w:rsid w:val="0096073E"/>
    <w:rsid w:val="0096086D"/>
    <w:rsid w:val="00960D9F"/>
    <w:rsid w:val="00960F97"/>
    <w:rsid w:val="009612C1"/>
    <w:rsid w:val="009620A3"/>
    <w:rsid w:val="00963D93"/>
    <w:rsid w:val="00963DF5"/>
    <w:rsid w:val="0096443C"/>
    <w:rsid w:val="00965237"/>
    <w:rsid w:val="00965B73"/>
    <w:rsid w:val="009664E3"/>
    <w:rsid w:val="00967385"/>
    <w:rsid w:val="00967E9C"/>
    <w:rsid w:val="0097002F"/>
    <w:rsid w:val="00971A10"/>
    <w:rsid w:val="009720AF"/>
    <w:rsid w:val="009724D4"/>
    <w:rsid w:val="00972F03"/>
    <w:rsid w:val="00973D9B"/>
    <w:rsid w:val="00974273"/>
    <w:rsid w:val="00974399"/>
    <w:rsid w:val="00974E21"/>
    <w:rsid w:val="009759E5"/>
    <w:rsid w:val="00975A05"/>
    <w:rsid w:val="00975CF6"/>
    <w:rsid w:val="00975CFC"/>
    <w:rsid w:val="00976DA4"/>
    <w:rsid w:val="00976EBF"/>
    <w:rsid w:val="00977AD0"/>
    <w:rsid w:val="009801AF"/>
    <w:rsid w:val="009803C9"/>
    <w:rsid w:val="0098051C"/>
    <w:rsid w:val="00980F2A"/>
    <w:rsid w:val="00981008"/>
    <w:rsid w:val="00981EBF"/>
    <w:rsid w:val="009821BE"/>
    <w:rsid w:val="00982D02"/>
    <w:rsid w:val="00984CDA"/>
    <w:rsid w:val="0098546F"/>
    <w:rsid w:val="00985E52"/>
    <w:rsid w:val="0098654B"/>
    <w:rsid w:val="00986787"/>
    <w:rsid w:val="009872B8"/>
    <w:rsid w:val="00987457"/>
    <w:rsid w:val="00987E94"/>
    <w:rsid w:val="00990047"/>
    <w:rsid w:val="00990837"/>
    <w:rsid w:val="00990BB2"/>
    <w:rsid w:val="00990DE5"/>
    <w:rsid w:val="009916A8"/>
    <w:rsid w:val="00991EF1"/>
    <w:rsid w:val="00991F54"/>
    <w:rsid w:val="00992103"/>
    <w:rsid w:val="00992CA8"/>
    <w:rsid w:val="00993237"/>
    <w:rsid w:val="009936F7"/>
    <w:rsid w:val="00996B0B"/>
    <w:rsid w:val="00997FC4"/>
    <w:rsid w:val="009A13D7"/>
    <w:rsid w:val="009A2021"/>
    <w:rsid w:val="009A21E1"/>
    <w:rsid w:val="009A31CC"/>
    <w:rsid w:val="009A3660"/>
    <w:rsid w:val="009A3689"/>
    <w:rsid w:val="009A3A3F"/>
    <w:rsid w:val="009A3FF4"/>
    <w:rsid w:val="009A4024"/>
    <w:rsid w:val="009A5487"/>
    <w:rsid w:val="009A5A30"/>
    <w:rsid w:val="009A751E"/>
    <w:rsid w:val="009A7623"/>
    <w:rsid w:val="009A7885"/>
    <w:rsid w:val="009B0717"/>
    <w:rsid w:val="009B0C39"/>
    <w:rsid w:val="009B16EF"/>
    <w:rsid w:val="009B263D"/>
    <w:rsid w:val="009B2AFA"/>
    <w:rsid w:val="009B2B10"/>
    <w:rsid w:val="009B2E42"/>
    <w:rsid w:val="009B2EBF"/>
    <w:rsid w:val="009B302C"/>
    <w:rsid w:val="009B386F"/>
    <w:rsid w:val="009B4C3A"/>
    <w:rsid w:val="009B59A0"/>
    <w:rsid w:val="009B605F"/>
    <w:rsid w:val="009B61BE"/>
    <w:rsid w:val="009B63E2"/>
    <w:rsid w:val="009B738C"/>
    <w:rsid w:val="009C073C"/>
    <w:rsid w:val="009C3E74"/>
    <w:rsid w:val="009C6380"/>
    <w:rsid w:val="009C6F81"/>
    <w:rsid w:val="009C738F"/>
    <w:rsid w:val="009D00C6"/>
    <w:rsid w:val="009D0486"/>
    <w:rsid w:val="009D0AD3"/>
    <w:rsid w:val="009D185C"/>
    <w:rsid w:val="009D1928"/>
    <w:rsid w:val="009D3180"/>
    <w:rsid w:val="009D3CE7"/>
    <w:rsid w:val="009D42F1"/>
    <w:rsid w:val="009D5202"/>
    <w:rsid w:val="009D5B05"/>
    <w:rsid w:val="009D5DF4"/>
    <w:rsid w:val="009D6460"/>
    <w:rsid w:val="009D664D"/>
    <w:rsid w:val="009D6B53"/>
    <w:rsid w:val="009D6EE2"/>
    <w:rsid w:val="009D7A9F"/>
    <w:rsid w:val="009E1265"/>
    <w:rsid w:val="009E20D8"/>
    <w:rsid w:val="009E23DF"/>
    <w:rsid w:val="009E24EB"/>
    <w:rsid w:val="009E2804"/>
    <w:rsid w:val="009E34AE"/>
    <w:rsid w:val="009E3886"/>
    <w:rsid w:val="009E3B85"/>
    <w:rsid w:val="009E4135"/>
    <w:rsid w:val="009E4B8B"/>
    <w:rsid w:val="009E55D5"/>
    <w:rsid w:val="009E5D1A"/>
    <w:rsid w:val="009E61E3"/>
    <w:rsid w:val="009E6DE4"/>
    <w:rsid w:val="009E7AD3"/>
    <w:rsid w:val="009F021E"/>
    <w:rsid w:val="009F05B3"/>
    <w:rsid w:val="009F0B84"/>
    <w:rsid w:val="009F0B8B"/>
    <w:rsid w:val="009F204E"/>
    <w:rsid w:val="009F207C"/>
    <w:rsid w:val="009F20D7"/>
    <w:rsid w:val="009F27F0"/>
    <w:rsid w:val="009F31EA"/>
    <w:rsid w:val="009F4C54"/>
    <w:rsid w:val="009F4DBE"/>
    <w:rsid w:val="009F527B"/>
    <w:rsid w:val="009F5933"/>
    <w:rsid w:val="009F5A34"/>
    <w:rsid w:val="009F5D9D"/>
    <w:rsid w:val="009F5DDA"/>
    <w:rsid w:val="009F5EA9"/>
    <w:rsid w:val="009F5F95"/>
    <w:rsid w:val="009F6404"/>
    <w:rsid w:val="009F6664"/>
    <w:rsid w:val="00A00567"/>
    <w:rsid w:val="00A01155"/>
    <w:rsid w:val="00A03040"/>
    <w:rsid w:val="00A03848"/>
    <w:rsid w:val="00A040D1"/>
    <w:rsid w:val="00A04723"/>
    <w:rsid w:val="00A053AE"/>
    <w:rsid w:val="00A05922"/>
    <w:rsid w:val="00A05C77"/>
    <w:rsid w:val="00A05E38"/>
    <w:rsid w:val="00A06516"/>
    <w:rsid w:val="00A0667D"/>
    <w:rsid w:val="00A07016"/>
    <w:rsid w:val="00A07C62"/>
    <w:rsid w:val="00A1050D"/>
    <w:rsid w:val="00A10820"/>
    <w:rsid w:val="00A112C8"/>
    <w:rsid w:val="00A113D9"/>
    <w:rsid w:val="00A11550"/>
    <w:rsid w:val="00A1182D"/>
    <w:rsid w:val="00A132C5"/>
    <w:rsid w:val="00A1372B"/>
    <w:rsid w:val="00A13B03"/>
    <w:rsid w:val="00A14BF0"/>
    <w:rsid w:val="00A1511C"/>
    <w:rsid w:val="00A157D3"/>
    <w:rsid w:val="00A15A6E"/>
    <w:rsid w:val="00A163C5"/>
    <w:rsid w:val="00A1645F"/>
    <w:rsid w:val="00A16568"/>
    <w:rsid w:val="00A167CF"/>
    <w:rsid w:val="00A2175C"/>
    <w:rsid w:val="00A22781"/>
    <w:rsid w:val="00A227FB"/>
    <w:rsid w:val="00A232DC"/>
    <w:rsid w:val="00A24972"/>
    <w:rsid w:val="00A24A31"/>
    <w:rsid w:val="00A24A88"/>
    <w:rsid w:val="00A24E7A"/>
    <w:rsid w:val="00A25476"/>
    <w:rsid w:val="00A25561"/>
    <w:rsid w:val="00A255DC"/>
    <w:rsid w:val="00A258FA"/>
    <w:rsid w:val="00A25A83"/>
    <w:rsid w:val="00A26F5C"/>
    <w:rsid w:val="00A270E8"/>
    <w:rsid w:val="00A30185"/>
    <w:rsid w:val="00A30433"/>
    <w:rsid w:val="00A30E09"/>
    <w:rsid w:val="00A31E1D"/>
    <w:rsid w:val="00A3252F"/>
    <w:rsid w:val="00A34F3D"/>
    <w:rsid w:val="00A35E5F"/>
    <w:rsid w:val="00A37974"/>
    <w:rsid w:val="00A37C49"/>
    <w:rsid w:val="00A41D6F"/>
    <w:rsid w:val="00A41DD3"/>
    <w:rsid w:val="00A42F83"/>
    <w:rsid w:val="00A430A2"/>
    <w:rsid w:val="00A43E84"/>
    <w:rsid w:val="00A446DC"/>
    <w:rsid w:val="00A4496A"/>
    <w:rsid w:val="00A44D4A"/>
    <w:rsid w:val="00A454BE"/>
    <w:rsid w:val="00A455DF"/>
    <w:rsid w:val="00A47018"/>
    <w:rsid w:val="00A47396"/>
    <w:rsid w:val="00A47631"/>
    <w:rsid w:val="00A502A3"/>
    <w:rsid w:val="00A503E6"/>
    <w:rsid w:val="00A50824"/>
    <w:rsid w:val="00A508F1"/>
    <w:rsid w:val="00A50C98"/>
    <w:rsid w:val="00A51305"/>
    <w:rsid w:val="00A51308"/>
    <w:rsid w:val="00A51596"/>
    <w:rsid w:val="00A5247F"/>
    <w:rsid w:val="00A52BED"/>
    <w:rsid w:val="00A52E0F"/>
    <w:rsid w:val="00A5340E"/>
    <w:rsid w:val="00A5360D"/>
    <w:rsid w:val="00A537E7"/>
    <w:rsid w:val="00A5423E"/>
    <w:rsid w:val="00A5492D"/>
    <w:rsid w:val="00A571FD"/>
    <w:rsid w:val="00A60D0B"/>
    <w:rsid w:val="00A6232B"/>
    <w:rsid w:val="00A6273C"/>
    <w:rsid w:val="00A6383B"/>
    <w:rsid w:val="00A640C4"/>
    <w:rsid w:val="00A64650"/>
    <w:rsid w:val="00A64743"/>
    <w:rsid w:val="00A65D29"/>
    <w:rsid w:val="00A65E60"/>
    <w:rsid w:val="00A660BD"/>
    <w:rsid w:val="00A676FE"/>
    <w:rsid w:val="00A678AE"/>
    <w:rsid w:val="00A70395"/>
    <w:rsid w:val="00A70467"/>
    <w:rsid w:val="00A70E6D"/>
    <w:rsid w:val="00A71E1F"/>
    <w:rsid w:val="00A72EBB"/>
    <w:rsid w:val="00A73BF4"/>
    <w:rsid w:val="00A7477B"/>
    <w:rsid w:val="00A759C9"/>
    <w:rsid w:val="00A7658F"/>
    <w:rsid w:val="00A76E02"/>
    <w:rsid w:val="00A77614"/>
    <w:rsid w:val="00A778B2"/>
    <w:rsid w:val="00A817D6"/>
    <w:rsid w:val="00A81C3D"/>
    <w:rsid w:val="00A825F9"/>
    <w:rsid w:val="00A839B7"/>
    <w:rsid w:val="00A84E74"/>
    <w:rsid w:val="00A852EC"/>
    <w:rsid w:val="00A85742"/>
    <w:rsid w:val="00A857E4"/>
    <w:rsid w:val="00A85815"/>
    <w:rsid w:val="00A874A7"/>
    <w:rsid w:val="00A877B0"/>
    <w:rsid w:val="00A90798"/>
    <w:rsid w:val="00A919D4"/>
    <w:rsid w:val="00A924D5"/>
    <w:rsid w:val="00A93A52"/>
    <w:rsid w:val="00A93D0F"/>
    <w:rsid w:val="00A93D38"/>
    <w:rsid w:val="00A948AC"/>
    <w:rsid w:val="00A95661"/>
    <w:rsid w:val="00A95B47"/>
    <w:rsid w:val="00A96264"/>
    <w:rsid w:val="00A96D18"/>
    <w:rsid w:val="00A96FB6"/>
    <w:rsid w:val="00A970E1"/>
    <w:rsid w:val="00A9755D"/>
    <w:rsid w:val="00A97EE4"/>
    <w:rsid w:val="00AA06CC"/>
    <w:rsid w:val="00AA07ED"/>
    <w:rsid w:val="00AA18F8"/>
    <w:rsid w:val="00AA2435"/>
    <w:rsid w:val="00AA24CE"/>
    <w:rsid w:val="00AA32B2"/>
    <w:rsid w:val="00AA3439"/>
    <w:rsid w:val="00AA397D"/>
    <w:rsid w:val="00AA4401"/>
    <w:rsid w:val="00AA497B"/>
    <w:rsid w:val="00AA5202"/>
    <w:rsid w:val="00AA5ECC"/>
    <w:rsid w:val="00AA6838"/>
    <w:rsid w:val="00AA7729"/>
    <w:rsid w:val="00AA7831"/>
    <w:rsid w:val="00AB014B"/>
    <w:rsid w:val="00AB0343"/>
    <w:rsid w:val="00AB09F6"/>
    <w:rsid w:val="00AB0F18"/>
    <w:rsid w:val="00AB130C"/>
    <w:rsid w:val="00AB17B7"/>
    <w:rsid w:val="00AB239A"/>
    <w:rsid w:val="00AB28F1"/>
    <w:rsid w:val="00AB4193"/>
    <w:rsid w:val="00AB4311"/>
    <w:rsid w:val="00AB4939"/>
    <w:rsid w:val="00AB544B"/>
    <w:rsid w:val="00AB6D20"/>
    <w:rsid w:val="00AB749A"/>
    <w:rsid w:val="00AC06DF"/>
    <w:rsid w:val="00AC09F7"/>
    <w:rsid w:val="00AC0CB3"/>
    <w:rsid w:val="00AC3EF2"/>
    <w:rsid w:val="00AC4E48"/>
    <w:rsid w:val="00AC4F23"/>
    <w:rsid w:val="00AC50ED"/>
    <w:rsid w:val="00AC55DA"/>
    <w:rsid w:val="00AC6D36"/>
    <w:rsid w:val="00AC739D"/>
    <w:rsid w:val="00AC7FC0"/>
    <w:rsid w:val="00AD092C"/>
    <w:rsid w:val="00AD21D7"/>
    <w:rsid w:val="00AD2B81"/>
    <w:rsid w:val="00AD386C"/>
    <w:rsid w:val="00AD4642"/>
    <w:rsid w:val="00AD491A"/>
    <w:rsid w:val="00AD4F05"/>
    <w:rsid w:val="00AD5F24"/>
    <w:rsid w:val="00AD653E"/>
    <w:rsid w:val="00AD67BB"/>
    <w:rsid w:val="00AD7753"/>
    <w:rsid w:val="00AD777A"/>
    <w:rsid w:val="00AD785A"/>
    <w:rsid w:val="00AE1077"/>
    <w:rsid w:val="00AE2272"/>
    <w:rsid w:val="00AE3AD9"/>
    <w:rsid w:val="00AE4451"/>
    <w:rsid w:val="00AE45DD"/>
    <w:rsid w:val="00AE4ABA"/>
    <w:rsid w:val="00AE4E53"/>
    <w:rsid w:val="00AE5289"/>
    <w:rsid w:val="00AE5F01"/>
    <w:rsid w:val="00AE6216"/>
    <w:rsid w:val="00AE6241"/>
    <w:rsid w:val="00AE6301"/>
    <w:rsid w:val="00AE6E44"/>
    <w:rsid w:val="00AE6E45"/>
    <w:rsid w:val="00AE7295"/>
    <w:rsid w:val="00AE79CA"/>
    <w:rsid w:val="00AF04C7"/>
    <w:rsid w:val="00AF0849"/>
    <w:rsid w:val="00AF10AC"/>
    <w:rsid w:val="00AF12FD"/>
    <w:rsid w:val="00AF197E"/>
    <w:rsid w:val="00AF1DD0"/>
    <w:rsid w:val="00AF2D78"/>
    <w:rsid w:val="00AF364F"/>
    <w:rsid w:val="00AF373E"/>
    <w:rsid w:val="00AF37A8"/>
    <w:rsid w:val="00AF3C69"/>
    <w:rsid w:val="00AF3CF6"/>
    <w:rsid w:val="00AF4BAA"/>
    <w:rsid w:val="00AF5141"/>
    <w:rsid w:val="00AF5CC4"/>
    <w:rsid w:val="00AF7461"/>
    <w:rsid w:val="00B00BF2"/>
    <w:rsid w:val="00B014D6"/>
    <w:rsid w:val="00B02557"/>
    <w:rsid w:val="00B02D2C"/>
    <w:rsid w:val="00B02EE7"/>
    <w:rsid w:val="00B0317A"/>
    <w:rsid w:val="00B06C43"/>
    <w:rsid w:val="00B070D3"/>
    <w:rsid w:val="00B1009D"/>
    <w:rsid w:val="00B10FE7"/>
    <w:rsid w:val="00B111CB"/>
    <w:rsid w:val="00B12037"/>
    <w:rsid w:val="00B1320B"/>
    <w:rsid w:val="00B13706"/>
    <w:rsid w:val="00B137FF"/>
    <w:rsid w:val="00B146E1"/>
    <w:rsid w:val="00B14E01"/>
    <w:rsid w:val="00B17905"/>
    <w:rsid w:val="00B17E58"/>
    <w:rsid w:val="00B20241"/>
    <w:rsid w:val="00B21A03"/>
    <w:rsid w:val="00B228DC"/>
    <w:rsid w:val="00B22E5C"/>
    <w:rsid w:val="00B236D7"/>
    <w:rsid w:val="00B23A0A"/>
    <w:rsid w:val="00B25939"/>
    <w:rsid w:val="00B260F0"/>
    <w:rsid w:val="00B26211"/>
    <w:rsid w:val="00B2651B"/>
    <w:rsid w:val="00B27088"/>
    <w:rsid w:val="00B27457"/>
    <w:rsid w:val="00B274BE"/>
    <w:rsid w:val="00B27650"/>
    <w:rsid w:val="00B30BAB"/>
    <w:rsid w:val="00B30E91"/>
    <w:rsid w:val="00B31116"/>
    <w:rsid w:val="00B31F89"/>
    <w:rsid w:val="00B323A9"/>
    <w:rsid w:val="00B34EA2"/>
    <w:rsid w:val="00B35CBB"/>
    <w:rsid w:val="00B35D79"/>
    <w:rsid w:val="00B36056"/>
    <w:rsid w:val="00B36669"/>
    <w:rsid w:val="00B36947"/>
    <w:rsid w:val="00B3712B"/>
    <w:rsid w:val="00B37530"/>
    <w:rsid w:val="00B37D5D"/>
    <w:rsid w:val="00B40DBD"/>
    <w:rsid w:val="00B4122A"/>
    <w:rsid w:val="00B412F2"/>
    <w:rsid w:val="00B42861"/>
    <w:rsid w:val="00B4295E"/>
    <w:rsid w:val="00B42F0B"/>
    <w:rsid w:val="00B42FC3"/>
    <w:rsid w:val="00B43067"/>
    <w:rsid w:val="00B44938"/>
    <w:rsid w:val="00B45788"/>
    <w:rsid w:val="00B4578D"/>
    <w:rsid w:val="00B469A0"/>
    <w:rsid w:val="00B46D0C"/>
    <w:rsid w:val="00B50459"/>
    <w:rsid w:val="00B510F4"/>
    <w:rsid w:val="00B513D8"/>
    <w:rsid w:val="00B52600"/>
    <w:rsid w:val="00B5293F"/>
    <w:rsid w:val="00B53DC5"/>
    <w:rsid w:val="00B5461C"/>
    <w:rsid w:val="00B54752"/>
    <w:rsid w:val="00B54D6B"/>
    <w:rsid w:val="00B54DDF"/>
    <w:rsid w:val="00B553B9"/>
    <w:rsid w:val="00B55DB8"/>
    <w:rsid w:val="00B55E96"/>
    <w:rsid w:val="00B5624B"/>
    <w:rsid w:val="00B57C44"/>
    <w:rsid w:val="00B60607"/>
    <w:rsid w:val="00B6068C"/>
    <w:rsid w:val="00B60B80"/>
    <w:rsid w:val="00B61400"/>
    <w:rsid w:val="00B61BEC"/>
    <w:rsid w:val="00B63462"/>
    <w:rsid w:val="00B63769"/>
    <w:rsid w:val="00B6415D"/>
    <w:rsid w:val="00B652D7"/>
    <w:rsid w:val="00B659B4"/>
    <w:rsid w:val="00B65AB2"/>
    <w:rsid w:val="00B67311"/>
    <w:rsid w:val="00B67CC8"/>
    <w:rsid w:val="00B740C2"/>
    <w:rsid w:val="00B74488"/>
    <w:rsid w:val="00B744FC"/>
    <w:rsid w:val="00B74569"/>
    <w:rsid w:val="00B748BF"/>
    <w:rsid w:val="00B7496F"/>
    <w:rsid w:val="00B74E5A"/>
    <w:rsid w:val="00B752CB"/>
    <w:rsid w:val="00B75436"/>
    <w:rsid w:val="00B75978"/>
    <w:rsid w:val="00B7620D"/>
    <w:rsid w:val="00B76559"/>
    <w:rsid w:val="00B771B8"/>
    <w:rsid w:val="00B77365"/>
    <w:rsid w:val="00B804D9"/>
    <w:rsid w:val="00B80BB5"/>
    <w:rsid w:val="00B8198B"/>
    <w:rsid w:val="00B8243A"/>
    <w:rsid w:val="00B825A6"/>
    <w:rsid w:val="00B82903"/>
    <w:rsid w:val="00B82D52"/>
    <w:rsid w:val="00B832D8"/>
    <w:rsid w:val="00B84453"/>
    <w:rsid w:val="00B84804"/>
    <w:rsid w:val="00B85047"/>
    <w:rsid w:val="00B851F3"/>
    <w:rsid w:val="00B868CE"/>
    <w:rsid w:val="00B872BF"/>
    <w:rsid w:val="00B8775E"/>
    <w:rsid w:val="00B87ADA"/>
    <w:rsid w:val="00B9024F"/>
    <w:rsid w:val="00B90F7D"/>
    <w:rsid w:val="00B91A49"/>
    <w:rsid w:val="00B91C2E"/>
    <w:rsid w:val="00B91D38"/>
    <w:rsid w:val="00B9207F"/>
    <w:rsid w:val="00B923E8"/>
    <w:rsid w:val="00B92F3C"/>
    <w:rsid w:val="00B9384B"/>
    <w:rsid w:val="00B93F55"/>
    <w:rsid w:val="00B93FB1"/>
    <w:rsid w:val="00B93FDE"/>
    <w:rsid w:val="00B95244"/>
    <w:rsid w:val="00B9550A"/>
    <w:rsid w:val="00B95BE5"/>
    <w:rsid w:val="00B976FB"/>
    <w:rsid w:val="00B97905"/>
    <w:rsid w:val="00B97F6C"/>
    <w:rsid w:val="00BA0167"/>
    <w:rsid w:val="00BA068E"/>
    <w:rsid w:val="00BA0963"/>
    <w:rsid w:val="00BA17AB"/>
    <w:rsid w:val="00BA2B1E"/>
    <w:rsid w:val="00BA3F8F"/>
    <w:rsid w:val="00BA469C"/>
    <w:rsid w:val="00BA710E"/>
    <w:rsid w:val="00BA7159"/>
    <w:rsid w:val="00BA7263"/>
    <w:rsid w:val="00BA785F"/>
    <w:rsid w:val="00BB038E"/>
    <w:rsid w:val="00BB110B"/>
    <w:rsid w:val="00BB2433"/>
    <w:rsid w:val="00BB33F1"/>
    <w:rsid w:val="00BB34C2"/>
    <w:rsid w:val="00BB35B8"/>
    <w:rsid w:val="00BB3D9B"/>
    <w:rsid w:val="00BB4612"/>
    <w:rsid w:val="00BB4E13"/>
    <w:rsid w:val="00BB527A"/>
    <w:rsid w:val="00BB5A51"/>
    <w:rsid w:val="00BB6728"/>
    <w:rsid w:val="00BB6B53"/>
    <w:rsid w:val="00BB764F"/>
    <w:rsid w:val="00BC03B5"/>
    <w:rsid w:val="00BC0403"/>
    <w:rsid w:val="00BC1C58"/>
    <w:rsid w:val="00BC1F30"/>
    <w:rsid w:val="00BC2DFA"/>
    <w:rsid w:val="00BC48BB"/>
    <w:rsid w:val="00BC5478"/>
    <w:rsid w:val="00BC5D39"/>
    <w:rsid w:val="00BC5D3A"/>
    <w:rsid w:val="00BC62EE"/>
    <w:rsid w:val="00BC6609"/>
    <w:rsid w:val="00BC680C"/>
    <w:rsid w:val="00BC6874"/>
    <w:rsid w:val="00BD0AEE"/>
    <w:rsid w:val="00BD18BD"/>
    <w:rsid w:val="00BD2082"/>
    <w:rsid w:val="00BD26C7"/>
    <w:rsid w:val="00BD2A8C"/>
    <w:rsid w:val="00BD325E"/>
    <w:rsid w:val="00BD3D95"/>
    <w:rsid w:val="00BD6835"/>
    <w:rsid w:val="00BD6DF4"/>
    <w:rsid w:val="00BD6FD1"/>
    <w:rsid w:val="00BE0059"/>
    <w:rsid w:val="00BE016A"/>
    <w:rsid w:val="00BE0AAA"/>
    <w:rsid w:val="00BE120B"/>
    <w:rsid w:val="00BE1A05"/>
    <w:rsid w:val="00BE1C30"/>
    <w:rsid w:val="00BE242F"/>
    <w:rsid w:val="00BE32E1"/>
    <w:rsid w:val="00BE32E8"/>
    <w:rsid w:val="00BE4073"/>
    <w:rsid w:val="00BE4820"/>
    <w:rsid w:val="00BE55A5"/>
    <w:rsid w:val="00BE6059"/>
    <w:rsid w:val="00BE616A"/>
    <w:rsid w:val="00BE65C7"/>
    <w:rsid w:val="00BE6D2E"/>
    <w:rsid w:val="00BE7579"/>
    <w:rsid w:val="00BF03DF"/>
    <w:rsid w:val="00BF04E3"/>
    <w:rsid w:val="00BF0A8C"/>
    <w:rsid w:val="00BF16DE"/>
    <w:rsid w:val="00BF190C"/>
    <w:rsid w:val="00BF19A3"/>
    <w:rsid w:val="00BF2103"/>
    <w:rsid w:val="00BF2D8A"/>
    <w:rsid w:val="00BF3423"/>
    <w:rsid w:val="00BF3510"/>
    <w:rsid w:val="00BF3E9B"/>
    <w:rsid w:val="00BF46CA"/>
    <w:rsid w:val="00BF471D"/>
    <w:rsid w:val="00BF4F8B"/>
    <w:rsid w:val="00BF5010"/>
    <w:rsid w:val="00BF5762"/>
    <w:rsid w:val="00BF6A41"/>
    <w:rsid w:val="00BF6AB0"/>
    <w:rsid w:val="00BF7224"/>
    <w:rsid w:val="00BF7A71"/>
    <w:rsid w:val="00C00D9A"/>
    <w:rsid w:val="00C02083"/>
    <w:rsid w:val="00C02B41"/>
    <w:rsid w:val="00C02DEB"/>
    <w:rsid w:val="00C042F5"/>
    <w:rsid w:val="00C0476E"/>
    <w:rsid w:val="00C053C8"/>
    <w:rsid w:val="00C0551F"/>
    <w:rsid w:val="00C05C13"/>
    <w:rsid w:val="00C07375"/>
    <w:rsid w:val="00C073FA"/>
    <w:rsid w:val="00C12AA4"/>
    <w:rsid w:val="00C13399"/>
    <w:rsid w:val="00C13423"/>
    <w:rsid w:val="00C139BA"/>
    <w:rsid w:val="00C13D0B"/>
    <w:rsid w:val="00C13FC8"/>
    <w:rsid w:val="00C145A3"/>
    <w:rsid w:val="00C15C04"/>
    <w:rsid w:val="00C164CC"/>
    <w:rsid w:val="00C173D6"/>
    <w:rsid w:val="00C17890"/>
    <w:rsid w:val="00C17ADD"/>
    <w:rsid w:val="00C20154"/>
    <w:rsid w:val="00C209ED"/>
    <w:rsid w:val="00C20A25"/>
    <w:rsid w:val="00C2116B"/>
    <w:rsid w:val="00C21405"/>
    <w:rsid w:val="00C21687"/>
    <w:rsid w:val="00C23321"/>
    <w:rsid w:val="00C23F64"/>
    <w:rsid w:val="00C25188"/>
    <w:rsid w:val="00C25FAF"/>
    <w:rsid w:val="00C2629D"/>
    <w:rsid w:val="00C26687"/>
    <w:rsid w:val="00C27504"/>
    <w:rsid w:val="00C27A1F"/>
    <w:rsid w:val="00C30A4B"/>
    <w:rsid w:val="00C312C2"/>
    <w:rsid w:val="00C326EC"/>
    <w:rsid w:val="00C3323A"/>
    <w:rsid w:val="00C33AAB"/>
    <w:rsid w:val="00C34487"/>
    <w:rsid w:val="00C3451E"/>
    <w:rsid w:val="00C3571F"/>
    <w:rsid w:val="00C364DA"/>
    <w:rsid w:val="00C366CB"/>
    <w:rsid w:val="00C4173C"/>
    <w:rsid w:val="00C417E5"/>
    <w:rsid w:val="00C41B3A"/>
    <w:rsid w:val="00C41B43"/>
    <w:rsid w:val="00C42AA6"/>
    <w:rsid w:val="00C43309"/>
    <w:rsid w:val="00C43BD1"/>
    <w:rsid w:val="00C4421C"/>
    <w:rsid w:val="00C44391"/>
    <w:rsid w:val="00C447E5"/>
    <w:rsid w:val="00C455E9"/>
    <w:rsid w:val="00C46F7A"/>
    <w:rsid w:val="00C47511"/>
    <w:rsid w:val="00C500CE"/>
    <w:rsid w:val="00C5032B"/>
    <w:rsid w:val="00C5058B"/>
    <w:rsid w:val="00C51CAB"/>
    <w:rsid w:val="00C52086"/>
    <w:rsid w:val="00C524CF"/>
    <w:rsid w:val="00C542EB"/>
    <w:rsid w:val="00C547BA"/>
    <w:rsid w:val="00C54DA4"/>
    <w:rsid w:val="00C54E14"/>
    <w:rsid w:val="00C5556F"/>
    <w:rsid w:val="00C576C0"/>
    <w:rsid w:val="00C606EC"/>
    <w:rsid w:val="00C610D9"/>
    <w:rsid w:val="00C61202"/>
    <w:rsid w:val="00C639EA"/>
    <w:rsid w:val="00C6400A"/>
    <w:rsid w:val="00C64E66"/>
    <w:rsid w:val="00C64FE3"/>
    <w:rsid w:val="00C6564E"/>
    <w:rsid w:val="00C65D73"/>
    <w:rsid w:val="00C6630A"/>
    <w:rsid w:val="00C67AD9"/>
    <w:rsid w:val="00C67AE1"/>
    <w:rsid w:val="00C708AF"/>
    <w:rsid w:val="00C71458"/>
    <w:rsid w:val="00C715F5"/>
    <w:rsid w:val="00C73771"/>
    <w:rsid w:val="00C73A1A"/>
    <w:rsid w:val="00C73BEA"/>
    <w:rsid w:val="00C73E9A"/>
    <w:rsid w:val="00C74DB5"/>
    <w:rsid w:val="00C74EB1"/>
    <w:rsid w:val="00C75904"/>
    <w:rsid w:val="00C75EAE"/>
    <w:rsid w:val="00C770B4"/>
    <w:rsid w:val="00C77187"/>
    <w:rsid w:val="00C77A19"/>
    <w:rsid w:val="00C806B3"/>
    <w:rsid w:val="00C8104D"/>
    <w:rsid w:val="00C81676"/>
    <w:rsid w:val="00C8187E"/>
    <w:rsid w:val="00C82D1B"/>
    <w:rsid w:val="00C8319F"/>
    <w:rsid w:val="00C84A70"/>
    <w:rsid w:val="00C8626E"/>
    <w:rsid w:val="00C863E9"/>
    <w:rsid w:val="00C87BA3"/>
    <w:rsid w:val="00C901C8"/>
    <w:rsid w:val="00C9180E"/>
    <w:rsid w:val="00C918FD"/>
    <w:rsid w:val="00C91BC8"/>
    <w:rsid w:val="00C91E64"/>
    <w:rsid w:val="00C9212B"/>
    <w:rsid w:val="00C92F9A"/>
    <w:rsid w:val="00C93877"/>
    <w:rsid w:val="00C93E9B"/>
    <w:rsid w:val="00C93F8D"/>
    <w:rsid w:val="00C94373"/>
    <w:rsid w:val="00C94500"/>
    <w:rsid w:val="00C94D98"/>
    <w:rsid w:val="00C95E68"/>
    <w:rsid w:val="00C96596"/>
    <w:rsid w:val="00C96921"/>
    <w:rsid w:val="00C973D5"/>
    <w:rsid w:val="00C9760E"/>
    <w:rsid w:val="00C978C8"/>
    <w:rsid w:val="00CA0996"/>
    <w:rsid w:val="00CA0BA3"/>
    <w:rsid w:val="00CA1B9C"/>
    <w:rsid w:val="00CA1BD0"/>
    <w:rsid w:val="00CA20B9"/>
    <w:rsid w:val="00CA24CA"/>
    <w:rsid w:val="00CA4036"/>
    <w:rsid w:val="00CA4E36"/>
    <w:rsid w:val="00CA5176"/>
    <w:rsid w:val="00CA5DC3"/>
    <w:rsid w:val="00CA634F"/>
    <w:rsid w:val="00CB0B72"/>
    <w:rsid w:val="00CB0EC6"/>
    <w:rsid w:val="00CB11F0"/>
    <w:rsid w:val="00CB17AA"/>
    <w:rsid w:val="00CB467E"/>
    <w:rsid w:val="00CB5A18"/>
    <w:rsid w:val="00CB5ACA"/>
    <w:rsid w:val="00CB61B7"/>
    <w:rsid w:val="00CB6CA8"/>
    <w:rsid w:val="00CB6EEC"/>
    <w:rsid w:val="00CB73C2"/>
    <w:rsid w:val="00CB75F6"/>
    <w:rsid w:val="00CB7C35"/>
    <w:rsid w:val="00CC15C8"/>
    <w:rsid w:val="00CC1780"/>
    <w:rsid w:val="00CC2483"/>
    <w:rsid w:val="00CC2B4C"/>
    <w:rsid w:val="00CC4B07"/>
    <w:rsid w:val="00CC6380"/>
    <w:rsid w:val="00CC64F5"/>
    <w:rsid w:val="00CC6E29"/>
    <w:rsid w:val="00CC6F29"/>
    <w:rsid w:val="00CC77B2"/>
    <w:rsid w:val="00CD0086"/>
    <w:rsid w:val="00CD03FE"/>
    <w:rsid w:val="00CD0E49"/>
    <w:rsid w:val="00CD1720"/>
    <w:rsid w:val="00CD21C9"/>
    <w:rsid w:val="00CD22CC"/>
    <w:rsid w:val="00CD2DBA"/>
    <w:rsid w:val="00CD3549"/>
    <w:rsid w:val="00CD359F"/>
    <w:rsid w:val="00CD3C16"/>
    <w:rsid w:val="00CD3CBE"/>
    <w:rsid w:val="00CD468C"/>
    <w:rsid w:val="00CD610B"/>
    <w:rsid w:val="00CD65B3"/>
    <w:rsid w:val="00CD6A0F"/>
    <w:rsid w:val="00CD6A97"/>
    <w:rsid w:val="00CD75D4"/>
    <w:rsid w:val="00CE05D3"/>
    <w:rsid w:val="00CE0DDD"/>
    <w:rsid w:val="00CE1D8B"/>
    <w:rsid w:val="00CE245D"/>
    <w:rsid w:val="00CE255C"/>
    <w:rsid w:val="00CE328B"/>
    <w:rsid w:val="00CE644E"/>
    <w:rsid w:val="00CE6C48"/>
    <w:rsid w:val="00CE76DB"/>
    <w:rsid w:val="00CE7A0B"/>
    <w:rsid w:val="00CF0736"/>
    <w:rsid w:val="00CF0E08"/>
    <w:rsid w:val="00CF1DA9"/>
    <w:rsid w:val="00CF249D"/>
    <w:rsid w:val="00CF43C2"/>
    <w:rsid w:val="00CF5133"/>
    <w:rsid w:val="00CF53F3"/>
    <w:rsid w:val="00CF573D"/>
    <w:rsid w:val="00CF5E65"/>
    <w:rsid w:val="00CF65A5"/>
    <w:rsid w:val="00CF681A"/>
    <w:rsid w:val="00CF685C"/>
    <w:rsid w:val="00CF6DCC"/>
    <w:rsid w:val="00CF7C6C"/>
    <w:rsid w:val="00D00266"/>
    <w:rsid w:val="00D002C8"/>
    <w:rsid w:val="00D005F8"/>
    <w:rsid w:val="00D006E4"/>
    <w:rsid w:val="00D01201"/>
    <w:rsid w:val="00D019DF"/>
    <w:rsid w:val="00D0319F"/>
    <w:rsid w:val="00D0557B"/>
    <w:rsid w:val="00D062AE"/>
    <w:rsid w:val="00D06E7F"/>
    <w:rsid w:val="00D06ED5"/>
    <w:rsid w:val="00D06F8F"/>
    <w:rsid w:val="00D07930"/>
    <w:rsid w:val="00D1110F"/>
    <w:rsid w:val="00D11B61"/>
    <w:rsid w:val="00D11EB2"/>
    <w:rsid w:val="00D11F7C"/>
    <w:rsid w:val="00D12AAC"/>
    <w:rsid w:val="00D13AAD"/>
    <w:rsid w:val="00D141EE"/>
    <w:rsid w:val="00D14890"/>
    <w:rsid w:val="00D150D1"/>
    <w:rsid w:val="00D15554"/>
    <w:rsid w:val="00D15DC2"/>
    <w:rsid w:val="00D16B34"/>
    <w:rsid w:val="00D1797B"/>
    <w:rsid w:val="00D17E83"/>
    <w:rsid w:val="00D20265"/>
    <w:rsid w:val="00D203AD"/>
    <w:rsid w:val="00D2092F"/>
    <w:rsid w:val="00D2140B"/>
    <w:rsid w:val="00D21CB0"/>
    <w:rsid w:val="00D22818"/>
    <w:rsid w:val="00D231C8"/>
    <w:rsid w:val="00D24290"/>
    <w:rsid w:val="00D24365"/>
    <w:rsid w:val="00D25A0A"/>
    <w:rsid w:val="00D274B6"/>
    <w:rsid w:val="00D2775E"/>
    <w:rsid w:val="00D30427"/>
    <w:rsid w:val="00D306A9"/>
    <w:rsid w:val="00D334FE"/>
    <w:rsid w:val="00D33617"/>
    <w:rsid w:val="00D33B75"/>
    <w:rsid w:val="00D34352"/>
    <w:rsid w:val="00D346B2"/>
    <w:rsid w:val="00D3502C"/>
    <w:rsid w:val="00D35BC2"/>
    <w:rsid w:val="00D41054"/>
    <w:rsid w:val="00D41727"/>
    <w:rsid w:val="00D417B8"/>
    <w:rsid w:val="00D4205D"/>
    <w:rsid w:val="00D421C2"/>
    <w:rsid w:val="00D428E7"/>
    <w:rsid w:val="00D430C8"/>
    <w:rsid w:val="00D43266"/>
    <w:rsid w:val="00D45767"/>
    <w:rsid w:val="00D4650E"/>
    <w:rsid w:val="00D46EE0"/>
    <w:rsid w:val="00D47713"/>
    <w:rsid w:val="00D477AA"/>
    <w:rsid w:val="00D5094B"/>
    <w:rsid w:val="00D50B03"/>
    <w:rsid w:val="00D523E2"/>
    <w:rsid w:val="00D5245D"/>
    <w:rsid w:val="00D5259C"/>
    <w:rsid w:val="00D52CF6"/>
    <w:rsid w:val="00D54F4B"/>
    <w:rsid w:val="00D56068"/>
    <w:rsid w:val="00D56A8A"/>
    <w:rsid w:val="00D57D12"/>
    <w:rsid w:val="00D607DC"/>
    <w:rsid w:val="00D62158"/>
    <w:rsid w:val="00D62208"/>
    <w:rsid w:val="00D62ACE"/>
    <w:rsid w:val="00D62CE3"/>
    <w:rsid w:val="00D6378F"/>
    <w:rsid w:val="00D64AFE"/>
    <w:rsid w:val="00D652FA"/>
    <w:rsid w:val="00D656C2"/>
    <w:rsid w:val="00D659BE"/>
    <w:rsid w:val="00D65C70"/>
    <w:rsid w:val="00D65CBA"/>
    <w:rsid w:val="00D67CFD"/>
    <w:rsid w:val="00D70177"/>
    <w:rsid w:val="00D70457"/>
    <w:rsid w:val="00D7272E"/>
    <w:rsid w:val="00D72BF4"/>
    <w:rsid w:val="00D72CB1"/>
    <w:rsid w:val="00D72E31"/>
    <w:rsid w:val="00D73664"/>
    <w:rsid w:val="00D73714"/>
    <w:rsid w:val="00D740B7"/>
    <w:rsid w:val="00D742A7"/>
    <w:rsid w:val="00D74C33"/>
    <w:rsid w:val="00D75A08"/>
    <w:rsid w:val="00D75CF3"/>
    <w:rsid w:val="00D76064"/>
    <w:rsid w:val="00D767CF"/>
    <w:rsid w:val="00D767F8"/>
    <w:rsid w:val="00D773D1"/>
    <w:rsid w:val="00D7777D"/>
    <w:rsid w:val="00D778E6"/>
    <w:rsid w:val="00D8067A"/>
    <w:rsid w:val="00D80D45"/>
    <w:rsid w:val="00D8242F"/>
    <w:rsid w:val="00D832B1"/>
    <w:rsid w:val="00D83479"/>
    <w:rsid w:val="00D838A4"/>
    <w:rsid w:val="00D84AF6"/>
    <w:rsid w:val="00D853DD"/>
    <w:rsid w:val="00D85EA5"/>
    <w:rsid w:val="00D8625D"/>
    <w:rsid w:val="00D865D0"/>
    <w:rsid w:val="00D8735A"/>
    <w:rsid w:val="00D8736F"/>
    <w:rsid w:val="00D878AB"/>
    <w:rsid w:val="00D87BE1"/>
    <w:rsid w:val="00D90239"/>
    <w:rsid w:val="00D90591"/>
    <w:rsid w:val="00D910AE"/>
    <w:rsid w:val="00D92BDA"/>
    <w:rsid w:val="00D930A9"/>
    <w:rsid w:val="00D94103"/>
    <w:rsid w:val="00D944B4"/>
    <w:rsid w:val="00D95ADA"/>
    <w:rsid w:val="00D97320"/>
    <w:rsid w:val="00D97D7B"/>
    <w:rsid w:val="00D97D87"/>
    <w:rsid w:val="00DA0F14"/>
    <w:rsid w:val="00DA1F23"/>
    <w:rsid w:val="00DA20A6"/>
    <w:rsid w:val="00DA25A4"/>
    <w:rsid w:val="00DA2960"/>
    <w:rsid w:val="00DA417B"/>
    <w:rsid w:val="00DA5219"/>
    <w:rsid w:val="00DA58FD"/>
    <w:rsid w:val="00DA680E"/>
    <w:rsid w:val="00DA732C"/>
    <w:rsid w:val="00DA78C0"/>
    <w:rsid w:val="00DA7DF7"/>
    <w:rsid w:val="00DA7FEC"/>
    <w:rsid w:val="00DB04EF"/>
    <w:rsid w:val="00DB1916"/>
    <w:rsid w:val="00DB1C71"/>
    <w:rsid w:val="00DB1C93"/>
    <w:rsid w:val="00DB21B9"/>
    <w:rsid w:val="00DB3449"/>
    <w:rsid w:val="00DB4742"/>
    <w:rsid w:val="00DB5041"/>
    <w:rsid w:val="00DB58A8"/>
    <w:rsid w:val="00DB6C95"/>
    <w:rsid w:val="00DB6E8F"/>
    <w:rsid w:val="00DB76BA"/>
    <w:rsid w:val="00DC0629"/>
    <w:rsid w:val="00DC0B9F"/>
    <w:rsid w:val="00DC1190"/>
    <w:rsid w:val="00DC13FE"/>
    <w:rsid w:val="00DC159F"/>
    <w:rsid w:val="00DC25AF"/>
    <w:rsid w:val="00DC2EE6"/>
    <w:rsid w:val="00DC2FE5"/>
    <w:rsid w:val="00DC345B"/>
    <w:rsid w:val="00DC3594"/>
    <w:rsid w:val="00DC3B27"/>
    <w:rsid w:val="00DC494C"/>
    <w:rsid w:val="00DC495C"/>
    <w:rsid w:val="00DC5045"/>
    <w:rsid w:val="00DC510E"/>
    <w:rsid w:val="00DC6D89"/>
    <w:rsid w:val="00DC792E"/>
    <w:rsid w:val="00DD1056"/>
    <w:rsid w:val="00DD10B7"/>
    <w:rsid w:val="00DD4D0B"/>
    <w:rsid w:val="00DD5960"/>
    <w:rsid w:val="00DD66DC"/>
    <w:rsid w:val="00DE085F"/>
    <w:rsid w:val="00DE12D6"/>
    <w:rsid w:val="00DE134B"/>
    <w:rsid w:val="00DE16EE"/>
    <w:rsid w:val="00DE1CAF"/>
    <w:rsid w:val="00DE1DA9"/>
    <w:rsid w:val="00DE23F6"/>
    <w:rsid w:val="00DE24BB"/>
    <w:rsid w:val="00DE2643"/>
    <w:rsid w:val="00DE2759"/>
    <w:rsid w:val="00DE2BD2"/>
    <w:rsid w:val="00DE49E3"/>
    <w:rsid w:val="00DE4D50"/>
    <w:rsid w:val="00DE4EA8"/>
    <w:rsid w:val="00DE5853"/>
    <w:rsid w:val="00DE5B90"/>
    <w:rsid w:val="00DE60B6"/>
    <w:rsid w:val="00DE6A7F"/>
    <w:rsid w:val="00DE6BFF"/>
    <w:rsid w:val="00DF0F75"/>
    <w:rsid w:val="00DF160F"/>
    <w:rsid w:val="00DF16C7"/>
    <w:rsid w:val="00DF2B8C"/>
    <w:rsid w:val="00DF41CC"/>
    <w:rsid w:val="00DF4A1E"/>
    <w:rsid w:val="00DF4E56"/>
    <w:rsid w:val="00DF6728"/>
    <w:rsid w:val="00E00325"/>
    <w:rsid w:val="00E00916"/>
    <w:rsid w:val="00E010EE"/>
    <w:rsid w:val="00E012B2"/>
    <w:rsid w:val="00E015A0"/>
    <w:rsid w:val="00E01614"/>
    <w:rsid w:val="00E024BB"/>
    <w:rsid w:val="00E03969"/>
    <w:rsid w:val="00E046DC"/>
    <w:rsid w:val="00E04724"/>
    <w:rsid w:val="00E04BB4"/>
    <w:rsid w:val="00E055FD"/>
    <w:rsid w:val="00E0585D"/>
    <w:rsid w:val="00E06FD0"/>
    <w:rsid w:val="00E07CC7"/>
    <w:rsid w:val="00E1039E"/>
    <w:rsid w:val="00E10BCF"/>
    <w:rsid w:val="00E11080"/>
    <w:rsid w:val="00E12307"/>
    <w:rsid w:val="00E15BCE"/>
    <w:rsid w:val="00E16B78"/>
    <w:rsid w:val="00E178E8"/>
    <w:rsid w:val="00E17B34"/>
    <w:rsid w:val="00E17DC9"/>
    <w:rsid w:val="00E20123"/>
    <w:rsid w:val="00E21995"/>
    <w:rsid w:val="00E22E46"/>
    <w:rsid w:val="00E22E8F"/>
    <w:rsid w:val="00E266B9"/>
    <w:rsid w:val="00E26A36"/>
    <w:rsid w:val="00E26B44"/>
    <w:rsid w:val="00E27267"/>
    <w:rsid w:val="00E27A51"/>
    <w:rsid w:val="00E27B9B"/>
    <w:rsid w:val="00E306B6"/>
    <w:rsid w:val="00E332A4"/>
    <w:rsid w:val="00E33402"/>
    <w:rsid w:val="00E35373"/>
    <w:rsid w:val="00E361FE"/>
    <w:rsid w:val="00E37318"/>
    <w:rsid w:val="00E37ACD"/>
    <w:rsid w:val="00E40985"/>
    <w:rsid w:val="00E41080"/>
    <w:rsid w:val="00E41C89"/>
    <w:rsid w:val="00E439D1"/>
    <w:rsid w:val="00E44431"/>
    <w:rsid w:val="00E45955"/>
    <w:rsid w:val="00E4711A"/>
    <w:rsid w:val="00E472A1"/>
    <w:rsid w:val="00E47403"/>
    <w:rsid w:val="00E47862"/>
    <w:rsid w:val="00E47871"/>
    <w:rsid w:val="00E47DF6"/>
    <w:rsid w:val="00E5000B"/>
    <w:rsid w:val="00E506D6"/>
    <w:rsid w:val="00E5223E"/>
    <w:rsid w:val="00E52927"/>
    <w:rsid w:val="00E5345A"/>
    <w:rsid w:val="00E54C3D"/>
    <w:rsid w:val="00E54E63"/>
    <w:rsid w:val="00E564A9"/>
    <w:rsid w:val="00E5668A"/>
    <w:rsid w:val="00E575AF"/>
    <w:rsid w:val="00E601EC"/>
    <w:rsid w:val="00E602BE"/>
    <w:rsid w:val="00E60495"/>
    <w:rsid w:val="00E6084B"/>
    <w:rsid w:val="00E60885"/>
    <w:rsid w:val="00E6088C"/>
    <w:rsid w:val="00E609A0"/>
    <w:rsid w:val="00E618AD"/>
    <w:rsid w:val="00E61935"/>
    <w:rsid w:val="00E628DC"/>
    <w:rsid w:val="00E62B76"/>
    <w:rsid w:val="00E62D0E"/>
    <w:rsid w:val="00E63A5D"/>
    <w:rsid w:val="00E6494C"/>
    <w:rsid w:val="00E64F38"/>
    <w:rsid w:val="00E65EE5"/>
    <w:rsid w:val="00E6681E"/>
    <w:rsid w:val="00E66B8A"/>
    <w:rsid w:val="00E70662"/>
    <w:rsid w:val="00E70AD9"/>
    <w:rsid w:val="00E727ED"/>
    <w:rsid w:val="00E729D4"/>
    <w:rsid w:val="00E72A11"/>
    <w:rsid w:val="00E72B55"/>
    <w:rsid w:val="00E73044"/>
    <w:rsid w:val="00E73BFA"/>
    <w:rsid w:val="00E7510B"/>
    <w:rsid w:val="00E759FA"/>
    <w:rsid w:val="00E75B81"/>
    <w:rsid w:val="00E76390"/>
    <w:rsid w:val="00E76B65"/>
    <w:rsid w:val="00E77178"/>
    <w:rsid w:val="00E77BE5"/>
    <w:rsid w:val="00E77E4E"/>
    <w:rsid w:val="00E80200"/>
    <w:rsid w:val="00E811C9"/>
    <w:rsid w:val="00E82137"/>
    <w:rsid w:val="00E8267A"/>
    <w:rsid w:val="00E86748"/>
    <w:rsid w:val="00E86EAA"/>
    <w:rsid w:val="00E91BD5"/>
    <w:rsid w:val="00E9316D"/>
    <w:rsid w:val="00E938BF"/>
    <w:rsid w:val="00E93B6D"/>
    <w:rsid w:val="00E94E2A"/>
    <w:rsid w:val="00E95E14"/>
    <w:rsid w:val="00E963ED"/>
    <w:rsid w:val="00E96C6E"/>
    <w:rsid w:val="00E97637"/>
    <w:rsid w:val="00E97BF0"/>
    <w:rsid w:val="00EA0389"/>
    <w:rsid w:val="00EA0EFB"/>
    <w:rsid w:val="00EA2EBA"/>
    <w:rsid w:val="00EA2F23"/>
    <w:rsid w:val="00EA323F"/>
    <w:rsid w:val="00EA3FC8"/>
    <w:rsid w:val="00EA3FCC"/>
    <w:rsid w:val="00EA4B08"/>
    <w:rsid w:val="00EA5510"/>
    <w:rsid w:val="00EA5A52"/>
    <w:rsid w:val="00EA7077"/>
    <w:rsid w:val="00EA76D9"/>
    <w:rsid w:val="00EB0FA5"/>
    <w:rsid w:val="00EB1416"/>
    <w:rsid w:val="00EB1746"/>
    <w:rsid w:val="00EB17CF"/>
    <w:rsid w:val="00EB2719"/>
    <w:rsid w:val="00EB3291"/>
    <w:rsid w:val="00EB3AF4"/>
    <w:rsid w:val="00EB3B92"/>
    <w:rsid w:val="00EB3F08"/>
    <w:rsid w:val="00EB6280"/>
    <w:rsid w:val="00EB6728"/>
    <w:rsid w:val="00EB7629"/>
    <w:rsid w:val="00EC012C"/>
    <w:rsid w:val="00EC1229"/>
    <w:rsid w:val="00EC1457"/>
    <w:rsid w:val="00EC14C3"/>
    <w:rsid w:val="00EC1791"/>
    <w:rsid w:val="00EC18DD"/>
    <w:rsid w:val="00EC20A4"/>
    <w:rsid w:val="00EC27BC"/>
    <w:rsid w:val="00EC2D33"/>
    <w:rsid w:val="00EC33DB"/>
    <w:rsid w:val="00EC33DE"/>
    <w:rsid w:val="00EC3D42"/>
    <w:rsid w:val="00EC4A07"/>
    <w:rsid w:val="00EC58F2"/>
    <w:rsid w:val="00EC7045"/>
    <w:rsid w:val="00EC73B3"/>
    <w:rsid w:val="00EC78F4"/>
    <w:rsid w:val="00ED087A"/>
    <w:rsid w:val="00ED0A6A"/>
    <w:rsid w:val="00ED268B"/>
    <w:rsid w:val="00ED2949"/>
    <w:rsid w:val="00ED3005"/>
    <w:rsid w:val="00ED4153"/>
    <w:rsid w:val="00ED43C4"/>
    <w:rsid w:val="00ED465A"/>
    <w:rsid w:val="00ED4D64"/>
    <w:rsid w:val="00ED7D58"/>
    <w:rsid w:val="00EE002C"/>
    <w:rsid w:val="00EE0C58"/>
    <w:rsid w:val="00EE109A"/>
    <w:rsid w:val="00EE128D"/>
    <w:rsid w:val="00EE1372"/>
    <w:rsid w:val="00EE13A7"/>
    <w:rsid w:val="00EE2B46"/>
    <w:rsid w:val="00EE2E28"/>
    <w:rsid w:val="00EE3537"/>
    <w:rsid w:val="00EE70B7"/>
    <w:rsid w:val="00EE7C2D"/>
    <w:rsid w:val="00EF03F9"/>
    <w:rsid w:val="00EF0595"/>
    <w:rsid w:val="00EF0738"/>
    <w:rsid w:val="00EF0910"/>
    <w:rsid w:val="00EF10F8"/>
    <w:rsid w:val="00EF1306"/>
    <w:rsid w:val="00EF17CB"/>
    <w:rsid w:val="00EF1996"/>
    <w:rsid w:val="00EF1C4C"/>
    <w:rsid w:val="00EF23E5"/>
    <w:rsid w:val="00EF3500"/>
    <w:rsid w:val="00EF43F0"/>
    <w:rsid w:val="00EF6979"/>
    <w:rsid w:val="00EF72DE"/>
    <w:rsid w:val="00EF7FA8"/>
    <w:rsid w:val="00F00074"/>
    <w:rsid w:val="00F00E9B"/>
    <w:rsid w:val="00F012DC"/>
    <w:rsid w:val="00F01471"/>
    <w:rsid w:val="00F014CC"/>
    <w:rsid w:val="00F01B13"/>
    <w:rsid w:val="00F02714"/>
    <w:rsid w:val="00F0367D"/>
    <w:rsid w:val="00F0593D"/>
    <w:rsid w:val="00F06454"/>
    <w:rsid w:val="00F06A72"/>
    <w:rsid w:val="00F102FC"/>
    <w:rsid w:val="00F109C4"/>
    <w:rsid w:val="00F1189F"/>
    <w:rsid w:val="00F118A0"/>
    <w:rsid w:val="00F11D05"/>
    <w:rsid w:val="00F11D5A"/>
    <w:rsid w:val="00F11FDE"/>
    <w:rsid w:val="00F12C97"/>
    <w:rsid w:val="00F12E2D"/>
    <w:rsid w:val="00F136E1"/>
    <w:rsid w:val="00F140DB"/>
    <w:rsid w:val="00F147C6"/>
    <w:rsid w:val="00F1492C"/>
    <w:rsid w:val="00F1611B"/>
    <w:rsid w:val="00F1722F"/>
    <w:rsid w:val="00F2045F"/>
    <w:rsid w:val="00F22029"/>
    <w:rsid w:val="00F2242C"/>
    <w:rsid w:val="00F23232"/>
    <w:rsid w:val="00F23E06"/>
    <w:rsid w:val="00F246C2"/>
    <w:rsid w:val="00F248E3"/>
    <w:rsid w:val="00F25510"/>
    <w:rsid w:val="00F25729"/>
    <w:rsid w:val="00F26371"/>
    <w:rsid w:val="00F2697C"/>
    <w:rsid w:val="00F26EF7"/>
    <w:rsid w:val="00F27D2B"/>
    <w:rsid w:val="00F30D62"/>
    <w:rsid w:val="00F31008"/>
    <w:rsid w:val="00F31514"/>
    <w:rsid w:val="00F31CB4"/>
    <w:rsid w:val="00F31D64"/>
    <w:rsid w:val="00F32698"/>
    <w:rsid w:val="00F32B65"/>
    <w:rsid w:val="00F32FA8"/>
    <w:rsid w:val="00F3417B"/>
    <w:rsid w:val="00F3496A"/>
    <w:rsid w:val="00F35595"/>
    <w:rsid w:val="00F3624B"/>
    <w:rsid w:val="00F367BB"/>
    <w:rsid w:val="00F37526"/>
    <w:rsid w:val="00F403D8"/>
    <w:rsid w:val="00F41837"/>
    <w:rsid w:val="00F422D4"/>
    <w:rsid w:val="00F42B26"/>
    <w:rsid w:val="00F45417"/>
    <w:rsid w:val="00F45813"/>
    <w:rsid w:val="00F46E30"/>
    <w:rsid w:val="00F50370"/>
    <w:rsid w:val="00F50876"/>
    <w:rsid w:val="00F5153B"/>
    <w:rsid w:val="00F51F14"/>
    <w:rsid w:val="00F52E18"/>
    <w:rsid w:val="00F538E9"/>
    <w:rsid w:val="00F55BF8"/>
    <w:rsid w:val="00F561C7"/>
    <w:rsid w:val="00F577F2"/>
    <w:rsid w:val="00F57E1D"/>
    <w:rsid w:val="00F60924"/>
    <w:rsid w:val="00F60A10"/>
    <w:rsid w:val="00F61006"/>
    <w:rsid w:val="00F610EC"/>
    <w:rsid w:val="00F6193C"/>
    <w:rsid w:val="00F624CD"/>
    <w:rsid w:val="00F62AFF"/>
    <w:rsid w:val="00F6352B"/>
    <w:rsid w:val="00F6423C"/>
    <w:rsid w:val="00F64997"/>
    <w:rsid w:val="00F64DD6"/>
    <w:rsid w:val="00F65547"/>
    <w:rsid w:val="00F65652"/>
    <w:rsid w:val="00F65AF7"/>
    <w:rsid w:val="00F65E07"/>
    <w:rsid w:val="00F65EC0"/>
    <w:rsid w:val="00F70682"/>
    <w:rsid w:val="00F7096A"/>
    <w:rsid w:val="00F715ED"/>
    <w:rsid w:val="00F72165"/>
    <w:rsid w:val="00F725DE"/>
    <w:rsid w:val="00F7360E"/>
    <w:rsid w:val="00F7421E"/>
    <w:rsid w:val="00F744A3"/>
    <w:rsid w:val="00F753DC"/>
    <w:rsid w:val="00F758B1"/>
    <w:rsid w:val="00F76BF0"/>
    <w:rsid w:val="00F77A34"/>
    <w:rsid w:val="00F810FD"/>
    <w:rsid w:val="00F82023"/>
    <w:rsid w:val="00F83690"/>
    <w:rsid w:val="00F8389F"/>
    <w:rsid w:val="00F83DCA"/>
    <w:rsid w:val="00F84F7A"/>
    <w:rsid w:val="00F87CCF"/>
    <w:rsid w:val="00F900D2"/>
    <w:rsid w:val="00F90233"/>
    <w:rsid w:val="00F90472"/>
    <w:rsid w:val="00F9102A"/>
    <w:rsid w:val="00F926C0"/>
    <w:rsid w:val="00F926E3"/>
    <w:rsid w:val="00F92B99"/>
    <w:rsid w:val="00F93236"/>
    <w:rsid w:val="00F9523D"/>
    <w:rsid w:val="00F959F0"/>
    <w:rsid w:val="00F96383"/>
    <w:rsid w:val="00F9667E"/>
    <w:rsid w:val="00F971E3"/>
    <w:rsid w:val="00F97C04"/>
    <w:rsid w:val="00FA0F1C"/>
    <w:rsid w:val="00FA0F2F"/>
    <w:rsid w:val="00FA14E3"/>
    <w:rsid w:val="00FA1C36"/>
    <w:rsid w:val="00FA1D23"/>
    <w:rsid w:val="00FA3438"/>
    <w:rsid w:val="00FA3828"/>
    <w:rsid w:val="00FA3DBB"/>
    <w:rsid w:val="00FA4B7B"/>
    <w:rsid w:val="00FA4C3C"/>
    <w:rsid w:val="00FA4CCF"/>
    <w:rsid w:val="00FA6123"/>
    <w:rsid w:val="00FA7134"/>
    <w:rsid w:val="00FA7892"/>
    <w:rsid w:val="00FA7AFC"/>
    <w:rsid w:val="00FB099D"/>
    <w:rsid w:val="00FB2145"/>
    <w:rsid w:val="00FB48C2"/>
    <w:rsid w:val="00FB6BBF"/>
    <w:rsid w:val="00FC1074"/>
    <w:rsid w:val="00FC10BC"/>
    <w:rsid w:val="00FC14DB"/>
    <w:rsid w:val="00FC2056"/>
    <w:rsid w:val="00FC3015"/>
    <w:rsid w:val="00FC3BCE"/>
    <w:rsid w:val="00FC4105"/>
    <w:rsid w:val="00FC42E1"/>
    <w:rsid w:val="00FC5AB2"/>
    <w:rsid w:val="00FC6B5B"/>
    <w:rsid w:val="00FC750D"/>
    <w:rsid w:val="00FC7813"/>
    <w:rsid w:val="00FC7A13"/>
    <w:rsid w:val="00FD129F"/>
    <w:rsid w:val="00FD25FC"/>
    <w:rsid w:val="00FD3CB1"/>
    <w:rsid w:val="00FD3E8E"/>
    <w:rsid w:val="00FD3F61"/>
    <w:rsid w:val="00FD46D9"/>
    <w:rsid w:val="00FD4A3F"/>
    <w:rsid w:val="00FD4AF6"/>
    <w:rsid w:val="00FD4F28"/>
    <w:rsid w:val="00FD64E0"/>
    <w:rsid w:val="00FD67A6"/>
    <w:rsid w:val="00FD6F3A"/>
    <w:rsid w:val="00FD7245"/>
    <w:rsid w:val="00FD7710"/>
    <w:rsid w:val="00FD7F72"/>
    <w:rsid w:val="00FD7FF4"/>
    <w:rsid w:val="00FE0102"/>
    <w:rsid w:val="00FE048B"/>
    <w:rsid w:val="00FE0516"/>
    <w:rsid w:val="00FE1098"/>
    <w:rsid w:val="00FE230F"/>
    <w:rsid w:val="00FE3151"/>
    <w:rsid w:val="00FE3210"/>
    <w:rsid w:val="00FE33D1"/>
    <w:rsid w:val="00FE4503"/>
    <w:rsid w:val="00FE4692"/>
    <w:rsid w:val="00FE4C61"/>
    <w:rsid w:val="00FE5B6D"/>
    <w:rsid w:val="00FE6832"/>
    <w:rsid w:val="00FE6D20"/>
    <w:rsid w:val="00FE6D2A"/>
    <w:rsid w:val="00FE71A4"/>
    <w:rsid w:val="00FE7CC5"/>
    <w:rsid w:val="00FE7E1C"/>
    <w:rsid w:val="00FF0343"/>
    <w:rsid w:val="00FF0344"/>
    <w:rsid w:val="00FF05C2"/>
    <w:rsid w:val="00FF0959"/>
    <w:rsid w:val="00FF20D4"/>
    <w:rsid w:val="00FF2E38"/>
    <w:rsid w:val="00FF3271"/>
    <w:rsid w:val="00FF3838"/>
    <w:rsid w:val="00FF43AC"/>
    <w:rsid w:val="00FF4DA7"/>
    <w:rsid w:val="00FF5B5E"/>
    <w:rsid w:val="00FF5E2D"/>
    <w:rsid w:val="00FF70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AC0"/>
    <w:pPr>
      <w:spacing w:after="160" w:line="259" w:lineRule="auto"/>
    </w:pPr>
    <w:rPr>
      <w:sz w:val="22"/>
      <w:szCs w:val="22"/>
      <w:lang w:val="pt-BR" w:eastAsia="en-US"/>
    </w:rPr>
  </w:style>
  <w:style w:type="paragraph" w:styleId="1">
    <w:name w:val="heading 1"/>
    <w:basedOn w:val="a"/>
    <w:next w:val="a"/>
    <w:link w:val="1Char"/>
    <w:uiPriority w:val="9"/>
    <w:qFormat/>
    <w:rsid w:val="009A7885"/>
    <w:pPr>
      <w:keepNext/>
      <w:keepLines/>
      <w:spacing w:before="240" w:after="0"/>
      <w:outlineLvl w:val="0"/>
    </w:pPr>
    <w:rPr>
      <w:rFonts w:ascii="Calibri Light" w:eastAsia="Times New Roman" w:hAnsi="Calibri Light"/>
      <w:color w:val="2F5496"/>
      <w:sz w:val="32"/>
      <w:szCs w:val="32"/>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3FC8"/>
    <w:pPr>
      <w:ind w:left="720"/>
      <w:contextualSpacing/>
    </w:pPr>
  </w:style>
  <w:style w:type="character" w:customStyle="1" w:styleId="1Char">
    <w:name w:val="标题 1 Char"/>
    <w:link w:val="1"/>
    <w:uiPriority w:val="9"/>
    <w:rsid w:val="009A7885"/>
    <w:rPr>
      <w:rFonts w:ascii="Calibri Light" w:eastAsia="Times New Roman" w:hAnsi="Calibri Light" w:cs="Times New Roman"/>
      <w:color w:val="2F5496"/>
      <w:sz w:val="32"/>
      <w:szCs w:val="32"/>
    </w:rPr>
  </w:style>
  <w:style w:type="paragraph" w:customStyle="1" w:styleId="Default">
    <w:name w:val="Default"/>
    <w:rsid w:val="009115C0"/>
    <w:pPr>
      <w:autoSpaceDE w:val="0"/>
      <w:autoSpaceDN w:val="0"/>
      <w:adjustRightInd w:val="0"/>
    </w:pPr>
    <w:rPr>
      <w:rFonts w:cs="Calibri"/>
      <w:color w:val="000000"/>
      <w:sz w:val="24"/>
      <w:szCs w:val="24"/>
      <w:lang w:val="pt-BR" w:eastAsia="en-US"/>
    </w:rPr>
  </w:style>
  <w:style w:type="paragraph" w:styleId="a4">
    <w:name w:val="endnote text"/>
    <w:basedOn w:val="a"/>
    <w:link w:val="Char"/>
    <w:uiPriority w:val="99"/>
    <w:semiHidden/>
    <w:unhideWhenUsed/>
    <w:rsid w:val="004D3AA7"/>
    <w:pPr>
      <w:spacing w:after="0" w:line="240" w:lineRule="auto"/>
    </w:pPr>
    <w:rPr>
      <w:sz w:val="20"/>
      <w:szCs w:val="20"/>
      <w:lang w:val="x-none" w:eastAsia="x-none"/>
    </w:rPr>
  </w:style>
  <w:style w:type="character" w:customStyle="1" w:styleId="Char">
    <w:name w:val="尾注文本 Char"/>
    <w:link w:val="a4"/>
    <w:uiPriority w:val="99"/>
    <w:semiHidden/>
    <w:rsid w:val="004D3AA7"/>
    <w:rPr>
      <w:sz w:val="20"/>
      <w:szCs w:val="20"/>
    </w:rPr>
  </w:style>
  <w:style w:type="character" w:styleId="a5">
    <w:name w:val="endnote reference"/>
    <w:uiPriority w:val="99"/>
    <w:semiHidden/>
    <w:unhideWhenUsed/>
    <w:rsid w:val="004D3AA7"/>
    <w:rPr>
      <w:vertAlign w:val="superscript"/>
    </w:rPr>
  </w:style>
  <w:style w:type="paragraph" w:styleId="a6">
    <w:name w:val="Normal (Web)"/>
    <w:basedOn w:val="a"/>
    <w:uiPriority w:val="99"/>
    <w:semiHidden/>
    <w:unhideWhenUsed/>
    <w:rsid w:val="00DC3B27"/>
    <w:pPr>
      <w:spacing w:before="100" w:beforeAutospacing="1" w:after="100" w:afterAutospacing="1" w:line="240" w:lineRule="auto"/>
    </w:pPr>
    <w:rPr>
      <w:rFonts w:ascii="Times New Roman" w:eastAsia="Times New Roman" w:hAnsi="Times New Roman"/>
      <w:sz w:val="24"/>
      <w:szCs w:val="24"/>
      <w:lang w:eastAsia="pt-BR"/>
    </w:rPr>
  </w:style>
  <w:style w:type="character" w:styleId="a7">
    <w:name w:val="Hyperlink"/>
    <w:uiPriority w:val="99"/>
    <w:unhideWhenUsed/>
    <w:rsid w:val="00A26F5C"/>
    <w:rPr>
      <w:color w:val="0563C1"/>
      <w:u w:val="single"/>
    </w:rPr>
  </w:style>
  <w:style w:type="character" w:customStyle="1" w:styleId="UnresolvedMention">
    <w:name w:val="Unresolved Mention"/>
    <w:uiPriority w:val="99"/>
    <w:semiHidden/>
    <w:unhideWhenUsed/>
    <w:rsid w:val="00A26F5C"/>
    <w:rPr>
      <w:color w:val="808080"/>
      <w:shd w:val="clear" w:color="auto" w:fill="E6E6E6"/>
    </w:rPr>
  </w:style>
  <w:style w:type="paragraph" w:styleId="a8">
    <w:name w:val="header"/>
    <w:basedOn w:val="a"/>
    <w:link w:val="Char0"/>
    <w:uiPriority w:val="99"/>
    <w:unhideWhenUsed/>
    <w:rsid w:val="00740FB7"/>
    <w:pPr>
      <w:tabs>
        <w:tab w:val="center" w:pos="4252"/>
        <w:tab w:val="right" w:pos="8504"/>
      </w:tabs>
      <w:spacing w:after="0" w:line="240" w:lineRule="auto"/>
    </w:pPr>
  </w:style>
  <w:style w:type="character" w:customStyle="1" w:styleId="Char0">
    <w:name w:val="页眉 Char"/>
    <w:basedOn w:val="a0"/>
    <w:link w:val="a8"/>
    <w:uiPriority w:val="99"/>
    <w:rsid w:val="00740FB7"/>
  </w:style>
  <w:style w:type="paragraph" w:styleId="a9">
    <w:name w:val="footer"/>
    <w:basedOn w:val="a"/>
    <w:link w:val="Char1"/>
    <w:uiPriority w:val="99"/>
    <w:unhideWhenUsed/>
    <w:rsid w:val="00740FB7"/>
    <w:pPr>
      <w:tabs>
        <w:tab w:val="center" w:pos="4252"/>
        <w:tab w:val="right" w:pos="8504"/>
      </w:tabs>
      <w:spacing w:after="0" w:line="240" w:lineRule="auto"/>
    </w:pPr>
  </w:style>
  <w:style w:type="character" w:customStyle="1" w:styleId="Char1">
    <w:name w:val="页脚 Char"/>
    <w:basedOn w:val="a0"/>
    <w:link w:val="a9"/>
    <w:uiPriority w:val="99"/>
    <w:rsid w:val="00740FB7"/>
  </w:style>
  <w:style w:type="character" w:styleId="aa">
    <w:name w:val="annotation reference"/>
    <w:uiPriority w:val="99"/>
    <w:semiHidden/>
    <w:unhideWhenUsed/>
    <w:rsid w:val="0009596A"/>
    <w:rPr>
      <w:sz w:val="16"/>
      <w:szCs w:val="16"/>
    </w:rPr>
  </w:style>
  <w:style w:type="paragraph" w:styleId="ab">
    <w:name w:val="annotation text"/>
    <w:link w:val="Char2"/>
    <w:uiPriority w:val="99"/>
    <w:unhideWhenUsed/>
    <w:rsid w:val="0009596A"/>
    <w:rPr>
      <w:rFonts w:ascii="Tahoma" w:hAnsi="Tahoma"/>
      <w:sz w:val="16"/>
    </w:rPr>
  </w:style>
  <w:style w:type="character" w:customStyle="1" w:styleId="Char2">
    <w:name w:val="批注文字 Char"/>
    <w:link w:val="ab"/>
    <w:uiPriority w:val="99"/>
    <w:rsid w:val="0009596A"/>
    <w:rPr>
      <w:rFonts w:ascii="Tahoma" w:hAnsi="Tahoma"/>
      <w:sz w:val="16"/>
      <w:lang w:bidi="ar-SA"/>
    </w:rPr>
  </w:style>
  <w:style w:type="paragraph" w:styleId="ac">
    <w:name w:val="annotation subject"/>
    <w:next w:val="ab"/>
    <w:link w:val="Char3"/>
    <w:uiPriority w:val="99"/>
    <w:semiHidden/>
    <w:unhideWhenUsed/>
    <w:rsid w:val="0009596A"/>
    <w:rPr>
      <w:rFonts w:ascii="Tahoma" w:hAnsi="Tahoma"/>
      <w:b/>
      <w:bCs/>
      <w:sz w:val="16"/>
    </w:rPr>
  </w:style>
  <w:style w:type="character" w:customStyle="1" w:styleId="Char3">
    <w:name w:val="批注主题 Char"/>
    <w:link w:val="ac"/>
    <w:uiPriority w:val="99"/>
    <w:semiHidden/>
    <w:rsid w:val="0009596A"/>
    <w:rPr>
      <w:rFonts w:ascii="Tahoma" w:hAnsi="Tahoma"/>
      <w:b/>
      <w:bCs/>
      <w:sz w:val="16"/>
      <w:lang w:bidi="ar-SA"/>
    </w:rPr>
  </w:style>
  <w:style w:type="paragraph" w:styleId="ad">
    <w:name w:val="Balloon Text"/>
    <w:next w:val="ab"/>
    <w:link w:val="Char4"/>
    <w:uiPriority w:val="99"/>
    <w:semiHidden/>
    <w:unhideWhenUsed/>
    <w:rsid w:val="0009596A"/>
    <w:rPr>
      <w:rFonts w:ascii="Tahoma" w:hAnsi="Tahoma"/>
      <w:sz w:val="16"/>
      <w:szCs w:val="16"/>
    </w:rPr>
  </w:style>
  <w:style w:type="character" w:customStyle="1" w:styleId="Char4">
    <w:name w:val="批注框文本 Char"/>
    <w:link w:val="ad"/>
    <w:uiPriority w:val="99"/>
    <w:semiHidden/>
    <w:rsid w:val="0009596A"/>
    <w:rPr>
      <w:rFonts w:ascii="Tahoma" w:hAnsi="Tahoma"/>
      <w:sz w:val="16"/>
      <w:szCs w:val="16"/>
      <w:lang w:bidi="ar-SA"/>
    </w:rPr>
  </w:style>
  <w:style w:type="paragraph" w:styleId="ae">
    <w:name w:val="Revision"/>
    <w:hidden/>
    <w:uiPriority w:val="99"/>
    <w:semiHidden/>
    <w:rsid w:val="007A2681"/>
    <w:rPr>
      <w:sz w:val="22"/>
      <w:szCs w:val="22"/>
      <w:lang w:val="pt-B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531624">
      <w:bodyDiv w:val="1"/>
      <w:marLeft w:val="0"/>
      <w:marRight w:val="0"/>
      <w:marTop w:val="0"/>
      <w:marBottom w:val="0"/>
      <w:divBdr>
        <w:top w:val="none" w:sz="0" w:space="0" w:color="auto"/>
        <w:left w:val="none" w:sz="0" w:space="0" w:color="auto"/>
        <w:bottom w:val="none" w:sz="0" w:space="0" w:color="auto"/>
        <w:right w:val="none" w:sz="0" w:space="0" w:color="auto"/>
      </w:divBdr>
    </w:div>
    <w:div w:id="1245919672">
      <w:bodyDiv w:val="1"/>
      <w:marLeft w:val="0"/>
      <w:marRight w:val="0"/>
      <w:marTop w:val="0"/>
      <w:marBottom w:val="0"/>
      <w:divBdr>
        <w:top w:val="none" w:sz="0" w:space="0" w:color="auto"/>
        <w:left w:val="none" w:sz="0" w:space="0" w:color="auto"/>
        <w:bottom w:val="none" w:sz="0" w:space="0" w:color="auto"/>
        <w:right w:val="none" w:sz="0" w:space="0" w:color="auto"/>
      </w:divBdr>
    </w:div>
    <w:div w:id="1328358501">
      <w:bodyDiv w:val="1"/>
      <w:marLeft w:val="0"/>
      <w:marRight w:val="0"/>
      <w:marTop w:val="0"/>
      <w:marBottom w:val="0"/>
      <w:divBdr>
        <w:top w:val="none" w:sz="0" w:space="0" w:color="auto"/>
        <w:left w:val="none" w:sz="0" w:space="0" w:color="auto"/>
        <w:bottom w:val="none" w:sz="0" w:space="0" w:color="auto"/>
        <w:right w:val="none" w:sz="0" w:space="0" w:color="auto"/>
      </w:divBdr>
    </w:div>
    <w:div w:id="1618682459">
      <w:bodyDiv w:val="1"/>
      <w:marLeft w:val="0"/>
      <w:marRight w:val="0"/>
      <w:marTop w:val="0"/>
      <w:marBottom w:val="0"/>
      <w:divBdr>
        <w:top w:val="none" w:sz="0" w:space="0" w:color="auto"/>
        <w:left w:val="none" w:sz="0" w:space="0" w:color="auto"/>
        <w:bottom w:val="none" w:sz="0" w:space="0" w:color="auto"/>
        <w:right w:val="none" w:sz="0" w:space="0" w:color="auto"/>
      </w:divBdr>
    </w:div>
    <w:div w:id="1647539994">
      <w:bodyDiv w:val="1"/>
      <w:marLeft w:val="0"/>
      <w:marRight w:val="0"/>
      <w:marTop w:val="0"/>
      <w:marBottom w:val="0"/>
      <w:divBdr>
        <w:top w:val="none" w:sz="0" w:space="0" w:color="auto"/>
        <w:left w:val="none" w:sz="0" w:space="0" w:color="auto"/>
        <w:bottom w:val="none" w:sz="0" w:space="0" w:color="auto"/>
        <w:right w:val="none" w:sz="0" w:space="0" w:color="auto"/>
      </w:divBdr>
      <w:divsChild>
        <w:div w:id="520895688">
          <w:blockQuote w:val="1"/>
          <w:marLeft w:val="0"/>
          <w:marRight w:val="0"/>
          <w:marTop w:val="0"/>
          <w:marBottom w:val="0"/>
          <w:divBdr>
            <w:top w:val="none" w:sz="0" w:space="0" w:color="auto"/>
            <w:left w:val="none" w:sz="0" w:space="0" w:color="auto"/>
            <w:bottom w:val="none" w:sz="0" w:space="0" w:color="auto"/>
            <w:right w:val="none" w:sz="0" w:space="0" w:color="auto"/>
          </w:divBdr>
          <w:divsChild>
            <w:div w:id="1025906847">
              <w:marLeft w:val="0"/>
              <w:marRight w:val="0"/>
              <w:marTop w:val="0"/>
              <w:marBottom w:val="0"/>
              <w:divBdr>
                <w:top w:val="none" w:sz="0" w:space="0" w:color="auto"/>
                <w:left w:val="none" w:sz="0" w:space="0" w:color="auto"/>
                <w:bottom w:val="none" w:sz="0" w:space="0" w:color="auto"/>
                <w:right w:val="none" w:sz="0" w:space="0" w:color="auto"/>
              </w:divBdr>
              <w:divsChild>
                <w:div w:id="1123571403">
                  <w:marLeft w:val="0"/>
                  <w:marRight w:val="0"/>
                  <w:marTop w:val="0"/>
                  <w:marBottom w:val="0"/>
                  <w:divBdr>
                    <w:top w:val="none" w:sz="0" w:space="0" w:color="auto"/>
                    <w:left w:val="none" w:sz="0" w:space="0" w:color="auto"/>
                    <w:bottom w:val="none" w:sz="0" w:space="0" w:color="auto"/>
                    <w:right w:val="none" w:sz="0" w:space="0" w:color="auto"/>
                  </w:divBdr>
                  <w:divsChild>
                    <w:div w:id="919749758">
                      <w:marLeft w:val="0"/>
                      <w:marRight w:val="0"/>
                      <w:marTop w:val="0"/>
                      <w:marBottom w:val="0"/>
                      <w:divBdr>
                        <w:top w:val="none" w:sz="0" w:space="0" w:color="auto"/>
                        <w:left w:val="none" w:sz="0" w:space="0" w:color="auto"/>
                        <w:bottom w:val="none" w:sz="0" w:space="0" w:color="auto"/>
                        <w:right w:val="none" w:sz="0" w:space="0" w:color="auto"/>
                      </w:divBdr>
                      <w:divsChild>
                        <w:div w:id="1816868759">
                          <w:marLeft w:val="0"/>
                          <w:marRight w:val="0"/>
                          <w:marTop w:val="0"/>
                          <w:marBottom w:val="0"/>
                          <w:divBdr>
                            <w:top w:val="none" w:sz="0" w:space="0" w:color="auto"/>
                            <w:left w:val="none" w:sz="0" w:space="0" w:color="auto"/>
                            <w:bottom w:val="none" w:sz="0" w:space="0" w:color="auto"/>
                            <w:right w:val="none" w:sz="0" w:space="0" w:color="auto"/>
                          </w:divBdr>
                          <w:divsChild>
                            <w:div w:id="1335448468">
                              <w:marLeft w:val="0"/>
                              <w:marRight w:val="0"/>
                              <w:marTop w:val="0"/>
                              <w:marBottom w:val="0"/>
                              <w:divBdr>
                                <w:top w:val="none" w:sz="0" w:space="0" w:color="auto"/>
                                <w:left w:val="none" w:sz="0" w:space="0" w:color="auto"/>
                                <w:bottom w:val="none" w:sz="0" w:space="0" w:color="auto"/>
                                <w:right w:val="none" w:sz="0" w:space="0" w:color="auto"/>
                              </w:divBdr>
                              <w:divsChild>
                                <w:div w:id="1938977956">
                                  <w:marLeft w:val="0"/>
                                  <w:marRight w:val="0"/>
                                  <w:marTop w:val="0"/>
                                  <w:marBottom w:val="0"/>
                                  <w:divBdr>
                                    <w:top w:val="none" w:sz="0" w:space="0" w:color="auto"/>
                                    <w:left w:val="none" w:sz="0" w:space="0" w:color="auto"/>
                                    <w:bottom w:val="none" w:sz="0" w:space="0" w:color="auto"/>
                                    <w:right w:val="none" w:sz="0" w:space="0" w:color="auto"/>
                                  </w:divBdr>
                                  <w:divsChild>
                                    <w:div w:id="2092041983">
                                      <w:marLeft w:val="0"/>
                                      <w:marRight w:val="0"/>
                                      <w:marTop w:val="0"/>
                                      <w:marBottom w:val="0"/>
                                      <w:divBdr>
                                        <w:top w:val="none" w:sz="0" w:space="0" w:color="auto"/>
                                        <w:left w:val="none" w:sz="0" w:space="0" w:color="auto"/>
                                        <w:bottom w:val="none" w:sz="0" w:space="0" w:color="auto"/>
                                        <w:right w:val="none" w:sz="0" w:space="0" w:color="auto"/>
                                      </w:divBdr>
                                      <w:divsChild>
                                        <w:div w:id="2090497896">
                                          <w:marLeft w:val="0"/>
                                          <w:marRight w:val="0"/>
                                          <w:marTop w:val="0"/>
                                          <w:marBottom w:val="0"/>
                                          <w:divBdr>
                                            <w:top w:val="none" w:sz="0" w:space="0" w:color="auto"/>
                                            <w:left w:val="none" w:sz="0" w:space="0" w:color="auto"/>
                                            <w:bottom w:val="none" w:sz="0" w:space="0" w:color="auto"/>
                                            <w:right w:val="none" w:sz="0" w:space="0" w:color="auto"/>
                                          </w:divBdr>
                                          <w:divsChild>
                                            <w:div w:id="599945287">
                                              <w:blockQuote w:val="1"/>
                                              <w:marLeft w:val="0"/>
                                              <w:marRight w:val="0"/>
                                              <w:marTop w:val="0"/>
                                              <w:marBottom w:val="0"/>
                                              <w:divBdr>
                                                <w:top w:val="none" w:sz="0" w:space="0" w:color="auto"/>
                                                <w:left w:val="none" w:sz="0" w:space="0" w:color="auto"/>
                                                <w:bottom w:val="none" w:sz="0" w:space="0" w:color="auto"/>
                                                <w:right w:val="none" w:sz="0" w:space="0" w:color="auto"/>
                                              </w:divBdr>
                                              <w:divsChild>
                                                <w:div w:id="731075090">
                                                  <w:marLeft w:val="0"/>
                                                  <w:marRight w:val="0"/>
                                                  <w:marTop w:val="0"/>
                                                  <w:marBottom w:val="0"/>
                                                  <w:divBdr>
                                                    <w:top w:val="none" w:sz="0" w:space="0" w:color="auto"/>
                                                    <w:left w:val="none" w:sz="0" w:space="0" w:color="auto"/>
                                                    <w:bottom w:val="none" w:sz="0" w:space="0" w:color="auto"/>
                                                    <w:right w:val="none" w:sz="0" w:space="0" w:color="auto"/>
                                                  </w:divBdr>
                                                  <w:divsChild>
                                                    <w:div w:id="1567184379">
                                                      <w:marLeft w:val="0"/>
                                                      <w:marRight w:val="0"/>
                                                      <w:marTop w:val="0"/>
                                                      <w:marBottom w:val="0"/>
                                                      <w:divBdr>
                                                        <w:top w:val="none" w:sz="0" w:space="0" w:color="auto"/>
                                                        <w:left w:val="none" w:sz="0" w:space="0" w:color="auto"/>
                                                        <w:bottom w:val="none" w:sz="0" w:space="0" w:color="auto"/>
                                                        <w:right w:val="none" w:sz="0" w:space="0" w:color="auto"/>
                                                      </w:divBdr>
                                                      <w:divsChild>
                                                        <w:div w:id="57870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raquelrocha@yahoo.com.br"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BA767-4610-41F8-8A3B-E1081DC84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61434</Words>
  <Characters>350180</Characters>
  <Application>Microsoft Office Word</Application>
  <DocSecurity>0</DocSecurity>
  <Lines>2918</Lines>
  <Paragraphs>821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410793</CharactersWithSpaces>
  <SharedDoc>false</SharedDoc>
  <HLinks>
    <vt:vector size="6" baseType="variant">
      <vt:variant>
        <vt:i4>6684692</vt:i4>
      </vt:variant>
      <vt:variant>
        <vt:i4>0</vt:i4>
      </vt:variant>
      <vt:variant>
        <vt:i4>0</vt:i4>
      </vt:variant>
      <vt:variant>
        <vt:i4>5</vt:i4>
      </vt:variant>
      <vt:variant>
        <vt:lpwstr>mailto:raquelrocha@yahoo.com.br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dartonfreitas@gmail.com</dc:creator>
  <cp:lastModifiedBy>Administrator</cp:lastModifiedBy>
  <cp:revision>2</cp:revision>
  <dcterms:created xsi:type="dcterms:W3CDTF">2019-03-07T03:43:00Z</dcterms:created>
  <dcterms:modified xsi:type="dcterms:W3CDTF">2019-03-07T03:43:00Z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40dadc49-b0ad-32ea-a8d8-ec0292b4a7df</vt:lpwstr>
  </property>
  <property fmtid="{D5CDD505-2E9C-101B-9397-08002B2CF9AE}" pid="24" name="Mendeley Citation Style_1">
    <vt:lpwstr>http://www.zotero.org/styles/world-journal-of-gastroenterology</vt:lpwstr>
  </property>
  <property fmtid="{D5CDD505-2E9C-101B-9397-08002B2CF9AE}" pid="25" name="UseTimer">
    <vt:bool>false</vt:bool>
  </property>
</Properties>
</file>