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CB5E8B" w14:textId="186D9400" w:rsidR="008D727A" w:rsidRPr="000E3BD6" w:rsidRDefault="008D727A" w:rsidP="00F710B6">
      <w:pPr>
        <w:spacing w:after="0" w:line="360" w:lineRule="auto"/>
        <w:jc w:val="both"/>
        <w:rPr>
          <w:rFonts w:ascii="Book Antiqua" w:hAnsi="Book Antiqua"/>
          <w:sz w:val="24"/>
          <w:szCs w:val="24"/>
        </w:rPr>
      </w:pPr>
      <w:bookmarkStart w:id="0" w:name="_Hlk529358485"/>
      <w:bookmarkStart w:id="1" w:name="_Hlk529354987"/>
      <w:r w:rsidRPr="000E3BD6">
        <w:rPr>
          <w:rFonts w:ascii="Book Antiqua" w:hAnsi="Book Antiqua"/>
          <w:b/>
          <w:sz w:val="24"/>
          <w:szCs w:val="24"/>
        </w:rPr>
        <w:t xml:space="preserve">Name of Journal: </w:t>
      </w:r>
      <w:r w:rsidRPr="000E3BD6">
        <w:rPr>
          <w:rFonts w:ascii="Book Antiqua" w:hAnsi="Book Antiqua"/>
          <w:b/>
          <w:i/>
          <w:sz w:val="24"/>
          <w:szCs w:val="24"/>
        </w:rPr>
        <w:t>World Journal of Stem Cells</w:t>
      </w:r>
    </w:p>
    <w:p w14:paraId="2DF6F5FB" w14:textId="6D86A9FE" w:rsidR="008D727A" w:rsidRPr="000E3BD6" w:rsidRDefault="008D727A" w:rsidP="00F710B6">
      <w:pPr>
        <w:spacing w:after="0" w:line="360" w:lineRule="auto"/>
        <w:jc w:val="both"/>
        <w:rPr>
          <w:rFonts w:ascii="Book Antiqua" w:hAnsi="Book Antiqua"/>
          <w:b/>
          <w:sz w:val="24"/>
          <w:szCs w:val="24"/>
        </w:rPr>
      </w:pPr>
      <w:r w:rsidRPr="000E3BD6">
        <w:rPr>
          <w:rFonts w:ascii="Book Antiqua" w:hAnsi="Book Antiqua"/>
          <w:b/>
          <w:sz w:val="24"/>
          <w:szCs w:val="24"/>
        </w:rPr>
        <w:t>Manuscript NO: 43395</w:t>
      </w:r>
    </w:p>
    <w:p w14:paraId="659D3C52" w14:textId="77777777" w:rsidR="008D727A" w:rsidRPr="000E3BD6" w:rsidRDefault="008D727A" w:rsidP="00F710B6">
      <w:pPr>
        <w:spacing w:after="0" w:line="360" w:lineRule="auto"/>
        <w:contextualSpacing/>
        <w:jc w:val="both"/>
        <w:rPr>
          <w:rFonts w:ascii="Book Antiqua" w:hAnsi="Book Antiqua" w:cs="Times New Roman"/>
          <w:b/>
          <w:sz w:val="24"/>
          <w:szCs w:val="24"/>
        </w:rPr>
      </w:pPr>
      <w:r w:rsidRPr="000E3BD6">
        <w:rPr>
          <w:rFonts w:ascii="Book Antiqua" w:hAnsi="Book Antiqua"/>
          <w:b/>
          <w:sz w:val="24"/>
          <w:szCs w:val="24"/>
        </w:rPr>
        <w:t>Manuscript Type: ORIGINAL ARTICLE</w:t>
      </w:r>
      <w:r w:rsidRPr="000E3BD6">
        <w:rPr>
          <w:rFonts w:ascii="Book Antiqua" w:hAnsi="Book Antiqua" w:cs="Times New Roman"/>
          <w:b/>
          <w:sz w:val="24"/>
          <w:szCs w:val="24"/>
        </w:rPr>
        <w:t xml:space="preserve"> </w:t>
      </w:r>
    </w:p>
    <w:p w14:paraId="529D099D" w14:textId="77777777" w:rsidR="008D727A" w:rsidRPr="000E3BD6" w:rsidRDefault="008D727A" w:rsidP="00F710B6">
      <w:pPr>
        <w:spacing w:after="0" w:line="360" w:lineRule="auto"/>
        <w:contextualSpacing/>
        <w:jc w:val="both"/>
        <w:rPr>
          <w:rFonts w:ascii="Book Antiqua" w:hAnsi="Book Antiqua" w:cs="Times New Roman"/>
          <w:b/>
          <w:i/>
          <w:sz w:val="24"/>
          <w:szCs w:val="24"/>
        </w:rPr>
      </w:pPr>
    </w:p>
    <w:p w14:paraId="3ED389C2" w14:textId="1BF05276" w:rsidR="008D727A" w:rsidRPr="000E3BD6" w:rsidRDefault="008D727A" w:rsidP="00F710B6">
      <w:pPr>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Basic Study</w:t>
      </w:r>
    </w:p>
    <w:p w14:paraId="460D0D8D" w14:textId="5C1FFF96" w:rsidR="006B0A36" w:rsidRPr="000E3BD6" w:rsidRDefault="006B0A36" w:rsidP="00F710B6">
      <w:pPr>
        <w:spacing w:after="0" w:line="360" w:lineRule="auto"/>
        <w:contextualSpacing/>
        <w:jc w:val="both"/>
        <w:rPr>
          <w:rFonts w:ascii="Book Antiqua" w:hAnsi="Book Antiqua" w:cs="Times New Roman"/>
          <w:b/>
          <w:sz w:val="24"/>
          <w:szCs w:val="24"/>
        </w:rPr>
      </w:pPr>
      <w:r w:rsidRPr="000E3BD6">
        <w:rPr>
          <w:rFonts w:ascii="Book Antiqua" w:hAnsi="Book Antiqua" w:cs="Times New Roman"/>
          <w:b/>
          <w:sz w:val="24"/>
          <w:szCs w:val="24"/>
        </w:rPr>
        <w:t>Stromal cell-derived factor-1α promotes recruitment and differentiation of nucleus pulposus-derived stem cells</w:t>
      </w:r>
      <w:bookmarkEnd w:id="0"/>
    </w:p>
    <w:p w14:paraId="7DCDA67F" w14:textId="77777777" w:rsidR="006B0A36" w:rsidRPr="000E3BD6" w:rsidRDefault="006B0A36" w:rsidP="00F710B6">
      <w:pPr>
        <w:spacing w:after="0" w:line="360" w:lineRule="auto"/>
        <w:contextualSpacing/>
        <w:jc w:val="both"/>
        <w:rPr>
          <w:rFonts w:ascii="Book Antiqua" w:hAnsi="Book Antiqua" w:cs="Times New Roman"/>
          <w:b/>
          <w:sz w:val="24"/>
          <w:szCs w:val="24"/>
        </w:rPr>
      </w:pPr>
    </w:p>
    <w:p w14:paraId="557952E4" w14:textId="15D15F0B" w:rsidR="006B0A36" w:rsidRPr="000E3BD6" w:rsidRDefault="00C0586F"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Ying J</w:t>
      </w:r>
      <w:r w:rsidR="006B0A36" w:rsidRPr="000E3BD6">
        <w:rPr>
          <w:rFonts w:ascii="Book Antiqua" w:hAnsi="Book Antiqua" w:cs="Times New Roman"/>
          <w:sz w:val="24"/>
          <w:szCs w:val="24"/>
        </w:rPr>
        <w:t xml:space="preserve">W </w:t>
      </w:r>
      <w:r w:rsidR="006B0A36" w:rsidRPr="000E3BD6">
        <w:rPr>
          <w:rFonts w:ascii="Book Antiqua" w:hAnsi="Book Antiqua" w:cs="Times New Roman"/>
          <w:i/>
          <w:sz w:val="24"/>
          <w:szCs w:val="24"/>
        </w:rPr>
        <w:t>et al.</w:t>
      </w:r>
      <w:r w:rsidR="006B0A36" w:rsidRPr="000E3BD6">
        <w:rPr>
          <w:rFonts w:ascii="Book Antiqua" w:hAnsi="Book Antiqua" w:cs="Times New Roman"/>
          <w:b/>
          <w:i/>
          <w:sz w:val="24"/>
          <w:szCs w:val="24"/>
        </w:rPr>
        <w:t xml:space="preserve"> </w:t>
      </w:r>
      <w:r w:rsidR="006B0A36" w:rsidRPr="000E3BD6">
        <w:rPr>
          <w:rFonts w:ascii="Book Antiqua" w:hAnsi="Book Antiqua" w:cs="Times New Roman"/>
          <w:sz w:val="24"/>
          <w:szCs w:val="24"/>
        </w:rPr>
        <w:t>NPSCs recruitment and differentiation</w:t>
      </w:r>
      <w:r w:rsidR="006B0A36" w:rsidRPr="000E3BD6">
        <w:rPr>
          <w:rFonts w:ascii="Book Antiqua" w:hAnsi="Book Antiqua" w:cs="Times New Roman"/>
          <w:sz w:val="24"/>
          <w:szCs w:val="24"/>
        </w:rPr>
        <w:cr/>
      </w:r>
      <w:bookmarkEnd w:id="1"/>
    </w:p>
    <w:p w14:paraId="2A6DDF4E" w14:textId="77777777" w:rsidR="006B0A36" w:rsidRPr="000E3BD6" w:rsidRDefault="006B0A36" w:rsidP="00F710B6">
      <w:pPr>
        <w:spacing w:after="0" w:line="360" w:lineRule="auto"/>
        <w:contextualSpacing/>
        <w:jc w:val="both"/>
        <w:rPr>
          <w:rFonts w:ascii="Book Antiqua" w:hAnsi="Book Antiqua" w:cs="Times New Roman"/>
          <w:sz w:val="24"/>
          <w:szCs w:val="24"/>
        </w:rPr>
      </w:pPr>
      <w:bookmarkStart w:id="2" w:name="_Hlk529358526"/>
      <w:r w:rsidRPr="000E3BD6">
        <w:rPr>
          <w:rFonts w:ascii="Book Antiqua" w:hAnsi="Book Antiqua" w:cs="Times New Roman"/>
          <w:sz w:val="24"/>
          <w:szCs w:val="24"/>
        </w:rPr>
        <w:t>Jin-Wei Ying, Tian-Yong Wen, Shi-Shen Pei, Ling-Hao Su, Di-Ke Ruan</w:t>
      </w:r>
      <w:bookmarkEnd w:id="2"/>
    </w:p>
    <w:p w14:paraId="541C6B15" w14:textId="77777777" w:rsidR="006B0A36" w:rsidRPr="000E3BD6" w:rsidRDefault="006B0A36" w:rsidP="00F710B6">
      <w:pPr>
        <w:spacing w:after="0" w:line="360" w:lineRule="auto"/>
        <w:contextualSpacing/>
        <w:jc w:val="both"/>
        <w:rPr>
          <w:rFonts w:ascii="Book Antiqua" w:hAnsi="Book Antiqua" w:cs="Times New Roman"/>
          <w:b/>
          <w:sz w:val="24"/>
          <w:szCs w:val="24"/>
        </w:rPr>
      </w:pPr>
    </w:p>
    <w:p w14:paraId="32A1E077" w14:textId="4DD8483F" w:rsidR="000B41AA" w:rsidRPr="000E3BD6" w:rsidRDefault="000B41AA" w:rsidP="000B41AA">
      <w:pPr>
        <w:spacing w:after="0" w:line="360" w:lineRule="auto"/>
        <w:contextualSpacing/>
        <w:jc w:val="both"/>
        <w:rPr>
          <w:rFonts w:ascii="Book Antiqua" w:hAnsi="Book Antiqua" w:cs="Times New Roman"/>
          <w:sz w:val="24"/>
          <w:szCs w:val="24"/>
        </w:rPr>
      </w:pPr>
      <w:r w:rsidRPr="000E3BD6">
        <w:rPr>
          <w:rFonts w:ascii="Book Antiqua" w:hAnsi="Book Antiqua" w:cs="Times New Roman"/>
          <w:b/>
          <w:sz w:val="24"/>
          <w:szCs w:val="24"/>
        </w:rPr>
        <w:t>Jin-Wei Ying, Shi-Shen Pei, Ling-Hao Su, Di-Ke Ruan</w:t>
      </w:r>
      <w:r w:rsidRPr="000E3BD6">
        <w:rPr>
          <w:rFonts w:ascii="Book Antiqua" w:hAnsi="Book Antiqua" w:cs="Times New Roman"/>
          <w:sz w:val="24"/>
          <w:szCs w:val="24"/>
        </w:rPr>
        <w:t xml:space="preserve">, </w:t>
      </w:r>
      <w:r w:rsidR="008D28EA">
        <w:rPr>
          <w:rFonts w:ascii="Book Antiqua" w:hAnsi="Book Antiqua" w:cs="Times New Roman"/>
          <w:sz w:val="24"/>
          <w:szCs w:val="24"/>
        </w:rPr>
        <w:t>T</w:t>
      </w:r>
      <w:r w:rsidRPr="000E3BD6">
        <w:rPr>
          <w:rFonts w:ascii="Book Antiqua" w:hAnsi="Book Antiqua" w:cs="Times New Roman"/>
          <w:sz w:val="24"/>
          <w:szCs w:val="24"/>
        </w:rPr>
        <w:t>he</w:t>
      </w:r>
      <w:r w:rsidRPr="000E3BD6">
        <w:rPr>
          <w:rFonts w:ascii="Book Antiqua" w:hAnsi="Book Antiqua" w:cs="Times New Roman"/>
          <w:sz w:val="24"/>
          <w:szCs w:val="24"/>
          <w:vertAlign w:val="superscript"/>
        </w:rPr>
        <w:t xml:space="preserve"> </w:t>
      </w:r>
      <w:r w:rsidRPr="000E3BD6">
        <w:rPr>
          <w:rFonts w:ascii="Book Antiqua" w:hAnsi="Book Antiqua" w:cs="Times New Roman"/>
          <w:sz w:val="24"/>
          <w:szCs w:val="24"/>
        </w:rPr>
        <w:t>Second School of Clinical Medicine, Southern Medical University, Guangzhou 510515, Guangdong Province, China</w:t>
      </w:r>
    </w:p>
    <w:p w14:paraId="654B3C67" w14:textId="77777777" w:rsidR="00067DDB" w:rsidRPr="000E3BD6" w:rsidRDefault="00067DDB" w:rsidP="00F710B6">
      <w:pPr>
        <w:spacing w:after="0" w:line="360" w:lineRule="auto"/>
        <w:contextualSpacing/>
        <w:jc w:val="both"/>
        <w:rPr>
          <w:rFonts w:ascii="Book Antiqua" w:hAnsi="Book Antiqua" w:cs="Times New Roman"/>
          <w:b/>
          <w:sz w:val="24"/>
          <w:szCs w:val="24"/>
        </w:rPr>
      </w:pPr>
    </w:p>
    <w:p w14:paraId="018346F2" w14:textId="77777777" w:rsidR="00067DDB" w:rsidRPr="000E3BD6" w:rsidRDefault="00067DDB"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b/>
          <w:sz w:val="24"/>
          <w:szCs w:val="24"/>
        </w:rPr>
        <w:t xml:space="preserve">Jin-Wei Ying, Tian-Yong Wen, Shi-Shen Pei, Ling-Hao Su, Di-Ke Ruan, </w:t>
      </w:r>
      <w:r w:rsidRPr="000E3BD6">
        <w:rPr>
          <w:rFonts w:ascii="Book Antiqua" w:hAnsi="Book Antiqua" w:cs="Times New Roman"/>
          <w:sz w:val="24"/>
          <w:szCs w:val="24"/>
        </w:rPr>
        <w:t>Department of Orthopedic Surgery, Navy General Hospital, Beijing 100048, China</w:t>
      </w:r>
    </w:p>
    <w:p w14:paraId="5F8B63DF" w14:textId="77777777" w:rsidR="00067DDB" w:rsidRPr="000E3BD6" w:rsidRDefault="00067DDB" w:rsidP="00F710B6">
      <w:pPr>
        <w:spacing w:after="0" w:line="360" w:lineRule="auto"/>
        <w:contextualSpacing/>
        <w:jc w:val="both"/>
        <w:rPr>
          <w:rFonts w:ascii="Book Antiqua" w:hAnsi="Book Antiqua" w:cs="Times New Roman"/>
          <w:b/>
          <w:sz w:val="24"/>
          <w:szCs w:val="24"/>
        </w:rPr>
      </w:pPr>
    </w:p>
    <w:p w14:paraId="74B1E28A" w14:textId="77777777" w:rsidR="006B0A36" w:rsidRPr="000E3BD6" w:rsidRDefault="006B0A36" w:rsidP="00F710B6">
      <w:pPr>
        <w:spacing w:after="0" w:line="360" w:lineRule="auto"/>
        <w:contextualSpacing/>
        <w:jc w:val="both"/>
        <w:rPr>
          <w:rFonts w:ascii="Book Antiqua" w:hAnsi="Book Antiqua" w:cs="Times New Roman"/>
          <w:b/>
          <w:sz w:val="24"/>
          <w:szCs w:val="24"/>
        </w:rPr>
      </w:pPr>
    </w:p>
    <w:p w14:paraId="674CC93B" w14:textId="301664B6" w:rsidR="006B0A36" w:rsidRPr="000E3BD6" w:rsidRDefault="00D56DEC" w:rsidP="00F710B6">
      <w:pPr>
        <w:spacing w:after="0" w:line="360" w:lineRule="auto"/>
        <w:contextualSpacing/>
        <w:jc w:val="both"/>
        <w:rPr>
          <w:rFonts w:ascii="Book Antiqua" w:hAnsi="Book Antiqua" w:cs="Times New Roman"/>
          <w:sz w:val="24"/>
          <w:szCs w:val="24"/>
        </w:rPr>
      </w:pPr>
      <w:r w:rsidRPr="000E3BD6">
        <w:rPr>
          <w:rFonts w:ascii="Book Antiqua" w:hAnsi="Book Antiqua"/>
          <w:b/>
          <w:sz w:val="24"/>
          <w:szCs w:val="24"/>
        </w:rPr>
        <w:t>ORCID number:</w:t>
      </w:r>
      <w:r w:rsidRPr="000E3BD6">
        <w:rPr>
          <w:rFonts w:ascii="Book Antiqua" w:hAnsi="Book Antiqua"/>
          <w:sz w:val="24"/>
          <w:szCs w:val="24"/>
        </w:rPr>
        <w:t> </w:t>
      </w:r>
      <w:r w:rsidR="006B0A36" w:rsidRPr="000E3BD6">
        <w:rPr>
          <w:rFonts w:ascii="Book Antiqua" w:hAnsi="Book Antiqua" w:cs="Times New Roman"/>
          <w:sz w:val="24"/>
          <w:szCs w:val="24"/>
        </w:rPr>
        <w:t>Jin-Wei Ying (0000-0003-0966-0112); Tian-Yong Wen (0000-0002-6193-8313); Shi-Shen Pei (0000-0003-0327-1423); Ling-Hao Su (0000-0003-4610-7834); Di-Ke Ruan</w:t>
      </w:r>
      <w:r w:rsidR="006B0A36" w:rsidRPr="000E3BD6">
        <w:rPr>
          <w:rFonts w:ascii="Book Antiqua" w:hAnsi="Book Antiqua" w:cs="Times New Roman"/>
          <w:b/>
          <w:sz w:val="24"/>
          <w:szCs w:val="24"/>
        </w:rPr>
        <w:t xml:space="preserve"> </w:t>
      </w:r>
      <w:r w:rsidR="006B0A36" w:rsidRPr="000E3BD6">
        <w:rPr>
          <w:rFonts w:ascii="Book Antiqua" w:hAnsi="Book Antiqua" w:cs="Times New Roman"/>
          <w:sz w:val="24"/>
          <w:szCs w:val="24"/>
        </w:rPr>
        <w:t>(</w:t>
      </w:r>
      <w:hyperlink r:id="rId7" w:tgtFrame="_blank" w:history="1">
        <w:r w:rsidR="006B0A36" w:rsidRPr="000E3BD6">
          <w:rPr>
            <w:rFonts w:ascii="Book Antiqua" w:hAnsi="Book Antiqua" w:cs="Times New Roman"/>
            <w:sz w:val="24"/>
            <w:szCs w:val="24"/>
          </w:rPr>
          <w:t>0000-0002-9642-3096</w:t>
        </w:r>
      </w:hyperlink>
      <w:r w:rsidR="006B0A36" w:rsidRPr="000E3BD6">
        <w:rPr>
          <w:rFonts w:ascii="Book Antiqua" w:hAnsi="Book Antiqua" w:cs="Times New Roman"/>
          <w:sz w:val="24"/>
          <w:szCs w:val="24"/>
        </w:rPr>
        <w:t>)</w:t>
      </w:r>
      <w:r w:rsidR="004546AA" w:rsidRPr="000E3BD6">
        <w:rPr>
          <w:rFonts w:ascii="Book Antiqua" w:hAnsi="Book Antiqua" w:cs="Times New Roman"/>
          <w:sz w:val="24"/>
          <w:szCs w:val="24"/>
        </w:rPr>
        <w:t>.</w:t>
      </w:r>
    </w:p>
    <w:p w14:paraId="07D0DB71" w14:textId="77777777" w:rsidR="006B0A36" w:rsidRPr="000E3BD6" w:rsidRDefault="006B0A36" w:rsidP="00F710B6">
      <w:pPr>
        <w:spacing w:after="0" w:line="360" w:lineRule="auto"/>
        <w:contextualSpacing/>
        <w:jc w:val="both"/>
        <w:rPr>
          <w:rFonts w:ascii="Book Antiqua" w:hAnsi="Book Antiqua" w:cs="Times New Roman"/>
          <w:b/>
          <w:sz w:val="24"/>
          <w:szCs w:val="24"/>
        </w:rPr>
      </w:pPr>
    </w:p>
    <w:p w14:paraId="727F2CF4" w14:textId="2C8A6E81" w:rsidR="006B0A36" w:rsidRPr="000E3BD6" w:rsidRDefault="004546AA" w:rsidP="00F710B6">
      <w:pPr>
        <w:spacing w:after="0" w:line="360" w:lineRule="auto"/>
        <w:contextualSpacing/>
        <w:jc w:val="both"/>
        <w:rPr>
          <w:rFonts w:ascii="Book Antiqua" w:hAnsi="Book Antiqua" w:cs="Times New Roman"/>
          <w:sz w:val="24"/>
          <w:szCs w:val="24"/>
        </w:rPr>
      </w:pPr>
      <w:r w:rsidRPr="000E3BD6">
        <w:rPr>
          <w:rFonts w:ascii="Book Antiqua" w:hAnsi="Book Antiqua"/>
          <w:b/>
          <w:sz w:val="24"/>
          <w:szCs w:val="24"/>
        </w:rPr>
        <w:t>Author contributions:</w:t>
      </w:r>
      <w:r w:rsidRPr="000E3BD6">
        <w:rPr>
          <w:rFonts w:ascii="Book Antiqua" w:hAnsi="Book Antiqua"/>
          <w:sz w:val="24"/>
          <w:szCs w:val="24"/>
        </w:rPr>
        <w:t xml:space="preserve"> </w:t>
      </w:r>
      <w:r w:rsidR="006B0A36" w:rsidRPr="000E3BD6">
        <w:rPr>
          <w:rFonts w:ascii="Book Antiqua" w:hAnsi="Book Antiqua" w:cs="Times New Roman"/>
          <w:sz w:val="24"/>
          <w:szCs w:val="24"/>
        </w:rPr>
        <w:t xml:space="preserve">Ying </w:t>
      </w:r>
      <w:r w:rsidRPr="000E3BD6">
        <w:rPr>
          <w:rFonts w:ascii="Book Antiqua" w:hAnsi="Book Antiqua" w:cs="Times New Roman"/>
          <w:sz w:val="24"/>
          <w:szCs w:val="24"/>
        </w:rPr>
        <w:t xml:space="preserve">JW </w:t>
      </w:r>
      <w:r w:rsidR="006B0A36" w:rsidRPr="000E3BD6">
        <w:rPr>
          <w:rFonts w:ascii="Book Antiqua" w:hAnsi="Book Antiqua" w:cs="Times New Roman"/>
          <w:sz w:val="24"/>
          <w:szCs w:val="24"/>
        </w:rPr>
        <w:t>performed the majority of experiments and analyzed the data; Pei</w:t>
      </w:r>
      <w:r w:rsidRPr="000E3BD6">
        <w:rPr>
          <w:rFonts w:ascii="Book Antiqua" w:hAnsi="Book Antiqua" w:cs="Times New Roman"/>
          <w:sz w:val="24"/>
          <w:szCs w:val="24"/>
        </w:rPr>
        <w:t xml:space="preserve"> SS and</w:t>
      </w:r>
      <w:r w:rsidR="006B0A36" w:rsidRPr="000E3BD6">
        <w:rPr>
          <w:rFonts w:ascii="Book Antiqua" w:hAnsi="Book Antiqua" w:cs="Times New Roman"/>
          <w:sz w:val="24"/>
          <w:szCs w:val="24"/>
        </w:rPr>
        <w:t xml:space="preserve"> Su </w:t>
      </w:r>
      <w:r w:rsidRPr="000E3BD6">
        <w:rPr>
          <w:rFonts w:ascii="Book Antiqua" w:hAnsi="Book Antiqua" w:cs="Times New Roman"/>
          <w:sz w:val="24"/>
          <w:szCs w:val="24"/>
        </w:rPr>
        <w:t xml:space="preserve">LH </w:t>
      </w:r>
      <w:r w:rsidR="006B0A36" w:rsidRPr="000E3BD6">
        <w:rPr>
          <w:rFonts w:ascii="Book Antiqua" w:hAnsi="Book Antiqua" w:cs="Times New Roman"/>
          <w:sz w:val="24"/>
          <w:szCs w:val="24"/>
        </w:rPr>
        <w:t>performed the cell isolation and identification</w:t>
      </w:r>
      <w:r w:rsidRPr="000E3BD6">
        <w:rPr>
          <w:rFonts w:ascii="Book Antiqua" w:hAnsi="Book Antiqua" w:cs="Times New Roman"/>
          <w:sz w:val="24"/>
          <w:szCs w:val="24"/>
        </w:rPr>
        <w:t>;</w:t>
      </w:r>
      <w:r w:rsidR="006B0A36" w:rsidRPr="000E3BD6">
        <w:rPr>
          <w:rFonts w:ascii="Book Antiqua" w:hAnsi="Book Antiqua" w:cs="Times New Roman"/>
          <w:sz w:val="24"/>
          <w:szCs w:val="24"/>
        </w:rPr>
        <w:t xml:space="preserve"> Ying </w:t>
      </w:r>
      <w:r w:rsidRPr="000E3BD6">
        <w:rPr>
          <w:rFonts w:ascii="Book Antiqua" w:hAnsi="Book Antiqua" w:cs="Times New Roman"/>
          <w:sz w:val="24"/>
          <w:szCs w:val="24"/>
        </w:rPr>
        <w:t xml:space="preserve">JW </w:t>
      </w:r>
      <w:r w:rsidR="006B0A36" w:rsidRPr="000E3BD6">
        <w:rPr>
          <w:rFonts w:ascii="Book Antiqua" w:hAnsi="Book Antiqua" w:cs="Times New Roman"/>
          <w:sz w:val="24"/>
          <w:szCs w:val="24"/>
        </w:rPr>
        <w:t xml:space="preserve">and Su </w:t>
      </w:r>
      <w:r w:rsidRPr="000E3BD6">
        <w:rPr>
          <w:rFonts w:ascii="Book Antiqua" w:hAnsi="Book Antiqua" w:cs="Times New Roman"/>
          <w:sz w:val="24"/>
          <w:szCs w:val="24"/>
        </w:rPr>
        <w:t xml:space="preserve">LH </w:t>
      </w:r>
      <w:r w:rsidR="006B0A36" w:rsidRPr="000E3BD6">
        <w:rPr>
          <w:rFonts w:ascii="Book Antiqua" w:hAnsi="Book Antiqua" w:cs="Times New Roman"/>
          <w:sz w:val="24"/>
          <w:szCs w:val="24"/>
        </w:rPr>
        <w:t xml:space="preserve">performed the animal experiment; Wen </w:t>
      </w:r>
      <w:r w:rsidRPr="000E3BD6">
        <w:rPr>
          <w:rFonts w:ascii="Book Antiqua" w:hAnsi="Book Antiqua" w:cs="Times New Roman"/>
          <w:sz w:val="24"/>
          <w:szCs w:val="24"/>
        </w:rPr>
        <w:t xml:space="preserve">TY </w:t>
      </w:r>
      <w:r w:rsidR="006B0A36" w:rsidRPr="000E3BD6">
        <w:rPr>
          <w:rFonts w:ascii="Book Antiqua" w:hAnsi="Book Antiqua" w:cs="Times New Roman"/>
          <w:sz w:val="24"/>
          <w:szCs w:val="24"/>
        </w:rPr>
        <w:t xml:space="preserve">collected </w:t>
      </w:r>
      <w:r w:rsidR="00DC1655">
        <w:rPr>
          <w:rFonts w:ascii="Book Antiqua" w:hAnsi="Book Antiqua" w:cs="Times New Roman"/>
          <w:sz w:val="24"/>
          <w:szCs w:val="24"/>
        </w:rPr>
        <w:t xml:space="preserve">the </w:t>
      </w:r>
      <w:r w:rsidR="006B0A36" w:rsidRPr="000E3BD6">
        <w:rPr>
          <w:rFonts w:ascii="Book Antiqua" w:hAnsi="Book Antiqua" w:cs="Times New Roman"/>
          <w:sz w:val="24"/>
          <w:szCs w:val="24"/>
        </w:rPr>
        <w:t xml:space="preserve">data and performed the statistical analysis; Ruan </w:t>
      </w:r>
      <w:r w:rsidRPr="000E3BD6">
        <w:rPr>
          <w:rFonts w:ascii="Book Antiqua" w:hAnsi="Book Antiqua" w:cs="Times New Roman"/>
          <w:sz w:val="24"/>
          <w:szCs w:val="24"/>
        </w:rPr>
        <w:t xml:space="preserve">DK </w:t>
      </w:r>
      <w:r w:rsidR="006B0A36" w:rsidRPr="000E3BD6">
        <w:rPr>
          <w:rFonts w:ascii="Book Antiqua" w:hAnsi="Book Antiqua" w:cs="Times New Roman"/>
          <w:sz w:val="24"/>
          <w:szCs w:val="24"/>
        </w:rPr>
        <w:t xml:space="preserve">designed and coordinated the research; Ying </w:t>
      </w:r>
      <w:r w:rsidRPr="000E3BD6">
        <w:rPr>
          <w:rFonts w:ascii="Book Antiqua" w:hAnsi="Book Antiqua" w:cs="Times New Roman"/>
          <w:sz w:val="24"/>
          <w:szCs w:val="24"/>
        </w:rPr>
        <w:t xml:space="preserve">JW </w:t>
      </w:r>
      <w:r w:rsidR="006B0A36" w:rsidRPr="000E3BD6">
        <w:rPr>
          <w:rFonts w:ascii="Book Antiqua" w:hAnsi="Book Antiqua" w:cs="Times New Roman"/>
          <w:sz w:val="24"/>
          <w:szCs w:val="24"/>
        </w:rPr>
        <w:t xml:space="preserve">and Ruan </w:t>
      </w:r>
      <w:r w:rsidRPr="000E3BD6">
        <w:rPr>
          <w:rFonts w:ascii="Book Antiqua" w:hAnsi="Book Antiqua" w:cs="Times New Roman"/>
          <w:sz w:val="24"/>
          <w:szCs w:val="24"/>
        </w:rPr>
        <w:t xml:space="preserve">DK </w:t>
      </w:r>
      <w:r w:rsidR="006B0A36" w:rsidRPr="000E3BD6">
        <w:rPr>
          <w:rFonts w:ascii="Book Antiqua" w:hAnsi="Book Antiqua" w:cs="Times New Roman"/>
          <w:sz w:val="24"/>
          <w:szCs w:val="24"/>
        </w:rPr>
        <w:t>wrote the paper.</w:t>
      </w:r>
    </w:p>
    <w:p w14:paraId="13EC819B" w14:textId="77777777" w:rsidR="006B0A36" w:rsidRPr="000E3BD6" w:rsidRDefault="006B0A36" w:rsidP="00F710B6">
      <w:pPr>
        <w:spacing w:after="0" w:line="360" w:lineRule="auto"/>
        <w:contextualSpacing/>
        <w:jc w:val="both"/>
        <w:rPr>
          <w:rFonts w:ascii="Book Antiqua" w:hAnsi="Book Antiqua" w:cs="Times New Roman"/>
          <w:b/>
          <w:sz w:val="24"/>
          <w:szCs w:val="24"/>
        </w:rPr>
      </w:pPr>
    </w:p>
    <w:p w14:paraId="58EF638B" w14:textId="77777777" w:rsidR="000634F8" w:rsidRPr="000E3BD6" w:rsidRDefault="000634F8"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b/>
          <w:sz w:val="24"/>
          <w:szCs w:val="24"/>
        </w:rPr>
        <w:t xml:space="preserve">Supported by </w:t>
      </w:r>
      <w:r w:rsidRPr="000E3BD6">
        <w:rPr>
          <w:rFonts w:ascii="Book Antiqua" w:hAnsi="Book Antiqua" w:cs="Times New Roman"/>
          <w:sz w:val="24"/>
          <w:szCs w:val="24"/>
        </w:rPr>
        <w:t xml:space="preserve">the National Natural Science Foundation of China, No. 81772399. </w:t>
      </w:r>
    </w:p>
    <w:p w14:paraId="606A85CF" w14:textId="77777777" w:rsidR="00AA18CC" w:rsidRPr="000E3BD6" w:rsidRDefault="00AA18CC" w:rsidP="00F710B6">
      <w:pPr>
        <w:spacing w:after="0" w:line="360" w:lineRule="auto"/>
        <w:jc w:val="both"/>
        <w:rPr>
          <w:rFonts w:ascii="Book Antiqua" w:hAnsi="Book Antiqua"/>
          <w:b/>
          <w:sz w:val="24"/>
          <w:szCs w:val="24"/>
        </w:rPr>
      </w:pPr>
    </w:p>
    <w:p w14:paraId="719C374E" w14:textId="27FA305F" w:rsidR="00AA18CC" w:rsidRPr="000E3BD6" w:rsidRDefault="00AA18CC" w:rsidP="00F710B6">
      <w:pPr>
        <w:spacing w:after="0" w:line="360" w:lineRule="auto"/>
        <w:jc w:val="both"/>
        <w:rPr>
          <w:rFonts w:ascii="Book Antiqua" w:hAnsi="Book Antiqua"/>
          <w:b/>
          <w:iCs/>
          <w:sz w:val="24"/>
          <w:szCs w:val="24"/>
        </w:rPr>
      </w:pPr>
      <w:r w:rsidRPr="000E3BD6">
        <w:rPr>
          <w:rFonts w:ascii="Book Antiqua" w:hAnsi="Book Antiqua"/>
          <w:b/>
          <w:sz w:val="24"/>
          <w:szCs w:val="24"/>
        </w:rPr>
        <w:t>Institutional review board statement</w:t>
      </w:r>
      <w:r w:rsidRPr="000E3BD6">
        <w:rPr>
          <w:rFonts w:ascii="Book Antiqua" w:hAnsi="Book Antiqua"/>
          <w:b/>
          <w:iCs/>
          <w:sz w:val="24"/>
          <w:szCs w:val="24"/>
        </w:rPr>
        <w:t xml:space="preserve">: </w:t>
      </w:r>
      <w:r w:rsidR="00B21CD5" w:rsidRPr="000E3BD6">
        <w:rPr>
          <w:rFonts w:ascii="Book Antiqua" w:eastAsia="Times New Roman" w:hAnsi="Book Antiqua" w:cs="TimesNewRomanPS-BoldItalicMT"/>
          <w:bCs/>
          <w:iCs/>
          <w:sz w:val="24"/>
          <w:szCs w:val="24"/>
        </w:rPr>
        <w:t>The study was reviewed and approved by The General Hospital of the People</w:t>
      </w:r>
      <w:r w:rsidR="00463418" w:rsidRPr="000E3BD6">
        <w:rPr>
          <w:rFonts w:ascii="Book Antiqua" w:hAnsi="Book Antiqua" w:cs="TimesNewRomanPS-BoldItalicMT"/>
          <w:bCs/>
          <w:iCs/>
          <w:sz w:val="24"/>
          <w:szCs w:val="24"/>
        </w:rPr>
        <w:t>’</w:t>
      </w:r>
      <w:r w:rsidR="00B21CD5" w:rsidRPr="000E3BD6">
        <w:rPr>
          <w:rFonts w:ascii="Book Antiqua" w:eastAsia="Times New Roman" w:hAnsi="Book Antiqua" w:cs="TimesNewRomanPS-BoldItalicMT"/>
          <w:bCs/>
          <w:iCs/>
          <w:sz w:val="24"/>
          <w:szCs w:val="24"/>
        </w:rPr>
        <w:t>s Liberation Army Institutional Review Board.</w:t>
      </w:r>
    </w:p>
    <w:p w14:paraId="49BE064A" w14:textId="77777777" w:rsidR="007B30D4" w:rsidRPr="000E3BD6" w:rsidRDefault="007B30D4" w:rsidP="00F710B6">
      <w:pPr>
        <w:spacing w:after="0" w:line="360" w:lineRule="auto"/>
        <w:jc w:val="both"/>
        <w:rPr>
          <w:rFonts w:ascii="Book Antiqua" w:hAnsi="Book Antiqua"/>
          <w:b/>
          <w:sz w:val="24"/>
          <w:szCs w:val="24"/>
        </w:rPr>
      </w:pPr>
    </w:p>
    <w:p w14:paraId="51411B38" w14:textId="220A8C60" w:rsidR="007B30D4" w:rsidRPr="000E3BD6" w:rsidRDefault="007B30D4" w:rsidP="00F710B6">
      <w:pPr>
        <w:adjustRightInd w:val="0"/>
        <w:snapToGrid w:val="0"/>
        <w:spacing w:after="0" w:line="360" w:lineRule="auto"/>
        <w:jc w:val="both"/>
        <w:rPr>
          <w:rFonts w:ascii="Book Antiqua" w:hAnsi="Book Antiqua"/>
          <w:b/>
          <w:sz w:val="24"/>
          <w:szCs w:val="24"/>
        </w:rPr>
      </w:pPr>
      <w:r w:rsidRPr="000E3BD6">
        <w:rPr>
          <w:rFonts w:ascii="Book Antiqua" w:hAnsi="Book Antiqua"/>
          <w:b/>
          <w:sz w:val="24"/>
          <w:szCs w:val="24"/>
        </w:rPr>
        <w:t>Institutional animal care and use committee statement:</w:t>
      </w:r>
      <w:r w:rsidR="00463418" w:rsidRPr="000E3BD6">
        <w:rPr>
          <w:rFonts w:ascii="Book Antiqua" w:eastAsia="Times New Roman" w:hAnsi="Book Antiqua" w:cs="TimesNewRomanPS-BoldItalicMT"/>
          <w:bCs/>
          <w:iCs/>
          <w:sz w:val="24"/>
          <w:szCs w:val="24"/>
        </w:rPr>
        <w:t xml:space="preserve"> All procedures involving animals were reviewed and approved by the Institutional Animal Care and Use Committee of The General Hospital of the People</w:t>
      </w:r>
      <w:r w:rsidR="00463418" w:rsidRPr="000E3BD6">
        <w:rPr>
          <w:rFonts w:ascii="Book Antiqua" w:hAnsi="Book Antiqua" w:cs="TimesNewRomanPS-BoldItalicMT"/>
          <w:bCs/>
          <w:iCs/>
          <w:sz w:val="24"/>
          <w:szCs w:val="24"/>
        </w:rPr>
        <w:t>’</w:t>
      </w:r>
      <w:r w:rsidR="00463418" w:rsidRPr="000E3BD6">
        <w:rPr>
          <w:rFonts w:ascii="Book Antiqua" w:eastAsia="Times New Roman" w:hAnsi="Book Antiqua" w:cs="TimesNewRomanPS-BoldItalicMT"/>
          <w:bCs/>
          <w:iCs/>
          <w:sz w:val="24"/>
          <w:szCs w:val="24"/>
        </w:rPr>
        <w:t>s Liberation Army</w:t>
      </w:r>
      <w:r w:rsidR="00463418" w:rsidRPr="000E3BD6">
        <w:rPr>
          <w:rFonts w:ascii="Book Antiqua" w:hAnsi="Book Antiqua" w:cs="TimesNewRomanPS-BoldItalicMT"/>
          <w:bCs/>
          <w:iCs/>
          <w:sz w:val="24"/>
          <w:szCs w:val="24"/>
        </w:rPr>
        <w:t>.</w:t>
      </w:r>
    </w:p>
    <w:p w14:paraId="0F5D9520" w14:textId="77777777" w:rsidR="007B30D4" w:rsidRPr="000E3BD6" w:rsidRDefault="007B30D4" w:rsidP="00F710B6">
      <w:pPr>
        <w:adjustRightInd w:val="0"/>
        <w:snapToGrid w:val="0"/>
        <w:spacing w:after="0" w:line="360" w:lineRule="auto"/>
        <w:jc w:val="both"/>
        <w:rPr>
          <w:rFonts w:ascii="Book Antiqua" w:hAnsi="Book Antiqua"/>
          <w:b/>
          <w:sz w:val="24"/>
          <w:szCs w:val="24"/>
        </w:rPr>
      </w:pPr>
    </w:p>
    <w:p w14:paraId="2B11C632" w14:textId="238062DE" w:rsidR="00AA18CC" w:rsidRPr="000E3BD6" w:rsidRDefault="00AA18CC" w:rsidP="00F710B6">
      <w:pPr>
        <w:spacing w:after="0" w:line="360" w:lineRule="auto"/>
        <w:jc w:val="both"/>
        <w:rPr>
          <w:rFonts w:ascii="Book Antiqua" w:hAnsi="Book Antiqua"/>
          <w:b/>
          <w:sz w:val="24"/>
          <w:szCs w:val="24"/>
        </w:rPr>
      </w:pPr>
      <w:r w:rsidRPr="000E3BD6">
        <w:rPr>
          <w:rFonts w:ascii="Book Antiqua" w:hAnsi="Book Antiqua"/>
          <w:b/>
          <w:sz w:val="24"/>
          <w:szCs w:val="24"/>
        </w:rPr>
        <w:t>Conflict-of-interest statement</w:t>
      </w:r>
      <w:r w:rsidRPr="000E3BD6">
        <w:rPr>
          <w:rFonts w:ascii="Book Antiqua" w:hAnsi="Book Antiqua" w:cs="TimesNewRomanPS-BoldItalicMT"/>
          <w:b/>
          <w:iCs/>
          <w:sz w:val="24"/>
          <w:szCs w:val="24"/>
        </w:rPr>
        <w:t xml:space="preserve">: </w:t>
      </w:r>
      <w:r w:rsidR="007B30D4" w:rsidRPr="000E3BD6">
        <w:rPr>
          <w:rFonts w:ascii="Book Antiqua" w:hAnsi="Book Antiqua" w:cs="TimesNewRomanPS-BoldItalicMT"/>
          <w:bCs/>
          <w:iCs/>
          <w:sz w:val="24"/>
          <w:szCs w:val="24"/>
        </w:rPr>
        <w:t>To the best of our knowledge, no conflict of interest exists.</w:t>
      </w:r>
    </w:p>
    <w:p w14:paraId="63ED3F55" w14:textId="77777777" w:rsidR="00AA18CC" w:rsidRPr="000E3BD6" w:rsidRDefault="00AA18CC" w:rsidP="00F710B6">
      <w:pPr>
        <w:snapToGrid w:val="0"/>
        <w:spacing w:after="0" w:line="360" w:lineRule="auto"/>
        <w:jc w:val="both"/>
        <w:rPr>
          <w:rFonts w:ascii="Book Antiqua" w:hAnsi="Book Antiqua" w:cs="Book Antiqua"/>
          <w:sz w:val="24"/>
          <w:szCs w:val="24"/>
        </w:rPr>
      </w:pPr>
    </w:p>
    <w:p w14:paraId="46F837B1" w14:textId="3F683C76" w:rsidR="007B30D4" w:rsidRPr="000E3BD6" w:rsidRDefault="007B30D4" w:rsidP="00F710B6">
      <w:pPr>
        <w:autoSpaceDE w:val="0"/>
        <w:autoSpaceDN w:val="0"/>
        <w:adjustRightInd w:val="0"/>
        <w:spacing w:after="0" w:line="360" w:lineRule="auto"/>
        <w:jc w:val="both"/>
        <w:rPr>
          <w:rFonts w:ascii="Book Antiqua" w:hAnsi="Book Antiqua"/>
          <w:b/>
          <w:sz w:val="24"/>
          <w:szCs w:val="24"/>
        </w:rPr>
      </w:pPr>
      <w:r w:rsidRPr="000E3BD6">
        <w:rPr>
          <w:rFonts w:ascii="Book Antiqua" w:hAnsi="Book Antiqua"/>
          <w:b/>
          <w:sz w:val="24"/>
          <w:szCs w:val="24"/>
        </w:rPr>
        <w:t>ARRIVE guidelines statement:</w:t>
      </w:r>
      <w:r w:rsidR="00F710B6" w:rsidRPr="000E3BD6">
        <w:rPr>
          <w:rFonts w:ascii="Book Antiqua" w:hAnsi="Book Antiqua"/>
          <w:b/>
          <w:sz w:val="24"/>
          <w:szCs w:val="24"/>
        </w:rPr>
        <w:t xml:space="preserve"> </w:t>
      </w:r>
      <w:r w:rsidRPr="000E3BD6">
        <w:rPr>
          <w:rFonts w:ascii="Book Antiqua" w:hAnsi="Book Antiqua" w:cs="Times New Roman"/>
          <w:sz w:val="24"/>
          <w:szCs w:val="24"/>
        </w:rPr>
        <w:t>The authors have read the ARRIVE guidelines, and the manuscript was prepared and revised according to the ARRIVE guidelines.</w:t>
      </w:r>
    </w:p>
    <w:p w14:paraId="61137063" w14:textId="77777777" w:rsidR="00AA18CC" w:rsidRPr="000E3BD6" w:rsidRDefault="00AA18CC" w:rsidP="00F710B6">
      <w:pPr>
        <w:adjustRightInd w:val="0"/>
        <w:snapToGrid w:val="0"/>
        <w:spacing w:after="0" w:line="360" w:lineRule="auto"/>
        <w:jc w:val="both"/>
        <w:rPr>
          <w:rFonts w:ascii="Book Antiqua" w:hAnsi="Book Antiqua"/>
          <w:sz w:val="24"/>
          <w:szCs w:val="24"/>
        </w:rPr>
      </w:pPr>
    </w:p>
    <w:p w14:paraId="41CB7F93" w14:textId="77777777" w:rsidR="00AA18CC" w:rsidRPr="000E3BD6" w:rsidRDefault="00AA18CC" w:rsidP="00F710B6">
      <w:pPr>
        <w:adjustRightInd w:val="0"/>
        <w:snapToGrid w:val="0"/>
        <w:spacing w:after="0" w:line="360" w:lineRule="auto"/>
        <w:jc w:val="both"/>
        <w:rPr>
          <w:rFonts w:ascii="Book Antiqua" w:hAnsi="Book Antiqua"/>
          <w:sz w:val="24"/>
          <w:szCs w:val="24"/>
        </w:rPr>
      </w:pPr>
      <w:r w:rsidRPr="000E3BD6">
        <w:rPr>
          <w:rFonts w:ascii="Book Antiqua" w:hAnsi="Book Antiqua"/>
          <w:b/>
          <w:sz w:val="24"/>
          <w:szCs w:val="24"/>
        </w:rPr>
        <w:t xml:space="preserve">Open-Access: </w:t>
      </w:r>
      <w:r w:rsidRPr="000E3BD6">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0E3BD6">
          <w:rPr>
            <w:rStyle w:val="a8"/>
            <w:rFonts w:ascii="Book Antiqua" w:hAnsi="Book Antiqua"/>
            <w:color w:val="auto"/>
            <w:sz w:val="24"/>
            <w:szCs w:val="24"/>
            <w:u w:val="none"/>
          </w:rPr>
          <w:t>http://creativecommons.org/licenses/by-nc/4.0/</w:t>
        </w:r>
      </w:hyperlink>
    </w:p>
    <w:p w14:paraId="3C66C0E9" w14:textId="77777777" w:rsidR="006B0A36" w:rsidRPr="000E3BD6" w:rsidRDefault="006B0A36" w:rsidP="00F710B6">
      <w:pPr>
        <w:spacing w:after="0" w:line="360" w:lineRule="auto"/>
        <w:contextualSpacing/>
        <w:jc w:val="both"/>
        <w:rPr>
          <w:rFonts w:ascii="Book Antiqua" w:hAnsi="Book Antiqua" w:cs="Times New Roman"/>
          <w:b/>
          <w:sz w:val="24"/>
          <w:szCs w:val="24"/>
        </w:rPr>
      </w:pPr>
    </w:p>
    <w:p w14:paraId="10138C7E" w14:textId="1E63A31B" w:rsidR="00B16EB3" w:rsidRPr="000E3BD6" w:rsidRDefault="00B16EB3" w:rsidP="00F710B6">
      <w:pPr>
        <w:spacing w:after="0" w:line="360" w:lineRule="auto"/>
        <w:contextualSpacing/>
        <w:jc w:val="both"/>
        <w:rPr>
          <w:rFonts w:ascii="Book Antiqua" w:eastAsia="宋体" w:hAnsi="Book Antiqua" w:cs="宋体"/>
          <w:sz w:val="24"/>
          <w:szCs w:val="24"/>
        </w:rPr>
      </w:pPr>
      <w:r w:rsidRPr="000E3BD6">
        <w:rPr>
          <w:rFonts w:ascii="Book Antiqua" w:eastAsia="宋体" w:hAnsi="Book Antiqua" w:cs="宋体"/>
          <w:b/>
          <w:sz w:val="24"/>
          <w:szCs w:val="24"/>
        </w:rPr>
        <w:t>Manuscript source:</w:t>
      </w:r>
      <w:r w:rsidRPr="000E3BD6">
        <w:rPr>
          <w:rFonts w:ascii="Book Antiqua" w:eastAsia="宋体" w:hAnsi="Book Antiqua" w:cs="宋体"/>
          <w:sz w:val="24"/>
          <w:szCs w:val="24"/>
        </w:rPr>
        <w:t> Invited manuscript</w:t>
      </w:r>
    </w:p>
    <w:p w14:paraId="6F750F15" w14:textId="77777777" w:rsidR="00B16EB3" w:rsidRPr="000E3BD6" w:rsidRDefault="00B16EB3" w:rsidP="00F710B6">
      <w:pPr>
        <w:spacing w:after="0" w:line="360" w:lineRule="auto"/>
        <w:contextualSpacing/>
        <w:jc w:val="both"/>
        <w:rPr>
          <w:rFonts w:ascii="Book Antiqua" w:hAnsi="Book Antiqua" w:cs="Times New Roman"/>
          <w:b/>
          <w:sz w:val="24"/>
          <w:szCs w:val="24"/>
        </w:rPr>
      </w:pPr>
    </w:p>
    <w:p w14:paraId="6AF37A3A" w14:textId="291D64A7" w:rsidR="000D60BC" w:rsidRPr="000E3BD6" w:rsidRDefault="000D60BC" w:rsidP="00F710B6">
      <w:pPr>
        <w:spacing w:after="0" w:line="360" w:lineRule="auto"/>
        <w:contextualSpacing/>
        <w:jc w:val="both"/>
        <w:rPr>
          <w:rFonts w:ascii="Book Antiqua" w:hAnsi="Book Antiqua" w:cs="Times New Roman"/>
          <w:b/>
          <w:sz w:val="24"/>
          <w:szCs w:val="24"/>
        </w:rPr>
      </w:pPr>
      <w:r w:rsidRPr="000E3BD6">
        <w:rPr>
          <w:rFonts w:ascii="Book Antiqua" w:hAnsi="Book Antiqua"/>
          <w:b/>
          <w:sz w:val="24"/>
          <w:szCs w:val="24"/>
        </w:rPr>
        <w:t>Corresponding author:</w:t>
      </w:r>
      <w:r w:rsidR="006B0A36" w:rsidRPr="000E3BD6">
        <w:rPr>
          <w:rFonts w:ascii="Book Antiqua" w:hAnsi="Book Antiqua" w:cs="Times New Roman"/>
          <w:b/>
          <w:sz w:val="24"/>
          <w:szCs w:val="24"/>
        </w:rPr>
        <w:t xml:space="preserve"> </w:t>
      </w:r>
      <w:bookmarkStart w:id="3" w:name="_Hlk529882730"/>
      <w:r w:rsidRPr="000E3BD6">
        <w:rPr>
          <w:rFonts w:ascii="Book Antiqua" w:hAnsi="Book Antiqua" w:cs="Times New Roman"/>
          <w:b/>
          <w:sz w:val="24"/>
          <w:szCs w:val="24"/>
        </w:rPr>
        <w:t xml:space="preserve">Di-Ke Ruan, PhD, Chief Doctor, Doctor, Surgeon, </w:t>
      </w:r>
      <w:r w:rsidRPr="000E3BD6">
        <w:rPr>
          <w:rFonts w:ascii="Book Antiqua" w:hAnsi="Book Antiqua" w:cs="Times New Roman"/>
          <w:sz w:val="24"/>
          <w:szCs w:val="24"/>
        </w:rPr>
        <w:t>the Second School of Clinical Medicine, Southern Medical University, South Sha</w:t>
      </w:r>
      <w:r w:rsidR="00DC1655">
        <w:rPr>
          <w:rFonts w:ascii="Book Antiqua" w:hAnsi="Book Antiqua" w:cs="Times New Roman"/>
          <w:sz w:val="24"/>
          <w:szCs w:val="24"/>
        </w:rPr>
        <w:t>t</w:t>
      </w:r>
      <w:r w:rsidRPr="000E3BD6">
        <w:rPr>
          <w:rFonts w:ascii="Book Antiqua" w:hAnsi="Book Antiqua" w:cs="Times New Roman"/>
          <w:sz w:val="24"/>
          <w:szCs w:val="24"/>
        </w:rPr>
        <w:t xml:space="preserve">ai Road, Guangzhou 510515, Guangdong Province, </w:t>
      </w:r>
      <w:r w:rsidRPr="000E3BD6">
        <w:rPr>
          <w:rFonts w:ascii="Book Antiqua" w:hAnsi="Book Antiqua" w:cs="Times New Roman"/>
          <w:sz w:val="24"/>
          <w:szCs w:val="24"/>
        </w:rPr>
        <w:t>China</w:t>
      </w:r>
      <w:r w:rsidR="00026993">
        <w:rPr>
          <w:rFonts w:ascii="Book Antiqua" w:hAnsi="Book Antiqua" w:cs="Times New Roman"/>
          <w:sz w:val="24"/>
          <w:szCs w:val="24"/>
        </w:rPr>
        <w:t xml:space="preserve">; </w:t>
      </w:r>
      <w:r w:rsidR="00026993" w:rsidRPr="00026993">
        <w:rPr>
          <w:rFonts w:ascii="Book Antiqua" w:hAnsi="Book Antiqua" w:cs="Times New Roman"/>
          <w:sz w:val="24"/>
          <w:szCs w:val="24"/>
        </w:rPr>
        <w:t>Department of Orthopedic Surgery, Navy General Hospital, Fucheng Road, Beijing</w:t>
      </w:r>
      <w:r w:rsidR="00026993">
        <w:rPr>
          <w:rFonts w:ascii="Book Antiqua" w:hAnsi="Book Antiqua" w:cs="Times New Roman"/>
          <w:sz w:val="24"/>
          <w:szCs w:val="24"/>
        </w:rPr>
        <w:t xml:space="preserve">, </w:t>
      </w:r>
      <w:r w:rsidR="00026993" w:rsidRPr="00026993">
        <w:rPr>
          <w:rFonts w:ascii="Book Antiqua" w:hAnsi="Book Antiqua" w:cs="Times New Roman"/>
          <w:sz w:val="24"/>
          <w:szCs w:val="24"/>
        </w:rPr>
        <w:t>China</w:t>
      </w:r>
      <w:r w:rsidRPr="000E3BD6">
        <w:rPr>
          <w:rFonts w:ascii="Book Antiqua" w:hAnsi="Book Antiqua" w:cs="Times New Roman"/>
          <w:sz w:val="24"/>
          <w:szCs w:val="24"/>
        </w:rPr>
        <w:t>. rua</w:t>
      </w:r>
      <w:r w:rsidRPr="000E3BD6">
        <w:rPr>
          <w:rFonts w:ascii="Book Antiqua" w:hAnsi="Book Antiqua" w:cs="Times New Roman"/>
          <w:sz w:val="24"/>
          <w:szCs w:val="24"/>
        </w:rPr>
        <w:t>ndikengh</w:t>
      </w:r>
      <w:bookmarkStart w:id="4" w:name="_GoBack"/>
      <w:bookmarkEnd w:id="4"/>
      <w:r w:rsidRPr="000E3BD6">
        <w:rPr>
          <w:rFonts w:ascii="Book Antiqua" w:hAnsi="Book Antiqua" w:cs="Times New Roman"/>
          <w:sz w:val="24"/>
          <w:szCs w:val="24"/>
        </w:rPr>
        <w:t xml:space="preserve">@163.com </w:t>
      </w:r>
    </w:p>
    <w:p w14:paraId="313B5BF6" w14:textId="03DE847E" w:rsidR="006B0A36" w:rsidRPr="000E3BD6" w:rsidRDefault="006B0A36"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b/>
          <w:sz w:val="24"/>
          <w:szCs w:val="24"/>
        </w:rPr>
        <w:lastRenderedPageBreak/>
        <w:t xml:space="preserve">Telephone: </w:t>
      </w:r>
      <w:r w:rsidR="000D60BC" w:rsidRPr="000E3BD6">
        <w:rPr>
          <w:rFonts w:ascii="Book Antiqua" w:hAnsi="Book Antiqua" w:cs="Times New Roman"/>
          <w:sz w:val="24"/>
          <w:szCs w:val="24"/>
        </w:rPr>
        <w:t>+86-</w:t>
      </w:r>
      <w:r w:rsidRPr="000E3BD6">
        <w:rPr>
          <w:rFonts w:ascii="Book Antiqua" w:hAnsi="Book Antiqua" w:cs="Times New Roman"/>
          <w:sz w:val="24"/>
          <w:szCs w:val="24"/>
        </w:rPr>
        <w:t xml:space="preserve">10-68780323 </w:t>
      </w:r>
    </w:p>
    <w:p w14:paraId="4D43B605" w14:textId="73CE62CC" w:rsidR="006B0A36" w:rsidRPr="000E3BD6" w:rsidRDefault="006B0A36"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b/>
          <w:sz w:val="24"/>
          <w:szCs w:val="24"/>
        </w:rPr>
        <w:t xml:space="preserve">Fax: </w:t>
      </w:r>
      <w:r w:rsidR="000D60BC" w:rsidRPr="000E3BD6">
        <w:rPr>
          <w:rFonts w:ascii="Book Antiqua" w:hAnsi="Book Antiqua" w:cs="Times New Roman"/>
          <w:sz w:val="24"/>
          <w:szCs w:val="24"/>
        </w:rPr>
        <w:t>+86-</w:t>
      </w:r>
      <w:r w:rsidRPr="000E3BD6">
        <w:rPr>
          <w:rFonts w:ascii="Book Antiqua" w:hAnsi="Book Antiqua" w:cs="Times New Roman"/>
          <w:sz w:val="24"/>
          <w:szCs w:val="24"/>
        </w:rPr>
        <w:t>10-68780323</w:t>
      </w:r>
    </w:p>
    <w:bookmarkEnd w:id="3"/>
    <w:p w14:paraId="39AACCDC" w14:textId="77777777" w:rsidR="006B0A36" w:rsidRPr="000E3BD6" w:rsidRDefault="006B0A36" w:rsidP="00F710B6">
      <w:pPr>
        <w:spacing w:after="0" w:line="360" w:lineRule="auto"/>
        <w:jc w:val="both"/>
        <w:rPr>
          <w:rFonts w:ascii="Book Antiqua" w:hAnsi="Book Antiqua"/>
          <w:sz w:val="24"/>
          <w:szCs w:val="24"/>
        </w:rPr>
      </w:pPr>
    </w:p>
    <w:p w14:paraId="14ED51F8" w14:textId="7DD1DE16" w:rsidR="00B16EB3" w:rsidRPr="000E3BD6" w:rsidRDefault="00B16EB3" w:rsidP="00F710B6">
      <w:pPr>
        <w:spacing w:after="0" w:line="360" w:lineRule="auto"/>
        <w:jc w:val="both"/>
        <w:rPr>
          <w:rFonts w:ascii="Book Antiqua" w:hAnsi="Book Antiqua"/>
          <w:b/>
          <w:sz w:val="24"/>
          <w:szCs w:val="24"/>
        </w:rPr>
      </w:pPr>
      <w:r w:rsidRPr="000E3BD6">
        <w:rPr>
          <w:rFonts w:ascii="Book Antiqua" w:hAnsi="Book Antiqua"/>
          <w:b/>
          <w:sz w:val="24"/>
          <w:szCs w:val="24"/>
        </w:rPr>
        <w:t xml:space="preserve">Received: </w:t>
      </w:r>
      <w:r w:rsidR="00CE3950" w:rsidRPr="000E3BD6">
        <w:rPr>
          <w:rFonts w:ascii="Book Antiqua" w:hAnsi="Book Antiqua"/>
          <w:sz w:val="24"/>
          <w:szCs w:val="24"/>
        </w:rPr>
        <w:t>November 14, 2018</w:t>
      </w:r>
      <w:r w:rsidR="00F710B6" w:rsidRPr="000E3BD6">
        <w:rPr>
          <w:rFonts w:ascii="Book Antiqua" w:hAnsi="Book Antiqua"/>
          <w:sz w:val="24"/>
          <w:szCs w:val="24"/>
        </w:rPr>
        <w:t xml:space="preserve"> </w:t>
      </w:r>
    </w:p>
    <w:p w14:paraId="6F6E416D" w14:textId="39064DB3" w:rsidR="00B16EB3" w:rsidRPr="000E3BD6" w:rsidRDefault="00B16EB3" w:rsidP="00F710B6">
      <w:pPr>
        <w:spacing w:after="0" w:line="360" w:lineRule="auto"/>
        <w:jc w:val="both"/>
        <w:rPr>
          <w:rFonts w:ascii="Book Antiqua" w:hAnsi="Book Antiqua"/>
          <w:b/>
          <w:sz w:val="24"/>
          <w:szCs w:val="24"/>
        </w:rPr>
      </w:pPr>
      <w:r w:rsidRPr="000E3BD6">
        <w:rPr>
          <w:rFonts w:ascii="Book Antiqua" w:hAnsi="Book Antiqua"/>
          <w:b/>
          <w:sz w:val="24"/>
          <w:szCs w:val="24"/>
        </w:rPr>
        <w:t>Peer-review started:</w:t>
      </w:r>
      <w:r w:rsidR="00CE3950" w:rsidRPr="000E3BD6">
        <w:rPr>
          <w:rFonts w:ascii="Book Antiqua" w:hAnsi="Book Antiqua"/>
          <w:sz w:val="24"/>
          <w:szCs w:val="24"/>
        </w:rPr>
        <w:t xml:space="preserve"> November 15, 2018</w:t>
      </w:r>
      <w:r w:rsidR="00F710B6" w:rsidRPr="000E3BD6">
        <w:rPr>
          <w:rFonts w:ascii="Book Antiqua" w:hAnsi="Book Antiqua"/>
          <w:sz w:val="24"/>
          <w:szCs w:val="24"/>
        </w:rPr>
        <w:t xml:space="preserve"> </w:t>
      </w:r>
    </w:p>
    <w:p w14:paraId="73D0E47C" w14:textId="3CC57D7E" w:rsidR="00B16EB3" w:rsidRPr="000E3BD6" w:rsidRDefault="00B16EB3" w:rsidP="00F710B6">
      <w:pPr>
        <w:spacing w:after="0" w:line="360" w:lineRule="auto"/>
        <w:jc w:val="both"/>
        <w:rPr>
          <w:rFonts w:ascii="Book Antiqua" w:hAnsi="Book Antiqua"/>
          <w:b/>
          <w:sz w:val="24"/>
          <w:szCs w:val="24"/>
        </w:rPr>
      </w:pPr>
      <w:r w:rsidRPr="000E3BD6">
        <w:rPr>
          <w:rFonts w:ascii="Book Antiqua" w:hAnsi="Book Antiqua"/>
          <w:b/>
          <w:sz w:val="24"/>
          <w:szCs w:val="24"/>
        </w:rPr>
        <w:t>First decision:</w:t>
      </w:r>
      <w:r w:rsidR="00CE3950" w:rsidRPr="000E3BD6">
        <w:rPr>
          <w:rFonts w:ascii="Book Antiqua" w:hAnsi="Book Antiqua"/>
          <w:sz w:val="24"/>
          <w:szCs w:val="24"/>
        </w:rPr>
        <w:t xml:space="preserve"> December 10, 2018</w:t>
      </w:r>
      <w:r w:rsidR="00F710B6" w:rsidRPr="000E3BD6">
        <w:rPr>
          <w:rFonts w:ascii="Book Antiqua" w:hAnsi="Book Antiqua"/>
          <w:sz w:val="24"/>
          <w:szCs w:val="24"/>
        </w:rPr>
        <w:t xml:space="preserve"> </w:t>
      </w:r>
    </w:p>
    <w:p w14:paraId="2FDA6CD9" w14:textId="33D363F5" w:rsidR="00B16EB3" w:rsidRPr="000E3BD6" w:rsidRDefault="00B16EB3" w:rsidP="00F710B6">
      <w:pPr>
        <w:spacing w:after="0" w:line="360" w:lineRule="auto"/>
        <w:jc w:val="both"/>
        <w:rPr>
          <w:rFonts w:ascii="Book Antiqua" w:hAnsi="Book Antiqua"/>
          <w:b/>
          <w:sz w:val="24"/>
          <w:szCs w:val="24"/>
        </w:rPr>
      </w:pPr>
      <w:r w:rsidRPr="000E3BD6">
        <w:rPr>
          <w:rFonts w:ascii="Book Antiqua" w:hAnsi="Book Antiqua"/>
          <w:b/>
          <w:sz w:val="24"/>
          <w:szCs w:val="24"/>
        </w:rPr>
        <w:t xml:space="preserve">Revised: </w:t>
      </w:r>
      <w:r w:rsidR="00CE3950" w:rsidRPr="000E3BD6">
        <w:rPr>
          <w:rFonts w:ascii="Book Antiqua" w:hAnsi="Book Antiqua"/>
          <w:sz w:val="24"/>
          <w:szCs w:val="24"/>
        </w:rPr>
        <w:t>December 19, 2018</w:t>
      </w:r>
      <w:r w:rsidR="00F710B6" w:rsidRPr="000E3BD6">
        <w:rPr>
          <w:rFonts w:ascii="Book Antiqua" w:hAnsi="Book Antiqua"/>
          <w:sz w:val="24"/>
          <w:szCs w:val="24"/>
        </w:rPr>
        <w:t xml:space="preserve"> </w:t>
      </w:r>
    </w:p>
    <w:p w14:paraId="698E87C9" w14:textId="252544D1" w:rsidR="00B16EB3" w:rsidRPr="000E3BD6" w:rsidRDefault="00B16EB3" w:rsidP="00F710B6">
      <w:pPr>
        <w:spacing w:after="0" w:line="360" w:lineRule="auto"/>
        <w:jc w:val="both"/>
        <w:rPr>
          <w:rFonts w:ascii="Book Antiqua" w:hAnsi="Book Antiqua"/>
          <w:b/>
          <w:sz w:val="24"/>
          <w:szCs w:val="24"/>
        </w:rPr>
      </w:pPr>
      <w:r w:rsidRPr="000E3BD6">
        <w:rPr>
          <w:rFonts w:ascii="Book Antiqua" w:hAnsi="Book Antiqua"/>
          <w:b/>
          <w:sz w:val="24"/>
          <w:szCs w:val="24"/>
        </w:rPr>
        <w:t>Accepted:</w:t>
      </w:r>
      <w:r w:rsidR="00A400C0" w:rsidRPr="00A400C0">
        <w:t xml:space="preserve"> </w:t>
      </w:r>
      <w:r w:rsidR="00A400C0" w:rsidRPr="00A400C0">
        <w:rPr>
          <w:rFonts w:ascii="Book Antiqua" w:hAnsi="Book Antiqua"/>
          <w:sz w:val="24"/>
          <w:szCs w:val="24"/>
        </w:rPr>
        <w:t>January 26, 2019</w:t>
      </w:r>
      <w:r w:rsidR="00F710B6" w:rsidRPr="000E3BD6">
        <w:rPr>
          <w:rFonts w:ascii="Book Antiqua" w:hAnsi="Book Antiqua"/>
          <w:b/>
          <w:sz w:val="24"/>
          <w:szCs w:val="24"/>
        </w:rPr>
        <w:t xml:space="preserve"> </w:t>
      </w:r>
    </w:p>
    <w:p w14:paraId="1BFC2AC0" w14:textId="71EC9130" w:rsidR="00B16EB3" w:rsidRPr="000E3BD6" w:rsidRDefault="00B16EB3" w:rsidP="00F710B6">
      <w:pPr>
        <w:spacing w:after="0" w:line="360" w:lineRule="auto"/>
        <w:jc w:val="both"/>
        <w:rPr>
          <w:rFonts w:ascii="Book Antiqua" w:hAnsi="Book Antiqua"/>
          <w:sz w:val="24"/>
          <w:szCs w:val="24"/>
        </w:rPr>
      </w:pPr>
      <w:r w:rsidRPr="000E3BD6">
        <w:rPr>
          <w:rFonts w:ascii="Book Antiqua" w:hAnsi="Book Antiqua"/>
          <w:b/>
          <w:sz w:val="24"/>
          <w:szCs w:val="24"/>
        </w:rPr>
        <w:t>Article in press:</w:t>
      </w:r>
      <w:r w:rsidR="00F710B6" w:rsidRPr="000E3BD6">
        <w:rPr>
          <w:rFonts w:ascii="Book Antiqua" w:hAnsi="Book Antiqua"/>
          <w:sz w:val="24"/>
          <w:szCs w:val="24"/>
        </w:rPr>
        <w:t xml:space="preserve"> </w:t>
      </w:r>
    </w:p>
    <w:p w14:paraId="735B698E" w14:textId="3400BD7A" w:rsidR="00B16EB3" w:rsidRPr="000E3BD6" w:rsidRDefault="00B16EB3" w:rsidP="00F710B6">
      <w:pPr>
        <w:spacing w:after="0" w:line="360" w:lineRule="auto"/>
        <w:jc w:val="both"/>
        <w:rPr>
          <w:rFonts w:ascii="Book Antiqua" w:hAnsi="Book Antiqua"/>
          <w:sz w:val="24"/>
          <w:szCs w:val="24"/>
        </w:rPr>
      </w:pPr>
      <w:r w:rsidRPr="000E3BD6">
        <w:rPr>
          <w:rFonts w:ascii="Book Antiqua" w:hAnsi="Book Antiqua"/>
          <w:b/>
          <w:sz w:val="24"/>
          <w:szCs w:val="24"/>
        </w:rPr>
        <w:t>Published online:</w:t>
      </w:r>
    </w:p>
    <w:p w14:paraId="2CEEB392" w14:textId="77777777" w:rsidR="00CE3950" w:rsidRPr="000E3BD6" w:rsidRDefault="00CE3950" w:rsidP="00F710B6">
      <w:pPr>
        <w:spacing w:after="0" w:line="360" w:lineRule="auto"/>
        <w:jc w:val="both"/>
        <w:rPr>
          <w:rFonts w:ascii="Book Antiqua" w:hAnsi="Book Antiqua" w:cs="Times New Roman"/>
          <w:b/>
          <w:sz w:val="24"/>
          <w:szCs w:val="24"/>
        </w:rPr>
      </w:pPr>
      <w:bookmarkStart w:id="5" w:name="_Hlk529382039"/>
      <w:r w:rsidRPr="000E3BD6">
        <w:rPr>
          <w:rFonts w:ascii="Book Antiqua" w:hAnsi="Book Antiqua" w:cs="Times New Roman"/>
          <w:b/>
          <w:sz w:val="24"/>
          <w:szCs w:val="24"/>
        </w:rPr>
        <w:br w:type="page"/>
      </w:r>
    </w:p>
    <w:p w14:paraId="0CD42F67" w14:textId="34BC0A95" w:rsidR="006B0A36" w:rsidRPr="000E3BD6" w:rsidRDefault="006B0A36" w:rsidP="00F710B6">
      <w:pPr>
        <w:spacing w:after="0" w:line="360" w:lineRule="auto"/>
        <w:contextualSpacing/>
        <w:jc w:val="both"/>
        <w:rPr>
          <w:rFonts w:ascii="Book Antiqua" w:hAnsi="Book Antiqua" w:cs="Times New Roman"/>
          <w:b/>
          <w:sz w:val="24"/>
          <w:szCs w:val="24"/>
        </w:rPr>
      </w:pPr>
      <w:r w:rsidRPr="000E3BD6">
        <w:rPr>
          <w:rFonts w:ascii="Book Antiqua" w:hAnsi="Book Antiqua" w:cs="Times New Roman"/>
          <w:b/>
          <w:sz w:val="24"/>
          <w:szCs w:val="24"/>
        </w:rPr>
        <w:lastRenderedPageBreak/>
        <w:t>Abstract</w:t>
      </w:r>
    </w:p>
    <w:p w14:paraId="432B43D5" w14:textId="5C6BBFC7" w:rsidR="006A2137" w:rsidRPr="000E3BD6" w:rsidRDefault="006A2137" w:rsidP="00F710B6">
      <w:pPr>
        <w:spacing w:after="0" w:line="360" w:lineRule="auto"/>
        <w:jc w:val="both"/>
        <w:rPr>
          <w:rFonts w:ascii="Book Antiqua" w:hAnsi="Book Antiqua"/>
          <w:sz w:val="24"/>
          <w:szCs w:val="24"/>
        </w:rPr>
      </w:pPr>
      <w:r w:rsidRPr="000E3BD6">
        <w:rPr>
          <w:rFonts w:ascii="Book Antiqua" w:hAnsi="Book Antiqua"/>
          <w:b/>
          <w:i/>
          <w:sz w:val="24"/>
          <w:szCs w:val="24"/>
        </w:rPr>
        <w:t>BACKGROUND</w:t>
      </w:r>
      <w:r w:rsidRPr="000E3BD6">
        <w:rPr>
          <w:rFonts w:ascii="Book Antiqua" w:hAnsi="Book Antiqua"/>
          <w:sz w:val="24"/>
          <w:szCs w:val="24"/>
        </w:rPr>
        <w:t xml:space="preserve"> </w:t>
      </w:r>
    </w:p>
    <w:p w14:paraId="6DD60BCE" w14:textId="6051B0AB" w:rsidR="006A2137" w:rsidRPr="000E3BD6" w:rsidRDefault="00B54AA7" w:rsidP="00F710B6">
      <w:pPr>
        <w:spacing w:after="0" w:line="360" w:lineRule="auto"/>
        <w:contextualSpacing/>
        <w:jc w:val="both"/>
        <w:rPr>
          <w:rFonts w:ascii="Book Antiqua" w:hAnsi="Book Antiqua" w:cs="Times New Roman"/>
          <w:sz w:val="24"/>
          <w:szCs w:val="24"/>
          <w:lang w:val="en-GB"/>
        </w:rPr>
      </w:pPr>
      <w:r w:rsidRPr="000E3BD6">
        <w:rPr>
          <w:rFonts w:ascii="Book Antiqua" w:hAnsi="Book Antiqua" w:cs="Times New Roman"/>
          <w:sz w:val="24"/>
          <w:szCs w:val="24"/>
          <w:lang w:val="en-GB"/>
        </w:rPr>
        <w:t xml:space="preserve">Intervertebral disc (IVD) degeneration is a condition characterized by a reduction in the water and extracellular matrix content of the nucleus pulposus (NP) and is considered as one of the dominating contributing factors to low back pain. </w:t>
      </w:r>
      <w:r w:rsidR="00407A64" w:rsidRPr="000E3BD6">
        <w:rPr>
          <w:rFonts w:ascii="Book Antiqua" w:hAnsi="Book Antiqua" w:cs="Times New Roman"/>
          <w:sz w:val="24"/>
          <w:szCs w:val="24"/>
          <w:lang w:val="en-GB"/>
        </w:rPr>
        <w:t>Recent evidence suggest</w:t>
      </w:r>
      <w:r w:rsidR="00DC1655">
        <w:rPr>
          <w:rFonts w:ascii="Book Antiqua" w:hAnsi="Book Antiqua" w:cs="Times New Roman"/>
          <w:sz w:val="24"/>
          <w:szCs w:val="24"/>
          <w:lang w:val="en-GB"/>
        </w:rPr>
        <w:t>s</w:t>
      </w:r>
      <w:r w:rsidR="00407A64" w:rsidRPr="000E3BD6">
        <w:rPr>
          <w:rFonts w:ascii="Book Antiqua" w:hAnsi="Book Antiqua" w:cs="Times New Roman"/>
          <w:sz w:val="24"/>
          <w:szCs w:val="24"/>
          <w:lang w:val="en-GB"/>
        </w:rPr>
        <w:t xml:space="preserve"> </w:t>
      </w:r>
      <w:r w:rsidR="000E1B3C" w:rsidRPr="000E3BD6">
        <w:rPr>
          <w:rFonts w:ascii="Book Antiqua" w:hAnsi="Book Antiqua" w:cs="Times New Roman"/>
          <w:sz w:val="24"/>
          <w:szCs w:val="24"/>
          <w:lang w:val="en-GB"/>
        </w:rPr>
        <w:t xml:space="preserve">that </w:t>
      </w:r>
      <w:r w:rsidR="00407A64" w:rsidRPr="000E3BD6">
        <w:rPr>
          <w:rFonts w:ascii="Book Antiqua" w:hAnsi="Book Antiqua" w:cs="Times New Roman"/>
          <w:sz w:val="24"/>
          <w:szCs w:val="24"/>
          <w:lang w:val="en-GB"/>
        </w:rPr>
        <w:t xml:space="preserve">stromal cell-derived factor 1α (SDF-1α) </w:t>
      </w:r>
      <w:r w:rsidR="001E309D" w:rsidRPr="000E3BD6">
        <w:rPr>
          <w:rFonts w:ascii="Book Antiqua" w:hAnsi="Book Antiqua" w:cs="Times New Roman"/>
          <w:sz w:val="24"/>
          <w:szCs w:val="24"/>
          <w:lang w:val="en-GB"/>
        </w:rPr>
        <w:t xml:space="preserve">and its </w:t>
      </w:r>
      <w:r w:rsidR="00212F5A" w:rsidRPr="000E3BD6">
        <w:rPr>
          <w:rFonts w:ascii="Book Antiqua" w:hAnsi="Book Antiqua" w:cs="Times New Roman"/>
          <w:sz w:val="24"/>
          <w:szCs w:val="24"/>
          <w:lang w:val="en-GB"/>
        </w:rPr>
        <w:t>receptor C-X-C chemokine receptor type 4 (CXCR4)</w:t>
      </w:r>
      <w:r w:rsidR="00DC1655">
        <w:rPr>
          <w:rFonts w:ascii="Book Antiqua" w:hAnsi="Book Antiqua" w:cs="Times New Roman"/>
          <w:sz w:val="24"/>
          <w:szCs w:val="24"/>
          <w:lang w:val="en-GB"/>
        </w:rPr>
        <w:t xml:space="preserve"> </w:t>
      </w:r>
      <w:r w:rsidR="00212F5A" w:rsidRPr="000E3BD6">
        <w:rPr>
          <w:rFonts w:ascii="Book Antiqua" w:hAnsi="Book Antiqua" w:cs="Times New Roman"/>
          <w:sz w:val="24"/>
          <w:szCs w:val="24"/>
          <w:lang w:val="en-GB"/>
        </w:rPr>
        <w:t>direct the migration of stem cells associated with injury repair in</w:t>
      </w:r>
      <w:r w:rsidR="00763EED" w:rsidRPr="000E3BD6">
        <w:rPr>
          <w:rFonts w:ascii="Book Antiqua" w:hAnsi="Book Antiqua" w:cs="Times New Roman"/>
          <w:sz w:val="24"/>
          <w:szCs w:val="24"/>
          <w:lang w:val="en-GB"/>
        </w:rPr>
        <w:t xml:space="preserve"> different musculoskeletal </w:t>
      </w:r>
      <w:r w:rsidRPr="000E3BD6">
        <w:rPr>
          <w:rFonts w:ascii="Book Antiqua" w:hAnsi="Book Antiqua" w:cs="Times New Roman"/>
          <w:sz w:val="24"/>
          <w:szCs w:val="24"/>
          <w:lang w:val="en-GB"/>
        </w:rPr>
        <w:t>tissues</w:t>
      </w:r>
      <w:r w:rsidR="00407A64" w:rsidRPr="000E3BD6">
        <w:rPr>
          <w:rFonts w:ascii="Book Antiqua" w:hAnsi="Book Antiqua" w:cs="Times New Roman"/>
          <w:sz w:val="24"/>
          <w:szCs w:val="24"/>
          <w:lang w:val="en-GB"/>
        </w:rPr>
        <w:t>.</w:t>
      </w:r>
    </w:p>
    <w:p w14:paraId="6B1D2CC4" w14:textId="77777777" w:rsidR="00407A64" w:rsidRPr="000E3BD6" w:rsidRDefault="00407A64" w:rsidP="00F710B6">
      <w:pPr>
        <w:spacing w:after="0" w:line="360" w:lineRule="auto"/>
        <w:contextualSpacing/>
        <w:jc w:val="both"/>
        <w:rPr>
          <w:rFonts w:ascii="Book Antiqua" w:hAnsi="Book Antiqua" w:cs="Times New Roman"/>
          <w:b/>
          <w:sz w:val="24"/>
          <w:szCs w:val="24"/>
        </w:rPr>
      </w:pPr>
    </w:p>
    <w:p w14:paraId="478FDE56" w14:textId="6222C645" w:rsidR="006B0A36" w:rsidRPr="000E3BD6" w:rsidRDefault="006B0A36" w:rsidP="00F710B6">
      <w:pPr>
        <w:spacing w:after="0" w:line="360" w:lineRule="auto"/>
        <w:contextualSpacing/>
        <w:jc w:val="both"/>
        <w:rPr>
          <w:rFonts w:ascii="Book Antiqua" w:hAnsi="Book Antiqua" w:cs="Times New Roman"/>
          <w:i/>
          <w:sz w:val="24"/>
          <w:szCs w:val="24"/>
        </w:rPr>
      </w:pPr>
      <w:r w:rsidRPr="000E3BD6">
        <w:rPr>
          <w:rFonts w:ascii="Book Antiqua" w:hAnsi="Book Antiqua" w:cs="Times New Roman"/>
          <w:b/>
          <w:i/>
          <w:sz w:val="24"/>
          <w:szCs w:val="24"/>
        </w:rPr>
        <w:t>AIM</w:t>
      </w:r>
    </w:p>
    <w:p w14:paraId="755176DC" w14:textId="054D5CDB" w:rsidR="006B0A36" w:rsidRPr="000E3BD6" w:rsidRDefault="006B0A36" w:rsidP="00F710B6">
      <w:pPr>
        <w:spacing w:after="0" w:line="360" w:lineRule="auto"/>
        <w:contextualSpacing/>
        <w:jc w:val="both"/>
        <w:rPr>
          <w:rFonts w:ascii="Book Antiqua" w:hAnsi="Book Antiqua" w:cs="Times New Roman"/>
          <w:b/>
          <w:sz w:val="24"/>
          <w:szCs w:val="24"/>
        </w:rPr>
      </w:pPr>
      <w:r w:rsidRPr="000E3BD6">
        <w:rPr>
          <w:rFonts w:ascii="Book Antiqua" w:hAnsi="Book Antiqua" w:cs="Times New Roman"/>
          <w:sz w:val="24"/>
          <w:szCs w:val="24"/>
        </w:rPr>
        <w:t>To investigate the effects of SDF-1α on recruitment and chondrogenic differentiation of nucleus pulposus-derived stem cells (NPSCs).</w:t>
      </w:r>
    </w:p>
    <w:p w14:paraId="5149CC28" w14:textId="77777777" w:rsidR="006B0A36" w:rsidRPr="000E3BD6" w:rsidRDefault="006B0A36" w:rsidP="00F710B6">
      <w:pPr>
        <w:spacing w:after="0" w:line="360" w:lineRule="auto"/>
        <w:contextualSpacing/>
        <w:jc w:val="both"/>
        <w:rPr>
          <w:rFonts w:ascii="Book Antiqua" w:hAnsi="Book Antiqua" w:cs="Times New Roman"/>
          <w:b/>
          <w:sz w:val="24"/>
          <w:szCs w:val="24"/>
        </w:rPr>
      </w:pPr>
    </w:p>
    <w:p w14:paraId="172A0CA6" w14:textId="77777777" w:rsidR="006B0A36" w:rsidRPr="000E3BD6" w:rsidRDefault="006B0A36" w:rsidP="00F710B6">
      <w:pPr>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METHODS</w:t>
      </w:r>
    </w:p>
    <w:p w14:paraId="43340848" w14:textId="38F38AB4" w:rsidR="006B0A36" w:rsidRPr="000E3BD6" w:rsidRDefault="006B0A36" w:rsidP="00F710B6">
      <w:pPr>
        <w:autoSpaceDE w:val="0"/>
        <w:autoSpaceDN w:val="0"/>
        <w:adjustRightInd w:val="0"/>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 xml:space="preserve">We performed real-time RT-PCR and </w:t>
      </w:r>
      <w:r w:rsidR="006C683D" w:rsidRPr="000E3BD6">
        <w:rPr>
          <w:rFonts w:ascii="Book Antiqua" w:hAnsi="Book Antiqua" w:cs="Times New Roman"/>
          <w:sz w:val="24"/>
          <w:szCs w:val="24"/>
        </w:rPr>
        <w:t>enzyme-linked immunosorbent assay</w:t>
      </w:r>
      <w:r w:rsidRPr="000E3BD6">
        <w:rPr>
          <w:rFonts w:ascii="Book Antiqua" w:hAnsi="Book Antiqua" w:cs="Times New Roman"/>
          <w:sz w:val="24"/>
          <w:szCs w:val="24"/>
        </w:rPr>
        <w:t xml:space="preserve"> to examine the expression of </w:t>
      </w:r>
      <w:r w:rsidRPr="000E3BD6">
        <w:rPr>
          <w:rFonts w:ascii="Book Antiqua" w:hAnsi="Book Antiqua"/>
          <w:sz w:val="24"/>
          <w:szCs w:val="24"/>
        </w:rPr>
        <w:t>SDF-1</w:t>
      </w:r>
      <w:r w:rsidRPr="000E3BD6">
        <w:rPr>
          <w:rFonts w:ascii="Book Antiqua" w:hAnsi="Book Antiqua" w:cs="Times New Roman"/>
          <w:sz w:val="24"/>
          <w:szCs w:val="24"/>
        </w:rPr>
        <w:t xml:space="preserve">α in nucleus pulposus cells after treatment with pro-inflammatory cytokines </w:t>
      </w:r>
      <w:r w:rsidRPr="000E3BD6">
        <w:rPr>
          <w:rFonts w:ascii="Book Antiqua" w:hAnsi="Book Antiqua" w:cs="Times New Roman"/>
          <w:i/>
          <w:sz w:val="24"/>
          <w:szCs w:val="24"/>
        </w:rPr>
        <w:t>in vitro</w:t>
      </w:r>
      <w:r w:rsidRPr="000E3BD6">
        <w:rPr>
          <w:rFonts w:ascii="Book Antiqua" w:hAnsi="Book Antiqua" w:cs="Times New Roman"/>
          <w:sz w:val="24"/>
          <w:szCs w:val="24"/>
        </w:rPr>
        <w:t xml:space="preserve">. An animal model of </w:t>
      </w:r>
      <w:r w:rsidR="00D63DED" w:rsidRPr="000E3BD6">
        <w:rPr>
          <w:rFonts w:ascii="Book Antiqua" w:hAnsi="Book Antiqua" w:cs="Times New Roman"/>
          <w:sz w:val="24"/>
          <w:szCs w:val="24"/>
          <w:lang w:val="en-GB"/>
        </w:rPr>
        <w:t>IVD</w:t>
      </w:r>
      <w:r w:rsidRPr="000E3BD6">
        <w:rPr>
          <w:rFonts w:ascii="Book Antiqua" w:hAnsi="Book Antiqua" w:cs="Times New Roman"/>
          <w:sz w:val="24"/>
          <w:szCs w:val="24"/>
        </w:rPr>
        <w:t xml:space="preserve"> degeneration was established using annuluar fibrosus puncture in rat coccygeal discs. Tissue samples were collected from normal control and degeneration</w:t>
      </w:r>
      <w:r w:rsidR="00DC1655">
        <w:rPr>
          <w:rFonts w:ascii="Book Antiqua" w:hAnsi="Book Antiqua" w:cs="Times New Roman"/>
          <w:sz w:val="24"/>
          <w:szCs w:val="24"/>
        </w:rPr>
        <w:t xml:space="preserve"> </w:t>
      </w:r>
      <w:r w:rsidRPr="000E3BD6">
        <w:rPr>
          <w:rFonts w:ascii="Book Antiqua" w:hAnsi="Book Antiqua" w:cs="Times New Roman"/>
          <w:sz w:val="24"/>
          <w:szCs w:val="24"/>
        </w:rPr>
        <w:t xml:space="preserve">groups. Differences in the expression of </w:t>
      </w:r>
      <w:r w:rsidRPr="000E3BD6">
        <w:rPr>
          <w:rFonts w:ascii="Book Antiqua" w:hAnsi="Book Antiqua"/>
          <w:sz w:val="24"/>
          <w:szCs w:val="24"/>
        </w:rPr>
        <w:t>SDF-1</w:t>
      </w:r>
      <w:r w:rsidRPr="000E3BD6">
        <w:rPr>
          <w:rFonts w:ascii="Book Antiqua" w:hAnsi="Book Antiqua" w:cs="Times New Roman"/>
          <w:sz w:val="24"/>
          <w:szCs w:val="24"/>
        </w:rPr>
        <w:t xml:space="preserve">α between the normal and degenerative IVDs were analyzed by immunohistochemistry. The migration capacity of NPSCs induced by SDF-1α was evaluated using wound healing and transwell migration assays. To determine the effect of </w:t>
      </w:r>
      <w:r w:rsidRPr="000E3BD6">
        <w:rPr>
          <w:rFonts w:ascii="Book Antiqua" w:hAnsi="Book Antiqua"/>
          <w:sz w:val="24"/>
          <w:szCs w:val="24"/>
        </w:rPr>
        <w:t>SDF-1</w:t>
      </w:r>
      <w:r w:rsidRPr="000E3BD6">
        <w:rPr>
          <w:rFonts w:ascii="Book Antiqua" w:hAnsi="Book Antiqua" w:cs="Times New Roman"/>
          <w:sz w:val="24"/>
          <w:szCs w:val="24"/>
        </w:rPr>
        <w:t xml:space="preserve">α on chondrogenic differentiation of NPSCs, we conducted cell micromass culture and examined the expression levels of Sox-9, aggrecan, and collagen II. Moreover, the roles of SDF-1/CXCR4 axis in the migration and chondrogenesis differentiation of NPSCs were analyzed by immunofluorescence, immunoblotting, and real-time RT-PCR. </w:t>
      </w:r>
    </w:p>
    <w:p w14:paraId="3E2E930A"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sz w:val="24"/>
          <w:szCs w:val="24"/>
        </w:rPr>
      </w:pPr>
    </w:p>
    <w:p w14:paraId="1BCBBB28" w14:textId="77777777" w:rsidR="006B0A36" w:rsidRPr="000E3BD6" w:rsidRDefault="006B0A36" w:rsidP="00F710B6">
      <w:pPr>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RESULTS</w:t>
      </w:r>
    </w:p>
    <w:p w14:paraId="71D79CCF" w14:textId="1133EED2" w:rsidR="006B0A36" w:rsidRPr="000E3BD6" w:rsidRDefault="006B0A36"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lastRenderedPageBreak/>
        <w:t xml:space="preserve">SDF-1α was significantly upregulated in the native IVD cells cultured </w:t>
      </w:r>
      <w:r w:rsidRPr="000E3BD6">
        <w:rPr>
          <w:rFonts w:ascii="Book Antiqua" w:hAnsi="Book Antiqua" w:cs="Times New Roman"/>
          <w:i/>
          <w:sz w:val="24"/>
          <w:szCs w:val="24"/>
        </w:rPr>
        <w:t xml:space="preserve">in vitro </w:t>
      </w:r>
      <w:r w:rsidRPr="000E3BD6">
        <w:rPr>
          <w:rFonts w:ascii="Book Antiqua" w:hAnsi="Book Antiqua" w:cs="Times New Roman"/>
          <w:sz w:val="24"/>
          <w:szCs w:val="24"/>
        </w:rPr>
        <w:t xml:space="preserve">with pro-inflammatory cytokines, such as interleukin-1β and tumor necrosis factor-α, mimicking the degenerative settings. Immunohistochemical staining showed that the level of SDF-1α was also significantly higher in the degenerative group than in the normal group. SDF-1α enhanced the migration capacity of NPSCs in a dose-dependent manner. In addition, SDF-1α induced chondrogenic differentiation of NPSCs, as evidenced by the increased expression of chondrogenic markers using histological and immunoblotting analyses. Real-time RT-PCR, immunoblotting, and immunofluorescence showed that SDF-1α not only increased CXCR4 expression but also stimulated translocation of CXCR4 from </w:t>
      </w:r>
      <w:r w:rsidR="00DC1655">
        <w:rPr>
          <w:rFonts w:ascii="Book Antiqua" w:hAnsi="Book Antiqua" w:cs="Times New Roman"/>
          <w:sz w:val="24"/>
          <w:szCs w:val="24"/>
        </w:rPr>
        <w:t xml:space="preserve">the </w:t>
      </w:r>
      <w:r w:rsidRPr="000E3BD6">
        <w:rPr>
          <w:rFonts w:ascii="Book Antiqua" w:hAnsi="Book Antiqua" w:cs="Times New Roman"/>
          <w:sz w:val="24"/>
          <w:szCs w:val="24"/>
        </w:rPr>
        <w:t>cytoplasm to membrane, accompanied by cytoskeletal rearrangement. Furthermore, blocking CXCR4 with AMD3100 effectively suppressed the SDF-1α-induced migration and differentiation capacities</w:t>
      </w:r>
      <w:r w:rsidR="00DC1655">
        <w:rPr>
          <w:rFonts w:ascii="Book Antiqua" w:hAnsi="Book Antiqua" w:cs="Times New Roman"/>
          <w:sz w:val="24"/>
          <w:szCs w:val="24"/>
        </w:rPr>
        <w:t xml:space="preserve"> of </w:t>
      </w:r>
      <w:r w:rsidR="00DC1655" w:rsidRPr="000E3BD6">
        <w:rPr>
          <w:rFonts w:ascii="Book Antiqua" w:hAnsi="Book Antiqua" w:cs="Times New Roman"/>
          <w:sz w:val="24"/>
          <w:szCs w:val="24"/>
        </w:rPr>
        <w:t>NPSCs</w:t>
      </w:r>
      <w:r w:rsidRPr="000E3BD6">
        <w:rPr>
          <w:rFonts w:ascii="Book Antiqua" w:hAnsi="Book Antiqua" w:cs="Times New Roman"/>
          <w:sz w:val="24"/>
          <w:szCs w:val="24"/>
        </w:rPr>
        <w:t xml:space="preserve">. </w:t>
      </w:r>
    </w:p>
    <w:p w14:paraId="77A7A2A3" w14:textId="77777777" w:rsidR="006B0A36" w:rsidRPr="000E3BD6" w:rsidRDefault="006B0A36" w:rsidP="00F710B6">
      <w:pPr>
        <w:spacing w:after="0" w:line="360" w:lineRule="auto"/>
        <w:contextualSpacing/>
        <w:jc w:val="both"/>
        <w:rPr>
          <w:rFonts w:ascii="Book Antiqua" w:hAnsi="Book Antiqua" w:cs="Times New Roman"/>
          <w:b/>
          <w:sz w:val="24"/>
          <w:szCs w:val="24"/>
        </w:rPr>
      </w:pPr>
    </w:p>
    <w:p w14:paraId="751747B7" w14:textId="77777777" w:rsidR="006B0A36" w:rsidRPr="000E3BD6" w:rsidRDefault="006B0A36" w:rsidP="00F710B6">
      <w:pPr>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CONCLUSION</w:t>
      </w:r>
    </w:p>
    <w:p w14:paraId="1927251A" w14:textId="77777777" w:rsidR="006B0A36" w:rsidRPr="000E3BD6" w:rsidRDefault="006B0A36"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 xml:space="preserve">These findings demonstrate that SDF-1α has the potential to enhance recruitment and chondrogenic differentiation of NPSCs </w:t>
      </w:r>
      <w:r w:rsidRPr="000E3BD6">
        <w:rPr>
          <w:rFonts w:ascii="Book Antiqua" w:hAnsi="Book Antiqua" w:cs="Times New Roman"/>
          <w:i/>
          <w:sz w:val="24"/>
          <w:szCs w:val="24"/>
        </w:rPr>
        <w:t xml:space="preserve">via </w:t>
      </w:r>
      <w:r w:rsidRPr="000E3BD6">
        <w:rPr>
          <w:rFonts w:ascii="Book Antiqua" w:hAnsi="Book Antiqua" w:cs="Times New Roman"/>
          <w:sz w:val="24"/>
          <w:szCs w:val="24"/>
        </w:rPr>
        <w:t xml:space="preserve">SDF-1/CXCR4 chemotaxis signals that contribute to IVD regeneration. </w:t>
      </w:r>
    </w:p>
    <w:p w14:paraId="0DC72666" w14:textId="77777777" w:rsidR="006B0A36" w:rsidRPr="000E3BD6" w:rsidRDefault="006B0A36" w:rsidP="00F710B6">
      <w:pPr>
        <w:spacing w:after="0" w:line="360" w:lineRule="auto"/>
        <w:contextualSpacing/>
        <w:jc w:val="both"/>
        <w:rPr>
          <w:rFonts w:ascii="Book Antiqua" w:hAnsi="Book Antiqua" w:cs="Times New Roman"/>
          <w:sz w:val="24"/>
          <w:szCs w:val="24"/>
        </w:rPr>
      </w:pPr>
    </w:p>
    <w:p w14:paraId="2C18C344" w14:textId="6C419EB6" w:rsidR="006B0A36" w:rsidRPr="000E3BD6" w:rsidRDefault="006B0A36"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b/>
          <w:sz w:val="24"/>
          <w:szCs w:val="24"/>
        </w:rPr>
        <w:t>Key</w:t>
      </w:r>
      <w:r w:rsidR="00D423D9" w:rsidRPr="000E3BD6">
        <w:rPr>
          <w:rFonts w:ascii="Book Antiqua" w:hAnsi="Book Antiqua" w:cs="Times New Roman"/>
          <w:b/>
          <w:sz w:val="24"/>
          <w:szCs w:val="24"/>
        </w:rPr>
        <w:t xml:space="preserve"> </w:t>
      </w:r>
      <w:r w:rsidRPr="000E3BD6">
        <w:rPr>
          <w:rFonts w:ascii="Book Antiqua" w:hAnsi="Book Antiqua" w:cs="Times New Roman"/>
          <w:b/>
          <w:sz w:val="24"/>
          <w:szCs w:val="24"/>
        </w:rPr>
        <w:t xml:space="preserve">words: </w:t>
      </w:r>
      <w:r w:rsidRPr="000E3BD6">
        <w:rPr>
          <w:rFonts w:ascii="Book Antiqua" w:hAnsi="Book Antiqua" w:cs="Times New Roman"/>
          <w:sz w:val="24"/>
          <w:szCs w:val="24"/>
        </w:rPr>
        <w:t xml:space="preserve">Stromal cell-derived factor 1α; CXC chemokine receptor 4; Nucleus pulposus-derived stem cells; Intervertebral disc degeneration; Endogenous regeneration </w:t>
      </w:r>
    </w:p>
    <w:p w14:paraId="4D07C19F" w14:textId="77777777" w:rsidR="006B0A36" w:rsidRPr="000E3BD6" w:rsidRDefault="006B0A36" w:rsidP="00F710B6">
      <w:pPr>
        <w:spacing w:after="0" w:line="360" w:lineRule="auto"/>
        <w:contextualSpacing/>
        <w:jc w:val="both"/>
        <w:rPr>
          <w:rFonts w:ascii="Book Antiqua" w:hAnsi="Book Antiqua" w:cs="Times New Roman"/>
          <w:sz w:val="24"/>
          <w:szCs w:val="24"/>
        </w:rPr>
      </w:pPr>
    </w:p>
    <w:p w14:paraId="4C9B49E7" w14:textId="77777777" w:rsidR="00D423D9" w:rsidRPr="000E3BD6" w:rsidRDefault="00D423D9" w:rsidP="00F710B6">
      <w:pPr>
        <w:spacing w:after="0" w:line="360" w:lineRule="auto"/>
        <w:jc w:val="both"/>
        <w:rPr>
          <w:rFonts w:ascii="Book Antiqua" w:hAnsi="Book Antiqua" w:cs="Arial"/>
          <w:sz w:val="24"/>
          <w:szCs w:val="24"/>
        </w:rPr>
      </w:pPr>
      <w:r w:rsidRPr="000E3BD6">
        <w:rPr>
          <w:rFonts w:ascii="Book Antiqua" w:hAnsi="Book Antiqua"/>
          <w:b/>
          <w:sz w:val="24"/>
          <w:szCs w:val="24"/>
        </w:rPr>
        <w:t xml:space="preserve">© </w:t>
      </w:r>
      <w:r w:rsidRPr="000E3BD6">
        <w:rPr>
          <w:rFonts w:ascii="Book Antiqua" w:hAnsi="Book Antiqua" w:cs="Arial"/>
          <w:b/>
          <w:sz w:val="24"/>
          <w:szCs w:val="24"/>
        </w:rPr>
        <w:t>The Author(s) 2019.</w:t>
      </w:r>
      <w:r w:rsidRPr="000E3BD6">
        <w:rPr>
          <w:rFonts w:ascii="Book Antiqua" w:hAnsi="Book Antiqua" w:cs="Arial"/>
          <w:sz w:val="24"/>
          <w:szCs w:val="24"/>
        </w:rPr>
        <w:t xml:space="preserve"> Published by Baishideng Publishing Group Inc. All rights reserved.</w:t>
      </w:r>
    </w:p>
    <w:p w14:paraId="2C729F5C" w14:textId="77777777" w:rsidR="00D423D9" w:rsidRPr="000E3BD6" w:rsidRDefault="00D423D9" w:rsidP="00F710B6">
      <w:pPr>
        <w:spacing w:after="0" w:line="360" w:lineRule="auto"/>
        <w:contextualSpacing/>
        <w:jc w:val="both"/>
        <w:rPr>
          <w:rFonts w:ascii="Book Antiqua" w:hAnsi="Book Antiqua" w:cs="Times New Roman"/>
          <w:sz w:val="24"/>
          <w:szCs w:val="24"/>
        </w:rPr>
      </w:pPr>
    </w:p>
    <w:p w14:paraId="3D9BDA43" w14:textId="105DB33A" w:rsidR="006B0A36" w:rsidRPr="000E3BD6" w:rsidRDefault="006B0A36"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b/>
          <w:sz w:val="24"/>
          <w:szCs w:val="24"/>
        </w:rPr>
        <w:t xml:space="preserve">Core tip: </w:t>
      </w:r>
      <w:r w:rsidRPr="000E3BD6">
        <w:rPr>
          <w:rFonts w:ascii="Book Antiqua" w:hAnsi="Book Antiqua" w:cs="Times New Roman"/>
          <w:sz w:val="24"/>
          <w:szCs w:val="24"/>
        </w:rPr>
        <w:t>The chemokine</w:t>
      </w:r>
      <w:r w:rsidRPr="000E3BD6">
        <w:rPr>
          <w:rFonts w:ascii="Book Antiqua" w:hAnsi="Book Antiqua" w:cs="Times New Roman"/>
          <w:b/>
          <w:sz w:val="24"/>
          <w:szCs w:val="24"/>
        </w:rPr>
        <w:t xml:space="preserve"> </w:t>
      </w:r>
      <w:r w:rsidRPr="000E3BD6">
        <w:rPr>
          <w:rFonts w:ascii="Book Antiqua" w:hAnsi="Book Antiqua" w:cs="Times New Roman"/>
          <w:sz w:val="24"/>
          <w:szCs w:val="24"/>
        </w:rPr>
        <w:t xml:space="preserve">stromal cell-derived factor-1α (SDF-1α) is upregulated in </w:t>
      </w:r>
      <w:r w:rsidR="00C57F59" w:rsidRPr="000E3BD6">
        <w:rPr>
          <w:rFonts w:ascii="Book Antiqua" w:hAnsi="Book Antiqua" w:cs="Times New Roman"/>
          <w:sz w:val="24"/>
          <w:szCs w:val="24"/>
        </w:rPr>
        <w:t>the</w:t>
      </w:r>
      <w:r w:rsidRPr="000E3BD6">
        <w:rPr>
          <w:rFonts w:ascii="Book Antiqua" w:hAnsi="Book Antiqua" w:cs="Times New Roman"/>
          <w:sz w:val="24"/>
          <w:szCs w:val="24"/>
        </w:rPr>
        <w:t xml:space="preserve"> pro-inflammatory microenvironment or degenerative intervertebral disc (IVD). The present study demonstrates for the first time that SDF-1α effectively promotes migration and chondrogenic differentiation of nucleus pulposus-derived stem cells (NPSCs), which serve as endogenous progenitor/stem cells residing in </w:t>
      </w:r>
      <w:r w:rsidR="00DC1655">
        <w:rPr>
          <w:rFonts w:ascii="Book Antiqua" w:hAnsi="Book Antiqua" w:cs="Times New Roman"/>
          <w:sz w:val="24"/>
          <w:szCs w:val="24"/>
        </w:rPr>
        <w:t xml:space="preserve">the </w:t>
      </w:r>
      <w:r w:rsidRPr="000E3BD6">
        <w:rPr>
          <w:rFonts w:ascii="Book Antiqua" w:hAnsi="Book Antiqua" w:cs="Times New Roman"/>
          <w:sz w:val="24"/>
          <w:szCs w:val="24"/>
        </w:rPr>
        <w:t xml:space="preserve">IVD. In addition, SDF-1/CXCR4 chemotaxis signals may play a crucial </w:t>
      </w:r>
      <w:r w:rsidR="00DB15D2" w:rsidRPr="000E3BD6">
        <w:rPr>
          <w:rFonts w:ascii="Book Antiqua" w:hAnsi="Book Antiqua" w:cs="Times New Roman"/>
          <w:sz w:val="24"/>
          <w:szCs w:val="24"/>
        </w:rPr>
        <w:t>role</w:t>
      </w:r>
      <w:r w:rsidRPr="000E3BD6">
        <w:rPr>
          <w:rFonts w:ascii="Book Antiqua" w:hAnsi="Book Antiqua" w:cs="Times New Roman"/>
          <w:sz w:val="24"/>
          <w:szCs w:val="24"/>
        </w:rPr>
        <w:t xml:space="preserve"> in the process of recruitment and </w:t>
      </w:r>
      <w:r w:rsidRPr="000E3BD6">
        <w:rPr>
          <w:rFonts w:ascii="Book Antiqua" w:hAnsi="Book Antiqua" w:cs="Times New Roman"/>
          <w:sz w:val="24"/>
          <w:szCs w:val="24"/>
        </w:rPr>
        <w:lastRenderedPageBreak/>
        <w:t xml:space="preserve">chondrogenic differentiation of NPSCs that are involved in spontaneous IVD regeneration in the early stage of IVD degeneration. </w:t>
      </w:r>
    </w:p>
    <w:p w14:paraId="549F0A2B" w14:textId="77777777" w:rsidR="00D423D9" w:rsidRPr="000E3BD6" w:rsidRDefault="00D423D9" w:rsidP="00F710B6">
      <w:pPr>
        <w:spacing w:after="0" w:line="360" w:lineRule="auto"/>
        <w:contextualSpacing/>
        <w:jc w:val="both"/>
        <w:rPr>
          <w:rFonts w:ascii="Book Antiqua" w:hAnsi="Book Antiqua" w:cs="Times New Roman"/>
          <w:sz w:val="24"/>
          <w:szCs w:val="24"/>
        </w:rPr>
      </w:pPr>
    </w:p>
    <w:p w14:paraId="7455EAD6" w14:textId="75B1C70D" w:rsidR="00D423D9" w:rsidRPr="000E3BD6" w:rsidRDefault="00D423D9"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 xml:space="preserve">Ying JW, Wen TY, Pei SS, Su LH, Ruan DK. Stromal cell-derived factor-1α promotes recruitment and differentiation of nucleus pulposus-derived stem cells. </w:t>
      </w:r>
      <w:r w:rsidRPr="000E3BD6">
        <w:rPr>
          <w:rFonts w:ascii="Book Antiqua" w:hAnsi="Book Antiqua"/>
          <w:i/>
          <w:iCs/>
          <w:sz w:val="24"/>
          <w:szCs w:val="24"/>
        </w:rPr>
        <w:t xml:space="preserve">World J Stem Cells </w:t>
      </w:r>
      <w:r w:rsidRPr="000E3BD6">
        <w:rPr>
          <w:rFonts w:ascii="Book Antiqua" w:hAnsi="Book Antiqua"/>
          <w:iCs/>
          <w:sz w:val="24"/>
          <w:szCs w:val="24"/>
        </w:rPr>
        <w:t>2019; In press</w:t>
      </w:r>
    </w:p>
    <w:p w14:paraId="48BB725D" w14:textId="77777777" w:rsidR="00D423D9" w:rsidRPr="000E3BD6" w:rsidRDefault="00D423D9" w:rsidP="00F710B6">
      <w:pPr>
        <w:spacing w:after="0" w:line="360" w:lineRule="auto"/>
        <w:jc w:val="both"/>
        <w:rPr>
          <w:rFonts w:ascii="Book Antiqua" w:hAnsi="Book Antiqua" w:cs="Times New Roman"/>
          <w:b/>
          <w:sz w:val="24"/>
          <w:szCs w:val="24"/>
        </w:rPr>
      </w:pPr>
      <w:r w:rsidRPr="000E3BD6">
        <w:rPr>
          <w:rFonts w:ascii="Book Antiqua" w:hAnsi="Book Antiqua" w:cs="Times New Roman"/>
          <w:b/>
          <w:sz w:val="24"/>
          <w:szCs w:val="24"/>
        </w:rPr>
        <w:br w:type="page"/>
      </w:r>
    </w:p>
    <w:p w14:paraId="1FF99265" w14:textId="402E3BDD" w:rsidR="006B0A36" w:rsidRPr="000E3BD6" w:rsidRDefault="006B0A36" w:rsidP="00F710B6">
      <w:pPr>
        <w:spacing w:after="0" w:line="360" w:lineRule="auto"/>
        <w:contextualSpacing/>
        <w:jc w:val="both"/>
        <w:rPr>
          <w:rFonts w:ascii="Book Antiqua" w:hAnsi="Book Antiqua" w:cs="Times New Roman"/>
          <w:b/>
          <w:sz w:val="24"/>
          <w:szCs w:val="24"/>
        </w:rPr>
      </w:pPr>
      <w:r w:rsidRPr="000E3BD6">
        <w:rPr>
          <w:rFonts w:ascii="Book Antiqua" w:hAnsi="Book Antiqua" w:cs="Times New Roman"/>
          <w:b/>
          <w:sz w:val="24"/>
          <w:szCs w:val="24"/>
        </w:rPr>
        <w:lastRenderedPageBreak/>
        <w:t>INTRODUCTION</w:t>
      </w:r>
    </w:p>
    <w:p w14:paraId="4471E423" w14:textId="441950EE" w:rsidR="006B0A36" w:rsidRPr="000E3BD6" w:rsidRDefault="006B0A36" w:rsidP="00F710B6">
      <w:pPr>
        <w:autoSpaceDE w:val="0"/>
        <w:autoSpaceDN w:val="0"/>
        <w:adjustRightInd w:val="0"/>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Intervertebral disc (IVD) degeneration is characterized by a gradual loss of cellular number and function, and a related breakdown of extracellular matrix</w:t>
      </w:r>
      <w:r w:rsidR="00471703" w:rsidRPr="000E3BD6">
        <w:rPr>
          <w:rFonts w:ascii="Book Antiqua" w:hAnsi="Book Antiqua" w:cs="Times New Roman"/>
          <w:noProof/>
          <w:sz w:val="24"/>
          <w:szCs w:val="24"/>
          <w:vertAlign w:val="superscript"/>
        </w:rPr>
        <w:t>[1,</w:t>
      </w:r>
      <w:r w:rsidRPr="000E3BD6">
        <w:rPr>
          <w:rFonts w:ascii="Book Antiqua" w:hAnsi="Book Antiqua" w:cs="Times New Roman"/>
          <w:noProof/>
          <w:sz w:val="24"/>
          <w:szCs w:val="24"/>
          <w:vertAlign w:val="superscript"/>
        </w:rPr>
        <w:t>2]</w:t>
      </w:r>
      <w:r w:rsidRPr="000E3BD6">
        <w:rPr>
          <w:rFonts w:ascii="Book Antiqua" w:hAnsi="Book Antiqua" w:cs="Times New Roman"/>
          <w:sz w:val="24"/>
          <w:szCs w:val="24"/>
        </w:rPr>
        <w:t>. This pathogenic process is one of the most common causes of low back pain (LBP)</w:t>
      </w:r>
      <w:r w:rsidR="00471703" w:rsidRPr="000E3BD6">
        <w:rPr>
          <w:rFonts w:ascii="Book Antiqua" w:hAnsi="Book Antiqua" w:cs="Times New Roman"/>
          <w:noProof/>
          <w:sz w:val="24"/>
          <w:szCs w:val="24"/>
          <w:vertAlign w:val="superscript"/>
        </w:rPr>
        <w:t>[3,</w:t>
      </w:r>
      <w:r w:rsidRPr="000E3BD6">
        <w:rPr>
          <w:rFonts w:ascii="Book Antiqua" w:hAnsi="Book Antiqua" w:cs="Times New Roman"/>
          <w:noProof/>
          <w:sz w:val="24"/>
          <w:szCs w:val="24"/>
          <w:vertAlign w:val="superscript"/>
        </w:rPr>
        <w:t>4]</w:t>
      </w:r>
      <w:r w:rsidRPr="000E3BD6">
        <w:rPr>
          <w:rFonts w:ascii="Book Antiqua" w:hAnsi="Book Antiqua" w:cs="Times New Roman"/>
          <w:sz w:val="24"/>
          <w:szCs w:val="24"/>
        </w:rPr>
        <w:t>, resulting in an economic burden and reducing the quality of life of the patients</w:t>
      </w:r>
      <w:r w:rsidRPr="000E3BD6">
        <w:rPr>
          <w:rFonts w:ascii="Book Antiqua" w:hAnsi="Book Antiqua" w:cs="Times New Roman"/>
          <w:noProof/>
          <w:sz w:val="24"/>
          <w:szCs w:val="24"/>
          <w:vertAlign w:val="superscript"/>
        </w:rPr>
        <w:t>[5]</w:t>
      </w:r>
      <w:r w:rsidRPr="000E3BD6">
        <w:rPr>
          <w:rFonts w:ascii="Book Antiqua" w:hAnsi="Book Antiqua" w:cs="Times New Roman"/>
          <w:sz w:val="24"/>
          <w:szCs w:val="24"/>
        </w:rPr>
        <w:t>. Recently, transplantation of mesenchymal stem cells (MSCs) has emerged as one of the most promising therapeutic strategies for IVD degeneration</w:t>
      </w:r>
      <w:r w:rsidR="00471703" w:rsidRPr="000E3BD6">
        <w:rPr>
          <w:rFonts w:ascii="Book Antiqua" w:hAnsi="Book Antiqua" w:cs="Times New Roman"/>
          <w:noProof/>
          <w:sz w:val="24"/>
          <w:szCs w:val="24"/>
          <w:vertAlign w:val="superscript"/>
        </w:rPr>
        <w:t>[6,</w:t>
      </w:r>
      <w:r w:rsidRPr="000E3BD6">
        <w:rPr>
          <w:rFonts w:ascii="Book Antiqua" w:hAnsi="Book Antiqua" w:cs="Times New Roman"/>
          <w:noProof/>
          <w:sz w:val="24"/>
          <w:szCs w:val="24"/>
          <w:vertAlign w:val="superscript"/>
        </w:rPr>
        <w:t>7]</w:t>
      </w:r>
      <w:r w:rsidRPr="000E3BD6">
        <w:rPr>
          <w:rFonts w:ascii="Book Antiqua" w:hAnsi="Book Antiqua" w:cs="Times New Roman"/>
          <w:sz w:val="24"/>
          <w:szCs w:val="24"/>
        </w:rPr>
        <w:t xml:space="preserve">. Evidence from several studies has indicated that the regenerative effects of transplanted MSCs depend on the potential for differentiation toward nucleus pulposus (NP)-like cells, and the immunomodulatory and immunosuppressive properties </w:t>
      </w:r>
      <w:r w:rsidRPr="000E3BD6">
        <w:rPr>
          <w:rFonts w:ascii="Book Antiqua" w:hAnsi="Book Antiqua" w:cs="Times New Roman"/>
          <w:i/>
          <w:sz w:val="24"/>
          <w:szCs w:val="24"/>
        </w:rPr>
        <w:t>via</w:t>
      </w:r>
      <w:r w:rsidRPr="000E3BD6">
        <w:rPr>
          <w:rFonts w:ascii="Book Antiqua" w:hAnsi="Book Antiqua" w:cs="Times New Roman"/>
          <w:sz w:val="24"/>
          <w:szCs w:val="24"/>
        </w:rPr>
        <w:t xml:space="preserve"> paracrine secretions</w:t>
      </w:r>
      <w:r w:rsidR="00471703" w:rsidRPr="000E3BD6">
        <w:rPr>
          <w:rFonts w:ascii="Book Antiqua" w:hAnsi="Book Antiqua" w:cs="Times New Roman"/>
          <w:noProof/>
          <w:sz w:val="24"/>
          <w:szCs w:val="24"/>
          <w:vertAlign w:val="superscript"/>
        </w:rPr>
        <w:t>[8,</w:t>
      </w:r>
      <w:r w:rsidRPr="000E3BD6">
        <w:rPr>
          <w:rFonts w:ascii="Book Antiqua" w:hAnsi="Book Antiqua" w:cs="Times New Roman"/>
          <w:noProof/>
          <w:sz w:val="24"/>
          <w:szCs w:val="24"/>
          <w:vertAlign w:val="superscript"/>
        </w:rPr>
        <w:t>9]</w:t>
      </w:r>
      <w:r w:rsidRPr="000E3BD6">
        <w:rPr>
          <w:rFonts w:ascii="Book Antiqua" w:hAnsi="Book Antiqua" w:cs="Times New Roman"/>
          <w:sz w:val="24"/>
          <w:szCs w:val="24"/>
        </w:rPr>
        <w:t>. In fact, the harsh IVD microenvironment negatively influences the survival and function of the transplanted MSCs, impairing their repair potential</w:t>
      </w:r>
      <w:r w:rsidR="00471703" w:rsidRPr="000E3BD6">
        <w:rPr>
          <w:rFonts w:ascii="Book Antiqua" w:hAnsi="Book Antiqua" w:cs="Times New Roman"/>
          <w:noProof/>
          <w:sz w:val="24"/>
          <w:szCs w:val="24"/>
          <w:vertAlign w:val="superscript"/>
        </w:rPr>
        <w:t>[10,</w:t>
      </w:r>
      <w:r w:rsidRPr="000E3BD6">
        <w:rPr>
          <w:rFonts w:ascii="Book Antiqua" w:hAnsi="Book Antiqua" w:cs="Times New Roman"/>
          <w:noProof/>
          <w:sz w:val="24"/>
          <w:szCs w:val="24"/>
          <w:vertAlign w:val="superscript"/>
        </w:rPr>
        <w:t>11]</w:t>
      </w:r>
      <w:r w:rsidRPr="000E3BD6">
        <w:rPr>
          <w:rFonts w:ascii="Book Antiqua" w:hAnsi="Book Antiqua" w:cs="Times New Roman"/>
          <w:sz w:val="24"/>
          <w:szCs w:val="24"/>
        </w:rPr>
        <w:t>. Moreover, the limited cell source, cell leakage, and osteophyte formation represent major obstacles to clinical applications of MSCs for IVD regeneration</w:t>
      </w:r>
      <w:r w:rsidRPr="000E3BD6">
        <w:rPr>
          <w:rFonts w:ascii="Book Antiqua" w:hAnsi="Book Antiqua" w:cs="Times New Roman"/>
          <w:noProof/>
          <w:sz w:val="24"/>
          <w:szCs w:val="24"/>
          <w:vertAlign w:val="superscript"/>
        </w:rPr>
        <w:t>[12-14]</w:t>
      </w:r>
      <w:r w:rsidRPr="000E3BD6">
        <w:rPr>
          <w:rFonts w:ascii="Book Antiqua" w:hAnsi="Book Antiqua" w:cs="Times New Roman"/>
          <w:sz w:val="24"/>
          <w:szCs w:val="24"/>
        </w:rPr>
        <w:t xml:space="preserve">. </w:t>
      </w:r>
    </w:p>
    <w:p w14:paraId="6049FC70" w14:textId="11ABD1E4" w:rsidR="006B0A36" w:rsidRPr="000E3BD6" w:rsidRDefault="006B0A36" w:rsidP="00471703">
      <w:pPr>
        <w:autoSpaceDE w:val="0"/>
        <w:autoSpaceDN w:val="0"/>
        <w:adjustRightInd w:val="0"/>
        <w:spacing w:after="0" w:line="360" w:lineRule="auto"/>
        <w:ind w:firstLineChars="100" w:firstLine="240"/>
        <w:contextualSpacing/>
        <w:jc w:val="both"/>
        <w:rPr>
          <w:rFonts w:ascii="Book Antiqua" w:hAnsi="Book Antiqua" w:cs="Arial"/>
          <w:sz w:val="24"/>
          <w:szCs w:val="24"/>
        </w:rPr>
      </w:pPr>
      <w:r w:rsidRPr="000E3BD6">
        <w:rPr>
          <w:rFonts w:ascii="Book Antiqua" w:hAnsi="Book Antiqua" w:cs="Times New Roman"/>
          <w:sz w:val="24"/>
          <w:szCs w:val="24"/>
        </w:rPr>
        <w:t>The release of cytokines and chemokines in response to cell or tissue damage has been shown to be involved in regulation of mobilization, trafficking, and homing of stem/progenitor cells, with the potential to facilitate tissue repair</w:t>
      </w:r>
      <w:r w:rsidRPr="000E3BD6">
        <w:rPr>
          <w:rFonts w:ascii="Book Antiqua" w:hAnsi="Book Antiqua" w:cs="Times New Roman"/>
          <w:noProof/>
          <w:sz w:val="24"/>
          <w:szCs w:val="24"/>
          <w:vertAlign w:val="superscript"/>
        </w:rPr>
        <w:t>[15]</w:t>
      </w:r>
      <w:r w:rsidRPr="000E3BD6">
        <w:rPr>
          <w:rFonts w:ascii="Book Antiqua" w:hAnsi="Book Antiqua" w:cs="Times New Roman"/>
          <w:sz w:val="24"/>
          <w:szCs w:val="24"/>
        </w:rPr>
        <w:t>.</w:t>
      </w:r>
      <w:r w:rsidRPr="000E3BD6">
        <w:rPr>
          <w:rFonts w:ascii="Book Antiqua" w:hAnsi="Book Antiqua" w:cs="Arial"/>
          <w:sz w:val="24"/>
          <w:szCs w:val="24"/>
        </w:rPr>
        <w:t xml:space="preserve"> </w:t>
      </w:r>
      <w:bookmarkStart w:id="6" w:name="OLE_LINK34"/>
      <w:bookmarkStart w:id="7" w:name="OLE_LINK35"/>
      <w:r w:rsidRPr="000E3BD6">
        <w:rPr>
          <w:rFonts w:ascii="Book Antiqua" w:hAnsi="Book Antiqua" w:cs="Times New Roman"/>
          <w:sz w:val="24"/>
          <w:szCs w:val="24"/>
        </w:rPr>
        <w:t xml:space="preserve">Stromal cell-derived factor-1α </w:t>
      </w:r>
      <w:bookmarkEnd w:id="6"/>
      <w:bookmarkEnd w:id="7"/>
      <w:r w:rsidRPr="000E3BD6">
        <w:rPr>
          <w:rFonts w:ascii="Book Antiqua" w:hAnsi="Book Antiqua" w:cs="Times New Roman"/>
          <w:sz w:val="24"/>
          <w:szCs w:val="24"/>
        </w:rPr>
        <w:t xml:space="preserve">(SDF-1α, also known as C-X-C motif chemokine 12, CXCL12) is a potent chemoattractant cytokine, with a key role in the recruitment, proliferation, and differentiation of stem/progenitor cells through binding to its G-protein coupled transmembrane receptor, </w:t>
      </w:r>
      <w:bookmarkStart w:id="8" w:name="OLE_LINK36"/>
      <w:r w:rsidRPr="000E3BD6">
        <w:rPr>
          <w:rFonts w:ascii="Book Antiqua" w:hAnsi="Book Antiqua" w:cs="Times New Roman"/>
          <w:sz w:val="24"/>
          <w:szCs w:val="24"/>
        </w:rPr>
        <w:t xml:space="preserve">C-X-C chemokine receptor type 4 </w:t>
      </w:r>
      <w:bookmarkEnd w:id="8"/>
      <w:r w:rsidRPr="000E3BD6">
        <w:rPr>
          <w:rFonts w:ascii="Book Antiqua" w:hAnsi="Book Antiqua" w:cs="Times New Roman"/>
          <w:sz w:val="24"/>
          <w:szCs w:val="24"/>
        </w:rPr>
        <w:t>(CXCR4)</w:t>
      </w:r>
      <w:r w:rsidR="00471703" w:rsidRPr="000E3BD6">
        <w:rPr>
          <w:rFonts w:ascii="Book Antiqua" w:hAnsi="Book Antiqua" w:cs="Times New Roman"/>
          <w:noProof/>
          <w:sz w:val="24"/>
          <w:szCs w:val="24"/>
          <w:vertAlign w:val="superscript"/>
        </w:rPr>
        <w:t>[16,</w:t>
      </w:r>
      <w:r w:rsidRPr="000E3BD6">
        <w:rPr>
          <w:rFonts w:ascii="Book Antiqua" w:hAnsi="Book Antiqua" w:cs="Times New Roman"/>
          <w:noProof/>
          <w:sz w:val="24"/>
          <w:szCs w:val="24"/>
          <w:vertAlign w:val="superscript"/>
        </w:rPr>
        <w:t>17]</w:t>
      </w:r>
      <w:r w:rsidRPr="000E3BD6">
        <w:rPr>
          <w:rFonts w:ascii="Book Antiqua" w:hAnsi="Book Antiqua" w:cs="Times New Roman"/>
          <w:sz w:val="24"/>
          <w:szCs w:val="24"/>
        </w:rPr>
        <w:t>. It also has been reported that SDF-1α and its receptor CXCR4 are upregulated in the process of IVD degeneration</w:t>
      </w:r>
      <w:r w:rsidR="00471703" w:rsidRPr="000E3BD6">
        <w:rPr>
          <w:rFonts w:ascii="Book Antiqua" w:hAnsi="Book Antiqua" w:cs="Times New Roman"/>
          <w:noProof/>
          <w:sz w:val="24"/>
          <w:szCs w:val="24"/>
          <w:vertAlign w:val="superscript"/>
        </w:rPr>
        <w:t>[18,</w:t>
      </w:r>
      <w:r w:rsidRPr="000E3BD6">
        <w:rPr>
          <w:rFonts w:ascii="Book Antiqua" w:hAnsi="Book Antiqua" w:cs="Times New Roman"/>
          <w:noProof/>
          <w:sz w:val="24"/>
          <w:szCs w:val="24"/>
          <w:vertAlign w:val="superscript"/>
        </w:rPr>
        <w:t>19]</w:t>
      </w:r>
      <w:r w:rsidRPr="000E3BD6">
        <w:rPr>
          <w:rFonts w:ascii="Book Antiqua" w:hAnsi="Book Antiqua" w:cs="Times New Roman"/>
          <w:sz w:val="24"/>
          <w:szCs w:val="24"/>
        </w:rPr>
        <w:t>.</w:t>
      </w:r>
      <w:r w:rsidRPr="000E3BD6">
        <w:rPr>
          <w:rFonts w:ascii="Book Antiqua" w:hAnsi="Book Antiqua" w:cs="Times New Roman"/>
          <w:bCs/>
          <w:sz w:val="24"/>
          <w:szCs w:val="24"/>
        </w:rPr>
        <w:t xml:space="preserve"> </w:t>
      </w:r>
      <w:r w:rsidRPr="000E3BD6">
        <w:rPr>
          <w:rFonts w:ascii="Book Antiqua" w:hAnsi="Book Antiqua" w:cs="Times New Roman"/>
          <w:sz w:val="24"/>
          <w:szCs w:val="24"/>
        </w:rPr>
        <w:t xml:space="preserve">Increased levels of SDF-1α in certain pathological situations can attract endogenous MSCs into the injured site, contributing to tissue repair </w:t>
      </w:r>
      <w:r w:rsidRPr="000E3BD6">
        <w:rPr>
          <w:rFonts w:ascii="Book Antiqua" w:hAnsi="Book Antiqua" w:cs="Times New Roman"/>
          <w:i/>
          <w:sz w:val="24"/>
          <w:szCs w:val="24"/>
        </w:rPr>
        <w:t>in situ</w:t>
      </w:r>
      <w:r w:rsidRPr="000E3BD6">
        <w:rPr>
          <w:rFonts w:ascii="Book Antiqua" w:hAnsi="Book Antiqua" w:cs="Times New Roman"/>
          <w:noProof/>
          <w:sz w:val="24"/>
          <w:szCs w:val="24"/>
          <w:vertAlign w:val="superscript"/>
        </w:rPr>
        <w:t>[20]</w:t>
      </w:r>
      <w:r w:rsidRPr="000E3BD6">
        <w:rPr>
          <w:rFonts w:ascii="Book Antiqua" w:hAnsi="Book Antiqua" w:cs="Times New Roman"/>
          <w:sz w:val="24"/>
          <w:szCs w:val="24"/>
        </w:rPr>
        <w:t>.</w:t>
      </w:r>
      <w:r w:rsidRPr="000E3BD6">
        <w:rPr>
          <w:rFonts w:ascii="Book Antiqua" w:hAnsi="Book Antiqua" w:cs="Times New Roman"/>
          <w:bCs/>
          <w:sz w:val="24"/>
          <w:szCs w:val="24"/>
        </w:rPr>
        <w:t xml:space="preserve"> </w:t>
      </w:r>
      <w:r w:rsidRPr="000E3BD6">
        <w:rPr>
          <w:rFonts w:ascii="Book Antiqua" w:hAnsi="Book Antiqua" w:cs="Times New Roman"/>
          <w:sz w:val="24"/>
          <w:szCs w:val="24"/>
        </w:rPr>
        <w:t xml:space="preserve">The hyaluronan-based delivery of SDF-1α has been proved to significantly boost the recruitment of MSCs into the degenerative IVD in organ culture </w:t>
      </w:r>
      <w:r w:rsidRPr="000E3BD6">
        <w:rPr>
          <w:rFonts w:ascii="Book Antiqua" w:hAnsi="Book Antiqua" w:cs="Times New Roman"/>
          <w:i/>
          <w:sz w:val="24"/>
          <w:szCs w:val="24"/>
        </w:rPr>
        <w:t>ex vivo</w:t>
      </w:r>
      <w:r w:rsidRPr="000E3BD6">
        <w:rPr>
          <w:rFonts w:ascii="Book Antiqua" w:hAnsi="Book Antiqua" w:cs="Times New Roman"/>
          <w:noProof/>
          <w:sz w:val="24"/>
          <w:szCs w:val="24"/>
          <w:vertAlign w:val="superscript"/>
        </w:rPr>
        <w:t>[21]</w:t>
      </w:r>
      <w:r w:rsidRPr="000E3BD6">
        <w:rPr>
          <w:rFonts w:ascii="Book Antiqua" w:hAnsi="Book Antiqua" w:cs="Times New Roman"/>
          <w:sz w:val="24"/>
          <w:szCs w:val="24"/>
        </w:rPr>
        <w:t xml:space="preserve">. Sakai </w:t>
      </w:r>
      <w:r w:rsidR="00471703" w:rsidRPr="000E3BD6">
        <w:rPr>
          <w:rFonts w:ascii="Book Antiqua" w:hAnsi="Book Antiqua" w:cs="Times New Roman"/>
          <w:i/>
          <w:sz w:val="24"/>
          <w:szCs w:val="24"/>
        </w:rPr>
        <w:t>et al</w:t>
      </w:r>
      <w:r w:rsidRPr="000E3BD6">
        <w:rPr>
          <w:rFonts w:ascii="Book Antiqua" w:hAnsi="Book Antiqua" w:cs="Times New Roman"/>
          <w:noProof/>
          <w:sz w:val="24"/>
          <w:szCs w:val="24"/>
          <w:vertAlign w:val="superscript"/>
        </w:rPr>
        <w:t>[22]</w:t>
      </w:r>
      <w:r w:rsidRPr="000E3BD6">
        <w:rPr>
          <w:rFonts w:ascii="Book Antiqua" w:hAnsi="Book Antiqua" w:cs="Times New Roman"/>
          <w:sz w:val="24"/>
          <w:szCs w:val="24"/>
        </w:rPr>
        <w:t xml:space="preserve"> provided evidence of elevated recruitment of labeled MSCs into the degenerative IVD </w:t>
      </w:r>
      <w:r w:rsidRPr="000E3BD6">
        <w:rPr>
          <w:rFonts w:ascii="Book Antiqua" w:hAnsi="Book Antiqua" w:cs="Times New Roman"/>
          <w:i/>
          <w:sz w:val="24"/>
          <w:szCs w:val="24"/>
        </w:rPr>
        <w:t>in vivo</w:t>
      </w:r>
      <w:r w:rsidRPr="000E3BD6">
        <w:rPr>
          <w:rFonts w:ascii="Book Antiqua" w:hAnsi="Book Antiqua" w:cs="Times New Roman"/>
          <w:sz w:val="24"/>
          <w:szCs w:val="24"/>
        </w:rPr>
        <w:t xml:space="preserve"> using a mouse loop-disc degeneration model. It has also been shown that SDF-1α is capable of inducing osteogenic or chondrogenic differentiation of MSCs</w:t>
      </w:r>
      <w:r w:rsidRPr="000E3BD6">
        <w:rPr>
          <w:rFonts w:ascii="Book Antiqua" w:hAnsi="Book Antiqua" w:cs="Times New Roman"/>
          <w:noProof/>
          <w:sz w:val="24"/>
          <w:szCs w:val="24"/>
          <w:vertAlign w:val="superscript"/>
        </w:rPr>
        <w:t>[23-26]</w:t>
      </w:r>
      <w:r w:rsidRPr="000E3BD6">
        <w:rPr>
          <w:rFonts w:ascii="Book Antiqua" w:hAnsi="Book Antiqua" w:cs="Times New Roman"/>
          <w:sz w:val="24"/>
          <w:szCs w:val="24"/>
        </w:rPr>
        <w:t xml:space="preserve">. Therefore, </w:t>
      </w:r>
      <w:r w:rsidRPr="000E3BD6">
        <w:rPr>
          <w:rFonts w:ascii="Book Antiqua" w:hAnsi="Book Antiqua" w:cs="Times New Roman"/>
          <w:sz w:val="24"/>
          <w:szCs w:val="24"/>
        </w:rPr>
        <w:lastRenderedPageBreak/>
        <w:t>in addition to migration, SDF-1/CXCR4 signaling might increase differentiation of endogenous progenitor/stem cells.</w:t>
      </w:r>
    </w:p>
    <w:p w14:paraId="116639D8" w14:textId="1258F1DE" w:rsidR="006B0A36" w:rsidRPr="000E3BD6" w:rsidRDefault="006B0A36" w:rsidP="00471703">
      <w:pPr>
        <w:autoSpaceDE w:val="0"/>
        <w:autoSpaceDN w:val="0"/>
        <w:adjustRightInd w:val="0"/>
        <w:spacing w:after="0" w:line="360" w:lineRule="auto"/>
        <w:ind w:firstLineChars="100" w:firstLine="240"/>
        <w:contextualSpacing/>
        <w:jc w:val="both"/>
        <w:rPr>
          <w:rFonts w:ascii="Book Antiqua" w:hAnsi="Book Antiqua" w:cs="Times New Roman"/>
          <w:sz w:val="24"/>
          <w:szCs w:val="24"/>
        </w:rPr>
      </w:pPr>
      <w:r w:rsidRPr="000E3BD6">
        <w:rPr>
          <w:rFonts w:ascii="Book Antiqua" w:hAnsi="Book Antiqua" w:cs="Times New Roman"/>
          <w:sz w:val="24"/>
          <w:szCs w:val="24"/>
        </w:rPr>
        <w:t>Although cell homing from an outer pool of progenitor cells may potentiate new therapeutic approaches, recruitment of circulating MSCs to the central IVD for regeneration purposes appears challenging owing to its avascular nature. Accumulating evidence indicates that progenitor/stem cells, which are present in different regions of the healthy and degenerative IVD and have the capacity for multilineage differentiation, have regenerative potential for tissue regeneration</w:t>
      </w:r>
      <w:r w:rsidRPr="000E3BD6">
        <w:rPr>
          <w:rFonts w:ascii="Book Antiqua" w:hAnsi="Book Antiqua" w:cs="Times New Roman"/>
          <w:noProof/>
          <w:sz w:val="24"/>
          <w:szCs w:val="24"/>
          <w:vertAlign w:val="superscript"/>
        </w:rPr>
        <w:t>[27-29]</w:t>
      </w:r>
      <w:r w:rsidRPr="000E3BD6">
        <w:rPr>
          <w:rFonts w:ascii="Book Antiqua" w:hAnsi="Book Antiqua" w:cs="Times New Roman"/>
          <w:sz w:val="24"/>
          <w:szCs w:val="24"/>
        </w:rPr>
        <w:t xml:space="preserve">. Therefore, activation and mobilization of these endogenous progenitor cell populations within </w:t>
      </w:r>
      <w:r w:rsidR="002E1333">
        <w:rPr>
          <w:rFonts w:ascii="Book Antiqua" w:hAnsi="Book Antiqua" w:cs="Times New Roman"/>
          <w:sz w:val="24"/>
          <w:szCs w:val="24"/>
        </w:rPr>
        <w:t xml:space="preserve">the </w:t>
      </w:r>
      <w:r w:rsidRPr="000E3BD6">
        <w:rPr>
          <w:rFonts w:ascii="Book Antiqua" w:hAnsi="Book Antiqua" w:cs="Times New Roman"/>
          <w:sz w:val="24"/>
          <w:szCs w:val="24"/>
        </w:rPr>
        <w:t xml:space="preserve">IVD represent an attractive target for future regenerative strategies for IVD degeneration </w:t>
      </w:r>
      <w:r w:rsidRPr="000E3BD6">
        <w:rPr>
          <w:rFonts w:ascii="Book Antiqua" w:hAnsi="Book Antiqua" w:cs="Times New Roman"/>
          <w:i/>
          <w:sz w:val="24"/>
          <w:szCs w:val="24"/>
        </w:rPr>
        <w:t>in situ</w:t>
      </w:r>
      <w:r w:rsidRPr="000E3BD6">
        <w:rPr>
          <w:rFonts w:ascii="Book Antiqua" w:hAnsi="Book Antiqua" w:cs="Times New Roman"/>
          <w:noProof/>
          <w:sz w:val="24"/>
          <w:szCs w:val="24"/>
          <w:vertAlign w:val="superscript"/>
        </w:rPr>
        <w:t>[11]</w:t>
      </w:r>
      <w:r w:rsidRPr="000E3BD6">
        <w:rPr>
          <w:rFonts w:ascii="Book Antiqua" w:hAnsi="Book Antiqua" w:cs="Times New Roman"/>
          <w:sz w:val="24"/>
          <w:szCs w:val="24"/>
        </w:rPr>
        <w:t xml:space="preserve">. </w:t>
      </w:r>
    </w:p>
    <w:p w14:paraId="19C5CF30" w14:textId="77777777" w:rsidR="006B0A36" w:rsidRPr="000E3BD6" w:rsidRDefault="006B0A36" w:rsidP="00471703">
      <w:pPr>
        <w:autoSpaceDE w:val="0"/>
        <w:autoSpaceDN w:val="0"/>
        <w:adjustRightInd w:val="0"/>
        <w:spacing w:after="0" w:line="360" w:lineRule="auto"/>
        <w:ind w:firstLineChars="100" w:firstLine="240"/>
        <w:contextualSpacing/>
        <w:jc w:val="both"/>
        <w:rPr>
          <w:rFonts w:ascii="Book Antiqua" w:hAnsi="Book Antiqua" w:cs="Times New Roman"/>
          <w:sz w:val="24"/>
          <w:szCs w:val="24"/>
        </w:rPr>
      </w:pPr>
      <w:r w:rsidRPr="000E3BD6">
        <w:rPr>
          <w:rFonts w:ascii="Book Antiqua" w:hAnsi="Book Antiqua" w:cs="Times New Roman"/>
          <w:sz w:val="24"/>
          <w:szCs w:val="24"/>
        </w:rPr>
        <w:t xml:space="preserve">In the present study, we investigated whether upregulation of SDF-1α in the degenerative IVD could potentiate endogenous regeneration by regulating recruitment and differentiation of NP-derived stem cells (NPSCs) residing in the IVD stem niches. Thus, our study sheds light on the SDF-1/CXCR4 axis by which NPSCs are recruited into the injury sites of the degenerative IVD, enhancing the efficiency of stem cell-based therapies for IVD regeneration </w:t>
      </w:r>
      <w:r w:rsidRPr="000E3BD6">
        <w:rPr>
          <w:rFonts w:ascii="Book Antiqua" w:hAnsi="Book Antiqua" w:cs="Times New Roman"/>
          <w:i/>
          <w:sz w:val="24"/>
          <w:szCs w:val="24"/>
        </w:rPr>
        <w:t>in situ</w:t>
      </w:r>
      <w:r w:rsidRPr="000E3BD6">
        <w:rPr>
          <w:rFonts w:ascii="Book Antiqua" w:hAnsi="Book Antiqua" w:cs="Times New Roman"/>
          <w:sz w:val="24"/>
          <w:szCs w:val="24"/>
        </w:rPr>
        <w:t>.</w:t>
      </w:r>
    </w:p>
    <w:p w14:paraId="54AA355C" w14:textId="77777777" w:rsidR="006B0A36" w:rsidRPr="000E3BD6" w:rsidRDefault="006B0A36" w:rsidP="00F710B6">
      <w:pPr>
        <w:spacing w:after="0" w:line="360" w:lineRule="auto"/>
        <w:contextualSpacing/>
        <w:jc w:val="both"/>
        <w:rPr>
          <w:rFonts w:ascii="Book Antiqua" w:hAnsi="Book Antiqua" w:cs="Times New Roman"/>
          <w:sz w:val="24"/>
          <w:szCs w:val="24"/>
        </w:rPr>
      </w:pPr>
    </w:p>
    <w:p w14:paraId="20CDEADB"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r w:rsidRPr="000E3BD6">
        <w:rPr>
          <w:rFonts w:ascii="Book Antiqua" w:hAnsi="Book Antiqua" w:cs="Times New Roman"/>
          <w:b/>
          <w:sz w:val="24"/>
          <w:szCs w:val="24"/>
        </w:rPr>
        <w:t>MATERIALS AND METHODS</w:t>
      </w:r>
    </w:p>
    <w:p w14:paraId="16B7A4A2" w14:textId="77777777" w:rsidR="006B0A36" w:rsidRPr="000E3BD6" w:rsidRDefault="006B0A36" w:rsidP="00F710B6">
      <w:pPr>
        <w:adjustRightInd w:val="0"/>
        <w:snapToGrid w:val="0"/>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Animals and ethics statements</w:t>
      </w:r>
    </w:p>
    <w:p w14:paraId="1E33A2DC" w14:textId="1CBD662B" w:rsidR="006B0A36" w:rsidRPr="000E3BD6" w:rsidRDefault="006B0A36"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 xml:space="preserve">All experiments and surgical procedures were performed in accordance with </w:t>
      </w:r>
      <w:r w:rsidR="002E1333">
        <w:rPr>
          <w:rFonts w:ascii="Book Antiqua" w:hAnsi="Book Antiqua" w:cs="Times New Roman"/>
          <w:sz w:val="24"/>
          <w:szCs w:val="24"/>
        </w:rPr>
        <w:t xml:space="preserve">the </w:t>
      </w:r>
      <w:r w:rsidRPr="000E3BD6">
        <w:rPr>
          <w:rFonts w:ascii="Book Antiqua" w:hAnsi="Book Antiqua" w:cs="Times New Roman"/>
          <w:sz w:val="24"/>
          <w:szCs w:val="24"/>
        </w:rPr>
        <w:t xml:space="preserve">Southern Medical University guidelines and approved by </w:t>
      </w:r>
      <w:r w:rsidR="002E1333">
        <w:rPr>
          <w:rFonts w:ascii="Book Antiqua" w:hAnsi="Book Antiqua" w:cs="Times New Roman"/>
          <w:sz w:val="24"/>
          <w:szCs w:val="24"/>
        </w:rPr>
        <w:t xml:space="preserve">the </w:t>
      </w:r>
      <w:r w:rsidRPr="000E3BD6">
        <w:rPr>
          <w:rFonts w:ascii="Book Antiqua" w:hAnsi="Book Antiqua" w:cs="Times New Roman"/>
          <w:sz w:val="24"/>
          <w:szCs w:val="24"/>
        </w:rPr>
        <w:t xml:space="preserve">Laboratory Animal Ethics Committee of PLA Navy General Hospital. Surgical procedures were performed on ten adult male </w:t>
      </w:r>
      <w:bookmarkStart w:id="9" w:name="_Hlk523426809"/>
      <w:r w:rsidRPr="000E3BD6">
        <w:rPr>
          <w:rFonts w:ascii="Book Antiqua" w:hAnsi="Book Antiqua" w:cs="Times New Roman"/>
          <w:sz w:val="24"/>
          <w:szCs w:val="24"/>
        </w:rPr>
        <w:t xml:space="preserve">Sprague-Dawley (SD) </w:t>
      </w:r>
      <w:bookmarkEnd w:id="9"/>
      <w:r w:rsidRPr="000E3BD6">
        <w:rPr>
          <w:rFonts w:ascii="Book Antiqua" w:hAnsi="Book Antiqua" w:cs="Times New Roman"/>
          <w:sz w:val="24"/>
          <w:szCs w:val="24"/>
        </w:rPr>
        <w:t>rats (3</w:t>
      </w:r>
      <w:r w:rsidR="002E1333">
        <w:rPr>
          <w:rFonts w:ascii="Book Antiqua" w:hAnsi="Book Antiqua" w:cs="Times New Roman"/>
          <w:sz w:val="24"/>
          <w:szCs w:val="24"/>
        </w:rPr>
        <w:t xml:space="preserve"> </w:t>
      </w:r>
      <w:r w:rsidRPr="000E3BD6">
        <w:rPr>
          <w:rFonts w:ascii="Book Antiqua" w:hAnsi="Book Antiqua" w:cs="Times New Roman"/>
          <w:sz w:val="24"/>
          <w:szCs w:val="24"/>
        </w:rPr>
        <w:t>mo</w:t>
      </w:r>
      <w:r w:rsidR="002E1333">
        <w:rPr>
          <w:rFonts w:ascii="Book Antiqua" w:hAnsi="Book Antiqua" w:cs="Times New Roman"/>
          <w:sz w:val="24"/>
          <w:szCs w:val="24"/>
        </w:rPr>
        <w:t xml:space="preserve"> old</w:t>
      </w:r>
      <w:r w:rsidRPr="000E3BD6">
        <w:rPr>
          <w:rFonts w:ascii="Book Antiqua" w:hAnsi="Book Antiqua" w:cs="Times New Roman"/>
          <w:sz w:val="24"/>
          <w:szCs w:val="24"/>
        </w:rPr>
        <w:t xml:space="preserve">, </w:t>
      </w:r>
      <w:r w:rsidR="002E1333">
        <w:rPr>
          <w:rFonts w:ascii="Book Antiqua" w:hAnsi="Book Antiqua" w:cs="Times New Roman"/>
          <w:sz w:val="24"/>
          <w:szCs w:val="24"/>
        </w:rPr>
        <w:t xml:space="preserve">weighing </w:t>
      </w:r>
      <w:r w:rsidRPr="000E3BD6">
        <w:rPr>
          <w:rFonts w:ascii="Book Antiqua" w:hAnsi="Book Antiqua" w:cs="Times New Roman"/>
          <w:sz w:val="24"/>
          <w:szCs w:val="24"/>
        </w:rPr>
        <w:t>200-250 g). All rats were housed in a stable animal care room with</w:t>
      </w:r>
      <w:r w:rsidR="002E1333">
        <w:rPr>
          <w:rFonts w:ascii="Book Antiqua" w:hAnsi="Book Antiqua" w:cs="Times New Roman"/>
          <w:sz w:val="24"/>
          <w:szCs w:val="24"/>
        </w:rPr>
        <w:t xml:space="preserve"> </w:t>
      </w:r>
      <w:r w:rsidRPr="000E3BD6">
        <w:rPr>
          <w:rFonts w:ascii="Book Antiqua" w:hAnsi="Book Antiqua" w:cs="Times New Roman"/>
          <w:sz w:val="24"/>
          <w:szCs w:val="24"/>
        </w:rPr>
        <w:t>suitable temperature and humidity</w:t>
      </w:r>
      <w:r w:rsidR="002E1333">
        <w:rPr>
          <w:rFonts w:ascii="Book Antiqua" w:hAnsi="Book Antiqua" w:cs="Times New Roman"/>
          <w:sz w:val="24"/>
          <w:szCs w:val="24"/>
        </w:rPr>
        <w:t xml:space="preserve"> and</w:t>
      </w:r>
      <w:r w:rsidR="002E1333" w:rsidRPr="000E3BD6">
        <w:rPr>
          <w:rFonts w:ascii="Book Antiqua" w:hAnsi="Book Antiqua" w:cs="Times New Roman"/>
          <w:sz w:val="24"/>
          <w:szCs w:val="24"/>
        </w:rPr>
        <w:t xml:space="preserve"> </w:t>
      </w:r>
      <w:r w:rsidRPr="000E3BD6">
        <w:rPr>
          <w:rFonts w:ascii="Book Antiqua" w:hAnsi="Book Antiqua" w:cs="Times New Roman"/>
          <w:sz w:val="24"/>
          <w:szCs w:val="24"/>
        </w:rPr>
        <w:t>a 12/12 h light/dark cycle</w:t>
      </w:r>
      <w:r w:rsidR="002E1333">
        <w:rPr>
          <w:rFonts w:ascii="Book Antiqua" w:hAnsi="Book Antiqua" w:cs="Times New Roman"/>
          <w:sz w:val="24"/>
          <w:szCs w:val="24"/>
        </w:rPr>
        <w:t>,</w:t>
      </w:r>
      <w:r w:rsidRPr="000E3BD6">
        <w:rPr>
          <w:rFonts w:ascii="Book Antiqua" w:hAnsi="Book Antiqua" w:cs="Times New Roman"/>
          <w:sz w:val="24"/>
          <w:szCs w:val="24"/>
        </w:rPr>
        <w:t xml:space="preserve"> and had free access to food and water throughout the experiment. </w:t>
      </w:r>
    </w:p>
    <w:p w14:paraId="3DFB9AC1"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sz w:val="24"/>
          <w:szCs w:val="24"/>
        </w:rPr>
      </w:pPr>
    </w:p>
    <w:p w14:paraId="786CA6DE" w14:textId="77777777" w:rsidR="006B0A36" w:rsidRPr="000E3BD6" w:rsidRDefault="006B0A36" w:rsidP="00F710B6">
      <w:pPr>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Isolation and culture of NP tissue-derived cells</w:t>
      </w:r>
    </w:p>
    <w:p w14:paraId="7B4A7ACC" w14:textId="29052E87" w:rsidR="006B0A36" w:rsidRPr="000E3BD6" w:rsidRDefault="006B0A36" w:rsidP="00F710B6">
      <w:pPr>
        <w:spacing w:after="0" w:line="360" w:lineRule="auto"/>
        <w:contextualSpacing/>
        <w:jc w:val="both"/>
        <w:rPr>
          <w:rFonts w:ascii="Book Antiqua" w:eastAsia="OfficinaSansStd-Book" w:hAnsi="Book Antiqua" w:cs="Times New Roman"/>
          <w:sz w:val="24"/>
          <w:szCs w:val="24"/>
        </w:rPr>
      </w:pPr>
      <w:r w:rsidRPr="000E3BD6">
        <w:rPr>
          <w:rFonts w:ascii="Book Antiqua" w:hAnsi="Book Antiqua" w:cs="Times New Roman"/>
          <w:sz w:val="24"/>
          <w:szCs w:val="24"/>
        </w:rPr>
        <w:t>The rats were euthanized by an intraperitoneal overdose injection of 10% chloral hydrate (Sigma Aldrich, St. Louis, MO, U</w:t>
      </w:r>
      <w:r w:rsidR="00843784" w:rsidRPr="000E3BD6">
        <w:rPr>
          <w:rFonts w:ascii="Book Antiqua" w:hAnsi="Book Antiqua" w:cs="Times New Roman" w:hint="eastAsia"/>
          <w:sz w:val="24"/>
          <w:szCs w:val="24"/>
        </w:rPr>
        <w:t xml:space="preserve">nited </w:t>
      </w:r>
      <w:r w:rsidRPr="000E3BD6">
        <w:rPr>
          <w:rFonts w:ascii="Book Antiqua" w:hAnsi="Book Antiqua" w:cs="Times New Roman"/>
          <w:sz w:val="24"/>
          <w:szCs w:val="24"/>
        </w:rPr>
        <w:t>S</w:t>
      </w:r>
      <w:r w:rsidR="00843784" w:rsidRPr="000E3BD6">
        <w:rPr>
          <w:rFonts w:ascii="Book Antiqua" w:hAnsi="Book Antiqua" w:cs="Times New Roman" w:hint="eastAsia"/>
          <w:sz w:val="24"/>
          <w:szCs w:val="24"/>
        </w:rPr>
        <w:t>tates</w:t>
      </w:r>
      <w:r w:rsidRPr="000E3BD6">
        <w:rPr>
          <w:rFonts w:ascii="Book Antiqua" w:hAnsi="Book Antiqua" w:cs="Times New Roman"/>
          <w:sz w:val="24"/>
          <w:szCs w:val="24"/>
        </w:rPr>
        <w:t xml:space="preserve">), </w:t>
      </w:r>
      <w:r w:rsidR="002E1333">
        <w:rPr>
          <w:rFonts w:ascii="Book Antiqua" w:hAnsi="Book Antiqua" w:cs="Times New Roman"/>
          <w:sz w:val="24"/>
          <w:szCs w:val="24"/>
        </w:rPr>
        <w:t xml:space="preserve">and </w:t>
      </w:r>
      <w:r w:rsidRPr="000E3BD6">
        <w:rPr>
          <w:rFonts w:ascii="Book Antiqua" w:hAnsi="Book Antiqua" w:cs="Times New Roman"/>
          <w:sz w:val="24"/>
          <w:szCs w:val="24"/>
        </w:rPr>
        <w:t xml:space="preserve">the gelatinous NP tissue was gently </w:t>
      </w:r>
      <w:r w:rsidRPr="000E3BD6">
        <w:rPr>
          <w:rFonts w:ascii="Book Antiqua" w:hAnsi="Book Antiqua" w:cs="Times New Roman"/>
          <w:sz w:val="24"/>
          <w:szCs w:val="24"/>
        </w:rPr>
        <w:lastRenderedPageBreak/>
        <w:t xml:space="preserve">separated from surrounding tissues under </w:t>
      </w:r>
      <w:r w:rsidR="002E1333">
        <w:rPr>
          <w:rFonts w:ascii="Book Antiqua" w:hAnsi="Book Antiqua" w:cs="Times New Roman"/>
          <w:sz w:val="24"/>
          <w:szCs w:val="24"/>
        </w:rPr>
        <w:t xml:space="preserve">a </w:t>
      </w:r>
      <w:r w:rsidRPr="000E3BD6">
        <w:rPr>
          <w:rFonts w:ascii="Book Antiqua" w:hAnsi="Book Antiqua" w:cs="Times New Roman"/>
          <w:sz w:val="24"/>
          <w:szCs w:val="24"/>
        </w:rPr>
        <w:t>stereoscopic microscope in sterile condition</w:t>
      </w:r>
      <w:r w:rsidR="002E1333">
        <w:rPr>
          <w:rFonts w:ascii="Book Antiqua" w:hAnsi="Book Antiqua" w:cs="Times New Roman"/>
          <w:sz w:val="24"/>
          <w:szCs w:val="24"/>
        </w:rPr>
        <w:t>s</w:t>
      </w:r>
      <w:r w:rsidRPr="000E3BD6">
        <w:rPr>
          <w:rFonts w:ascii="Book Antiqua" w:hAnsi="Book Antiqua" w:cs="Times New Roman"/>
          <w:sz w:val="24"/>
          <w:szCs w:val="24"/>
        </w:rPr>
        <w:t xml:space="preserve">. After rinsing in </w:t>
      </w:r>
      <w:bookmarkStart w:id="10" w:name="_Hlk523426854"/>
      <w:r w:rsidRPr="000E3BD6">
        <w:rPr>
          <w:rFonts w:ascii="Book Antiqua" w:hAnsi="Book Antiqua" w:cs="Times New Roman"/>
          <w:sz w:val="24"/>
          <w:szCs w:val="24"/>
        </w:rPr>
        <w:t xml:space="preserve">phosphate-buffered saline (PBS) </w:t>
      </w:r>
      <w:bookmarkEnd w:id="10"/>
      <w:r w:rsidRPr="000E3BD6">
        <w:rPr>
          <w:rFonts w:ascii="Book Antiqua" w:hAnsi="Book Antiqua" w:cs="Times New Roman"/>
          <w:sz w:val="24"/>
          <w:szCs w:val="24"/>
        </w:rPr>
        <w:t xml:space="preserve">containing 200 units/mL </w:t>
      </w:r>
      <w:bookmarkStart w:id="11" w:name="_Hlk523426826"/>
      <w:r w:rsidRPr="000E3BD6">
        <w:rPr>
          <w:rFonts w:ascii="Book Antiqua" w:hAnsi="Book Antiqua" w:cs="Times New Roman"/>
          <w:sz w:val="24"/>
          <w:szCs w:val="24"/>
        </w:rPr>
        <w:t>penicillin and 200 µg/mL streptomycin (2% Pen/Strep</w:t>
      </w:r>
      <w:bookmarkEnd w:id="11"/>
      <w:r w:rsidRPr="000E3BD6">
        <w:rPr>
          <w:rFonts w:ascii="Book Antiqua" w:hAnsi="Book Antiqua" w:cs="Times New Roman"/>
          <w:sz w:val="24"/>
          <w:szCs w:val="24"/>
        </w:rPr>
        <w:t>; Solarbio, Beijing, China) three times, the NP tissue was minced into 1 mm</w:t>
      </w:r>
      <w:r w:rsidRPr="000E3BD6">
        <w:rPr>
          <w:rFonts w:ascii="Book Antiqua" w:hAnsi="Book Antiqua" w:cs="Times New Roman"/>
          <w:sz w:val="24"/>
          <w:szCs w:val="24"/>
          <w:vertAlign w:val="superscript"/>
        </w:rPr>
        <w:t>3</w:t>
      </w:r>
      <w:r w:rsidRPr="000E3BD6">
        <w:rPr>
          <w:rFonts w:ascii="Book Antiqua" w:hAnsi="Book Antiqua" w:cs="Times New Roman"/>
          <w:sz w:val="24"/>
          <w:szCs w:val="24"/>
        </w:rPr>
        <w:t xml:space="preserve"> pieces and then digested</w:t>
      </w:r>
      <w:r w:rsidR="002E1333">
        <w:rPr>
          <w:rFonts w:ascii="Book Antiqua" w:hAnsi="Book Antiqua" w:cs="Times New Roman"/>
          <w:sz w:val="24"/>
          <w:szCs w:val="24"/>
        </w:rPr>
        <w:t xml:space="preserve"> with</w:t>
      </w:r>
      <w:r w:rsidRPr="000E3BD6">
        <w:rPr>
          <w:rFonts w:ascii="Book Antiqua" w:hAnsi="Book Antiqua" w:cs="Times New Roman"/>
          <w:sz w:val="24"/>
          <w:szCs w:val="24"/>
        </w:rPr>
        <w:t xml:space="preserve"> 0.2% collagenase</w:t>
      </w:r>
      <w:r w:rsidRPr="000E3BD6">
        <w:rPr>
          <w:rStyle w:val="fontstyle01"/>
          <w:rFonts w:ascii="Book Antiqua" w:hAnsi="Book Antiqua" w:cs="Times New Roman"/>
          <w:color w:val="auto"/>
          <w:sz w:val="24"/>
          <w:szCs w:val="24"/>
        </w:rPr>
        <w:t xml:space="preserve"> </w:t>
      </w:r>
      <w:r w:rsidRPr="000E3BD6">
        <w:rPr>
          <w:rFonts w:ascii="Book Antiqua" w:hAnsi="Book Antiqua" w:cs="Times New Roman"/>
          <w:sz w:val="24"/>
          <w:szCs w:val="24"/>
        </w:rPr>
        <w:t>type</w:t>
      </w:r>
      <w:r w:rsidRPr="000E3BD6">
        <w:rPr>
          <w:rFonts w:ascii="Book Antiqua" w:eastAsia="宋体" w:hAnsi="Book Antiqua" w:cs="Times New Roman"/>
          <w:sz w:val="24"/>
          <w:szCs w:val="24"/>
        </w:rPr>
        <w:t xml:space="preserve"> II </w:t>
      </w:r>
      <w:r w:rsidRPr="000E3BD6">
        <w:rPr>
          <w:rStyle w:val="fontstyle01"/>
          <w:rFonts w:ascii="Book Antiqua" w:hAnsi="Book Antiqua" w:cs="Times New Roman"/>
          <w:color w:val="auto"/>
          <w:sz w:val="24"/>
          <w:szCs w:val="24"/>
        </w:rPr>
        <w:t>(</w:t>
      </w:r>
      <w:r w:rsidRPr="000E3BD6">
        <w:rPr>
          <w:rFonts w:ascii="Book Antiqua" w:hAnsi="Book Antiqua" w:cs="Times New Roman"/>
          <w:sz w:val="24"/>
          <w:szCs w:val="24"/>
        </w:rPr>
        <w:t xml:space="preserve">Sigma Aldrich) for 4 h at 37 </w:t>
      </w:r>
      <w:r w:rsidRPr="000E3BD6">
        <w:rPr>
          <w:rFonts w:ascii="Book Antiqua" w:hAnsi="Book Antiqua" w:cs="Times New Roman"/>
          <w:sz w:val="24"/>
          <w:szCs w:val="24"/>
        </w:rPr>
        <w:sym w:font="Symbol" w:char="F0B0"/>
      </w:r>
      <w:r w:rsidRPr="000E3BD6">
        <w:rPr>
          <w:rFonts w:ascii="Book Antiqua" w:hAnsi="Book Antiqua" w:cs="Times New Roman"/>
          <w:sz w:val="24"/>
          <w:szCs w:val="24"/>
        </w:rPr>
        <w:t xml:space="preserve">C. The mixture was filtered through a 40 µm strainer and re-suspended in </w:t>
      </w:r>
      <w:bookmarkStart w:id="12" w:name="_Hlk523426872"/>
      <w:r w:rsidRPr="000E3BD6">
        <w:rPr>
          <w:rFonts w:ascii="Book Antiqua" w:hAnsi="Book Antiqua" w:cs="Times New Roman"/>
          <w:sz w:val="24"/>
          <w:szCs w:val="24"/>
        </w:rPr>
        <w:t>Low Glucose-Dulbecco's Modified Eagle Medium (LG-DMEM</w:t>
      </w:r>
      <w:bookmarkEnd w:id="12"/>
      <w:r w:rsidRPr="000E3BD6">
        <w:rPr>
          <w:rFonts w:ascii="Book Antiqua" w:hAnsi="Book Antiqua" w:cs="Times New Roman"/>
          <w:sz w:val="24"/>
          <w:szCs w:val="24"/>
        </w:rPr>
        <w:t xml:space="preserve">; Hyclone, Logan, Utah, </w:t>
      </w:r>
      <w:r w:rsidR="00843784" w:rsidRPr="000E3BD6">
        <w:rPr>
          <w:rFonts w:ascii="Book Antiqua" w:hAnsi="Book Antiqua" w:cs="Times New Roman"/>
          <w:sz w:val="24"/>
          <w:szCs w:val="24"/>
        </w:rPr>
        <w:t>U</w:t>
      </w:r>
      <w:r w:rsidR="00843784" w:rsidRPr="000E3BD6">
        <w:rPr>
          <w:rFonts w:ascii="Book Antiqua" w:hAnsi="Book Antiqua" w:cs="Times New Roman" w:hint="eastAsia"/>
          <w:sz w:val="24"/>
          <w:szCs w:val="24"/>
        </w:rPr>
        <w:t xml:space="preserve">nited </w:t>
      </w:r>
      <w:r w:rsidR="00843784" w:rsidRPr="000E3BD6">
        <w:rPr>
          <w:rFonts w:ascii="Book Antiqua" w:hAnsi="Book Antiqua" w:cs="Times New Roman"/>
          <w:sz w:val="24"/>
          <w:szCs w:val="24"/>
        </w:rPr>
        <w:t>S</w:t>
      </w:r>
      <w:r w:rsidR="00843784" w:rsidRPr="000E3BD6">
        <w:rPr>
          <w:rFonts w:ascii="Book Antiqua" w:hAnsi="Book Antiqua" w:cs="Times New Roman" w:hint="eastAsia"/>
          <w:sz w:val="24"/>
          <w:szCs w:val="24"/>
        </w:rPr>
        <w:t>tates</w:t>
      </w:r>
      <w:r w:rsidRPr="000E3BD6">
        <w:rPr>
          <w:rFonts w:ascii="Book Antiqua" w:hAnsi="Book Antiqua" w:cs="Times New Roman"/>
          <w:sz w:val="24"/>
          <w:szCs w:val="24"/>
        </w:rPr>
        <w:t xml:space="preserve">) supplemented with 10% </w:t>
      </w:r>
      <w:bookmarkStart w:id="13" w:name="_Hlk523426899"/>
      <w:r w:rsidRPr="000E3BD6">
        <w:rPr>
          <w:rFonts w:ascii="Book Antiqua" w:hAnsi="Book Antiqua" w:cs="Times New Roman"/>
          <w:sz w:val="24"/>
          <w:szCs w:val="24"/>
        </w:rPr>
        <w:t>fetal bovine serum (FBS</w:t>
      </w:r>
      <w:bookmarkEnd w:id="13"/>
      <w:r w:rsidRPr="000E3BD6">
        <w:rPr>
          <w:rFonts w:ascii="Book Antiqua" w:hAnsi="Book Antiqua" w:cs="Times New Roman"/>
          <w:sz w:val="24"/>
          <w:szCs w:val="24"/>
        </w:rPr>
        <w:t xml:space="preserve">; Gibco, Grand Island, NY, </w:t>
      </w:r>
      <w:r w:rsidR="00843784" w:rsidRPr="000E3BD6">
        <w:rPr>
          <w:rFonts w:ascii="Book Antiqua" w:hAnsi="Book Antiqua" w:cs="Times New Roman"/>
          <w:sz w:val="24"/>
          <w:szCs w:val="24"/>
        </w:rPr>
        <w:t>U</w:t>
      </w:r>
      <w:r w:rsidR="00843784" w:rsidRPr="000E3BD6">
        <w:rPr>
          <w:rFonts w:ascii="Book Antiqua" w:hAnsi="Book Antiqua" w:cs="Times New Roman" w:hint="eastAsia"/>
          <w:sz w:val="24"/>
          <w:szCs w:val="24"/>
        </w:rPr>
        <w:t xml:space="preserve">nited </w:t>
      </w:r>
      <w:r w:rsidR="00843784" w:rsidRPr="000E3BD6">
        <w:rPr>
          <w:rFonts w:ascii="Book Antiqua" w:hAnsi="Book Antiqua" w:cs="Times New Roman"/>
          <w:sz w:val="24"/>
          <w:szCs w:val="24"/>
        </w:rPr>
        <w:t>S</w:t>
      </w:r>
      <w:r w:rsidR="00843784" w:rsidRPr="000E3BD6">
        <w:rPr>
          <w:rFonts w:ascii="Book Antiqua" w:hAnsi="Book Antiqua" w:cs="Times New Roman" w:hint="eastAsia"/>
          <w:sz w:val="24"/>
          <w:szCs w:val="24"/>
        </w:rPr>
        <w:t>tates</w:t>
      </w:r>
      <w:r w:rsidRPr="000E3BD6">
        <w:rPr>
          <w:rFonts w:ascii="Book Antiqua" w:hAnsi="Book Antiqua" w:cs="Times New Roman"/>
          <w:sz w:val="24"/>
          <w:szCs w:val="24"/>
        </w:rPr>
        <w:t>) to inactivate collagenase. After centrifugation at 800 g for 5 min, the supernatant was removed and the remaining cells were re-suspended in LG-DMEM with 10% FBS and 1% Pen/Strep. Single-cell suspension was then seeded into 25-cm</w:t>
      </w:r>
      <w:r w:rsidRPr="000E3BD6">
        <w:rPr>
          <w:rFonts w:ascii="Book Antiqua" w:hAnsi="Book Antiqua" w:cs="Times New Roman"/>
          <w:sz w:val="24"/>
          <w:szCs w:val="24"/>
          <w:vertAlign w:val="superscript"/>
        </w:rPr>
        <w:t>2</w:t>
      </w:r>
      <w:r w:rsidRPr="000E3BD6">
        <w:rPr>
          <w:rFonts w:ascii="Book Antiqua" w:hAnsi="Book Antiqua" w:cs="Times New Roman"/>
          <w:sz w:val="24"/>
          <w:szCs w:val="24"/>
        </w:rPr>
        <w:t xml:space="preserve"> flasks (Costar, Cambridge, MA, </w:t>
      </w:r>
      <w:r w:rsidR="00843784" w:rsidRPr="000E3BD6">
        <w:rPr>
          <w:rFonts w:ascii="Book Antiqua" w:hAnsi="Book Antiqua" w:cs="Times New Roman"/>
          <w:sz w:val="24"/>
          <w:szCs w:val="24"/>
        </w:rPr>
        <w:t>U</w:t>
      </w:r>
      <w:r w:rsidR="00843784" w:rsidRPr="000E3BD6">
        <w:rPr>
          <w:rFonts w:ascii="Book Antiqua" w:hAnsi="Book Antiqua" w:cs="Times New Roman" w:hint="eastAsia"/>
          <w:sz w:val="24"/>
          <w:szCs w:val="24"/>
        </w:rPr>
        <w:t xml:space="preserve">nited </w:t>
      </w:r>
      <w:r w:rsidR="00843784" w:rsidRPr="000E3BD6">
        <w:rPr>
          <w:rFonts w:ascii="Book Antiqua" w:hAnsi="Book Antiqua" w:cs="Times New Roman"/>
          <w:sz w:val="24"/>
          <w:szCs w:val="24"/>
        </w:rPr>
        <w:t>S</w:t>
      </w:r>
      <w:r w:rsidR="00843784" w:rsidRPr="000E3BD6">
        <w:rPr>
          <w:rFonts w:ascii="Book Antiqua" w:hAnsi="Book Antiqua" w:cs="Times New Roman" w:hint="eastAsia"/>
          <w:sz w:val="24"/>
          <w:szCs w:val="24"/>
        </w:rPr>
        <w:t>tates</w:t>
      </w:r>
      <w:r w:rsidRPr="000E3BD6">
        <w:rPr>
          <w:rFonts w:ascii="Book Antiqua" w:hAnsi="Book Antiqua" w:cs="Times New Roman"/>
          <w:sz w:val="24"/>
          <w:szCs w:val="24"/>
        </w:rPr>
        <w:t xml:space="preserve">) and cultured at 37 </w:t>
      </w:r>
      <w:r w:rsidRPr="000E3BD6">
        <w:rPr>
          <w:rFonts w:ascii="Book Antiqua" w:hAnsi="Book Antiqua" w:cs="Times New Roman"/>
          <w:sz w:val="24"/>
          <w:szCs w:val="24"/>
        </w:rPr>
        <w:sym w:font="Symbol" w:char="F0B0"/>
      </w:r>
      <w:r w:rsidRPr="000E3BD6">
        <w:rPr>
          <w:rFonts w:ascii="Book Antiqua" w:hAnsi="Book Antiqua" w:cs="Times New Roman"/>
          <w:sz w:val="24"/>
          <w:szCs w:val="24"/>
        </w:rPr>
        <w:t>C and 5% CO</w:t>
      </w:r>
      <w:r w:rsidRPr="000E3BD6">
        <w:rPr>
          <w:rFonts w:ascii="Book Antiqua" w:hAnsi="Book Antiqua" w:cs="Times New Roman"/>
          <w:sz w:val="24"/>
          <w:szCs w:val="24"/>
          <w:vertAlign w:val="subscript"/>
        </w:rPr>
        <w:t>2</w:t>
      </w:r>
      <w:r w:rsidRPr="000E3BD6">
        <w:rPr>
          <w:rFonts w:ascii="Book Antiqua" w:hAnsi="Book Antiqua" w:cs="Times New Roman"/>
          <w:sz w:val="24"/>
          <w:szCs w:val="24"/>
        </w:rPr>
        <w:t xml:space="preserve"> in a humidified incubator (Thermo Fisher Scientific, Waltham, MA, </w:t>
      </w:r>
      <w:r w:rsidR="00843784" w:rsidRPr="000E3BD6">
        <w:rPr>
          <w:rFonts w:ascii="Book Antiqua" w:hAnsi="Book Antiqua" w:cs="Times New Roman"/>
          <w:sz w:val="24"/>
          <w:szCs w:val="24"/>
        </w:rPr>
        <w:t>U</w:t>
      </w:r>
      <w:r w:rsidR="00843784" w:rsidRPr="000E3BD6">
        <w:rPr>
          <w:rFonts w:ascii="Book Antiqua" w:hAnsi="Book Antiqua" w:cs="Times New Roman" w:hint="eastAsia"/>
          <w:sz w:val="24"/>
          <w:szCs w:val="24"/>
        </w:rPr>
        <w:t xml:space="preserve">nited </w:t>
      </w:r>
      <w:r w:rsidR="00843784" w:rsidRPr="000E3BD6">
        <w:rPr>
          <w:rFonts w:ascii="Book Antiqua" w:hAnsi="Book Antiqua" w:cs="Times New Roman"/>
          <w:sz w:val="24"/>
          <w:szCs w:val="24"/>
        </w:rPr>
        <w:t>S</w:t>
      </w:r>
      <w:r w:rsidR="00843784" w:rsidRPr="000E3BD6">
        <w:rPr>
          <w:rFonts w:ascii="Book Antiqua" w:hAnsi="Book Antiqua" w:cs="Times New Roman" w:hint="eastAsia"/>
          <w:sz w:val="24"/>
          <w:szCs w:val="24"/>
        </w:rPr>
        <w:t>tates</w:t>
      </w:r>
      <w:r w:rsidRPr="000E3BD6">
        <w:rPr>
          <w:rFonts w:ascii="Book Antiqua" w:hAnsi="Book Antiqua" w:cs="Times New Roman"/>
          <w:sz w:val="24"/>
          <w:szCs w:val="24"/>
        </w:rPr>
        <w:t>).</w:t>
      </w:r>
      <w:r w:rsidRPr="000E3BD6">
        <w:rPr>
          <w:rStyle w:val="fontstyle01"/>
          <w:rFonts w:ascii="Book Antiqua" w:hAnsi="Book Antiqua" w:cs="Times New Roman"/>
          <w:color w:val="auto"/>
          <w:sz w:val="24"/>
          <w:szCs w:val="24"/>
        </w:rPr>
        <w:t xml:space="preserve"> </w:t>
      </w:r>
    </w:p>
    <w:p w14:paraId="7355D087" w14:textId="46D6BFA5" w:rsidR="006B0A36" w:rsidRPr="000E3BD6" w:rsidRDefault="006B0A36" w:rsidP="00843784">
      <w:pPr>
        <w:spacing w:after="0" w:line="360" w:lineRule="auto"/>
        <w:ind w:firstLineChars="100" w:firstLine="240"/>
        <w:contextualSpacing/>
        <w:jc w:val="both"/>
        <w:rPr>
          <w:rFonts w:ascii="Book Antiqua" w:hAnsi="Book Antiqua" w:cs="Times New Roman"/>
          <w:sz w:val="24"/>
          <w:szCs w:val="24"/>
        </w:rPr>
      </w:pPr>
      <w:r w:rsidRPr="000E3BD6">
        <w:rPr>
          <w:rFonts w:ascii="Book Antiqua" w:hAnsi="Book Antiqua" w:cs="Times New Roman"/>
          <w:sz w:val="24"/>
          <w:szCs w:val="24"/>
        </w:rPr>
        <w:t>To isolate NPSCs, a previously described method of differential adhesion was used</w:t>
      </w:r>
      <w:r w:rsidRPr="000E3BD6">
        <w:rPr>
          <w:rFonts w:ascii="Book Antiqua" w:hAnsi="Book Antiqua" w:cs="Times New Roman"/>
          <w:noProof/>
          <w:sz w:val="24"/>
          <w:szCs w:val="24"/>
          <w:vertAlign w:val="superscript"/>
        </w:rPr>
        <w:t>[30]</w:t>
      </w:r>
      <w:r w:rsidRPr="000E3BD6">
        <w:rPr>
          <w:rFonts w:ascii="Book Antiqua" w:hAnsi="Book Antiqua" w:cs="Times New Roman"/>
          <w:sz w:val="24"/>
          <w:szCs w:val="24"/>
        </w:rPr>
        <w:t xml:space="preserve">. Briefly, the culture medium with </w:t>
      </w:r>
      <w:r w:rsidR="002E1333">
        <w:rPr>
          <w:rFonts w:ascii="Book Antiqua" w:hAnsi="Book Antiqua" w:cs="Times New Roman"/>
          <w:sz w:val="24"/>
          <w:szCs w:val="24"/>
        </w:rPr>
        <w:t>non</w:t>
      </w:r>
      <w:r w:rsidRPr="000E3BD6">
        <w:rPr>
          <w:rFonts w:ascii="Book Antiqua" w:hAnsi="Book Antiqua" w:cs="Times New Roman"/>
          <w:sz w:val="24"/>
          <w:szCs w:val="24"/>
        </w:rPr>
        <w:t xml:space="preserve">-adherent cells and fragments was discarded, and the adherent cells were supplemented with </w:t>
      </w:r>
      <w:r w:rsidR="002E1333">
        <w:rPr>
          <w:rFonts w:ascii="Book Antiqua" w:hAnsi="Book Antiqua" w:cs="Times New Roman"/>
          <w:sz w:val="24"/>
          <w:szCs w:val="24"/>
        </w:rPr>
        <w:t xml:space="preserve">the </w:t>
      </w:r>
      <w:r w:rsidRPr="000E3BD6">
        <w:rPr>
          <w:rFonts w:ascii="Book Antiqua" w:hAnsi="Book Antiqua" w:cs="Times New Roman"/>
          <w:sz w:val="24"/>
          <w:szCs w:val="24"/>
        </w:rPr>
        <w:t>complete medium after 24 h. Thereafter, the culture medium was replaced every three days. When cell colony-forming units reached 80</w:t>
      </w:r>
      <w:r w:rsidR="00843784" w:rsidRPr="000E3BD6">
        <w:rPr>
          <w:rFonts w:ascii="Book Antiqua" w:hAnsi="Book Antiqua" w:cs="Times New Roman" w:hint="eastAsia"/>
          <w:sz w:val="24"/>
          <w:szCs w:val="24"/>
        </w:rPr>
        <w:t>%</w:t>
      </w:r>
      <w:r w:rsidRPr="000E3BD6">
        <w:rPr>
          <w:rFonts w:ascii="Book Antiqua" w:hAnsi="Book Antiqua" w:cs="Times New Roman"/>
          <w:sz w:val="24"/>
          <w:szCs w:val="24"/>
        </w:rPr>
        <w:t xml:space="preserve">–90% confluence, the cells were digested with 0.05%/0.02% trypsin-EDTA (Gibco), passaged at a ratio of 1:3, and cultured in </w:t>
      </w:r>
      <w:r w:rsidR="002E1333">
        <w:rPr>
          <w:rFonts w:ascii="Book Antiqua" w:hAnsi="Book Antiqua" w:cs="Times New Roman"/>
          <w:sz w:val="24"/>
          <w:szCs w:val="24"/>
        </w:rPr>
        <w:t xml:space="preserve">the </w:t>
      </w:r>
      <w:r w:rsidRPr="000E3BD6">
        <w:rPr>
          <w:rFonts w:ascii="Book Antiqua" w:hAnsi="Book Antiqua" w:cs="Times New Roman"/>
          <w:sz w:val="24"/>
          <w:szCs w:val="24"/>
        </w:rPr>
        <w:t xml:space="preserve">complete medium. </w:t>
      </w:r>
    </w:p>
    <w:p w14:paraId="3E2DC4F4" w14:textId="3782E52C" w:rsidR="006B0A36" w:rsidRPr="000E3BD6" w:rsidRDefault="006B0A36" w:rsidP="00843784">
      <w:pPr>
        <w:spacing w:after="0" w:line="360" w:lineRule="auto"/>
        <w:ind w:firstLineChars="100" w:firstLine="240"/>
        <w:contextualSpacing/>
        <w:jc w:val="both"/>
        <w:rPr>
          <w:rFonts w:ascii="Book Antiqua" w:hAnsi="Book Antiqua" w:cs="Times New Roman"/>
          <w:sz w:val="24"/>
          <w:szCs w:val="24"/>
        </w:rPr>
      </w:pPr>
      <w:r w:rsidRPr="000E3BD6">
        <w:rPr>
          <w:rFonts w:ascii="Book Antiqua" w:hAnsi="Book Antiqua" w:cs="Times New Roman"/>
          <w:sz w:val="24"/>
          <w:szCs w:val="24"/>
        </w:rPr>
        <w:t xml:space="preserve">The extraction process of nucleus pulposus cells (NPCs) was similar to the method used for NPSCs isolation. The primary NPCs were cultured in LG-DMEM </w:t>
      </w:r>
      <w:bookmarkStart w:id="14" w:name="OLE_LINK2"/>
      <w:bookmarkStart w:id="15" w:name="OLE_LINK3"/>
      <w:r w:rsidRPr="000E3BD6">
        <w:rPr>
          <w:rFonts w:ascii="Book Antiqua" w:hAnsi="Book Antiqua" w:cs="Times New Roman"/>
          <w:sz w:val="24"/>
          <w:szCs w:val="24"/>
        </w:rPr>
        <w:t xml:space="preserve">supplemented with </w:t>
      </w:r>
      <w:bookmarkEnd w:id="14"/>
      <w:bookmarkEnd w:id="15"/>
      <w:r w:rsidRPr="000E3BD6">
        <w:rPr>
          <w:rFonts w:ascii="Book Antiqua" w:hAnsi="Book Antiqua" w:cs="Times New Roman"/>
          <w:sz w:val="24"/>
          <w:szCs w:val="24"/>
        </w:rPr>
        <w:t xml:space="preserve">10% FBS and 1% Pen/Strep at 37 </w:t>
      </w:r>
      <w:r w:rsidRPr="000E3BD6">
        <w:rPr>
          <w:rFonts w:ascii="Book Antiqua" w:hAnsi="Book Antiqua" w:cs="Times New Roman"/>
          <w:sz w:val="24"/>
          <w:szCs w:val="24"/>
        </w:rPr>
        <w:sym w:font="Symbol" w:char="F0B0"/>
      </w:r>
      <w:r w:rsidRPr="000E3BD6">
        <w:rPr>
          <w:rFonts w:ascii="Book Antiqua" w:hAnsi="Book Antiqua" w:cs="Times New Roman"/>
          <w:sz w:val="24"/>
          <w:szCs w:val="24"/>
        </w:rPr>
        <w:t>C in a humidified atmosphere containing 5% CO</w:t>
      </w:r>
      <w:r w:rsidRPr="000E3BD6">
        <w:rPr>
          <w:rFonts w:ascii="Book Antiqua" w:hAnsi="Book Antiqua" w:cs="Times New Roman"/>
          <w:sz w:val="24"/>
          <w:szCs w:val="24"/>
          <w:vertAlign w:val="subscript"/>
        </w:rPr>
        <w:t>2</w:t>
      </w:r>
      <w:r w:rsidRPr="000E3BD6">
        <w:rPr>
          <w:rFonts w:ascii="Book Antiqua" w:hAnsi="Book Antiqua" w:cs="Times New Roman"/>
          <w:sz w:val="24"/>
          <w:szCs w:val="24"/>
        </w:rPr>
        <w:t>. The complete medium was changed every three days. The cells were passaged by 0.05%/0.02% trypsin-EDTA treatment at</w:t>
      </w:r>
      <w:r w:rsidR="002E1333">
        <w:rPr>
          <w:rFonts w:ascii="Book Antiqua" w:hAnsi="Book Antiqua" w:cs="Times New Roman"/>
          <w:sz w:val="24"/>
          <w:szCs w:val="24"/>
        </w:rPr>
        <w:t xml:space="preserve"> </w:t>
      </w:r>
      <w:r w:rsidRPr="000E3BD6">
        <w:rPr>
          <w:rFonts w:ascii="Book Antiqua" w:hAnsi="Book Antiqua" w:cs="Times New Roman"/>
          <w:sz w:val="24"/>
          <w:szCs w:val="24"/>
        </w:rPr>
        <w:t>approximately 80% confluence. Cells at passage</w:t>
      </w:r>
      <w:r w:rsidR="002E1333">
        <w:rPr>
          <w:rFonts w:ascii="Book Antiqua" w:hAnsi="Book Antiqua" w:cs="Times New Roman"/>
          <w:sz w:val="24"/>
          <w:szCs w:val="24"/>
        </w:rPr>
        <w:t>s</w:t>
      </w:r>
      <w:r w:rsidRPr="000E3BD6">
        <w:rPr>
          <w:rFonts w:ascii="Book Antiqua" w:hAnsi="Book Antiqua" w:cs="Times New Roman"/>
          <w:sz w:val="24"/>
          <w:szCs w:val="24"/>
        </w:rPr>
        <w:t xml:space="preserve"> </w:t>
      </w:r>
      <w:r w:rsidR="000C3D8B">
        <w:rPr>
          <w:rFonts w:ascii="Book Antiqua" w:hAnsi="Book Antiqua" w:cs="Times New Roman"/>
          <w:sz w:val="24"/>
          <w:szCs w:val="24"/>
        </w:rPr>
        <w:t xml:space="preserve">(P) </w:t>
      </w:r>
      <w:r w:rsidRPr="000E3BD6">
        <w:rPr>
          <w:rFonts w:ascii="Book Antiqua" w:hAnsi="Book Antiqua" w:cs="Times New Roman"/>
          <w:sz w:val="24"/>
          <w:szCs w:val="24"/>
        </w:rPr>
        <w:t>3-5 were used for subsequent experiments.</w:t>
      </w:r>
    </w:p>
    <w:p w14:paraId="7CE98C7E" w14:textId="77777777" w:rsidR="006B0A36" w:rsidRPr="000E3BD6" w:rsidRDefault="006B0A36" w:rsidP="00F710B6">
      <w:pPr>
        <w:spacing w:after="0" w:line="360" w:lineRule="auto"/>
        <w:contextualSpacing/>
        <w:jc w:val="both"/>
        <w:rPr>
          <w:rFonts w:ascii="Book Antiqua" w:hAnsi="Book Antiqua" w:cs="Times New Roman"/>
          <w:b/>
          <w:i/>
          <w:sz w:val="24"/>
          <w:szCs w:val="24"/>
        </w:rPr>
      </w:pPr>
    </w:p>
    <w:p w14:paraId="26BFC565" w14:textId="77777777" w:rsidR="006B0A36" w:rsidRPr="000E3BD6" w:rsidRDefault="006B0A36" w:rsidP="00F710B6">
      <w:pPr>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Identification of NPSCs</w:t>
      </w:r>
    </w:p>
    <w:p w14:paraId="1668FB15" w14:textId="7CE5E125" w:rsidR="006B0A36" w:rsidRPr="000E3BD6" w:rsidRDefault="006B0A36" w:rsidP="00843784">
      <w:pPr>
        <w:autoSpaceDE w:val="0"/>
        <w:autoSpaceDN w:val="0"/>
        <w:adjustRightInd w:val="0"/>
        <w:spacing w:after="0" w:line="360" w:lineRule="auto"/>
        <w:contextualSpacing/>
        <w:jc w:val="both"/>
        <w:rPr>
          <w:rFonts w:ascii="Book Antiqua" w:hAnsi="Book Antiqua" w:cs="Times New Roman"/>
          <w:b/>
          <w:sz w:val="24"/>
          <w:szCs w:val="24"/>
        </w:rPr>
      </w:pPr>
      <w:r w:rsidRPr="000E3BD6">
        <w:rPr>
          <w:rFonts w:ascii="Book Antiqua" w:hAnsi="Book Antiqua" w:cs="Times New Roman"/>
          <w:b/>
          <w:sz w:val="24"/>
          <w:szCs w:val="24"/>
        </w:rPr>
        <w:t>Specific surface markers</w:t>
      </w:r>
      <w:r w:rsidR="00843784" w:rsidRPr="000E3BD6">
        <w:rPr>
          <w:rFonts w:ascii="Book Antiqua" w:hAnsi="Book Antiqua" w:cs="Times New Roman" w:hint="eastAsia"/>
          <w:b/>
          <w:sz w:val="24"/>
          <w:szCs w:val="24"/>
        </w:rPr>
        <w:t>:</w:t>
      </w:r>
      <w:r w:rsidRPr="000E3BD6">
        <w:rPr>
          <w:rFonts w:ascii="Book Antiqua" w:hAnsi="Book Antiqua" w:cs="Times New Roman"/>
          <w:b/>
          <w:sz w:val="24"/>
          <w:szCs w:val="24"/>
        </w:rPr>
        <w:t xml:space="preserve"> </w:t>
      </w:r>
      <w:r w:rsidRPr="000E3BD6">
        <w:rPr>
          <w:rFonts w:ascii="Book Antiqua" w:hAnsi="Book Antiqua" w:cs="Times New Roman"/>
          <w:sz w:val="24"/>
          <w:szCs w:val="24"/>
        </w:rPr>
        <w:t xml:space="preserve">According to the basic criteria for the definition of MSCs proposed by the </w:t>
      </w:r>
      <w:bookmarkStart w:id="16" w:name="_Hlk523426981"/>
      <w:r w:rsidRPr="000E3BD6">
        <w:rPr>
          <w:rFonts w:ascii="Book Antiqua" w:hAnsi="Book Antiqua" w:cs="Times New Roman"/>
          <w:sz w:val="24"/>
          <w:szCs w:val="24"/>
        </w:rPr>
        <w:t>International Society for Cellular Therapy</w:t>
      </w:r>
      <w:bookmarkEnd w:id="16"/>
      <w:r w:rsidRPr="000E3BD6">
        <w:rPr>
          <w:rFonts w:ascii="Book Antiqua" w:hAnsi="Book Antiqua" w:cs="Times New Roman"/>
          <w:sz w:val="24"/>
          <w:szCs w:val="24"/>
        </w:rPr>
        <w:t xml:space="preserve">, the expression of specific surface markers like CD34, CD45, CD73, CD90, and CD105 </w:t>
      </w:r>
      <w:r w:rsidR="002E1333" w:rsidRPr="000E3BD6">
        <w:rPr>
          <w:rFonts w:ascii="Book Antiqua" w:hAnsi="Book Antiqua" w:cs="Times New Roman"/>
          <w:sz w:val="24"/>
          <w:szCs w:val="24"/>
        </w:rPr>
        <w:t>w</w:t>
      </w:r>
      <w:r w:rsidR="002E1333">
        <w:rPr>
          <w:rFonts w:ascii="Book Antiqua" w:hAnsi="Book Antiqua" w:cs="Times New Roman"/>
          <w:sz w:val="24"/>
          <w:szCs w:val="24"/>
        </w:rPr>
        <w:t>as</w:t>
      </w:r>
      <w:r w:rsidR="002E1333" w:rsidRPr="000E3BD6">
        <w:rPr>
          <w:rFonts w:ascii="Book Antiqua" w:hAnsi="Book Antiqua" w:cs="Times New Roman"/>
          <w:sz w:val="24"/>
          <w:szCs w:val="24"/>
        </w:rPr>
        <w:t xml:space="preserve"> </w:t>
      </w:r>
      <w:r w:rsidRPr="000E3BD6">
        <w:rPr>
          <w:rFonts w:ascii="Book Antiqua" w:hAnsi="Book Antiqua" w:cs="Times New Roman"/>
          <w:sz w:val="24"/>
          <w:szCs w:val="24"/>
        </w:rPr>
        <w:t>ev</w:t>
      </w:r>
      <w:r w:rsidR="00843784" w:rsidRPr="000E3BD6">
        <w:rPr>
          <w:rFonts w:ascii="Book Antiqua" w:hAnsi="Book Antiqua" w:cs="Times New Roman"/>
          <w:sz w:val="24"/>
          <w:szCs w:val="24"/>
        </w:rPr>
        <w:t xml:space="preserve">aluated for NPSCs in </w:t>
      </w:r>
      <w:r w:rsidR="00843784" w:rsidRPr="000E3BD6">
        <w:rPr>
          <w:rFonts w:ascii="Book Antiqua" w:hAnsi="Book Antiqua" w:cs="Times New Roman"/>
          <w:sz w:val="24"/>
          <w:szCs w:val="24"/>
        </w:rPr>
        <w:lastRenderedPageBreak/>
        <w:t>this study</w:t>
      </w:r>
      <w:r w:rsidRPr="000E3BD6">
        <w:rPr>
          <w:rFonts w:ascii="Book Antiqua" w:hAnsi="Book Antiqua" w:cs="Times New Roman"/>
          <w:noProof/>
          <w:sz w:val="24"/>
          <w:szCs w:val="24"/>
          <w:vertAlign w:val="superscript"/>
        </w:rPr>
        <w:t>[31]</w:t>
      </w:r>
      <w:r w:rsidRPr="000E3BD6">
        <w:rPr>
          <w:rFonts w:ascii="Book Antiqua" w:hAnsi="Book Antiqua" w:cs="Times New Roman"/>
          <w:sz w:val="24"/>
          <w:szCs w:val="24"/>
        </w:rPr>
        <w:t>. About 2 × 10</w:t>
      </w:r>
      <w:r w:rsidRPr="000E3BD6">
        <w:rPr>
          <w:rFonts w:ascii="Book Antiqua" w:hAnsi="Book Antiqua" w:cs="Times New Roman"/>
          <w:sz w:val="24"/>
          <w:szCs w:val="24"/>
          <w:vertAlign w:val="superscript"/>
        </w:rPr>
        <w:t>5</w:t>
      </w:r>
      <w:r w:rsidRPr="000E3BD6">
        <w:rPr>
          <w:rFonts w:ascii="Book Antiqua" w:hAnsi="Book Antiqua" w:cs="Times New Roman"/>
          <w:sz w:val="24"/>
          <w:szCs w:val="24"/>
        </w:rPr>
        <w:t xml:space="preserve"> cells were washed and then resuspended with 100 µL PBS to produce a single cell solution. Then</w:t>
      </w:r>
      <w:r w:rsidR="002E1333">
        <w:rPr>
          <w:rFonts w:ascii="Book Antiqua" w:hAnsi="Book Antiqua" w:cs="Times New Roman"/>
          <w:sz w:val="24"/>
          <w:szCs w:val="24"/>
        </w:rPr>
        <w:t>,</w:t>
      </w:r>
      <w:r w:rsidRPr="000E3BD6">
        <w:rPr>
          <w:rFonts w:ascii="Book Antiqua" w:hAnsi="Book Antiqua" w:cs="Times New Roman"/>
          <w:sz w:val="24"/>
          <w:szCs w:val="24"/>
        </w:rPr>
        <w:t xml:space="preserve"> NPSCs were incubated with </w:t>
      </w:r>
      <w:bookmarkStart w:id="17" w:name="_Hlk523427001"/>
      <w:r w:rsidRPr="000E3BD6">
        <w:rPr>
          <w:rFonts w:ascii="Book Antiqua" w:hAnsi="Book Antiqua" w:cs="Times New Roman"/>
          <w:sz w:val="24"/>
          <w:szCs w:val="24"/>
        </w:rPr>
        <w:t>fluorescein isothiocyanate (FITC) or phycoerythrin (PE)</w:t>
      </w:r>
      <w:bookmarkEnd w:id="17"/>
      <w:r w:rsidRPr="000E3BD6">
        <w:rPr>
          <w:rFonts w:ascii="Book Antiqua" w:hAnsi="Book Antiqua" w:cs="Times New Roman"/>
          <w:sz w:val="24"/>
          <w:szCs w:val="24"/>
        </w:rPr>
        <w:t xml:space="preserve">-conjugated antibodies CD34, CD105 (Abcam, Cambridge, MA, </w:t>
      </w:r>
      <w:r w:rsidR="00843784" w:rsidRPr="000E3BD6">
        <w:rPr>
          <w:rFonts w:ascii="Book Antiqua" w:hAnsi="Book Antiqua" w:cs="Times New Roman"/>
          <w:sz w:val="24"/>
          <w:szCs w:val="24"/>
        </w:rPr>
        <w:t>U</w:t>
      </w:r>
      <w:r w:rsidR="00843784" w:rsidRPr="000E3BD6">
        <w:rPr>
          <w:rFonts w:ascii="Book Antiqua" w:hAnsi="Book Antiqua" w:cs="Times New Roman" w:hint="eastAsia"/>
          <w:sz w:val="24"/>
          <w:szCs w:val="24"/>
        </w:rPr>
        <w:t xml:space="preserve">nited </w:t>
      </w:r>
      <w:r w:rsidR="00843784" w:rsidRPr="000E3BD6">
        <w:rPr>
          <w:rFonts w:ascii="Book Antiqua" w:hAnsi="Book Antiqua" w:cs="Times New Roman"/>
          <w:sz w:val="24"/>
          <w:szCs w:val="24"/>
        </w:rPr>
        <w:t>S</w:t>
      </w:r>
      <w:r w:rsidR="00843784" w:rsidRPr="000E3BD6">
        <w:rPr>
          <w:rFonts w:ascii="Book Antiqua" w:hAnsi="Book Antiqua" w:cs="Times New Roman" w:hint="eastAsia"/>
          <w:sz w:val="24"/>
          <w:szCs w:val="24"/>
        </w:rPr>
        <w:t>tates</w:t>
      </w:r>
      <w:r w:rsidRPr="000E3BD6">
        <w:rPr>
          <w:rFonts w:ascii="Book Antiqua" w:hAnsi="Book Antiqua" w:cs="Times New Roman"/>
          <w:sz w:val="24"/>
          <w:szCs w:val="24"/>
        </w:rPr>
        <w:t xml:space="preserve">), CD45, CD73, and CD90 (BD Pharmingen, San Diego, CA, </w:t>
      </w:r>
      <w:r w:rsidR="00843784" w:rsidRPr="000E3BD6">
        <w:rPr>
          <w:rFonts w:ascii="Book Antiqua" w:hAnsi="Book Antiqua" w:cs="Times New Roman"/>
          <w:sz w:val="24"/>
          <w:szCs w:val="24"/>
        </w:rPr>
        <w:t>U</w:t>
      </w:r>
      <w:r w:rsidR="00843784" w:rsidRPr="000E3BD6">
        <w:rPr>
          <w:rFonts w:ascii="Book Antiqua" w:hAnsi="Book Antiqua" w:cs="Times New Roman" w:hint="eastAsia"/>
          <w:sz w:val="24"/>
          <w:szCs w:val="24"/>
        </w:rPr>
        <w:t xml:space="preserve">nited </w:t>
      </w:r>
      <w:r w:rsidR="00843784" w:rsidRPr="000E3BD6">
        <w:rPr>
          <w:rFonts w:ascii="Book Antiqua" w:hAnsi="Book Antiqua" w:cs="Times New Roman"/>
          <w:sz w:val="24"/>
          <w:szCs w:val="24"/>
        </w:rPr>
        <w:t>S</w:t>
      </w:r>
      <w:r w:rsidR="00843784" w:rsidRPr="000E3BD6">
        <w:rPr>
          <w:rFonts w:ascii="Book Antiqua" w:hAnsi="Book Antiqua" w:cs="Times New Roman" w:hint="eastAsia"/>
          <w:sz w:val="24"/>
          <w:szCs w:val="24"/>
        </w:rPr>
        <w:t>tates</w:t>
      </w:r>
      <w:r w:rsidRPr="000E3BD6">
        <w:rPr>
          <w:rFonts w:ascii="Book Antiqua" w:hAnsi="Book Antiqua" w:cs="Times New Roman"/>
          <w:sz w:val="24"/>
          <w:szCs w:val="24"/>
        </w:rPr>
        <w:t xml:space="preserve">) in the dark at room temperature for 30 min. FITC/PE-conjugated non-specific mouse IgG (Invitrogen, Carlsbad, CA, </w:t>
      </w:r>
      <w:r w:rsidR="00843784" w:rsidRPr="000E3BD6">
        <w:rPr>
          <w:rFonts w:ascii="Book Antiqua" w:hAnsi="Book Antiqua" w:cs="Times New Roman"/>
          <w:sz w:val="24"/>
          <w:szCs w:val="24"/>
        </w:rPr>
        <w:t>U</w:t>
      </w:r>
      <w:r w:rsidR="00843784" w:rsidRPr="000E3BD6">
        <w:rPr>
          <w:rFonts w:ascii="Book Antiqua" w:hAnsi="Book Antiqua" w:cs="Times New Roman" w:hint="eastAsia"/>
          <w:sz w:val="24"/>
          <w:szCs w:val="24"/>
        </w:rPr>
        <w:t xml:space="preserve">nited </w:t>
      </w:r>
      <w:r w:rsidR="00843784" w:rsidRPr="000E3BD6">
        <w:rPr>
          <w:rFonts w:ascii="Book Antiqua" w:hAnsi="Book Antiqua" w:cs="Times New Roman"/>
          <w:sz w:val="24"/>
          <w:szCs w:val="24"/>
        </w:rPr>
        <w:t>S</w:t>
      </w:r>
      <w:r w:rsidR="00843784" w:rsidRPr="000E3BD6">
        <w:rPr>
          <w:rFonts w:ascii="Book Antiqua" w:hAnsi="Book Antiqua" w:cs="Times New Roman" w:hint="eastAsia"/>
          <w:sz w:val="24"/>
          <w:szCs w:val="24"/>
        </w:rPr>
        <w:t>tates</w:t>
      </w:r>
      <w:r w:rsidRPr="000E3BD6">
        <w:rPr>
          <w:rFonts w:ascii="Book Antiqua" w:hAnsi="Book Antiqua" w:cs="Times New Roman"/>
          <w:sz w:val="24"/>
          <w:szCs w:val="24"/>
        </w:rPr>
        <w:t xml:space="preserve">) was used as </w:t>
      </w:r>
      <w:r w:rsidR="002E1333">
        <w:rPr>
          <w:rFonts w:ascii="Book Antiqua" w:hAnsi="Book Antiqua" w:cs="Times New Roman"/>
          <w:sz w:val="24"/>
          <w:szCs w:val="24"/>
        </w:rPr>
        <w:t xml:space="preserve">a </w:t>
      </w:r>
      <w:r w:rsidRPr="000E3BD6">
        <w:rPr>
          <w:rFonts w:ascii="Book Antiqua" w:hAnsi="Book Antiqua" w:cs="Times New Roman"/>
          <w:sz w:val="24"/>
          <w:szCs w:val="24"/>
        </w:rPr>
        <w:t xml:space="preserve">negative control. Finally, labeled cells were rinsed three times with PBS and resuspended in 500 µL PBS, </w:t>
      </w:r>
      <w:r w:rsidR="002E1333">
        <w:rPr>
          <w:rFonts w:ascii="Book Antiqua" w:hAnsi="Book Antiqua" w:cs="Times New Roman"/>
          <w:sz w:val="24"/>
          <w:szCs w:val="24"/>
        </w:rPr>
        <w:t xml:space="preserve">and </w:t>
      </w:r>
      <w:r w:rsidRPr="000E3BD6">
        <w:rPr>
          <w:rFonts w:ascii="Book Antiqua" w:hAnsi="Book Antiqua" w:cs="Times New Roman"/>
          <w:sz w:val="24"/>
          <w:szCs w:val="24"/>
        </w:rPr>
        <w:t xml:space="preserve">surface marker expression </w:t>
      </w:r>
      <w:r w:rsidR="002E1333" w:rsidRPr="000E3BD6">
        <w:rPr>
          <w:rFonts w:ascii="Book Antiqua" w:hAnsi="Book Antiqua" w:cs="Times New Roman"/>
          <w:sz w:val="24"/>
          <w:szCs w:val="24"/>
        </w:rPr>
        <w:t>w</w:t>
      </w:r>
      <w:r w:rsidR="002E1333">
        <w:rPr>
          <w:rFonts w:ascii="Book Antiqua" w:hAnsi="Book Antiqua" w:cs="Times New Roman"/>
          <w:sz w:val="24"/>
          <w:szCs w:val="24"/>
        </w:rPr>
        <w:t>as</w:t>
      </w:r>
      <w:r w:rsidR="002E1333" w:rsidRPr="000E3BD6">
        <w:rPr>
          <w:rFonts w:ascii="Book Antiqua" w:hAnsi="Book Antiqua" w:cs="Times New Roman"/>
          <w:sz w:val="24"/>
          <w:szCs w:val="24"/>
        </w:rPr>
        <w:t xml:space="preserve"> </w:t>
      </w:r>
      <w:r w:rsidRPr="000E3BD6">
        <w:rPr>
          <w:rFonts w:ascii="Book Antiqua" w:hAnsi="Book Antiqua" w:cs="Times New Roman"/>
          <w:sz w:val="24"/>
          <w:szCs w:val="24"/>
        </w:rPr>
        <w:t xml:space="preserve">analyzed using flow cytometry (BD Biosciences, </w:t>
      </w:r>
      <w:r w:rsidR="00843784" w:rsidRPr="000E3BD6">
        <w:rPr>
          <w:rFonts w:ascii="Book Antiqua" w:hAnsi="Book Antiqua" w:cs="Times New Roman"/>
          <w:sz w:val="24"/>
          <w:szCs w:val="24"/>
        </w:rPr>
        <w:t>U</w:t>
      </w:r>
      <w:r w:rsidR="00843784" w:rsidRPr="000E3BD6">
        <w:rPr>
          <w:rFonts w:ascii="Book Antiqua" w:hAnsi="Book Antiqua" w:cs="Times New Roman" w:hint="eastAsia"/>
          <w:sz w:val="24"/>
          <w:szCs w:val="24"/>
        </w:rPr>
        <w:t xml:space="preserve">nited </w:t>
      </w:r>
      <w:r w:rsidR="00843784" w:rsidRPr="000E3BD6">
        <w:rPr>
          <w:rFonts w:ascii="Book Antiqua" w:hAnsi="Book Antiqua" w:cs="Times New Roman"/>
          <w:sz w:val="24"/>
          <w:szCs w:val="24"/>
        </w:rPr>
        <w:t>S</w:t>
      </w:r>
      <w:r w:rsidR="00843784" w:rsidRPr="000E3BD6">
        <w:rPr>
          <w:rFonts w:ascii="Book Antiqua" w:hAnsi="Book Antiqua" w:cs="Times New Roman" w:hint="eastAsia"/>
          <w:sz w:val="24"/>
          <w:szCs w:val="24"/>
        </w:rPr>
        <w:t>tates</w:t>
      </w:r>
      <w:r w:rsidRPr="000E3BD6">
        <w:rPr>
          <w:rFonts w:ascii="Book Antiqua" w:hAnsi="Book Antiqua" w:cs="Times New Roman"/>
          <w:sz w:val="24"/>
          <w:szCs w:val="24"/>
        </w:rPr>
        <w:t xml:space="preserve">). </w:t>
      </w:r>
    </w:p>
    <w:p w14:paraId="54751956" w14:textId="77777777" w:rsidR="006B0A36" w:rsidRPr="000E3BD6" w:rsidRDefault="006B0A36" w:rsidP="00F710B6">
      <w:pPr>
        <w:adjustRightInd w:val="0"/>
        <w:snapToGrid w:val="0"/>
        <w:spacing w:after="0" w:line="360" w:lineRule="auto"/>
        <w:contextualSpacing/>
        <w:jc w:val="both"/>
        <w:rPr>
          <w:rFonts w:ascii="Book Antiqua" w:hAnsi="Book Antiqua" w:cs="Times New Roman"/>
          <w:i/>
          <w:sz w:val="24"/>
          <w:szCs w:val="24"/>
        </w:rPr>
      </w:pPr>
    </w:p>
    <w:p w14:paraId="331BFBED" w14:textId="037497CA" w:rsidR="006B0A36" w:rsidRPr="000E3BD6" w:rsidRDefault="006B0A36" w:rsidP="00843784">
      <w:pPr>
        <w:adjustRightInd w:val="0"/>
        <w:snapToGrid w:val="0"/>
        <w:spacing w:after="0" w:line="360" w:lineRule="auto"/>
        <w:contextualSpacing/>
        <w:jc w:val="both"/>
        <w:rPr>
          <w:rFonts w:ascii="Book Antiqua" w:hAnsi="Book Antiqua" w:cs="Times New Roman"/>
          <w:b/>
          <w:sz w:val="24"/>
          <w:szCs w:val="24"/>
        </w:rPr>
      </w:pPr>
      <w:r w:rsidRPr="000E3BD6">
        <w:rPr>
          <w:rFonts w:ascii="Book Antiqua" w:hAnsi="Book Antiqua" w:cs="Times New Roman"/>
          <w:b/>
          <w:sz w:val="24"/>
          <w:szCs w:val="24"/>
        </w:rPr>
        <w:t>Multilineage differentiation</w:t>
      </w:r>
      <w:r w:rsidR="00843784" w:rsidRPr="000E3BD6">
        <w:rPr>
          <w:rFonts w:ascii="Book Antiqua" w:hAnsi="Book Antiqua" w:cs="Times New Roman" w:hint="eastAsia"/>
          <w:b/>
          <w:sz w:val="24"/>
          <w:szCs w:val="24"/>
        </w:rPr>
        <w:t>:</w:t>
      </w:r>
      <w:r w:rsidRPr="000E3BD6">
        <w:rPr>
          <w:rFonts w:ascii="Book Antiqua" w:hAnsi="Book Antiqua" w:cs="Times New Roman"/>
          <w:b/>
          <w:sz w:val="24"/>
          <w:szCs w:val="24"/>
        </w:rPr>
        <w:t xml:space="preserve"> </w:t>
      </w:r>
      <w:r w:rsidRPr="000E3BD6">
        <w:rPr>
          <w:rFonts w:ascii="Book Antiqua" w:hAnsi="Book Antiqua" w:cs="Times New Roman"/>
          <w:sz w:val="24"/>
          <w:szCs w:val="24"/>
        </w:rPr>
        <w:t>For osteogenic differentiation, P3 NPSCs at 80%–90% confluence were cultured in Osteogenic Differentiation Medium (Cyagen Biosciences, Guangzhou, China) containing 10% FBS, 1% penicillin-streptomycin, 0.01% dexamethasone, 1% β-glycerophosphate, and 0.2% ascorbate, which was changed</w:t>
      </w:r>
      <w:r w:rsidR="00246604" w:rsidRPr="000E3BD6">
        <w:rPr>
          <w:rFonts w:ascii="Book Antiqua" w:hAnsi="Book Antiqua" w:cs="Times New Roman"/>
          <w:sz w:val="24"/>
          <w:szCs w:val="24"/>
        </w:rPr>
        <w:t xml:space="preserve"> every three days. After 3 wk</w:t>
      </w:r>
      <w:r w:rsidRPr="000E3BD6">
        <w:rPr>
          <w:rFonts w:ascii="Book Antiqua" w:hAnsi="Book Antiqua" w:cs="Times New Roman"/>
          <w:sz w:val="24"/>
          <w:szCs w:val="24"/>
        </w:rPr>
        <w:t xml:space="preserve">, the calcified deposits in the extracellular matrix were assessed by staining with Alizarin Red (Cyagen Biosciences). </w:t>
      </w:r>
    </w:p>
    <w:p w14:paraId="539C8AC3" w14:textId="19FB3D7B" w:rsidR="006B0A36" w:rsidRPr="000E3BD6" w:rsidRDefault="006B0A36" w:rsidP="00246604">
      <w:pPr>
        <w:autoSpaceDE w:val="0"/>
        <w:autoSpaceDN w:val="0"/>
        <w:adjustRightInd w:val="0"/>
        <w:spacing w:after="0" w:line="360" w:lineRule="auto"/>
        <w:ind w:firstLineChars="100" w:firstLine="240"/>
        <w:contextualSpacing/>
        <w:jc w:val="both"/>
        <w:rPr>
          <w:rFonts w:ascii="Book Antiqua" w:hAnsi="Book Antiqua" w:cs="Times New Roman"/>
          <w:sz w:val="24"/>
          <w:szCs w:val="24"/>
        </w:rPr>
      </w:pPr>
      <w:r w:rsidRPr="000E3BD6">
        <w:rPr>
          <w:rFonts w:ascii="Book Antiqua" w:hAnsi="Book Antiqua" w:cs="Times New Roman"/>
          <w:sz w:val="24"/>
          <w:szCs w:val="24"/>
        </w:rPr>
        <w:t xml:space="preserve">For adipogenic differentiation, when P3 NPSCs reached approximately 100% confluence, the medium was replaced by Adipogenic Differentiation Induction Medium (Cyagen Biosciences) containing 10% FBS, 1% penicillin-streptomycin, 1% glutamine, 0.2% insulin, 0.1% IBMX, 0.1% rosiglitazone, and 0.1% dexamethasone. Three days later, the medium was changed to Adipogenic Differentiation Maintenance Medium (Cyagen Biosciences) containing 10% FBS, 1% penicillin-streptomycin, 1% glutamine, and 0.2% insulin. After 24 h, the medium was changed back to the induction medium. </w:t>
      </w:r>
      <w:r w:rsidR="002E1333">
        <w:rPr>
          <w:rFonts w:ascii="Book Antiqua" w:hAnsi="Book Antiqua" w:cs="Times New Roman"/>
          <w:sz w:val="24"/>
          <w:szCs w:val="24"/>
        </w:rPr>
        <w:t>T</w:t>
      </w:r>
      <w:r w:rsidRPr="000E3BD6">
        <w:rPr>
          <w:rFonts w:ascii="Book Antiqua" w:hAnsi="Book Antiqua" w:cs="Times New Roman"/>
          <w:sz w:val="24"/>
          <w:szCs w:val="24"/>
        </w:rPr>
        <w:t>he cycle of induction/maintenance</w:t>
      </w:r>
      <w:r w:rsidR="002E1333">
        <w:rPr>
          <w:rFonts w:ascii="Book Antiqua" w:hAnsi="Book Antiqua" w:cs="Times New Roman"/>
          <w:sz w:val="24"/>
          <w:szCs w:val="24"/>
        </w:rPr>
        <w:t xml:space="preserve"> was repeated</w:t>
      </w:r>
      <w:r w:rsidRPr="000E3BD6">
        <w:rPr>
          <w:rFonts w:ascii="Book Antiqua" w:hAnsi="Book Antiqua" w:cs="Times New Roman"/>
          <w:sz w:val="24"/>
          <w:szCs w:val="24"/>
        </w:rPr>
        <w:t xml:space="preserve"> four times before the cells were cultured in </w:t>
      </w:r>
      <w:r w:rsidR="002E1333">
        <w:rPr>
          <w:rFonts w:ascii="Book Antiqua" w:hAnsi="Book Antiqua" w:cs="Times New Roman"/>
          <w:sz w:val="24"/>
          <w:szCs w:val="24"/>
        </w:rPr>
        <w:t xml:space="preserve">the </w:t>
      </w:r>
      <w:r w:rsidRPr="000E3BD6">
        <w:rPr>
          <w:rFonts w:ascii="Book Antiqua" w:hAnsi="Book Antiqua" w:cs="Times New Roman"/>
          <w:sz w:val="24"/>
          <w:szCs w:val="24"/>
        </w:rPr>
        <w:t>maintenance medium for additional seven days. To confirm triglyceride deposits, the induced cells were finally fixed with 4% paraformaldehyde and stained with Oil Red O (Cyagen Biosciences).</w:t>
      </w:r>
    </w:p>
    <w:p w14:paraId="3784489C" w14:textId="7B07E3C2" w:rsidR="006B0A36" w:rsidRPr="000E3BD6" w:rsidRDefault="006B0A36" w:rsidP="00246604">
      <w:pPr>
        <w:autoSpaceDE w:val="0"/>
        <w:autoSpaceDN w:val="0"/>
        <w:adjustRightInd w:val="0"/>
        <w:spacing w:after="0" w:line="360" w:lineRule="auto"/>
        <w:ind w:firstLineChars="100" w:firstLine="240"/>
        <w:contextualSpacing/>
        <w:jc w:val="both"/>
        <w:rPr>
          <w:rFonts w:ascii="Book Antiqua" w:hAnsi="Book Antiqua" w:cs="Times New Roman"/>
          <w:sz w:val="24"/>
          <w:szCs w:val="24"/>
        </w:rPr>
      </w:pPr>
      <w:r w:rsidRPr="000E3BD6">
        <w:rPr>
          <w:rFonts w:ascii="Book Antiqua" w:hAnsi="Book Antiqua" w:cs="Times New Roman"/>
          <w:sz w:val="24"/>
          <w:szCs w:val="24"/>
        </w:rPr>
        <w:t>For chondrogenesis, cell micromass cult</w:t>
      </w:r>
      <w:r w:rsidR="00870320">
        <w:rPr>
          <w:rFonts w:ascii="Book Antiqua" w:hAnsi="Book Antiqua" w:cs="Times New Roman"/>
          <w:sz w:val="24"/>
          <w:szCs w:val="24"/>
        </w:rPr>
        <w:t>ure was performed as previously</w:t>
      </w:r>
      <w:r w:rsidR="00870320">
        <w:rPr>
          <w:rFonts w:ascii="Book Antiqua" w:hAnsi="Book Antiqua" w:cs="Times New Roman"/>
          <w:noProof/>
          <w:sz w:val="24"/>
          <w:szCs w:val="24"/>
          <w:vertAlign w:val="superscript"/>
        </w:rPr>
        <w:t>[32,</w:t>
      </w:r>
      <w:r w:rsidRPr="000E3BD6">
        <w:rPr>
          <w:rFonts w:ascii="Book Antiqua" w:hAnsi="Book Antiqua" w:cs="Times New Roman"/>
          <w:noProof/>
          <w:sz w:val="24"/>
          <w:szCs w:val="24"/>
          <w:vertAlign w:val="superscript"/>
        </w:rPr>
        <w:t>33]</w:t>
      </w:r>
      <w:r w:rsidRPr="000E3BD6">
        <w:rPr>
          <w:rFonts w:ascii="Book Antiqua" w:hAnsi="Book Antiqua" w:cs="Times New Roman"/>
          <w:sz w:val="24"/>
          <w:szCs w:val="24"/>
        </w:rPr>
        <w:t xml:space="preserve">. In brief, cells were suspended to a concentration of 1 </w:t>
      </w:r>
      <w:r w:rsidRPr="000E3BD6">
        <w:rPr>
          <w:rFonts w:ascii="Book Antiqua" w:hAnsi="Book Antiqua" w:cs="Times New Roman"/>
          <w:sz w:val="24"/>
          <w:szCs w:val="24"/>
        </w:rPr>
        <w:sym w:font="Symbol" w:char="F0B4"/>
      </w:r>
      <w:r w:rsidRPr="000E3BD6">
        <w:rPr>
          <w:rFonts w:ascii="Book Antiqua" w:hAnsi="Book Antiqua" w:cs="Times New Roman"/>
          <w:sz w:val="24"/>
          <w:szCs w:val="24"/>
        </w:rPr>
        <w:t xml:space="preserve"> 10</w:t>
      </w:r>
      <w:r w:rsidRPr="000E3BD6">
        <w:rPr>
          <w:rFonts w:ascii="Book Antiqua" w:hAnsi="Book Antiqua" w:cs="Times New Roman"/>
          <w:sz w:val="24"/>
          <w:szCs w:val="24"/>
          <w:vertAlign w:val="superscript"/>
        </w:rPr>
        <w:t>6</w:t>
      </w:r>
      <w:r w:rsidRPr="000E3BD6">
        <w:rPr>
          <w:rFonts w:ascii="Book Antiqua" w:hAnsi="Book Antiqua" w:cs="Times New Roman"/>
          <w:sz w:val="24"/>
          <w:szCs w:val="24"/>
        </w:rPr>
        <w:t xml:space="preserve">/mL in serum-free DMEM, and 200 µL </w:t>
      </w:r>
      <w:r w:rsidRPr="000E3BD6">
        <w:rPr>
          <w:rFonts w:ascii="Book Antiqua" w:hAnsi="Book Antiqua" w:cs="Times New Roman"/>
          <w:sz w:val="24"/>
          <w:szCs w:val="24"/>
        </w:rPr>
        <w:lastRenderedPageBreak/>
        <w:t xml:space="preserve">aliquots (2 </w:t>
      </w:r>
      <w:r w:rsidRPr="000E3BD6">
        <w:rPr>
          <w:rFonts w:ascii="Book Antiqua" w:hAnsi="Book Antiqua" w:cs="Times New Roman"/>
          <w:sz w:val="24"/>
          <w:szCs w:val="24"/>
        </w:rPr>
        <w:sym w:font="Symbol" w:char="F0B4"/>
      </w:r>
      <w:r w:rsidRPr="000E3BD6">
        <w:rPr>
          <w:rFonts w:ascii="Book Antiqua" w:hAnsi="Book Antiqua" w:cs="Times New Roman"/>
          <w:sz w:val="24"/>
          <w:szCs w:val="24"/>
        </w:rPr>
        <w:t xml:space="preserve"> 10</w:t>
      </w:r>
      <w:r w:rsidRPr="000E3BD6">
        <w:rPr>
          <w:rFonts w:ascii="Book Antiqua" w:hAnsi="Book Antiqua" w:cs="Times New Roman"/>
          <w:sz w:val="24"/>
          <w:szCs w:val="24"/>
          <w:vertAlign w:val="superscript"/>
        </w:rPr>
        <w:t>5</w:t>
      </w:r>
      <w:r w:rsidRPr="000E3BD6">
        <w:rPr>
          <w:rFonts w:ascii="Book Antiqua" w:hAnsi="Book Antiqua" w:cs="Times New Roman"/>
          <w:sz w:val="24"/>
          <w:szCs w:val="24"/>
        </w:rPr>
        <w:t xml:space="preserve"> cells) were added to a 15 mL polypropylene culture tube (Costar), and then centrifuged at 800</w:t>
      </w:r>
      <w:r w:rsidR="00246604" w:rsidRPr="000E3BD6">
        <w:rPr>
          <w:rFonts w:ascii="Book Antiqua" w:hAnsi="Book Antiqua" w:cs="Times New Roman" w:hint="eastAsia"/>
          <w:sz w:val="24"/>
          <w:szCs w:val="24"/>
        </w:rPr>
        <w:t xml:space="preserve"> </w:t>
      </w:r>
      <w:r w:rsidRPr="000E3BD6">
        <w:rPr>
          <w:rFonts w:ascii="Book Antiqua" w:hAnsi="Book Antiqua" w:cs="Times New Roman"/>
          <w:sz w:val="24"/>
          <w:szCs w:val="24"/>
        </w:rPr>
        <w:t>g for 5 min. The supernatant was aspirated and replaced with Complete Chondrogenic Medium (Cyagen Biosciences) containing 0.01% dexamethasone, 0.3% ascorbate, 1% ITS+</w:t>
      </w:r>
      <w:r w:rsidR="001A579C">
        <w:rPr>
          <w:rFonts w:ascii="Book Antiqua" w:hAnsi="Book Antiqua" w:cs="Times New Roman"/>
          <w:sz w:val="24"/>
          <w:szCs w:val="24"/>
        </w:rPr>
        <w:t xml:space="preserve"> </w:t>
      </w:r>
      <w:r w:rsidRPr="000E3BD6">
        <w:rPr>
          <w:rFonts w:ascii="Book Antiqua" w:hAnsi="Book Antiqua" w:cs="Times New Roman"/>
          <w:sz w:val="24"/>
          <w:szCs w:val="24"/>
        </w:rPr>
        <w:t xml:space="preserve">Supplement, 0.1% sodium pyruvate, 0.1% proline, and 1% </w:t>
      </w:r>
      <w:r w:rsidR="00364289" w:rsidRPr="000E3BD6">
        <w:rPr>
          <w:rFonts w:ascii="Book Antiqua" w:hAnsi="Book Antiqua" w:cs="Times New Roman"/>
          <w:sz w:val="24"/>
          <w:szCs w:val="24"/>
        </w:rPr>
        <w:t>transforming growth factor (</w:t>
      </w:r>
      <w:r w:rsidRPr="000E3BD6">
        <w:rPr>
          <w:rFonts w:ascii="Book Antiqua" w:hAnsi="Book Antiqua" w:cs="Times New Roman"/>
          <w:sz w:val="24"/>
          <w:szCs w:val="24"/>
        </w:rPr>
        <w:t>TGF</w:t>
      </w:r>
      <w:r w:rsidR="00364289" w:rsidRPr="000E3BD6">
        <w:rPr>
          <w:rFonts w:ascii="Book Antiqua" w:hAnsi="Book Antiqua" w:cs="Times New Roman"/>
          <w:sz w:val="24"/>
          <w:szCs w:val="24"/>
        </w:rPr>
        <w:t>)</w:t>
      </w:r>
      <w:r w:rsidRPr="000E3BD6">
        <w:rPr>
          <w:rFonts w:ascii="Book Antiqua" w:hAnsi="Book Antiqua" w:cs="Times New Roman"/>
          <w:sz w:val="24"/>
          <w:szCs w:val="24"/>
        </w:rPr>
        <w:t>-β1. The cells formed free-floating aggregates within the first 24 h. The medium was changed</w:t>
      </w:r>
      <w:r w:rsidR="00246604" w:rsidRPr="000E3BD6">
        <w:rPr>
          <w:rFonts w:ascii="Book Antiqua" w:hAnsi="Book Antiqua" w:cs="Times New Roman"/>
          <w:sz w:val="24"/>
          <w:szCs w:val="24"/>
        </w:rPr>
        <w:t xml:space="preserve"> every three days. After 4 wk</w:t>
      </w:r>
      <w:r w:rsidRPr="000E3BD6">
        <w:rPr>
          <w:rFonts w:ascii="Book Antiqua" w:hAnsi="Book Antiqua" w:cs="Times New Roman"/>
          <w:sz w:val="24"/>
          <w:szCs w:val="24"/>
        </w:rPr>
        <w:t xml:space="preserve">, chondrogenic pellets were fixed </w:t>
      </w:r>
      <w:r w:rsidR="001A579C">
        <w:rPr>
          <w:rFonts w:ascii="Book Antiqua" w:hAnsi="Book Antiqua" w:cs="Times New Roman"/>
          <w:sz w:val="24"/>
          <w:szCs w:val="24"/>
        </w:rPr>
        <w:t xml:space="preserve">with </w:t>
      </w:r>
      <w:r w:rsidRPr="000E3BD6">
        <w:rPr>
          <w:rFonts w:ascii="Book Antiqua" w:hAnsi="Book Antiqua" w:cs="Times New Roman"/>
          <w:sz w:val="24"/>
          <w:szCs w:val="24"/>
        </w:rPr>
        <w:t xml:space="preserve">4% paraformaldehyde and embedded </w:t>
      </w:r>
      <w:r w:rsidR="001A579C">
        <w:rPr>
          <w:rFonts w:ascii="Book Antiqua" w:hAnsi="Book Antiqua" w:cs="Times New Roman"/>
          <w:sz w:val="24"/>
          <w:szCs w:val="24"/>
        </w:rPr>
        <w:t xml:space="preserve">in </w:t>
      </w:r>
      <w:r w:rsidRPr="000E3BD6">
        <w:rPr>
          <w:rFonts w:ascii="Book Antiqua" w:hAnsi="Book Antiqua" w:cs="Times New Roman"/>
          <w:sz w:val="24"/>
          <w:szCs w:val="24"/>
        </w:rPr>
        <w:t xml:space="preserve">paraffin for Alcian blue (Cyagen Biosciences) staining to evaluate the synthesis of proteoglycans. </w:t>
      </w:r>
    </w:p>
    <w:p w14:paraId="68E2667B"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i/>
          <w:sz w:val="24"/>
          <w:szCs w:val="24"/>
        </w:rPr>
      </w:pPr>
    </w:p>
    <w:p w14:paraId="359F88EF" w14:textId="1A5BCEDE"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r w:rsidRPr="000E3BD6">
        <w:rPr>
          <w:rFonts w:ascii="Book Antiqua" w:hAnsi="Book Antiqua" w:cs="Times New Roman"/>
          <w:b/>
          <w:sz w:val="24"/>
          <w:szCs w:val="24"/>
        </w:rPr>
        <w:t>Colony-forming assay</w:t>
      </w:r>
      <w:r w:rsidR="00246604" w:rsidRPr="000E3BD6">
        <w:rPr>
          <w:rFonts w:ascii="Book Antiqua" w:hAnsi="Book Antiqua" w:cs="Times New Roman" w:hint="eastAsia"/>
          <w:b/>
          <w:sz w:val="24"/>
          <w:szCs w:val="24"/>
        </w:rPr>
        <w:t>:</w:t>
      </w:r>
      <w:r w:rsidRPr="000E3BD6">
        <w:rPr>
          <w:rFonts w:ascii="Book Antiqua" w:hAnsi="Book Antiqua" w:cs="Times New Roman"/>
          <w:b/>
          <w:sz w:val="24"/>
          <w:szCs w:val="24"/>
        </w:rPr>
        <w:t xml:space="preserve"> </w:t>
      </w:r>
      <w:r w:rsidRPr="000E3BD6">
        <w:rPr>
          <w:rFonts w:ascii="Book Antiqua" w:hAnsi="Book Antiqua" w:cs="Times New Roman"/>
          <w:sz w:val="24"/>
          <w:szCs w:val="24"/>
        </w:rPr>
        <w:t>To evaluate the colony-forming ability of NPSCs, single-ce</w:t>
      </w:r>
      <w:r w:rsidR="00246604" w:rsidRPr="000E3BD6">
        <w:rPr>
          <w:rFonts w:ascii="Book Antiqua" w:hAnsi="Book Antiqua" w:cs="Times New Roman"/>
          <w:sz w:val="24"/>
          <w:szCs w:val="24"/>
        </w:rPr>
        <w:t>ll suspension at a density of 1</w:t>
      </w:r>
      <w:r w:rsidRPr="000E3BD6">
        <w:rPr>
          <w:rFonts w:ascii="Book Antiqua" w:hAnsi="Book Antiqua" w:cs="Times New Roman"/>
          <w:sz w:val="24"/>
          <w:szCs w:val="24"/>
        </w:rPr>
        <w:t>000 cells/10 cm</w:t>
      </w:r>
      <w:r w:rsidRPr="000E3BD6">
        <w:rPr>
          <w:rFonts w:ascii="Book Antiqua" w:hAnsi="Book Antiqua" w:cs="Times New Roman"/>
          <w:sz w:val="24"/>
          <w:szCs w:val="24"/>
          <w:vertAlign w:val="superscript"/>
        </w:rPr>
        <w:t>2</w:t>
      </w:r>
      <w:r w:rsidRPr="000E3BD6">
        <w:rPr>
          <w:rFonts w:ascii="Book Antiqua" w:hAnsi="Book Antiqua" w:cs="Times New Roman"/>
          <w:sz w:val="24"/>
          <w:szCs w:val="24"/>
        </w:rPr>
        <w:t xml:space="preserve"> was seeded into a 6-well plate (Costar). After seven days, cells were fixed with 4% paraformaldehyde and then stained with 0.1% crystal violet (Solarbio). Aggregates of more than 50 cells were identified as colonies. </w:t>
      </w:r>
    </w:p>
    <w:p w14:paraId="44551AE8" w14:textId="77777777" w:rsidR="006B0A36" w:rsidRPr="000E3BD6" w:rsidRDefault="006B0A36" w:rsidP="00F710B6">
      <w:pPr>
        <w:spacing w:after="0" w:line="360" w:lineRule="auto"/>
        <w:contextualSpacing/>
        <w:jc w:val="both"/>
        <w:rPr>
          <w:rFonts w:ascii="Book Antiqua" w:hAnsi="Book Antiqua" w:cs="Times New Roman"/>
          <w:sz w:val="24"/>
          <w:szCs w:val="24"/>
        </w:rPr>
      </w:pPr>
    </w:p>
    <w:p w14:paraId="0FF60735" w14:textId="77777777" w:rsidR="006B0A36" w:rsidRPr="000E3BD6" w:rsidRDefault="006B0A36" w:rsidP="00F710B6">
      <w:pPr>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 xml:space="preserve">Synthesis and expression of </w:t>
      </w:r>
      <w:r w:rsidRPr="000E3BD6">
        <w:rPr>
          <w:rStyle w:val="highlight"/>
          <w:rFonts w:ascii="Book Antiqua" w:hAnsi="Book Antiqua" w:cs="Times New Roman"/>
          <w:b/>
          <w:i/>
          <w:sz w:val="24"/>
          <w:szCs w:val="24"/>
        </w:rPr>
        <w:t>SDF-1</w:t>
      </w:r>
      <w:r w:rsidRPr="000E3BD6">
        <w:rPr>
          <w:rFonts w:ascii="Book Antiqua" w:hAnsi="Book Antiqua" w:cs="Times New Roman"/>
          <w:b/>
          <w:i/>
          <w:sz w:val="24"/>
          <w:szCs w:val="24"/>
        </w:rPr>
        <w:t>α in the pro-inflammatory environment</w:t>
      </w:r>
    </w:p>
    <w:p w14:paraId="6C7F3652" w14:textId="56726708" w:rsidR="006B0A36" w:rsidRPr="000E3BD6" w:rsidRDefault="006B0A36"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NPCs (1</w:t>
      </w:r>
      <w:r w:rsidR="00246604" w:rsidRPr="000E3BD6">
        <w:rPr>
          <w:rFonts w:ascii="Book Antiqua" w:hAnsi="Book Antiqua" w:cs="Times New Roman" w:hint="eastAsia"/>
          <w:sz w:val="24"/>
          <w:szCs w:val="24"/>
        </w:rPr>
        <w:t xml:space="preserve"> </w:t>
      </w:r>
      <w:r w:rsidRPr="000E3BD6">
        <w:rPr>
          <w:rFonts w:ascii="Book Antiqua" w:hAnsi="Book Antiqua" w:cs="Times New Roman"/>
          <w:sz w:val="24"/>
          <w:szCs w:val="24"/>
        </w:rPr>
        <w:sym w:font="Symbol" w:char="F0B4"/>
      </w:r>
      <w:r w:rsidR="00246604" w:rsidRPr="000E3BD6">
        <w:rPr>
          <w:rFonts w:ascii="Book Antiqua" w:hAnsi="Book Antiqua" w:cs="Times New Roman" w:hint="eastAsia"/>
          <w:sz w:val="24"/>
          <w:szCs w:val="24"/>
        </w:rPr>
        <w:t xml:space="preserve"> </w:t>
      </w:r>
      <w:r w:rsidRPr="000E3BD6">
        <w:rPr>
          <w:rFonts w:ascii="Book Antiqua" w:hAnsi="Book Antiqua" w:cs="Times New Roman"/>
          <w:sz w:val="24"/>
          <w:szCs w:val="24"/>
        </w:rPr>
        <w:t>10</w:t>
      </w:r>
      <w:r w:rsidRPr="000E3BD6">
        <w:rPr>
          <w:rFonts w:ascii="Book Antiqua" w:hAnsi="Book Antiqua" w:cs="Times New Roman"/>
          <w:sz w:val="24"/>
          <w:szCs w:val="24"/>
          <w:vertAlign w:val="superscript"/>
        </w:rPr>
        <w:t>5</w:t>
      </w:r>
      <w:r w:rsidRPr="000E3BD6">
        <w:rPr>
          <w:rFonts w:ascii="Book Antiqua" w:hAnsi="Book Antiqua" w:cs="Times New Roman"/>
          <w:sz w:val="24"/>
          <w:szCs w:val="24"/>
        </w:rPr>
        <w:t xml:space="preserve"> cells/well) were plated in 6-well plates and cultured in complete medium for one day. To simulate the pro-inflammatory and poor nutrition microenvironment of the degenerative disc, the medium was then changed to serum-free medium containing LG-DMEM</w:t>
      </w:r>
      <w:r w:rsidRPr="000E3BD6" w:rsidDel="005B5955">
        <w:rPr>
          <w:rFonts w:ascii="Book Antiqua" w:hAnsi="Book Antiqua" w:cs="Times New Roman"/>
          <w:sz w:val="24"/>
          <w:szCs w:val="24"/>
        </w:rPr>
        <w:t xml:space="preserve"> </w:t>
      </w:r>
      <w:r w:rsidRPr="000E3BD6">
        <w:rPr>
          <w:rFonts w:ascii="Book Antiqua" w:hAnsi="Book Antiqua" w:cs="Times New Roman"/>
          <w:sz w:val="24"/>
          <w:szCs w:val="24"/>
        </w:rPr>
        <w:t xml:space="preserve">and 10 ng/mL interleukin (IL)-1β (PeproTech, Rocky Hill, NJ, </w:t>
      </w:r>
      <w:r w:rsidR="00246604" w:rsidRPr="000E3BD6">
        <w:rPr>
          <w:rFonts w:ascii="Book Antiqua" w:hAnsi="Book Antiqua" w:cs="Times New Roman"/>
          <w:sz w:val="24"/>
          <w:szCs w:val="24"/>
        </w:rPr>
        <w:t>U</w:t>
      </w:r>
      <w:r w:rsidR="00246604" w:rsidRPr="000E3BD6">
        <w:rPr>
          <w:rFonts w:ascii="Book Antiqua" w:hAnsi="Book Antiqua" w:cs="Times New Roman" w:hint="eastAsia"/>
          <w:sz w:val="24"/>
          <w:szCs w:val="24"/>
        </w:rPr>
        <w:t xml:space="preserve">nited </w:t>
      </w:r>
      <w:r w:rsidR="00246604" w:rsidRPr="000E3BD6">
        <w:rPr>
          <w:rFonts w:ascii="Book Antiqua" w:hAnsi="Book Antiqua" w:cs="Times New Roman"/>
          <w:sz w:val="24"/>
          <w:szCs w:val="24"/>
        </w:rPr>
        <w:t>S</w:t>
      </w:r>
      <w:r w:rsidR="00246604" w:rsidRPr="000E3BD6">
        <w:rPr>
          <w:rFonts w:ascii="Book Antiqua" w:hAnsi="Book Antiqua" w:cs="Times New Roman" w:hint="eastAsia"/>
          <w:sz w:val="24"/>
          <w:szCs w:val="24"/>
        </w:rPr>
        <w:t>tates</w:t>
      </w:r>
      <w:r w:rsidRPr="000E3BD6">
        <w:rPr>
          <w:rFonts w:ascii="Book Antiqua" w:hAnsi="Book Antiqua" w:cs="Times New Roman"/>
          <w:sz w:val="24"/>
          <w:szCs w:val="24"/>
        </w:rPr>
        <w:t xml:space="preserve">) or 50 ng/mL tumor necrosis factor-α (TNF-α) (PeproTech). After incubation for 48 h, the protein level of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 xml:space="preserve">α secreted in the cell culture supernatant was measured with an </w:t>
      </w:r>
      <w:r w:rsidR="006C683D" w:rsidRPr="000E3BD6">
        <w:rPr>
          <w:rFonts w:ascii="Book Antiqua" w:hAnsi="Book Antiqua" w:cs="Times New Roman"/>
          <w:sz w:val="24"/>
          <w:szCs w:val="24"/>
        </w:rPr>
        <w:t>enzyme-linked immunosorbent assay (ELISA)</w:t>
      </w:r>
      <w:r w:rsidRPr="000E3BD6">
        <w:rPr>
          <w:rFonts w:ascii="Book Antiqua" w:hAnsi="Book Antiqua" w:cs="Times New Roman"/>
          <w:sz w:val="24"/>
          <w:szCs w:val="24"/>
        </w:rPr>
        <w:t xml:space="preserve"> kit (USCN, Wuhan, China), according to the manufacturer’s instructions. In addition, the remaining cells were used for extracting total RNA using TRIzol reagent (Invitrogen, Carlsbad, CA, </w:t>
      </w:r>
      <w:r w:rsidR="00246604" w:rsidRPr="000E3BD6">
        <w:rPr>
          <w:rFonts w:ascii="Book Antiqua" w:hAnsi="Book Antiqua" w:cs="Times New Roman"/>
          <w:sz w:val="24"/>
          <w:szCs w:val="24"/>
        </w:rPr>
        <w:t>U</w:t>
      </w:r>
      <w:r w:rsidR="00246604" w:rsidRPr="000E3BD6">
        <w:rPr>
          <w:rFonts w:ascii="Book Antiqua" w:hAnsi="Book Antiqua" w:cs="Times New Roman" w:hint="eastAsia"/>
          <w:sz w:val="24"/>
          <w:szCs w:val="24"/>
        </w:rPr>
        <w:t xml:space="preserve">nited </w:t>
      </w:r>
      <w:r w:rsidR="00246604" w:rsidRPr="000E3BD6">
        <w:rPr>
          <w:rFonts w:ascii="Book Antiqua" w:hAnsi="Book Antiqua" w:cs="Times New Roman"/>
          <w:sz w:val="24"/>
          <w:szCs w:val="24"/>
        </w:rPr>
        <w:t>S</w:t>
      </w:r>
      <w:r w:rsidR="00246604" w:rsidRPr="000E3BD6">
        <w:rPr>
          <w:rFonts w:ascii="Book Antiqua" w:hAnsi="Book Antiqua" w:cs="Times New Roman" w:hint="eastAsia"/>
          <w:sz w:val="24"/>
          <w:szCs w:val="24"/>
        </w:rPr>
        <w:t>tates</w:t>
      </w:r>
      <w:r w:rsidRPr="000E3BD6">
        <w:rPr>
          <w:rFonts w:ascii="Book Antiqua" w:hAnsi="Book Antiqua" w:cs="Times New Roman"/>
          <w:sz w:val="24"/>
          <w:szCs w:val="24"/>
        </w:rPr>
        <w:t>). The amount</w:t>
      </w:r>
      <w:r w:rsidR="001A579C">
        <w:rPr>
          <w:rFonts w:ascii="Book Antiqua" w:hAnsi="Book Antiqua" w:cs="Times New Roman"/>
          <w:sz w:val="24"/>
          <w:szCs w:val="24"/>
        </w:rPr>
        <w:t xml:space="preserve"> of</w:t>
      </w:r>
      <w:r w:rsidRPr="000E3BD6">
        <w:rPr>
          <w:rFonts w:ascii="Book Antiqua" w:hAnsi="Book Antiqua" w:cs="Times New Roman"/>
          <w:sz w:val="24"/>
          <w:szCs w:val="24"/>
        </w:rPr>
        <w:t xml:space="preserve"> synthesized mRNA of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 xml:space="preserve">α was then determined by real-time RT-PCR. </w:t>
      </w:r>
    </w:p>
    <w:p w14:paraId="6753DF39" w14:textId="77777777" w:rsidR="006B0A36" w:rsidRPr="00466805" w:rsidRDefault="006B0A36" w:rsidP="00F710B6">
      <w:pPr>
        <w:spacing w:after="0" w:line="360" w:lineRule="auto"/>
        <w:contextualSpacing/>
        <w:jc w:val="both"/>
        <w:rPr>
          <w:rFonts w:ascii="Book Antiqua" w:hAnsi="Book Antiqua" w:cs="Times New Roman"/>
          <w:b/>
          <w:i/>
          <w:sz w:val="24"/>
          <w:szCs w:val="24"/>
        </w:rPr>
      </w:pPr>
    </w:p>
    <w:p w14:paraId="17A77C3B" w14:textId="77777777" w:rsidR="006B0A36" w:rsidRPr="000E3BD6" w:rsidRDefault="006B0A36" w:rsidP="00F710B6">
      <w:pPr>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 xml:space="preserve">Animal model of disc degeneration </w:t>
      </w:r>
    </w:p>
    <w:p w14:paraId="0F5593D7" w14:textId="31B48EEA" w:rsidR="006B0A36" w:rsidRPr="000E3BD6" w:rsidRDefault="006B0A36" w:rsidP="00F710B6">
      <w:pPr>
        <w:autoSpaceDE w:val="0"/>
        <w:autoSpaceDN w:val="0"/>
        <w:adjustRightInd w:val="0"/>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In the present study, needle puncture in the tail disc was used to induce a disc degeneration model. The procedure was performed as previously described</w:t>
      </w:r>
      <w:r w:rsidRPr="000E3BD6">
        <w:rPr>
          <w:rFonts w:ascii="Book Antiqua" w:hAnsi="Book Antiqua" w:cs="Times New Roman"/>
          <w:noProof/>
          <w:sz w:val="24"/>
          <w:szCs w:val="24"/>
          <w:vertAlign w:val="superscript"/>
        </w:rPr>
        <w:t>[34]</w:t>
      </w:r>
      <w:r w:rsidRPr="000E3BD6">
        <w:rPr>
          <w:rFonts w:ascii="Book Antiqua" w:hAnsi="Book Antiqua" w:cs="Times New Roman"/>
          <w:sz w:val="24"/>
          <w:szCs w:val="24"/>
        </w:rPr>
        <w:t xml:space="preserve">. Briefly, </w:t>
      </w:r>
      <w:r w:rsidRPr="000E3BD6">
        <w:rPr>
          <w:rFonts w:ascii="Book Antiqua" w:hAnsi="Book Antiqua" w:cs="Times New Roman"/>
          <w:sz w:val="24"/>
          <w:szCs w:val="24"/>
        </w:rPr>
        <w:lastRenderedPageBreak/>
        <w:t>rats were anesthetized intraperitoneally with 10% chloral hydrate (Sigma Aldrich) at a dose of 3.5 mL/kg under sterile conditions. Two consecutive rat tail discs (</w:t>
      </w:r>
      <w:bookmarkStart w:id="18" w:name="_Hlk522971689"/>
      <w:r w:rsidRPr="000E3BD6">
        <w:rPr>
          <w:rFonts w:ascii="Book Antiqua" w:hAnsi="Book Antiqua" w:cs="Times New Roman"/>
          <w:sz w:val="24"/>
          <w:szCs w:val="24"/>
        </w:rPr>
        <w:t>Co4/Co5 and Co5/Co</w:t>
      </w:r>
      <w:bookmarkEnd w:id="18"/>
      <w:r w:rsidRPr="000E3BD6">
        <w:rPr>
          <w:rFonts w:ascii="Book Antiqua" w:hAnsi="Book Antiqua" w:cs="Times New Roman"/>
          <w:sz w:val="24"/>
          <w:szCs w:val="24"/>
        </w:rPr>
        <w:t xml:space="preserve">6) were randomly assigned to the control and degeneration groups. The disc selected for degeneration was punctured with a sterile 22-gauge needle from the dorsal to the ventral side (depth 5 mm, rotated 360°, </w:t>
      </w:r>
      <w:r w:rsidR="00246604" w:rsidRPr="000E3BD6">
        <w:rPr>
          <w:rFonts w:ascii="Book Antiqua" w:hAnsi="Book Antiqua" w:cs="Times New Roman"/>
          <w:sz w:val="24"/>
          <w:szCs w:val="24"/>
        </w:rPr>
        <w:t>and held for 5 s). After 4 wk</w:t>
      </w:r>
      <w:r w:rsidRPr="000E3BD6">
        <w:rPr>
          <w:rFonts w:ascii="Book Antiqua" w:hAnsi="Book Antiqua" w:cs="Times New Roman"/>
          <w:sz w:val="24"/>
          <w:szCs w:val="24"/>
        </w:rPr>
        <w:t>, normal and degeneration-induced tail discs were harvested for histological analysis.</w:t>
      </w:r>
    </w:p>
    <w:p w14:paraId="61155F9E" w14:textId="77777777" w:rsidR="006B0A36" w:rsidRPr="000E3BD6" w:rsidRDefault="006B0A36" w:rsidP="00F710B6">
      <w:pPr>
        <w:adjustRightInd w:val="0"/>
        <w:snapToGrid w:val="0"/>
        <w:spacing w:after="0" w:line="360" w:lineRule="auto"/>
        <w:contextualSpacing/>
        <w:jc w:val="both"/>
        <w:rPr>
          <w:rFonts w:ascii="Book Antiqua" w:hAnsi="Book Antiqua" w:cs="Times New Roman"/>
          <w:b/>
          <w:i/>
          <w:sz w:val="24"/>
          <w:szCs w:val="24"/>
        </w:rPr>
      </w:pPr>
    </w:p>
    <w:p w14:paraId="0C02194D" w14:textId="77777777" w:rsidR="006B0A36" w:rsidRPr="000E3BD6" w:rsidRDefault="006B0A36" w:rsidP="00F710B6">
      <w:pPr>
        <w:adjustRightInd w:val="0"/>
        <w:snapToGrid w:val="0"/>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Cell migration in vitro</w:t>
      </w:r>
    </w:p>
    <w:p w14:paraId="2EC9C3CB" w14:textId="7F56FBCD" w:rsidR="006B0A36" w:rsidRPr="000E3BD6" w:rsidRDefault="006B0A36" w:rsidP="00F710B6">
      <w:pPr>
        <w:adjustRightInd w:val="0"/>
        <w:snapToGrid w:val="0"/>
        <w:spacing w:after="0" w:line="360" w:lineRule="auto"/>
        <w:contextualSpacing/>
        <w:jc w:val="both"/>
        <w:rPr>
          <w:rFonts w:ascii="Book Antiqua" w:hAnsi="Book Antiqua" w:cs="Times New Roman"/>
          <w:sz w:val="24"/>
          <w:szCs w:val="24"/>
        </w:rPr>
      </w:pPr>
      <w:r w:rsidRPr="000E3BD6">
        <w:rPr>
          <w:rFonts w:ascii="Book Antiqua" w:hAnsi="Book Antiqua" w:cs="Times New Roman"/>
          <w:b/>
          <w:sz w:val="24"/>
          <w:szCs w:val="24"/>
        </w:rPr>
        <w:t>Wound healing assay</w:t>
      </w:r>
      <w:r w:rsidR="00246604" w:rsidRPr="000E3BD6">
        <w:rPr>
          <w:rFonts w:ascii="Book Antiqua" w:hAnsi="Book Antiqua" w:cs="Times New Roman" w:hint="eastAsia"/>
          <w:b/>
          <w:sz w:val="24"/>
          <w:szCs w:val="24"/>
        </w:rPr>
        <w:t xml:space="preserve">: </w:t>
      </w:r>
      <w:r w:rsidRPr="000E3BD6">
        <w:rPr>
          <w:rFonts w:ascii="Book Antiqua" w:hAnsi="Book Antiqua" w:cs="Times New Roman"/>
          <w:sz w:val="24"/>
          <w:szCs w:val="24"/>
        </w:rPr>
        <w:t>NPSCs were seeded into 6-well plates at a concentration of 1 × 10</w:t>
      </w:r>
      <w:r w:rsidRPr="000E3BD6">
        <w:rPr>
          <w:rFonts w:ascii="Book Antiqua" w:hAnsi="Book Antiqua" w:cs="Times New Roman"/>
          <w:sz w:val="24"/>
          <w:szCs w:val="24"/>
          <w:vertAlign w:val="superscript"/>
        </w:rPr>
        <w:t>5</w:t>
      </w:r>
      <w:r w:rsidRPr="000E3BD6">
        <w:rPr>
          <w:rFonts w:ascii="Book Antiqua" w:hAnsi="Book Antiqua" w:cs="Times New Roman"/>
          <w:sz w:val="24"/>
          <w:szCs w:val="24"/>
        </w:rPr>
        <w:t xml:space="preserve">/mL and cultured until nearly 100% confluence. The straight wounds were created by scratching the monolayer with a 200 </w:t>
      </w:r>
      <w:r w:rsidRPr="000E3BD6">
        <w:rPr>
          <w:rFonts w:ascii="Book Antiqua" w:hAnsi="Book Antiqua" w:cs="Times New Roman"/>
          <w:sz w:val="24"/>
          <w:szCs w:val="24"/>
        </w:rPr>
        <w:sym w:font="Symbol" w:char="F06D"/>
      </w:r>
      <w:r w:rsidRPr="000E3BD6">
        <w:rPr>
          <w:rFonts w:ascii="Book Antiqua" w:hAnsi="Book Antiqua" w:cs="Times New Roman"/>
          <w:sz w:val="24"/>
          <w:szCs w:val="24"/>
        </w:rPr>
        <w:t xml:space="preserve">L pipet tip. After washing with PBS twice, the cells were incubated with 0, 25, 50, </w:t>
      </w:r>
      <w:r w:rsidR="001A579C">
        <w:rPr>
          <w:rFonts w:ascii="Book Antiqua" w:hAnsi="Book Antiqua" w:cs="Times New Roman"/>
          <w:sz w:val="24"/>
          <w:szCs w:val="24"/>
        </w:rPr>
        <w:t xml:space="preserve">and </w:t>
      </w:r>
      <w:r w:rsidRPr="000E3BD6">
        <w:rPr>
          <w:rFonts w:ascii="Book Antiqua" w:hAnsi="Book Antiqua" w:cs="Times New Roman"/>
          <w:sz w:val="24"/>
          <w:szCs w:val="24"/>
        </w:rPr>
        <w:t xml:space="preserve">100 ng/mL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α in serum-free medium for 12 h to allow migration back to the wound area. For the inhibition experiment, cells were pre-treated with 10 µg/mL AMD3100 for 2 h before incubation with 100 ng/mL</w:t>
      </w:r>
      <w:r w:rsidRPr="000E3BD6">
        <w:rPr>
          <w:rStyle w:val="highlight"/>
          <w:rFonts w:ascii="Book Antiqua" w:hAnsi="Book Antiqua" w:cs="Times New Roman"/>
          <w:sz w:val="24"/>
          <w:szCs w:val="24"/>
        </w:rPr>
        <w:t xml:space="preserve"> SDF-1</w:t>
      </w:r>
      <w:r w:rsidRPr="000E3BD6">
        <w:rPr>
          <w:rFonts w:ascii="Book Antiqua" w:hAnsi="Book Antiqua" w:cs="Times New Roman"/>
          <w:sz w:val="24"/>
          <w:szCs w:val="24"/>
        </w:rPr>
        <w:t>α. Cells from three random low-power fields of each group were counted to assess the average number of migrated cells.</w:t>
      </w:r>
    </w:p>
    <w:p w14:paraId="7177962D" w14:textId="77777777" w:rsidR="00246604" w:rsidRPr="000E3BD6" w:rsidRDefault="00246604" w:rsidP="00F710B6">
      <w:pPr>
        <w:adjustRightInd w:val="0"/>
        <w:snapToGrid w:val="0"/>
        <w:spacing w:after="0" w:line="360" w:lineRule="auto"/>
        <w:contextualSpacing/>
        <w:jc w:val="both"/>
        <w:rPr>
          <w:rFonts w:ascii="Book Antiqua" w:hAnsi="Book Antiqua" w:cs="Times New Roman"/>
          <w:b/>
          <w:sz w:val="24"/>
          <w:szCs w:val="24"/>
        </w:rPr>
      </w:pPr>
    </w:p>
    <w:p w14:paraId="12864EAB" w14:textId="7DE78574" w:rsidR="006B0A36" w:rsidRPr="000E3BD6" w:rsidRDefault="006B0A36" w:rsidP="00F710B6">
      <w:pPr>
        <w:adjustRightInd w:val="0"/>
        <w:snapToGrid w:val="0"/>
        <w:spacing w:after="0" w:line="360" w:lineRule="auto"/>
        <w:contextualSpacing/>
        <w:jc w:val="both"/>
        <w:rPr>
          <w:rFonts w:ascii="Book Antiqua" w:hAnsi="Book Antiqua" w:cs="Times New Roman"/>
          <w:b/>
          <w:sz w:val="24"/>
          <w:szCs w:val="24"/>
        </w:rPr>
      </w:pPr>
      <w:r w:rsidRPr="000E3BD6">
        <w:rPr>
          <w:rFonts w:ascii="Book Antiqua" w:hAnsi="Book Antiqua" w:cs="Times New Roman"/>
          <w:b/>
          <w:sz w:val="24"/>
          <w:szCs w:val="24"/>
        </w:rPr>
        <w:t>Transwell migration assay</w:t>
      </w:r>
      <w:r w:rsidR="00246604" w:rsidRPr="000E3BD6">
        <w:rPr>
          <w:rFonts w:ascii="Book Antiqua" w:hAnsi="Book Antiqua" w:cs="Times New Roman" w:hint="eastAsia"/>
          <w:b/>
          <w:sz w:val="24"/>
          <w:szCs w:val="24"/>
        </w:rPr>
        <w:t xml:space="preserve">: </w:t>
      </w:r>
      <w:r w:rsidRPr="000E3BD6">
        <w:rPr>
          <w:rFonts w:ascii="Book Antiqua" w:hAnsi="Book Antiqua" w:cs="Times New Roman"/>
          <w:sz w:val="24"/>
          <w:szCs w:val="24"/>
        </w:rPr>
        <w:t>For transmigration assay, we used 24-well transwell chamber plates (pore size 8 μm</w:t>
      </w:r>
      <w:r w:rsidR="001A579C">
        <w:rPr>
          <w:rFonts w:ascii="Book Antiqua" w:hAnsi="Book Antiqua" w:cs="Times New Roman"/>
          <w:sz w:val="24"/>
          <w:szCs w:val="24"/>
        </w:rPr>
        <w:t>;</w:t>
      </w:r>
      <w:r w:rsidR="001A579C" w:rsidRPr="000E3BD6">
        <w:rPr>
          <w:rFonts w:ascii="Book Antiqua" w:hAnsi="Book Antiqua" w:cs="Times New Roman"/>
          <w:sz w:val="24"/>
          <w:szCs w:val="24"/>
        </w:rPr>
        <w:t xml:space="preserve"> </w:t>
      </w:r>
      <w:r w:rsidRPr="000E3BD6">
        <w:rPr>
          <w:rFonts w:ascii="Book Antiqua" w:hAnsi="Book Antiqua" w:cs="Times New Roman"/>
          <w:sz w:val="24"/>
          <w:szCs w:val="24"/>
        </w:rPr>
        <w:t>Costar). A total of 2 × 10</w:t>
      </w:r>
      <w:r w:rsidRPr="000E3BD6">
        <w:rPr>
          <w:rFonts w:ascii="Book Antiqua" w:hAnsi="Book Antiqua" w:cs="Times New Roman"/>
          <w:sz w:val="24"/>
          <w:szCs w:val="24"/>
          <w:vertAlign w:val="superscript"/>
        </w:rPr>
        <w:t>4</w:t>
      </w:r>
      <w:r w:rsidRPr="000E3BD6">
        <w:rPr>
          <w:rFonts w:ascii="Book Antiqua" w:hAnsi="Book Antiqua" w:cs="Times New Roman"/>
          <w:sz w:val="24"/>
          <w:szCs w:val="24"/>
        </w:rPr>
        <w:t xml:space="preserve"> cells in 200 </w:t>
      </w:r>
      <w:r w:rsidRPr="000E3BD6">
        <w:rPr>
          <w:rFonts w:ascii="Book Antiqua" w:hAnsi="Book Antiqua" w:cs="Times New Roman"/>
          <w:sz w:val="24"/>
          <w:szCs w:val="24"/>
        </w:rPr>
        <w:sym w:font="Symbol" w:char="F06D"/>
      </w:r>
      <w:r w:rsidRPr="000E3BD6">
        <w:rPr>
          <w:rFonts w:ascii="Book Antiqua" w:hAnsi="Book Antiqua" w:cs="Times New Roman"/>
          <w:sz w:val="24"/>
          <w:szCs w:val="24"/>
        </w:rPr>
        <w:t xml:space="preserve">L serum-free medium were added into the upper chamber, and 600 </w:t>
      </w:r>
      <w:r w:rsidRPr="000E3BD6">
        <w:rPr>
          <w:rFonts w:ascii="Book Antiqua" w:hAnsi="Book Antiqua" w:cs="Times New Roman"/>
          <w:sz w:val="24"/>
          <w:szCs w:val="24"/>
        </w:rPr>
        <w:sym w:font="Symbol" w:char="F06D"/>
      </w:r>
      <w:r w:rsidRPr="000E3BD6">
        <w:rPr>
          <w:rFonts w:ascii="Book Antiqua" w:hAnsi="Book Antiqua" w:cs="Times New Roman"/>
          <w:sz w:val="24"/>
          <w:szCs w:val="24"/>
        </w:rPr>
        <w:t xml:space="preserve">L serum-free medium supplemented with different concentrations (0, 25, 50, </w:t>
      </w:r>
      <w:r w:rsidR="001A579C">
        <w:rPr>
          <w:rFonts w:ascii="Book Antiqua" w:hAnsi="Book Antiqua" w:cs="Times New Roman"/>
          <w:sz w:val="24"/>
          <w:szCs w:val="24"/>
        </w:rPr>
        <w:t xml:space="preserve">and </w:t>
      </w:r>
      <w:r w:rsidRPr="000E3BD6">
        <w:rPr>
          <w:rFonts w:ascii="Book Antiqua" w:hAnsi="Book Antiqua" w:cs="Times New Roman"/>
          <w:sz w:val="24"/>
          <w:szCs w:val="24"/>
        </w:rPr>
        <w:t xml:space="preserve">100 ng/mL) of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α was placed into the lower chamber. For the inhibition experiment, cells were pre-incubated with 10 µg/mL AMD3100 for 2 h before being added into the upper chamber. After incubating for 12 h, the cells remained on the upside were gently removed with a cotton swab, and the cells adhered on the underside of the membrane were fixed and then stained with 0.1% crystal violet. The mean number of the migrated cells in three random high-power fields was counted under a light microscope (Olympus, Tokyo, Japan).</w:t>
      </w:r>
    </w:p>
    <w:p w14:paraId="4584C3AC" w14:textId="77777777" w:rsidR="006B0A36" w:rsidRPr="000E3BD6" w:rsidRDefault="006B0A36" w:rsidP="00F710B6">
      <w:pPr>
        <w:spacing w:after="0" w:line="360" w:lineRule="auto"/>
        <w:contextualSpacing/>
        <w:jc w:val="both"/>
        <w:rPr>
          <w:rFonts w:ascii="Book Antiqua" w:hAnsi="Book Antiqua" w:cs="Times New Roman"/>
          <w:i/>
          <w:sz w:val="24"/>
          <w:szCs w:val="24"/>
        </w:rPr>
      </w:pPr>
    </w:p>
    <w:p w14:paraId="11537740" w14:textId="35F7B465" w:rsidR="006B0A36" w:rsidRPr="000E3BD6" w:rsidRDefault="006B0A36" w:rsidP="00F710B6">
      <w:pPr>
        <w:spacing w:after="0" w:line="360" w:lineRule="auto"/>
        <w:contextualSpacing/>
        <w:jc w:val="both"/>
        <w:rPr>
          <w:rFonts w:ascii="Book Antiqua" w:hAnsi="Book Antiqua" w:cs="Times New Roman"/>
          <w:b/>
          <w:i/>
          <w:sz w:val="24"/>
          <w:szCs w:val="24"/>
        </w:rPr>
      </w:pPr>
      <w:r w:rsidRPr="000E3BD6">
        <w:rPr>
          <w:rStyle w:val="highlight"/>
          <w:rFonts w:ascii="Book Antiqua" w:hAnsi="Book Antiqua" w:cs="Times New Roman"/>
          <w:b/>
          <w:i/>
          <w:sz w:val="24"/>
          <w:szCs w:val="24"/>
        </w:rPr>
        <w:t>SDF-1</w:t>
      </w:r>
      <w:r w:rsidRPr="000E3BD6">
        <w:rPr>
          <w:rFonts w:ascii="Book Antiqua" w:hAnsi="Book Antiqua" w:cs="Times New Roman"/>
          <w:b/>
          <w:i/>
          <w:sz w:val="24"/>
          <w:szCs w:val="24"/>
        </w:rPr>
        <w:t>α-</w:t>
      </w:r>
      <w:r w:rsidR="001A579C">
        <w:rPr>
          <w:rFonts w:ascii="Book Antiqua" w:hAnsi="Book Antiqua" w:cs="Times New Roman"/>
          <w:b/>
          <w:i/>
          <w:sz w:val="24"/>
          <w:szCs w:val="24"/>
        </w:rPr>
        <w:t>i</w:t>
      </w:r>
      <w:r w:rsidR="001A579C" w:rsidRPr="000E3BD6">
        <w:rPr>
          <w:rFonts w:ascii="Book Antiqua" w:hAnsi="Book Antiqua" w:cs="Times New Roman"/>
          <w:b/>
          <w:i/>
          <w:sz w:val="24"/>
          <w:szCs w:val="24"/>
        </w:rPr>
        <w:t xml:space="preserve">nduced </w:t>
      </w:r>
      <w:r w:rsidRPr="000E3BD6">
        <w:rPr>
          <w:rFonts w:ascii="Book Antiqua" w:hAnsi="Book Antiqua" w:cs="Times New Roman"/>
          <w:b/>
          <w:i/>
          <w:sz w:val="24"/>
          <w:szCs w:val="24"/>
        </w:rPr>
        <w:t>chondrogenic differentiation of NPSCs</w:t>
      </w:r>
    </w:p>
    <w:p w14:paraId="4A129CF4" w14:textId="7AD046E7" w:rsidR="006B0A36" w:rsidRPr="000E3BD6" w:rsidRDefault="006B0A36" w:rsidP="00F710B6">
      <w:pPr>
        <w:adjustRightInd w:val="0"/>
        <w:snapToGrid w:val="0"/>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lastRenderedPageBreak/>
        <w:t xml:space="preserve">NPSCs were exposed to </w:t>
      </w:r>
      <w:bookmarkStart w:id="19" w:name="OLE_LINK4"/>
      <w:bookmarkStart w:id="20" w:name="OLE_LINK5"/>
      <w:r w:rsidRPr="000E3BD6">
        <w:rPr>
          <w:rFonts w:ascii="Book Antiqua" w:hAnsi="Book Antiqua" w:cs="Times New Roman"/>
          <w:sz w:val="24"/>
          <w:szCs w:val="24"/>
        </w:rPr>
        <w:t xml:space="preserve">0, 50, </w:t>
      </w:r>
      <w:r w:rsidR="001A579C">
        <w:rPr>
          <w:rFonts w:ascii="Book Antiqua" w:hAnsi="Book Antiqua" w:cs="Times New Roman"/>
          <w:sz w:val="24"/>
          <w:szCs w:val="24"/>
        </w:rPr>
        <w:t xml:space="preserve">and </w:t>
      </w:r>
      <w:r w:rsidRPr="000E3BD6">
        <w:rPr>
          <w:rFonts w:ascii="Book Antiqua" w:hAnsi="Book Antiqua" w:cs="Times New Roman"/>
          <w:sz w:val="24"/>
          <w:szCs w:val="24"/>
        </w:rPr>
        <w:t>100 ng/mL</w:t>
      </w:r>
      <w:r w:rsidRPr="000E3BD6">
        <w:rPr>
          <w:rStyle w:val="highlight"/>
          <w:rFonts w:ascii="Book Antiqua" w:hAnsi="Book Antiqua" w:cs="Times New Roman"/>
          <w:sz w:val="24"/>
          <w:szCs w:val="24"/>
        </w:rPr>
        <w:t xml:space="preserve"> SDF-1</w:t>
      </w:r>
      <w:r w:rsidRPr="000E3BD6">
        <w:rPr>
          <w:rFonts w:ascii="Book Antiqua" w:hAnsi="Book Antiqua" w:cs="Times New Roman"/>
          <w:sz w:val="24"/>
          <w:szCs w:val="24"/>
        </w:rPr>
        <w:t xml:space="preserve">α </w:t>
      </w:r>
      <w:bookmarkEnd w:id="19"/>
      <w:bookmarkEnd w:id="20"/>
      <w:r w:rsidRPr="000E3BD6">
        <w:rPr>
          <w:rFonts w:ascii="Book Antiqua" w:hAnsi="Book Antiqua" w:cs="Times New Roman"/>
          <w:sz w:val="24"/>
          <w:szCs w:val="24"/>
        </w:rPr>
        <w:t xml:space="preserve">for 72 h with or without pre-treatment with 10 µg/mL AMD3100 for 2 h. Total protein was extracted using PIPA lysis buffer (Applygen, Beijing, China) containing PMSF and then analyzed by immunoblotting. Total RNA extracted using TRIzol reagent was analyzed by real-time RT-PCR. </w:t>
      </w:r>
    </w:p>
    <w:p w14:paraId="471C1A27" w14:textId="761B490C" w:rsidR="006B0A36" w:rsidRPr="000E3BD6" w:rsidRDefault="006B0A36" w:rsidP="00DA4A01">
      <w:pPr>
        <w:adjustRightInd w:val="0"/>
        <w:snapToGrid w:val="0"/>
        <w:spacing w:after="0" w:line="360" w:lineRule="auto"/>
        <w:ind w:firstLineChars="100" w:firstLine="240"/>
        <w:contextualSpacing/>
        <w:jc w:val="both"/>
        <w:rPr>
          <w:rFonts w:ascii="Book Antiqua" w:hAnsi="Book Antiqua" w:cs="Times New Roman"/>
          <w:sz w:val="24"/>
          <w:szCs w:val="24"/>
        </w:rPr>
      </w:pPr>
      <w:r w:rsidRPr="000E3BD6">
        <w:rPr>
          <w:rFonts w:ascii="Book Antiqua" w:hAnsi="Book Antiqua" w:cs="Times New Roman"/>
          <w:sz w:val="24"/>
          <w:szCs w:val="24"/>
        </w:rPr>
        <w:t xml:space="preserve">For aggregate chondrogenesis model, NPSCs were centrifuged into cell micromass and induced </w:t>
      </w:r>
      <w:r w:rsidR="001A579C">
        <w:rPr>
          <w:rFonts w:ascii="Book Antiqua" w:hAnsi="Book Antiqua" w:cs="Times New Roman"/>
          <w:sz w:val="24"/>
          <w:szCs w:val="24"/>
        </w:rPr>
        <w:t>with</w:t>
      </w:r>
      <w:r w:rsidR="001A579C" w:rsidRPr="000E3BD6">
        <w:rPr>
          <w:rFonts w:ascii="Book Antiqua" w:hAnsi="Book Antiqua" w:cs="Times New Roman"/>
          <w:sz w:val="24"/>
          <w:szCs w:val="24"/>
        </w:rPr>
        <w:t xml:space="preserve"> </w:t>
      </w:r>
      <w:r w:rsidRPr="000E3BD6">
        <w:rPr>
          <w:rFonts w:ascii="Book Antiqua" w:hAnsi="Book Antiqua" w:cs="Times New Roman"/>
          <w:sz w:val="24"/>
          <w:szCs w:val="24"/>
        </w:rPr>
        <w:t xml:space="preserve">chondrogenic medium as described above. To determine whether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 xml:space="preserve">α enhanced TGF-1β-induced chondrogenesis of NPSCs,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α was added into the Complete Chondrogenic Medium (Cyagen Biosciences). CXCR4 antagonist</w:t>
      </w:r>
      <w:r w:rsidR="001A579C">
        <w:rPr>
          <w:rFonts w:ascii="Book Antiqua" w:hAnsi="Book Antiqua" w:cs="Times New Roman"/>
          <w:sz w:val="24"/>
          <w:szCs w:val="24"/>
        </w:rPr>
        <w:t xml:space="preserve"> </w:t>
      </w:r>
      <w:r w:rsidRPr="000E3BD6">
        <w:rPr>
          <w:rFonts w:ascii="Book Antiqua" w:hAnsi="Book Antiqua" w:cs="Times New Roman"/>
          <w:sz w:val="24"/>
          <w:szCs w:val="24"/>
        </w:rPr>
        <w:t xml:space="preserve">AMD3100 </w:t>
      </w:r>
      <w:r w:rsidR="001A579C">
        <w:rPr>
          <w:rFonts w:ascii="Book Antiqua" w:hAnsi="Book Antiqua" w:cs="Times New Roman"/>
          <w:sz w:val="24"/>
          <w:szCs w:val="24"/>
        </w:rPr>
        <w:t>(</w:t>
      </w:r>
      <w:r w:rsidR="001A579C" w:rsidRPr="000E3BD6">
        <w:rPr>
          <w:rFonts w:ascii="Book Antiqua" w:hAnsi="Book Antiqua" w:cs="Times New Roman"/>
          <w:sz w:val="24"/>
          <w:szCs w:val="24"/>
        </w:rPr>
        <w:t>10 µg/mL</w:t>
      </w:r>
      <w:r w:rsidR="001A579C">
        <w:rPr>
          <w:rFonts w:ascii="Book Antiqua" w:hAnsi="Book Antiqua" w:cs="Times New Roman"/>
          <w:sz w:val="24"/>
          <w:szCs w:val="24"/>
        </w:rPr>
        <w:t xml:space="preserve">) </w:t>
      </w:r>
      <w:r w:rsidRPr="000E3BD6">
        <w:rPr>
          <w:rFonts w:ascii="Book Antiqua" w:hAnsi="Book Antiqua" w:cs="Times New Roman"/>
          <w:sz w:val="24"/>
          <w:szCs w:val="24"/>
        </w:rPr>
        <w:t xml:space="preserve">was used for the inhibition assay. After 28 d, aggregates were collected for histological analysis, as described below. </w:t>
      </w:r>
    </w:p>
    <w:p w14:paraId="1C241805"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sz w:val="24"/>
          <w:szCs w:val="24"/>
        </w:rPr>
      </w:pPr>
    </w:p>
    <w:p w14:paraId="2FBA4718" w14:textId="77777777" w:rsidR="006B0A36" w:rsidRPr="000E3BD6" w:rsidRDefault="006B0A36" w:rsidP="00F710B6">
      <w:pPr>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Immunofluorescence staining</w:t>
      </w:r>
    </w:p>
    <w:p w14:paraId="18461DF1" w14:textId="0FCE38EA" w:rsidR="006B0A36" w:rsidRPr="000E3BD6" w:rsidRDefault="006B0A36" w:rsidP="00F710B6">
      <w:pPr>
        <w:autoSpaceDE w:val="0"/>
        <w:autoSpaceDN w:val="0"/>
        <w:adjustRightInd w:val="0"/>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NPSCs were seeded on slides and treated with or without 100 ng/mL SDF-1α for 24 h. For inhibition, the cells were pre-treated with 10 µg/mL AMD3100 for 2 h before treatment with 100 ng/mL SDF-1α. Then</w:t>
      </w:r>
      <w:r w:rsidR="001A579C">
        <w:rPr>
          <w:rFonts w:ascii="Book Antiqua" w:hAnsi="Book Antiqua" w:cs="Times New Roman"/>
          <w:sz w:val="24"/>
          <w:szCs w:val="24"/>
        </w:rPr>
        <w:t>,</w:t>
      </w:r>
      <w:r w:rsidRPr="000E3BD6">
        <w:rPr>
          <w:rFonts w:ascii="Book Antiqua" w:hAnsi="Book Antiqua" w:cs="Times New Roman"/>
          <w:sz w:val="24"/>
          <w:szCs w:val="24"/>
        </w:rPr>
        <w:t xml:space="preserve"> cells were fixed </w:t>
      </w:r>
      <w:r w:rsidR="001A579C">
        <w:rPr>
          <w:rFonts w:ascii="Book Antiqua" w:hAnsi="Book Antiqua" w:cs="Times New Roman"/>
          <w:sz w:val="24"/>
          <w:szCs w:val="24"/>
        </w:rPr>
        <w:t>with</w:t>
      </w:r>
      <w:r w:rsidR="001A579C" w:rsidRPr="000E3BD6">
        <w:rPr>
          <w:rFonts w:ascii="Book Antiqua" w:hAnsi="Book Antiqua" w:cs="Times New Roman"/>
          <w:sz w:val="24"/>
          <w:szCs w:val="24"/>
        </w:rPr>
        <w:t xml:space="preserve"> </w:t>
      </w:r>
      <w:r w:rsidRPr="000E3BD6">
        <w:rPr>
          <w:rFonts w:ascii="Book Antiqua" w:hAnsi="Book Antiqua" w:cs="Times New Roman"/>
          <w:sz w:val="24"/>
          <w:szCs w:val="24"/>
        </w:rPr>
        <w:t xml:space="preserve">4% paraformaldehyde, permeabilized with 0.1% Triton-X-100 in PBS, and blocked with 10% goat serum. Subsequently, the cells were incubated with primary antibody rabbit-anti-rat CXCR4 (1:50 dilution; Abcam) at 4 </w:t>
      </w:r>
      <w:r w:rsidRPr="000E3BD6">
        <w:rPr>
          <w:rFonts w:ascii="Book Antiqua" w:hAnsi="Book Antiqua" w:cs="Times New Roman"/>
          <w:sz w:val="24"/>
          <w:szCs w:val="24"/>
        </w:rPr>
        <w:sym w:font="Symbol" w:char="F0B0"/>
      </w:r>
      <w:r w:rsidRPr="000E3BD6">
        <w:rPr>
          <w:rFonts w:ascii="Book Antiqua" w:hAnsi="Book Antiqua" w:cs="Times New Roman"/>
          <w:sz w:val="24"/>
          <w:szCs w:val="24"/>
        </w:rPr>
        <w:t>C overnight. After PBS washing, cells were incubated with FITC-conjugated goat-anti-rabbit secondary antibody (Abcam) and red fluorescence-conjugate phalloidin working solution using a CytoPainter F-actin staining kit (Abcam) at room temperature for 60 min before counterstaining with DAPI (Beyotime, Shanghai, China). Cells that were incubated only with secondary antibody served as the negative control. Images were obtained using a confocal laser scanning microscope (LSM780, Zeiss, Germany).</w:t>
      </w:r>
    </w:p>
    <w:p w14:paraId="54F75F32" w14:textId="77777777" w:rsidR="006B0A36" w:rsidRPr="000E3BD6" w:rsidRDefault="006B0A36" w:rsidP="00F710B6">
      <w:pPr>
        <w:spacing w:after="0" w:line="360" w:lineRule="auto"/>
        <w:contextualSpacing/>
        <w:jc w:val="both"/>
        <w:rPr>
          <w:rFonts w:ascii="Book Antiqua" w:hAnsi="Book Antiqua" w:cs="Times New Roman"/>
          <w:i/>
          <w:sz w:val="24"/>
          <w:szCs w:val="24"/>
        </w:rPr>
      </w:pPr>
    </w:p>
    <w:p w14:paraId="310BE74B"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 xml:space="preserve">Immunohistochemical analysis </w:t>
      </w:r>
    </w:p>
    <w:p w14:paraId="30B4F1D4" w14:textId="756A1DAE" w:rsidR="006B0A36" w:rsidRPr="000E3BD6" w:rsidRDefault="006B0A36" w:rsidP="00F710B6">
      <w:pPr>
        <w:autoSpaceDE w:val="0"/>
        <w:autoSpaceDN w:val="0"/>
        <w:adjustRightInd w:val="0"/>
        <w:spacing w:after="0" w:line="360" w:lineRule="auto"/>
        <w:contextualSpacing/>
        <w:jc w:val="both"/>
        <w:rPr>
          <w:rFonts w:ascii="Book Antiqua" w:hAnsi="Book Antiqua" w:cs="Times New Roman"/>
          <w:i/>
          <w:sz w:val="24"/>
          <w:szCs w:val="24"/>
        </w:rPr>
      </w:pPr>
      <w:r w:rsidRPr="000E3BD6">
        <w:rPr>
          <w:rFonts w:ascii="Book Antiqua" w:hAnsi="Book Antiqua" w:cs="Times New Roman"/>
          <w:sz w:val="24"/>
          <w:szCs w:val="24"/>
        </w:rPr>
        <w:t>The specimens were fix</w:t>
      </w:r>
      <w:r w:rsidR="00FF4279" w:rsidRPr="000E3BD6">
        <w:rPr>
          <w:rFonts w:ascii="Book Antiqua" w:hAnsi="Book Antiqua" w:cs="Times New Roman"/>
          <w:sz w:val="24"/>
          <w:szCs w:val="24"/>
        </w:rPr>
        <w:t>ed in 10% formaldehyde for 1 w</w:t>
      </w:r>
      <w:r w:rsidRPr="000E3BD6">
        <w:rPr>
          <w:rFonts w:ascii="Book Antiqua" w:hAnsi="Book Antiqua" w:cs="Times New Roman"/>
          <w:sz w:val="24"/>
          <w:szCs w:val="24"/>
        </w:rPr>
        <w:t>k, dec</w:t>
      </w:r>
      <w:r w:rsidR="00FF4279" w:rsidRPr="000E3BD6">
        <w:rPr>
          <w:rFonts w:ascii="Book Antiqua" w:hAnsi="Book Antiqua" w:cs="Times New Roman"/>
          <w:sz w:val="24"/>
          <w:szCs w:val="24"/>
        </w:rPr>
        <w:t>alcified in 0.05% EDTA for 4 wk</w:t>
      </w:r>
      <w:r w:rsidRPr="000E3BD6">
        <w:rPr>
          <w:rFonts w:ascii="Book Antiqua" w:hAnsi="Book Antiqua" w:cs="Times New Roman"/>
          <w:sz w:val="24"/>
          <w:szCs w:val="24"/>
        </w:rPr>
        <w:t xml:space="preserve">, and then embedded in paraffin. Serial sagittal sections of discs (5 μm thickness) </w:t>
      </w:r>
      <w:r w:rsidRPr="000E3BD6">
        <w:rPr>
          <w:rFonts w:ascii="Book Antiqua" w:hAnsi="Book Antiqua" w:cs="Times New Roman"/>
          <w:sz w:val="24"/>
          <w:szCs w:val="24"/>
        </w:rPr>
        <w:lastRenderedPageBreak/>
        <w:t xml:space="preserve">were prepared, deparaffinized in dimethylbenzene, and rehydrated, before being incubated with rabbit primary antibodies for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 xml:space="preserve">α (1:100 dilution; Cell Signaling Technology, MA, </w:t>
      </w:r>
      <w:r w:rsidR="00FF4279" w:rsidRPr="000E3BD6">
        <w:rPr>
          <w:rFonts w:ascii="Book Antiqua" w:hAnsi="Book Antiqua" w:cs="Times New Roman"/>
          <w:sz w:val="24"/>
          <w:szCs w:val="24"/>
        </w:rPr>
        <w:t>U</w:t>
      </w:r>
      <w:r w:rsidR="00FF4279" w:rsidRPr="000E3BD6">
        <w:rPr>
          <w:rFonts w:ascii="Book Antiqua" w:hAnsi="Book Antiqua" w:cs="Times New Roman" w:hint="eastAsia"/>
          <w:sz w:val="24"/>
          <w:szCs w:val="24"/>
        </w:rPr>
        <w:t xml:space="preserve">nited </w:t>
      </w:r>
      <w:r w:rsidR="00FF4279" w:rsidRPr="000E3BD6">
        <w:rPr>
          <w:rFonts w:ascii="Book Antiqua" w:hAnsi="Book Antiqua" w:cs="Times New Roman"/>
          <w:sz w:val="24"/>
          <w:szCs w:val="24"/>
        </w:rPr>
        <w:t>S</w:t>
      </w:r>
      <w:r w:rsidR="00FF4279" w:rsidRPr="000E3BD6">
        <w:rPr>
          <w:rFonts w:ascii="Book Antiqua" w:hAnsi="Book Antiqua" w:cs="Times New Roman" w:hint="eastAsia"/>
          <w:sz w:val="24"/>
          <w:szCs w:val="24"/>
        </w:rPr>
        <w:t>tates</w:t>
      </w:r>
      <w:r w:rsidRPr="000E3BD6">
        <w:rPr>
          <w:rFonts w:ascii="Book Antiqua" w:hAnsi="Book Antiqua" w:cs="Times New Roman"/>
          <w:sz w:val="24"/>
          <w:szCs w:val="24"/>
        </w:rPr>
        <w:t xml:space="preserve">), collagen II </w:t>
      </w:r>
      <w:r w:rsidRPr="000E3BD6">
        <w:rPr>
          <w:rFonts w:ascii="Book Antiqua" w:eastAsia="宋体" w:hAnsi="Book Antiqua" w:cs="Times New Roman"/>
          <w:sz w:val="24"/>
          <w:szCs w:val="24"/>
        </w:rPr>
        <w:t>(</w:t>
      </w:r>
      <w:r w:rsidRPr="000E3BD6">
        <w:rPr>
          <w:rFonts w:ascii="Book Antiqua" w:hAnsi="Book Antiqua" w:cs="Times New Roman"/>
          <w:sz w:val="24"/>
          <w:szCs w:val="24"/>
        </w:rPr>
        <w:t xml:space="preserve">dilution 1:200; Abcam), and aggrecan (dilution 1:400; Bioss, Beijing, China) overnight at 4 </w:t>
      </w:r>
      <w:r w:rsidRPr="000E3BD6">
        <w:rPr>
          <w:rFonts w:ascii="Book Antiqua" w:hAnsi="Book Antiqua" w:cs="Times New Roman"/>
          <w:sz w:val="24"/>
          <w:szCs w:val="24"/>
        </w:rPr>
        <w:sym w:font="Symbol" w:char="F0B0"/>
      </w:r>
      <w:r w:rsidRPr="000E3BD6">
        <w:rPr>
          <w:rFonts w:ascii="Book Antiqua" w:hAnsi="Book Antiqua" w:cs="Times New Roman"/>
          <w:sz w:val="24"/>
          <w:szCs w:val="24"/>
        </w:rPr>
        <w:t xml:space="preserve">C. The next day, all sections were washed with PBS and incubated with secondary antibody horseradish peroxidase conjugated goat anti-rabbit IgG (1:200 dilution; Abcam) at 37 </w:t>
      </w:r>
      <w:r w:rsidRPr="000E3BD6">
        <w:rPr>
          <w:rFonts w:ascii="Book Antiqua" w:hAnsi="Book Antiqua" w:cs="Times New Roman"/>
          <w:sz w:val="24"/>
          <w:szCs w:val="24"/>
        </w:rPr>
        <w:sym w:font="Symbol" w:char="F0B0"/>
      </w:r>
      <w:r w:rsidRPr="000E3BD6">
        <w:rPr>
          <w:rFonts w:ascii="Book Antiqua" w:hAnsi="Book Antiqua" w:cs="Times New Roman"/>
          <w:sz w:val="24"/>
          <w:szCs w:val="24"/>
        </w:rPr>
        <w:t>C</w:t>
      </w:r>
      <w:r w:rsidRPr="000E3BD6">
        <w:rPr>
          <w:rFonts w:ascii="Book Antiqua" w:eastAsia="微软雅黑" w:hAnsi="Book Antiqua" w:cs="Times New Roman"/>
          <w:sz w:val="24"/>
          <w:szCs w:val="24"/>
        </w:rPr>
        <w:t xml:space="preserve"> </w:t>
      </w:r>
      <w:r w:rsidRPr="000E3BD6">
        <w:rPr>
          <w:rFonts w:ascii="Book Antiqua" w:hAnsi="Book Antiqua" w:cs="Times New Roman"/>
          <w:sz w:val="24"/>
          <w:szCs w:val="24"/>
        </w:rPr>
        <w:t>for 20 min, followed by color development with diaminobenzidine (DAB, Beyotime). The sections were then counterstained with hematoxylin (Beyotime), mounted on coverslips, and examined using a light microscope (Nikon, Japan). Integrated optical density, as the evaluation parameter for immunohistochemistry, was measured using</w:t>
      </w:r>
      <w:r w:rsidR="00EF42AC">
        <w:rPr>
          <w:rFonts w:ascii="Book Antiqua" w:hAnsi="Book Antiqua" w:cs="Times New Roman"/>
          <w:sz w:val="24"/>
          <w:szCs w:val="24"/>
        </w:rPr>
        <w:t xml:space="preserve"> </w:t>
      </w:r>
      <w:r w:rsidRPr="000E3BD6">
        <w:rPr>
          <w:rFonts w:ascii="Book Antiqua" w:hAnsi="Book Antiqua" w:cs="Times New Roman"/>
          <w:sz w:val="24"/>
          <w:szCs w:val="24"/>
        </w:rPr>
        <w:t xml:space="preserve">Image-Pro Plus 6.0 software (Media Cybernetics, Silver Spring, MD, </w:t>
      </w:r>
      <w:r w:rsidR="00FF4279" w:rsidRPr="000E3BD6">
        <w:rPr>
          <w:rFonts w:ascii="Book Antiqua" w:hAnsi="Book Antiqua" w:cs="Times New Roman"/>
          <w:sz w:val="24"/>
          <w:szCs w:val="24"/>
        </w:rPr>
        <w:t>U</w:t>
      </w:r>
      <w:r w:rsidR="00FF4279" w:rsidRPr="000E3BD6">
        <w:rPr>
          <w:rFonts w:ascii="Book Antiqua" w:hAnsi="Book Antiqua" w:cs="Times New Roman" w:hint="eastAsia"/>
          <w:sz w:val="24"/>
          <w:szCs w:val="24"/>
        </w:rPr>
        <w:t xml:space="preserve">nited </w:t>
      </w:r>
      <w:r w:rsidR="00FF4279" w:rsidRPr="000E3BD6">
        <w:rPr>
          <w:rFonts w:ascii="Book Antiqua" w:hAnsi="Book Antiqua" w:cs="Times New Roman"/>
          <w:sz w:val="24"/>
          <w:szCs w:val="24"/>
        </w:rPr>
        <w:t>S</w:t>
      </w:r>
      <w:r w:rsidR="00FF4279" w:rsidRPr="000E3BD6">
        <w:rPr>
          <w:rFonts w:ascii="Book Antiqua" w:hAnsi="Book Antiqua" w:cs="Times New Roman" w:hint="eastAsia"/>
          <w:sz w:val="24"/>
          <w:szCs w:val="24"/>
        </w:rPr>
        <w:t>tates</w:t>
      </w:r>
      <w:r w:rsidRPr="000E3BD6">
        <w:rPr>
          <w:rFonts w:ascii="Book Antiqua" w:hAnsi="Book Antiqua" w:cs="Times New Roman"/>
          <w:sz w:val="24"/>
          <w:szCs w:val="24"/>
        </w:rPr>
        <w:t xml:space="preserve">). </w:t>
      </w:r>
    </w:p>
    <w:p w14:paraId="28AE13BB" w14:textId="77777777" w:rsidR="006B0A36" w:rsidRPr="000E3BD6" w:rsidRDefault="006B0A36" w:rsidP="00F710B6">
      <w:pPr>
        <w:adjustRightInd w:val="0"/>
        <w:snapToGrid w:val="0"/>
        <w:spacing w:after="0" w:line="360" w:lineRule="auto"/>
        <w:contextualSpacing/>
        <w:jc w:val="both"/>
        <w:rPr>
          <w:rFonts w:ascii="Book Antiqua" w:hAnsi="Book Antiqua" w:cs="Times New Roman"/>
          <w:b/>
          <w:i/>
          <w:sz w:val="24"/>
          <w:szCs w:val="24"/>
        </w:rPr>
      </w:pPr>
    </w:p>
    <w:p w14:paraId="3937ABE0" w14:textId="77777777" w:rsidR="006B0A36" w:rsidRPr="000E3BD6" w:rsidRDefault="006B0A36" w:rsidP="00F710B6">
      <w:pPr>
        <w:adjustRightInd w:val="0"/>
        <w:snapToGrid w:val="0"/>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 xml:space="preserve">Real-time RT-PCR </w:t>
      </w:r>
    </w:p>
    <w:p w14:paraId="27C97A08" w14:textId="6E1714A2" w:rsidR="006B0A36" w:rsidRPr="000E3BD6" w:rsidRDefault="006B0A36"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Total mRNA (1 µg) was used to synthesize cDNA using the GoScript</w:t>
      </w:r>
      <w:r w:rsidRPr="000E3BD6">
        <w:rPr>
          <w:rFonts w:ascii="Book Antiqua" w:hAnsi="Book Antiqua" w:cs="Times New Roman"/>
          <w:sz w:val="24"/>
          <w:szCs w:val="24"/>
          <w:vertAlign w:val="superscript"/>
        </w:rPr>
        <w:t xml:space="preserve">TM </w:t>
      </w:r>
      <w:r w:rsidRPr="000E3BD6">
        <w:rPr>
          <w:rFonts w:ascii="Book Antiqua" w:hAnsi="Book Antiqua" w:cs="Times New Roman"/>
          <w:sz w:val="24"/>
          <w:szCs w:val="24"/>
        </w:rPr>
        <w:t>Reverse</w:t>
      </w:r>
      <w:r w:rsidRPr="000E3BD6">
        <w:rPr>
          <w:rFonts w:ascii="Book Antiqua" w:hAnsi="Book Antiqua" w:cs="Times New Roman"/>
          <w:sz w:val="24"/>
          <w:szCs w:val="24"/>
          <w:vertAlign w:val="superscript"/>
        </w:rPr>
        <w:t xml:space="preserve"> </w:t>
      </w:r>
      <w:r w:rsidRPr="000E3BD6">
        <w:rPr>
          <w:rFonts w:ascii="Book Antiqua" w:hAnsi="Book Antiqua" w:cs="Times New Roman"/>
          <w:sz w:val="24"/>
          <w:szCs w:val="24"/>
        </w:rPr>
        <w:t xml:space="preserve">Transcription System (Promega, Madison, WI, </w:t>
      </w:r>
      <w:r w:rsidR="00FF4279" w:rsidRPr="000E3BD6">
        <w:rPr>
          <w:rFonts w:ascii="Book Antiqua" w:hAnsi="Book Antiqua" w:cs="Times New Roman"/>
          <w:sz w:val="24"/>
          <w:szCs w:val="24"/>
        </w:rPr>
        <w:t>U</w:t>
      </w:r>
      <w:r w:rsidR="00FF4279" w:rsidRPr="000E3BD6">
        <w:rPr>
          <w:rFonts w:ascii="Book Antiqua" w:hAnsi="Book Antiqua" w:cs="Times New Roman" w:hint="eastAsia"/>
          <w:sz w:val="24"/>
          <w:szCs w:val="24"/>
        </w:rPr>
        <w:t xml:space="preserve">nited </w:t>
      </w:r>
      <w:r w:rsidR="00FF4279" w:rsidRPr="000E3BD6">
        <w:rPr>
          <w:rFonts w:ascii="Book Antiqua" w:hAnsi="Book Antiqua" w:cs="Times New Roman"/>
          <w:sz w:val="24"/>
          <w:szCs w:val="24"/>
        </w:rPr>
        <w:t>S</w:t>
      </w:r>
      <w:r w:rsidR="00FF4279" w:rsidRPr="000E3BD6">
        <w:rPr>
          <w:rFonts w:ascii="Book Antiqua" w:hAnsi="Book Antiqua" w:cs="Times New Roman" w:hint="eastAsia"/>
          <w:sz w:val="24"/>
          <w:szCs w:val="24"/>
        </w:rPr>
        <w:t>tates</w:t>
      </w:r>
      <w:r w:rsidRPr="000E3BD6">
        <w:rPr>
          <w:rFonts w:ascii="Book Antiqua" w:hAnsi="Book Antiqua" w:cs="Times New Roman"/>
          <w:sz w:val="24"/>
          <w:szCs w:val="24"/>
        </w:rPr>
        <w:t>) following the manufacturer’s instructions. Subsequently, a PCR assay was performed using a LightCycler</w:t>
      </w:r>
      <w:r w:rsidRPr="000E3BD6">
        <w:rPr>
          <w:rFonts w:ascii="Book Antiqua" w:eastAsia="仿宋" w:hAnsi="Book Antiqua" w:cs="Times New Roman"/>
          <w:sz w:val="24"/>
          <w:szCs w:val="24"/>
          <w:vertAlign w:val="superscript"/>
        </w:rPr>
        <w:t>®</w:t>
      </w:r>
      <w:r w:rsidRPr="000E3BD6">
        <w:rPr>
          <w:rFonts w:ascii="Book Antiqua" w:hAnsi="Book Antiqua" w:cs="Times New Roman"/>
          <w:sz w:val="24"/>
          <w:szCs w:val="24"/>
        </w:rPr>
        <w:t xml:space="preserve"> 480</w:t>
      </w:r>
      <w:r w:rsidRPr="000E3BD6">
        <w:rPr>
          <w:rFonts w:ascii="Book Antiqua" w:eastAsia="仿宋" w:hAnsi="Book Antiqua" w:cs="Times New Roman"/>
          <w:sz w:val="24"/>
          <w:szCs w:val="24"/>
        </w:rPr>
        <w:t xml:space="preserve"> </w:t>
      </w:r>
      <w:r w:rsidRPr="000E3BD6">
        <w:rPr>
          <w:rFonts w:ascii="Book Antiqua" w:hAnsi="Book Antiqua" w:cs="Times New Roman"/>
          <w:sz w:val="24"/>
          <w:szCs w:val="24"/>
        </w:rPr>
        <w:t>real-time PCR system</w:t>
      </w:r>
      <w:r w:rsidRPr="000E3BD6">
        <w:rPr>
          <w:rFonts w:ascii="Book Antiqua" w:eastAsia="仿宋" w:hAnsi="Book Antiqua" w:cs="Times New Roman"/>
          <w:sz w:val="24"/>
          <w:szCs w:val="24"/>
        </w:rPr>
        <w:t xml:space="preserve"> </w:t>
      </w:r>
      <w:r w:rsidRPr="000E3BD6">
        <w:rPr>
          <w:rFonts w:ascii="Book Antiqua" w:hAnsi="Book Antiqua" w:cs="Times New Roman"/>
          <w:sz w:val="24"/>
          <w:szCs w:val="24"/>
        </w:rPr>
        <w:t xml:space="preserve">with SYBR Green Master I (Roche, Indianapolis, IN, </w:t>
      </w:r>
      <w:r w:rsidR="00FF4279" w:rsidRPr="000E3BD6">
        <w:rPr>
          <w:rFonts w:ascii="Book Antiqua" w:hAnsi="Book Antiqua" w:cs="Times New Roman"/>
          <w:sz w:val="24"/>
          <w:szCs w:val="24"/>
        </w:rPr>
        <w:t>U</w:t>
      </w:r>
      <w:r w:rsidR="00FF4279" w:rsidRPr="000E3BD6">
        <w:rPr>
          <w:rFonts w:ascii="Book Antiqua" w:hAnsi="Book Antiqua" w:cs="Times New Roman" w:hint="eastAsia"/>
          <w:sz w:val="24"/>
          <w:szCs w:val="24"/>
        </w:rPr>
        <w:t xml:space="preserve">nited </w:t>
      </w:r>
      <w:r w:rsidR="00FF4279" w:rsidRPr="000E3BD6">
        <w:rPr>
          <w:rFonts w:ascii="Book Antiqua" w:hAnsi="Book Antiqua" w:cs="Times New Roman"/>
          <w:sz w:val="24"/>
          <w:szCs w:val="24"/>
        </w:rPr>
        <w:t>S</w:t>
      </w:r>
      <w:r w:rsidR="00FF4279" w:rsidRPr="000E3BD6">
        <w:rPr>
          <w:rFonts w:ascii="Book Antiqua" w:hAnsi="Book Antiqua" w:cs="Times New Roman" w:hint="eastAsia"/>
          <w:sz w:val="24"/>
          <w:szCs w:val="24"/>
        </w:rPr>
        <w:t>tates</w:t>
      </w:r>
      <w:r w:rsidRPr="000E3BD6">
        <w:rPr>
          <w:rFonts w:ascii="Book Antiqua" w:hAnsi="Book Antiqua" w:cs="Times New Roman"/>
          <w:sz w:val="24"/>
          <w:szCs w:val="24"/>
        </w:rPr>
        <w:t xml:space="preserve">). A 20 µL reaction volume was used. The reactions were run </w:t>
      </w:r>
      <w:r w:rsidR="00EF42AC">
        <w:rPr>
          <w:rFonts w:ascii="Book Antiqua" w:hAnsi="Book Antiqua" w:cs="Times New Roman"/>
          <w:sz w:val="24"/>
          <w:szCs w:val="24"/>
        </w:rPr>
        <w:t>o</w:t>
      </w:r>
      <w:r w:rsidR="00EF42AC" w:rsidRPr="000E3BD6">
        <w:rPr>
          <w:rFonts w:ascii="Book Antiqua" w:hAnsi="Book Antiqua" w:cs="Times New Roman"/>
          <w:sz w:val="24"/>
          <w:szCs w:val="24"/>
        </w:rPr>
        <w:t xml:space="preserve">n </w:t>
      </w:r>
      <w:r w:rsidRPr="000E3BD6">
        <w:rPr>
          <w:rFonts w:ascii="Book Antiqua" w:hAnsi="Book Antiqua" w:cs="Times New Roman"/>
          <w:sz w:val="24"/>
          <w:szCs w:val="24"/>
        </w:rPr>
        <w:t xml:space="preserve">a Peltier Thermal Cycler (Bio-Rad, California, </w:t>
      </w:r>
      <w:r w:rsidR="00FF4279" w:rsidRPr="000E3BD6">
        <w:rPr>
          <w:rFonts w:ascii="Book Antiqua" w:hAnsi="Book Antiqua" w:cs="Times New Roman"/>
          <w:sz w:val="24"/>
          <w:szCs w:val="24"/>
        </w:rPr>
        <w:t>U</w:t>
      </w:r>
      <w:r w:rsidR="00FF4279" w:rsidRPr="000E3BD6">
        <w:rPr>
          <w:rFonts w:ascii="Book Antiqua" w:hAnsi="Book Antiqua" w:cs="Times New Roman" w:hint="eastAsia"/>
          <w:sz w:val="24"/>
          <w:szCs w:val="24"/>
        </w:rPr>
        <w:t xml:space="preserve">nited </w:t>
      </w:r>
      <w:r w:rsidR="00FF4279" w:rsidRPr="000E3BD6">
        <w:rPr>
          <w:rFonts w:ascii="Book Antiqua" w:hAnsi="Book Antiqua" w:cs="Times New Roman"/>
          <w:sz w:val="24"/>
          <w:szCs w:val="24"/>
        </w:rPr>
        <w:t>S</w:t>
      </w:r>
      <w:r w:rsidR="00FF4279" w:rsidRPr="000E3BD6">
        <w:rPr>
          <w:rFonts w:ascii="Book Antiqua" w:hAnsi="Book Antiqua" w:cs="Times New Roman" w:hint="eastAsia"/>
          <w:sz w:val="24"/>
          <w:szCs w:val="24"/>
        </w:rPr>
        <w:t>tates</w:t>
      </w:r>
      <w:r w:rsidRPr="000E3BD6">
        <w:rPr>
          <w:rFonts w:ascii="Book Antiqua" w:hAnsi="Book Antiqua" w:cs="Times New Roman"/>
          <w:sz w:val="24"/>
          <w:szCs w:val="24"/>
        </w:rPr>
        <w:t xml:space="preserve">) under the following conditions: 95 </w:t>
      </w:r>
      <w:r w:rsidRPr="000E3BD6">
        <w:rPr>
          <w:rFonts w:ascii="Book Antiqua" w:hAnsi="Book Antiqua" w:cs="Times New Roman"/>
          <w:sz w:val="24"/>
          <w:szCs w:val="24"/>
        </w:rPr>
        <w:sym w:font="Symbol" w:char="F0B0"/>
      </w:r>
      <w:r w:rsidRPr="000E3BD6">
        <w:rPr>
          <w:rFonts w:ascii="Book Antiqua" w:hAnsi="Book Antiqua" w:cs="Times New Roman"/>
          <w:sz w:val="24"/>
          <w:szCs w:val="24"/>
        </w:rPr>
        <w:t>C</w:t>
      </w:r>
      <w:r w:rsidRPr="000E3BD6">
        <w:rPr>
          <w:rFonts w:ascii="Book Antiqua" w:eastAsia="微软雅黑" w:hAnsi="Book Antiqua" w:cs="Times New Roman"/>
          <w:sz w:val="24"/>
          <w:szCs w:val="24"/>
        </w:rPr>
        <w:t xml:space="preserve"> </w:t>
      </w:r>
      <w:r w:rsidRPr="000E3BD6">
        <w:rPr>
          <w:rFonts w:ascii="Book Antiqua" w:hAnsi="Book Antiqua" w:cs="Times New Roman"/>
          <w:sz w:val="24"/>
          <w:szCs w:val="24"/>
        </w:rPr>
        <w:t xml:space="preserve">for 5 min, followed by 40 cycles of 95 </w:t>
      </w:r>
      <w:r w:rsidRPr="000E3BD6">
        <w:rPr>
          <w:rFonts w:ascii="Book Antiqua" w:hAnsi="Book Antiqua" w:cs="Times New Roman"/>
          <w:sz w:val="24"/>
          <w:szCs w:val="24"/>
        </w:rPr>
        <w:sym w:font="Symbol" w:char="F0B0"/>
      </w:r>
      <w:r w:rsidRPr="000E3BD6">
        <w:rPr>
          <w:rFonts w:ascii="Book Antiqua" w:hAnsi="Book Antiqua" w:cs="Times New Roman"/>
          <w:sz w:val="24"/>
          <w:szCs w:val="24"/>
        </w:rPr>
        <w:t xml:space="preserve">C for 10 s, 60 </w:t>
      </w:r>
      <w:r w:rsidRPr="000E3BD6">
        <w:rPr>
          <w:rFonts w:ascii="Book Antiqua" w:hAnsi="Book Antiqua" w:cs="Times New Roman"/>
          <w:sz w:val="24"/>
          <w:szCs w:val="24"/>
        </w:rPr>
        <w:sym w:font="Symbol" w:char="F0B0"/>
      </w:r>
      <w:r w:rsidRPr="000E3BD6">
        <w:rPr>
          <w:rFonts w:ascii="Book Antiqua" w:hAnsi="Book Antiqua" w:cs="Times New Roman"/>
          <w:sz w:val="24"/>
          <w:szCs w:val="24"/>
        </w:rPr>
        <w:t xml:space="preserve">C for 20 s, and 72 </w:t>
      </w:r>
      <w:r w:rsidRPr="000E3BD6">
        <w:rPr>
          <w:rFonts w:ascii="Book Antiqua" w:hAnsi="Book Antiqua" w:cs="Times New Roman"/>
          <w:sz w:val="24"/>
          <w:szCs w:val="24"/>
        </w:rPr>
        <w:sym w:font="Symbol" w:char="F0B0"/>
      </w:r>
      <w:r w:rsidRPr="000E3BD6">
        <w:rPr>
          <w:rFonts w:ascii="Book Antiqua" w:hAnsi="Book Antiqua" w:cs="Times New Roman"/>
          <w:sz w:val="24"/>
          <w:szCs w:val="24"/>
        </w:rPr>
        <w:t>C</w:t>
      </w:r>
      <w:r w:rsidRPr="000E3BD6">
        <w:rPr>
          <w:rFonts w:ascii="Book Antiqua" w:eastAsia="微软雅黑" w:hAnsi="Book Antiqua" w:cs="Times New Roman"/>
          <w:sz w:val="24"/>
          <w:szCs w:val="24"/>
        </w:rPr>
        <w:t xml:space="preserve"> for 20 s</w:t>
      </w:r>
      <w:r w:rsidRPr="000E3BD6">
        <w:rPr>
          <w:rFonts w:ascii="Book Antiqua" w:hAnsi="Book Antiqua" w:cs="Times New Roman"/>
          <w:sz w:val="24"/>
          <w:szCs w:val="24"/>
        </w:rPr>
        <w:t xml:space="preserve">. Custom-specific primers (Sangon Biotech, Shanghai, China) </w:t>
      </w:r>
      <w:r w:rsidR="00EF42AC">
        <w:rPr>
          <w:rFonts w:ascii="Book Antiqua" w:hAnsi="Book Antiqua" w:cs="Times New Roman"/>
          <w:sz w:val="24"/>
          <w:szCs w:val="24"/>
        </w:rPr>
        <w:t>are</w:t>
      </w:r>
      <w:r w:rsidR="00EF42AC" w:rsidRPr="000E3BD6">
        <w:rPr>
          <w:rFonts w:ascii="Book Antiqua" w:hAnsi="Book Antiqua" w:cs="Times New Roman"/>
          <w:sz w:val="24"/>
          <w:szCs w:val="24"/>
        </w:rPr>
        <w:t xml:space="preserve"> </w:t>
      </w:r>
      <w:r w:rsidRPr="000E3BD6">
        <w:rPr>
          <w:rFonts w:ascii="Book Antiqua" w:hAnsi="Book Antiqua" w:cs="Times New Roman"/>
          <w:sz w:val="24"/>
          <w:szCs w:val="24"/>
        </w:rPr>
        <w:t xml:space="preserve">described in Table 1. β-actin was employed as the internal reference gene. The relative gene expression was calculated using the </w:t>
      </w:r>
      <w:r w:rsidRPr="000E3BD6">
        <w:rPr>
          <w:rFonts w:ascii="Book Antiqua" w:eastAsia="仿宋" w:hAnsi="Book Antiqua" w:cs="Times New Roman"/>
          <w:sz w:val="24"/>
          <w:szCs w:val="24"/>
        </w:rPr>
        <w:t>2</w:t>
      </w:r>
      <w:r w:rsidRPr="000E3BD6">
        <w:rPr>
          <w:rFonts w:ascii="Book Antiqua" w:eastAsia="仿宋" w:hAnsi="Book Antiqua" w:cs="Times New Roman"/>
          <w:sz w:val="24"/>
          <w:szCs w:val="24"/>
          <w:vertAlign w:val="superscript"/>
        </w:rPr>
        <w:t>–ΔΔCt</w:t>
      </w:r>
      <w:r w:rsidRPr="000E3BD6">
        <w:rPr>
          <w:rFonts w:ascii="Book Antiqua" w:hAnsi="Book Antiqua" w:cs="Times New Roman"/>
          <w:sz w:val="24"/>
          <w:szCs w:val="24"/>
        </w:rPr>
        <w:t xml:space="preserve"> method and was normalized to the gene expression of the control. </w:t>
      </w:r>
    </w:p>
    <w:p w14:paraId="775B4D95"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i/>
          <w:sz w:val="24"/>
          <w:szCs w:val="24"/>
        </w:rPr>
      </w:pPr>
    </w:p>
    <w:p w14:paraId="04BC54AE"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 xml:space="preserve">Immunoblotting </w:t>
      </w:r>
    </w:p>
    <w:p w14:paraId="48093AF4" w14:textId="594237FF" w:rsidR="006B0A36" w:rsidRPr="000E3BD6" w:rsidRDefault="006B0A36" w:rsidP="00F710B6">
      <w:pPr>
        <w:autoSpaceDE w:val="0"/>
        <w:autoSpaceDN w:val="0"/>
        <w:adjustRightInd w:val="0"/>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 xml:space="preserve">Protein samples were separated by 8% or 10% (wt/vol) sodium dodecyl sulfate-polyacrylamide gel (SDS-PAGE) electrophoresis and transferred onto polyvinylidene fluoride membranes (Millipore, Billerica, MA, </w:t>
      </w:r>
      <w:r w:rsidR="00FF4279" w:rsidRPr="000E3BD6">
        <w:rPr>
          <w:rFonts w:ascii="Book Antiqua" w:hAnsi="Book Antiqua" w:cs="Times New Roman"/>
          <w:sz w:val="24"/>
          <w:szCs w:val="24"/>
        </w:rPr>
        <w:t>U</w:t>
      </w:r>
      <w:r w:rsidR="00FF4279" w:rsidRPr="000E3BD6">
        <w:rPr>
          <w:rFonts w:ascii="Book Antiqua" w:hAnsi="Book Antiqua" w:cs="Times New Roman" w:hint="eastAsia"/>
          <w:sz w:val="24"/>
          <w:szCs w:val="24"/>
        </w:rPr>
        <w:t xml:space="preserve">nited </w:t>
      </w:r>
      <w:r w:rsidR="00FF4279" w:rsidRPr="000E3BD6">
        <w:rPr>
          <w:rFonts w:ascii="Book Antiqua" w:hAnsi="Book Antiqua" w:cs="Times New Roman"/>
          <w:sz w:val="24"/>
          <w:szCs w:val="24"/>
        </w:rPr>
        <w:t>S</w:t>
      </w:r>
      <w:r w:rsidR="00FF4279" w:rsidRPr="000E3BD6">
        <w:rPr>
          <w:rFonts w:ascii="Book Antiqua" w:hAnsi="Book Antiqua" w:cs="Times New Roman" w:hint="eastAsia"/>
          <w:sz w:val="24"/>
          <w:szCs w:val="24"/>
        </w:rPr>
        <w:t>tates</w:t>
      </w:r>
      <w:r w:rsidRPr="000E3BD6">
        <w:rPr>
          <w:rFonts w:ascii="Book Antiqua" w:hAnsi="Book Antiqua" w:cs="Times New Roman"/>
          <w:sz w:val="24"/>
          <w:szCs w:val="24"/>
        </w:rPr>
        <w:t xml:space="preserve">). After blocking with 5% </w:t>
      </w:r>
      <w:r w:rsidRPr="000E3BD6">
        <w:rPr>
          <w:rFonts w:ascii="Book Antiqua" w:hAnsi="Book Antiqua" w:cs="Times New Roman"/>
          <w:sz w:val="24"/>
          <w:szCs w:val="24"/>
        </w:rPr>
        <w:lastRenderedPageBreak/>
        <w:t xml:space="preserve">non-fat milk in Tris-buffered saline with Tween 20 (TBS-T) for 2 h at 37 </w:t>
      </w:r>
      <w:r w:rsidRPr="000E3BD6">
        <w:rPr>
          <w:rFonts w:ascii="Book Antiqua" w:hAnsi="Book Antiqua" w:cs="Times New Roman"/>
          <w:sz w:val="24"/>
          <w:szCs w:val="24"/>
        </w:rPr>
        <w:sym w:font="Symbol" w:char="F0B0"/>
      </w:r>
      <w:r w:rsidRPr="000E3BD6">
        <w:rPr>
          <w:rFonts w:ascii="Book Antiqua" w:hAnsi="Book Antiqua" w:cs="Times New Roman"/>
          <w:sz w:val="24"/>
          <w:szCs w:val="24"/>
        </w:rPr>
        <w:t xml:space="preserve">C, the membranes were incubated with primary antibodies for CXCR4 (1:100 dilution), Sox-9 (1:1000 dilution; Abcam), aggrecan (1:1000 dilution), collagen II (1:1000 dilution), and GAPDH (1:10000 dilution; Abcam) overnight at 4 </w:t>
      </w:r>
      <w:r w:rsidRPr="000E3BD6">
        <w:rPr>
          <w:rFonts w:ascii="Book Antiqua" w:hAnsi="Book Antiqua" w:cs="Times New Roman"/>
          <w:sz w:val="24"/>
          <w:szCs w:val="24"/>
        </w:rPr>
        <w:sym w:font="Symbol" w:char="F0B0"/>
      </w:r>
      <w:r w:rsidRPr="000E3BD6">
        <w:rPr>
          <w:rFonts w:ascii="Book Antiqua" w:hAnsi="Book Antiqua" w:cs="Times New Roman"/>
          <w:sz w:val="24"/>
          <w:szCs w:val="24"/>
        </w:rPr>
        <w:t xml:space="preserve">C. The membranes were then incubated with horseradish peroxidase-conjugated secondary antibody (Abcam) for 1 h at room temperature. An electrochemiluminescence reagent was added to the surfaces of membranes, and immunolabeling was visualized using an ImageQuant LAS4000 (GE Healthcare, </w:t>
      </w:r>
      <w:r w:rsidR="00FF4279" w:rsidRPr="000E3BD6">
        <w:rPr>
          <w:rFonts w:ascii="Book Antiqua" w:hAnsi="Book Antiqua" w:cs="Times New Roman"/>
          <w:sz w:val="24"/>
          <w:szCs w:val="24"/>
        </w:rPr>
        <w:t>U</w:t>
      </w:r>
      <w:r w:rsidR="00FF4279" w:rsidRPr="000E3BD6">
        <w:rPr>
          <w:rFonts w:ascii="Book Antiqua" w:hAnsi="Book Antiqua" w:cs="Times New Roman" w:hint="eastAsia"/>
          <w:sz w:val="24"/>
          <w:szCs w:val="24"/>
        </w:rPr>
        <w:t xml:space="preserve">nited </w:t>
      </w:r>
      <w:r w:rsidR="00FF4279" w:rsidRPr="000E3BD6">
        <w:rPr>
          <w:rFonts w:ascii="Book Antiqua" w:hAnsi="Book Antiqua" w:cs="Times New Roman"/>
          <w:sz w:val="24"/>
          <w:szCs w:val="24"/>
        </w:rPr>
        <w:t>S</w:t>
      </w:r>
      <w:r w:rsidR="00FF4279" w:rsidRPr="000E3BD6">
        <w:rPr>
          <w:rFonts w:ascii="Book Antiqua" w:hAnsi="Book Antiqua" w:cs="Times New Roman" w:hint="eastAsia"/>
          <w:sz w:val="24"/>
          <w:szCs w:val="24"/>
        </w:rPr>
        <w:t>tates</w:t>
      </w:r>
      <w:r w:rsidRPr="000E3BD6">
        <w:rPr>
          <w:rFonts w:ascii="Book Antiqua" w:hAnsi="Book Antiqua" w:cs="Times New Roman"/>
          <w:sz w:val="24"/>
          <w:szCs w:val="24"/>
        </w:rPr>
        <w:t xml:space="preserve">). The relative protein concentrations were measured using Image-Pro Plus 6.0 software. The expression level of GAPDH was used as an internal control. </w:t>
      </w:r>
    </w:p>
    <w:p w14:paraId="25276EC5" w14:textId="77777777" w:rsidR="006B0A36" w:rsidRPr="000E3BD6" w:rsidRDefault="006B0A36" w:rsidP="00F710B6">
      <w:pPr>
        <w:adjustRightInd w:val="0"/>
        <w:snapToGrid w:val="0"/>
        <w:spacing w:after="0" w:line="360" w:lineRule="auto"/>
        <w:contextualSpacing/>
        <w:jc w:val="both"/>
        <w:rPr>
          <w:rFonts w:ascii="Book Antiqua" w:hAnsi="Book Antiqua" w:cs="Times New Roman"/>
          <w:b/>
          <w:i/>
          <w:sz w:val="24"/>
          <w:szCs w:val="24"/>
        </w:rPr>
      </w:pPr>
    </w:p>
    <w:p w14:paraId="74D14405" w14:textId="77777777" w:rsidR="006B0A36" w:rsidRPr="000E3BD6" w:rsidRDefault="006B0A36" w:rsidP="00F710B6">
      <w:pPr>
        <w:adjustRightInd w:val="0"/>
        <w:snapToGrid w:val="0"/>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Statistical analysis</w:t>
      </w:r>
    </w:p>
    <w:p w14:paraId="1B2B6676" w14:textId="6205A7E3" w:rsidR="006B0A36" w:rsidRPr="000E3BD6" w:rsidRDefault="006B0A36" w:rsidP="00F710B6">
      <w:pPr>
        <w:adjustRightInd w:val="0"/>
        <w:snapToGrid w:val="0"/>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 xml:space="preserve">All experiments were performed at least three times. The data are presented as </w:t>
      </w:r>
      <w:r w:rsidR="00EF42AC">
        <w:rPr>
          <w:rFonts w:ascii="Book Antiqua" w:hAnsi="Book Antiqua" w:cs="Times New Roman"/>
          <w:sz w:val="24"/>
          <w:szCs w:val="24"/>
        </w:rPr>
        <w:t xml:space="preserve">the </w:t>
      </w:r>
      <w:r w:rsidRPr="000E3BD6">
        <w:rPr>
          <w:rFonts w:ascii="Book Antiqua" w:hAnsi="Book Antiqua" w:cs="Times New Roman"/>
          <w:sz w:val="24"/>
          <w:szCs w:val="24"/>
        </w:rPr>
        <w:t>mean ±</w:t>
      </w:r>
      <w:r w:rsidR="0063017C" w:rsidRPr="000E3BD6">
        <w:rPr>
          <w:rFonts w:ascii="Book Antiqua" w:hAnsi="Book Antiqua" w:cs="Times New Roman" w:hint="eastAsia"/>
          <w:sz w:val="24"/>
          <w:szCs w:val="24"/>
        </w:rPr>
        <w:t xml:space="preserve"> </w:t>
      </w:r>
      <w:r w:rsidR="0063017C" w:rsidRPr="000E3BD6">
        <w:rPr>
          <w:rFonts w:ascii="Book Antiqua" w:hAnsi="Book Antiqua" w:cs="Times New Roman"/>
          <w:sz w:val="24"/>
          <w:szCs w:val="24"/>
        </w:rPr>
        <w:t>SD</w:t>
      </w:r>
      <w:r w:rsidRPr="000E3BD6">
        <w:rPr>
          <w:rFonts w:ascii="Book Antiqua" w:hAnsi="Book Antiqua" w:cs="Times New Roman"/>
          <w:sz w:val="24"/>
          <w:szCs w:val="24"/>
        </w:rPr>
        <w:t>. All statistical analyses were performed using</w:t>
      </w:r>
      <w:r w:rsidR="00EF42AC">
        <w:rPr>
          <w:rFonts w:ascii="Book Antiqua" w:hAnsi="Book Antiqua" w:cs="Times New Roman"/>
          <w:sz w:val="24"/>
          <w:szCs w:val="24"/>
        </w:rPr>
        <w:t xml:space="preserve"> </w:t>
      </w:r>
      <w:r w:rsidRPr="000E3BD6">
        <w:rPr>
          <w:rFonts w:ascii="Book Antiqua" w:hAnsi="Book Antiqua" w:cs="Times New Roman"/>
          <w:sz w:val="24"/>
          <w:szCs w:val="24"/>
        </w:rPr>
        <w:t xml:space="preserve">SPSS 22.0 software (Chicago, Illinois, </w:t>
      </w:r>
      <w:r w:rsidR="0063017C" w:rsidRPr="000E3BD6">
        <w:rPr>
          <w:rFonts w:ascii="Book Antiqua" w:hAnsi="Book Antiqua" w:cs="Times New Roman"/>
          <w:sz w:val="24"/>
          <w:szCs w:val="24"/>
        </w:rPr>
        <w:t>U</w:t>
      </w:r>
      <w:r w:rsidR="0063017C" w:rsidRPr="000E3BD6">
        <w:rPr>
          <w:rFonts w:ascii="Book Antiqua" w:hAnsi="Book Antiqua" w:cs="Times New Roman" w:hint="eastAsia"/>
          <w:sz w:val="24"/>
          <w:szCs w:val="24"/>
        </w:rPr>
        <w:t xml:space="preserve">nited </w:t>
      </w:r>
      <w:r w:rsidR="0063017C" w:rsidRPr="000E3BD6">
        <w:rPr>
          <w:rFonts w:ascii="Book Antiqua" w:hAnsi="Book Antiqua" w:cs="Times New Roman"/>
          <w:sz w:val="24"/>
          <w:szCs w:val="24"/>
        </w:rPr>
        <w:t>S</w:t>
      </w:r>
      <w:r w:rsidR="0063017C" w:rsidRPr="000E3BD6">
        <w:rPr>
          <w:rFonts w:ascii="Book Antiqua" w:hAnsi="Book Antiqua" w:cs="Times New Roman" w:hint="eastAsia"/>
          <w:sz w:val="24"/>
          <w:szCs w:val="24"/>
        </w:rPr>
        <w:t>tates</w:t>
      </w:r>
      <w:r w:rsidRPr="000E3BD6">
        <w:rPr>
          <w:rFonts w:ascii="Book Antiqua" w:hAnsi="Book Antiqua" w:cs="Times New Roman"/>
          <w:sz w:val="24"/>
          <w:szCs w:val="24"/>
        </w:rPr>
        <w:t>). One-way analysis of variance (ANOVA) was conducted to analyze any significant differences among</w:t>
      </w:r>
      <w:r w:rsidR="00EF42AC">
        <w:rPr>
          <w:rFonts w:ascii="Book Antiqua" w:hAnsi="Book Antiqua" w:cs="Times New Roman"/>
          <w:sz w:val="24"/>
          <w:szCs w:val="24"/>
        </w:rPr>
        <w:t xml:space="preserve"> </w:t>
      </w:r>
      <w:r w:rsidRPr="000E3BD6">
        <w:rPr>
          <w:rFonts w:ascii="Book Antiqua" w:hAnsi="Book Antiqua" w:cs="Times New Roman"/>
          <w:sz w:val="24"/>
          <w:szCs w:val="24"/>
        </w:rPr>
        <w:t xml:space="preserve">different groups, followed by the Student-Newman-Keul (homogeneity of variance) or Tamhane’s test (heterogeneity of variance) for </w:t>
      </w:r>
      <w:r w:rsidRPr="000E3BD6">
        <w:rPr>
          <w:rFonts w:ascii="Book Antiqua" w:hAnsi="Book Antiqua" w:cs="Times New Roman"/>
          <w:i/>
          <w:sz w:val="24"/>
          <w:szCs w:val="24"/>
        </w:rPr>
        <w:t>post hoc</w:t>
      </w:r>
      <w:r w:rsidRPr="000E3BD6">
        <w:rPr>
          <w:rFonts w:ascii="Book Antiqua" w:hAnsi="Book Antiqua" w:cs="Times New Roman"/>
          <w:sz w:val="24"/>
          <w:szCs w:val="24"/>
        </w:rPr>
        <w:t xml:space="preserve"> multiple comparisons. </w:t>
      </w:r>
      <w:r w:rsidR="00EF42AC" w:rsidRPr="000E3BD6">
        <w:rPr>
          <w:rFonts w:ascii="Book Antiqua" w:hAnsi="Book Antiqua" w:cs="Times New Roman"/>
          <w:i/>
          <w:sz w:val="24"/>
          <w:szCs w:val="24"/>
        </w:rPr>
        <w:t>P</w:t>
      </w:r>
      <w:r w:rsidR="00EF42AC">
        <w:rPr>
          <w:rFonts w:ascii="Book Antiqua" w:hAnsi="Book Antiqua" w:cs="Times New Roman"/>
          <w:sz w:val="24"/>
          <w:szCs w:val="24"/>
        </w:rPr>
        <w:t>-</w:t>
      </w:r>
      <w:r w:rsidRPr="000E3BD6">
        <w:rPr>
          <w:rFonts w:ascii="Book Antiqua" w:hAnsi="Book Antiqua" w:cs="Times New Roman"/>
          <w:sz w:val="24"/>
          <w:szCs w:val="24"/>
        </w:rPr>
        <w:t>values less than 0.05 were considered to indicate statistical significance.</w:t>
      </w:r>
    </w:p>
    <w:p w14:paraId="6B066D0B" w14:textId="77777777" w:rsidR="006B0A36" w:rsidRPr="000E3BD6" w:rsidRDefault="006B0A36" w:rsidP="00F710B6">
      <w:pPr>
        <w:spacing w:after="0" w:line="360" w:lineRule="auto"/>
        <w:contextualSpacing/>
        <w:jc w:val="both"/>
        <w:rPr>
          <w:rFonts w:ascii="Book Antiqua" w:hAnsi="Book Antiqua" w:cs="Times New Roman"/>
          <w:b/>
          <w:sz w:val="24"/>
          <w:szCs w:val="24"/>
        </w:rPr>
      </w:pPr>
    </w:p>
    <w:p w14:paraId="70923754" w14:textId="77777777" w:rsidR="006B0A36" w:rsidRPr="000E3BD6" w:rsidRDefault="006B0A36" w:rsidP="00F710B6">
      <w:pPr>
        <w:spacing w:after="0" w:line="360" w:lineRule="auto"/>
        <w:contextualSpacing/>
        <w:jc w:val="both"/>
        <w:rPr>
          <w:rFonts w:ascii="Book Antiqua" w:hAnsi="Book Antiqua" w:cs="Times New Roman"/>
          <w:b/>
          <w:sz w:val="24"/>
          <w:szCs w:val="24"/>
        </w:rPr>
      </w:pPr>
      <w:r w:rsidRPr="000E3BD6">
        <w:rPr>
          <w:rFonts w:ascii="Book Antiqua" w:hAnsi="Book Antiqua" w:cs="Times New Roman"/>
          <w:b/>
          <w:sz w:val="24"/>
          <w:szCs w:val="24"/>
        </w:rPr>
        <w:t>RESULTS</w:t>
      </w:r>
    </w:p>
    <w:p w14:paraId="346186EE" w14:textId="77777777" w:rsidR="006B0A36" w:rsidRPr="000E3BD6" w:rsidRDefault="006B0A36" w:rsidP="00F710B6">
      <w:pPr>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Characterization of NPSCs</w:t>
      </w:r>
    </w:p>
    <w:p w14:paraId="1C822437" w14:textId="500E5AA9" w:rsidR="006B0A36" w:rsidRPr="000E3BD6" w:rsidRDefault="006B0A36"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Primary cultured cells adhered to the culture flask within 24 h, presenting a typical fibroblast-like morphology and vortex-like pattern (Figure 1</w:t>
      </w:r>
      <w:r w:rsidR="0063017C" w:rsidRPr="000E3BD6">
        <w:rPr>
          <w:rFonts w:ascii="Book Antiqua" w:hAnsi="Book Antiqua" w:cs="Times New Roman"/>
          <w:sz w:val="24"/>
          <w:szCs w:val="24"/>
        </w:rPr>
        <w:t>A</w:t>
      </w:r>
      <w:r w:rsidRPr="000E3BD6">
        <w:rPr>
          <w:rFonts w:ascii="Book Antiqua" w:hAnsi="Book Antiqua" w:cs="Times New Roman"/>
          <w:sz w:val="24"/>
          <w:szCs w:val="24"/>
        </w:rPr>
        <w:t>). The isolated P3 NPSCs showed colony-like growth after seven days of culture (Figure 1</w:t>
      </w:r>
      <w:r w:rsidR="0063017C" w:rsidRPr="000E3BD6">
        <w:rPr>
          <w:rFonts w:ascii="Book Antiqua" w:hAnsi="Book Antiqua" w:cs="Times New Roman"/>
          <w:sz w:val="24"/>
          <w:szCs w:val="24"/>
        </w:rPr>
        <w:t>B</w:t>
      </w:r>
      <w:r w:rsidRPr="000E3BD6">
        <w:rPr>
          <w:rFonts w:ascii="Book Antiqua" w:hAnsi="Book Antiqua" w:cs="Times New Roman"/>
          <w:sz w:val="24"/>
          <w:szCs w:val="24"/>
        </w:rPr>
        <w:t>). Multilineage differentiation assays revealed that the isolated cells had successfully differentiated into osteogenic, adipogenic, and chondrogenic lineages after specific differentiation induction (Figure 1</w:t>
      </w:r>
      <w:r w:rsidR="0063017C" w:rsidRPr="000E3BD6">
        <w:rPr>
          <w:rFonts w:ascii="Book Antiqua" w:hAnsi="Book Antiqua" w:cs="Times New Roman"/>
          <w:sz w:val="24"/>
          <w:szCs w:val="24"/>
        </w:rPr>
        <w:t>C</w:t>
      </w:r>
      <w:r w:rsidRPr="000E3BD6">
        <w:rPr>
          <w:rFonts w:ascii="Book Antiqua" w:hAnsi="Book Antiqua" w:cs="Times New Roman"/>
          <w:sz w:val="24"/>
          <w:szCs w:val="24"/>
        </w:rPr>
        <w:t xml:space="preserve">). In addition, we used flow cytometric analysis to examine a series of specific cell surface markers commonly used to identify MSCs. </w:t>
      </w:r>
      <w:r w:rsidR="00B37EBD" w:rsidRPr="000E3BD6">
        <w:rPr>
          <w:rFonts w:ascii="Book Antiqua" w:hAnsi="Book Antiqua" w:cs="Times New Roman"/>
          <w:sz w:val="24"/>
          <w:szCs w:val="24"/>
        </w:rPr>
        <w:t xml:space="preserve">The cells were positive for widely </w:t>
      </w:r>
      <w:r w:rsidR="00B37EBD" w:rsidRPr="000E3BD6">
        <w:rPr>
          <w:rFonts w:ascii="Book Antiqua" w:hAnsi="Book Antiqua" w:cs="Times New Roman"/>
          <w:sz w:val="24"/>
          <w:szCs w:val="24"/>
        </w:rPr>
        <w:lastRenderedPageBreak/>
        <w:t>used MSC markers CD29 and CD90, positive for CD105, which is expressed in certain populations of MSCs to serve as an auxiliary receptor for the TGF-β receptor complex, and negative for the hematopoietic markers CD45 and CD34 (Figure 1</w:t>
      </w:r>
      <w:r w:rsidR="0063017C" w:rsidRPr="000E3BD6">
        <w:rPr>
          <w:rFonts w:ascii="Book Antiqua" w:hAnsi="Book Antiqua" w:cs="Times New Roman"/>
          <w:sz w:val="24"/>
          <w:szCs w:val="24"/>
        </w:rPr>
        <w:t>D</w:t>
      </w:r>
      <w:r w:rsidR="00B37EBD" w:rsidRPr="000E3BD6">
        <w:rPr>
          <w:rFonts w:ascii="Book Antiqua" w:hAnsi="Book Antiqua" w:cs="Times New Roman"/>
          <w:sz w:val="24"/>
          <w:szCs w:val="24"/>
        </w:rPr>
        <w:t>).</w:t>
      </w:r>
      <w:r w:rsidR="00F710B6" w:rsidRPr="000E3BD6">
        <w:rPr>
          <w:rFonts w:ascii="Book Antiqua" w:hAnsi="Book Antiqua" w:cs="Times New Roman"/>
          <w:sz w:val="24"/>
          <w:szCs w:val="24"/>
        </w:rPr>
        <w:t xml:space="preserve"> </w:t>
      </w:r>
    </w:p>
    <w:p w14:paraId="47B41DF5" w14:textId="77777777" w:rsidR="006B0A36" w:rsidRPr="000E3BD6" w:rsidRDefault="006B0A36" w:rsidP="00F710B6">
      <w:pPr>
        <w:spacing w:after="0" w:line="360" w:lineRule="auto"/>
        <w:contextualSpacing/>
        <w:jc w:val="both"/>
        <w:rPr>
          <w:rStyle w:val="highlight"/>
          <w:rFonts w:ascii="Book Antiqua" w:hAnsi="Book Antiqua" w:cs="Times New Roman"/>
          <w:i/>
          <w:sz w:val="24"/>
          <w:szCs w:val="24"/>
        </w:rPr>
      </w:pPr>
    </w:p>
    <w:p w14:paraId="63EE20E2" w14:textId="77777777" w:rsidR="006B0A36" w:rsidRPr="000E3BD6" w:rsidRDefault="006B0A36" w:rsidP="00F710B6">
      <w:pPr>
        <w:spacing w:after="0" w:line="360" w:lineRule="auto"/>
        <w:contextualSpacing/>
        <w:jc w:val="both"/>
        <w:rPr>
          <w:rFonts w:ascii="Book Antiqua" w:hAnsi="Book Antiqua" w:cs="Times New Roman"/>
          <w:b/>
          <w:i/>
          <w:sz w:val="24"/>
          <w:szCs w:val="24"/>
        </w:rPr>
      </w:pPr>
      <w:r w:rsidRPr="000E3BD6">
        <w:rPr>
          <w:rStyle w:val="highlight"/>
          <w:rFonts w:ascii="Book Antiqua" w:hAnsi="Book Antiqua" w:cs="Times New Roman"/>
          <w:b/>
          <w:i/>
          <w:sz w:val="24"/>
          <w:szCs w:val="24"/>
        </w:rPr>
        <w:t>SDF-1</w:t>
      </w:r>
      <w:r w:rsidRPr="000E3BD6">
        <w:rPr>
          <w:rFonts w:ascii="Book Antiqua" w:hAnsi="Book Antiqua" w:cs="Times New Roman"/>
          <w:b/>
          <w:i/>
          <w:sz w:val="24"/>
          <w:szCs w:val="24"/>
        </w:rPr>
        <w:t>α expression and secretion in the degenerative IVD microenvironment</w:t>
      </w:r>
    </w:p>
    <w:p w14:paraId="417078FC" w14:textId="4631DD7C" w:rsidR="006B0A36" w:rsidRPr="000E3BD6" w:rsidRDefault="006B0A36"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 xml:space="preserve">We performed real-time RT-PCR and ELISA to examine the mRNA synthesis and protein secretion of the chemokine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 xml:space="preserve">α in NPCs after treatment with pro-inflammatory cytokines, and immunohistochemical analysis to compare the protein expression levels of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 xml:space="preserve">α between the degenerative group and the normal group. The data showed that the levels of mRNA and protein secretion of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 xml:space="preserve">α in NPCs were significantly increased </w:t>
      </w:r>
      <w:r w:rsidRPr="000E3BD6">
        <w:rPr>
          <w:rFonts w:ascii="Book Antiqua" w:hAnsi="Book Antiqua" w:cs="Times New Roman"/>
          <w:i/>
          <w:sz w:val="24"/>
          <w:szCs w:val="24"/>
        </w:rPr>
        <w:t>in vitro</w:t>
      </w:r>
      <w:r w:rsidRPr="000E3BD6">
        <w:rPr>
          <w:rFonts w:ascii="Book Antiqua" w:hAnsi="Book Antiqua" w:cs="Times New Roman"/>
          <w:sz w:val="24"/>
          <w:szCs w:val="24"/>
        </w:rPr>
        <w:t xml:space="preserve"> after treatment with IL-1β and TNF-α (Figure 2</w:t>
      </w:r>
      <w:r w:rsidR="009341A1" w:rsidRPr="000E3BD6">
        <w:rPr>
          <w:rFonts w:ascii="Book Antiqua" w:hAnsi="Book Antiqua" w:cs="Times New Roman"/>
          <w:sz w:val="24"/>
          <w:szCs w:val="24"/>
        </w:rPr>
        <w:t>A and B</w:t>
      </w:r>
      <w:r w:rsidRPr="000E3BD6">
        <w:rPr>
          <w:rFonts w:ascii="Book Antiqua" w:hAnsi="Book Antiqua" w:cs="Times New Roman"/>
          <w:sz w:val="24"/>
          <w:szCs w:val="24"/>
        </w:rPr>
        <w:t xml:space="preserve">). In the animal experiment, immunohistochemical staining showed that the expression of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α in the degenerative IVD was also significantly higher than that in the control group (Figure 2</w:t>
      </w:r>
      <w:r w:rsidR="009341A1" w:rsidRPr="000E3BD6">
        <w:rPr>
          <w:rFonts w:ascii="Book Antiqua" w:hAnsi="Book Antiqua" w:cs="Times New Roman"/>
          <w:sz w:val="24"/>
          <w:szCs w:val="24"/>
        </w:rPr>
        <w:t>C</w:t>
      </w:r>
      <w:r w:rsidRPr="000E3BD6">
        <w:rPr>
          <w:rFonts w:ascii="Book Antiqua" w:hAnsi="Book Antiqua" w:cs="Times New Roman"/>
          <w:sz w:val="24"/>
          <w:szCs w:val="24"/>
        </w:rPr>
        <w:t>).</w:t>
      </w:r>
    </w:p>
    <w:p w14:paraId="12DE3131" w14:textId="77777777" w:rsidR="006B0A36" w:rsidRPr="000E3BD6" w:rsidRDefault="006B0A36" w:rsidP="00F710B6">
      <w:pPr>
        <w:spacing w:after="0" w:line="360" w:lineRule="auto"/>
        <w:contextualSpacing/>
        <w:jc w:val="both"/>
        <w:rPr>
          <w:rStyle w:val="highlight"/>
          <w:rFonts w:ascii="Book Antiqua" w:hAnsi="Book Antiqua" w:cs="Times New Roman"/>
          <w:i/>
          <w:sz w:val="24"/>
          <w:szCs w:val="24"/>
        </w:rPr>
      </w:pPr>
    </w:p>
    <w:p w14:paraId="7111EFE0" w14:textId="77777777" w:rsidR="006B0A36" w:rsidRPr="000E3BD6" w:rsidRDefault="006B0A36" w:rsidP="00F710B6">
      <w:pPr>
        <w:spacing w:after="0" w:line="360" w:lineRule="auto"/>
        <w:contextualSpacing/>
        <w:jc w:val="both"/>
        <w:rPr>
          <w:rFonts w:ascii="Book Antiqua" w:hAnsi="Book Antiqua" w:cs="Times New Roman"/>
          <w:b/>
          <w:i/>
          <w:sz w:val="24"/>
          <w:szCs w:val="24"/>
        </w:rPr>
      </w:pPr>
      <w:r w:rsidRPr="000E3BD6">
        <w:rPr>
          <w:rStyle w:val="highlight"/>
          <w:rFonts w:ascii="Book Antiqua" w:hAnsi="Book Antiqua" w:cs="Times New Roman"/>
          <w:b/>
          <w:i/>
          <w:sz w:val="24"/>
          <w:szCs w:val="24"/>
        </w:rPr>
        <w:t>SDF-1</w:t>
      </w:r>
      <w:r w:rsidRPr="000E3BD6">
        <w:rPr>
          <w:rFonts w:ascii="Book Antiqua" w:hAnsi="Book Antiqua" w:cs="Times New Roman"/>
          <w:b/>
          <w:i/>
          <w:sz w:val="24"/>
          <w:szCs w:val="24"/>
        </w:rPr>
        <w:t>α promotes NPSCs migration in vitro</w:t>
      </w:r>
    </w:p>
    <w:p w14:paraId="582C64BA" w14:textId="77777777" w:rsidR="006B0A36" w:rsidRPr="000E3BD6" w:rsidRDefault="006B0A36"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 xml:space="preserve">To investigate the effects of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 xml:space="preserve">α on NPSCs migration </w:t>
      </w:r>
      <w:r w:rsidRPr="000E3BD6">
        <w:rPr>
          <w:rFonts w:ascii="Book Antiqua" w:hAnsi="Book Antiqua" w:cs="Times New Roman"/>
          <w:i/>
          <w:sz w:val="24"/>
          <w:szCs w:val="24"/>
        </w:rPr>
        <w:t>in vitro</w:t>
      </w:r>
      <w:r w:rsidRPr="000E3BD6">
        <w:rPr>
          <w:rFonts w:ascii="Book Antiqua" w:hAnsi="Book Antiqua" w:cs="Times New Roman"/>
          <w:sz w:val="24"/>
          <w:szCs w:val="24"/>
        </w:rPr>
        <w:t xml:space="preserve">, we performed </w:t>
      </w:r>
      <w:bookmarkStart w:id="21" w:name="_Hlk532885777"/>
      <w:r w:rsidRPr="000E3BD6">
        <w:rPr>
          <w:rFonts w:ascii="Book Antiqua" w:hAnsi="Book Antiqua" w:cs="Times New Roman"/>
          <w:sz w:val="24"/>
          <w:szCs w:val="24"/>
        </w:rPr>
        <w:t>wound healing and transwell migration assays</w:t>
      </w:r>
      <w:bookmarkEnd w:id="21"/>
      <w:r w:rsidRPr="000E3BD6">
        <w:rPr>
          <w:rFonts w:ascii="Book Antiqua" w:hAnsi="Book Antiqua" w:cs="Times New Roman"/>
          <w:sz w:val="24"/>
          <w:szCs w:val="24"/>
        </w:rPr>
        <w:t xml:space="preserve">.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 xml:space="preserve">α significantly promoted NPSCs migration in a dose-dependent manner, whereas pretreatment with AMD3100 significantly </w:t>
      </w:r>
      <w:bookmarkStart w:id="22" w:name="_Hlk522744915"/>
      <w:r w:rsidRPr="000E3BD6">
        <w:rPr>
          <w:rFonts w:ascii="Book Antiqua" w:hAnsi="Book Antiqua" w:cs="Times New Roman"/>
          <w:sz w:val="24"/>
          <w:szCs w:val="24"/>
        </w:rPr>
        <w:t>suppressed</w:t>
      </w:r>
      <w:bookmarkEnd w:id="22"/>
      <w:r w:rsidRPr="000E3BD6">
        <w:rPr>
          <w:rFonts w:ascii="Book Antiqua" w:hAnsi="Book Antiqua" w:cs="Times New Roman"/>
          <w:sz w:val="24"/>
          <w:szCs w:val="24"/>
        </w:rPr>
        <w:t xml:space="preserve"> the migration capacity that had been enhanced by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 xml:space="preserve">α (Figure 3). </w:t>
      </w:r>
    </w:p>
    <w:p w14:paraId="3A211341" w14:textId="77777777" w:rsidR="006B0A36" w:rsidRPr="000E3BD6" w:rsidRDefault="006B0A36" w:rsidP="00F710B6">
      <w:pPr>
        <w:spacing w:after="0" w:line="360" w:lineRule="auto"/>
        <w:contextualSpacing/>
        <w:jc w:val="both"/>
        <w:rPr>
          <w:rFonts w:ascii="Book Antiqua" w:hAnsi="Book Antiqua" w:cs="Times New Roman"/>
          <w:b/>
          <w:i/>
          <w:sz w:val="24"/>
          <w:szCs w:val="24"/>
        </w:rPr>
      </w:pPr>
    </w:p>
    <w:p w14:paraId="21EC7CBB" w14:textId="77777777" w:rsidR="006B0A36" w:rsidRPr="000E3BD6" w:rsidRDefault="006B0A36" w:rsidP="00F710B6">
      <w:pPr>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SDF-1/CXCR4 axis regulates migration capacity of NPSCs</w:t>
      </w:r>
    </w:p>
    <w:p w14:paraId="0879DCCA" w14:textId="0E069A9E" w:rsidR="006B0A36" w:rsidRPr="000E3BD6" w:rsidRDefault="006B0A36"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 xml:space="preserve">Real-time RT-PCR and immunoblotting demonstrated that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α significantly increased the expression of CXCR4 that had been inhibited by AMD3100 (Figure 4</w:t>
      </w:r>
      <w:r w:rsidR="009341A1" w:rsidRPr="000E3BD6">
        <w:rPr>
          <w:rFonts w:ascii="Book Antiqua" w:hAnsi="Book Antiqua" w:cs="Times New Roman"/>
          <w:sz w:val="24"/>
          <w:szCs w:val="24"/>
        </w:rPr>
        <w:t>A and B</w:t>
      </w:r>
      <w:r w:rsidRPr="000E3BD6">
        <w:rPr>
          <w:rFonts w:ascii="Book Antiqua" w:hAnsi="Book Antiqua" w:cs="Times New Roman"/>
          <w:sz w:val="24"/>
          <w:szCs w:val="24"/>
        </w:rPr>
        <w:t>). As shown in Figure 4</w:t>
      </w:r>
      <w:r w:rsidR="009341A1" w:rsidRPr="000E3BD6">
        <w:rPr>
          <w:rFonts w:ascii="Book Antiqua" w:hAnsi="Book Antiqua" w:cs="Times New Roman"/>
          <w:sz w:val="24"/>
          <w:szCs w:val="24"/>
        </w:rPr>
        <w:t>C</w:t>
      </w:r>
      <w:r w:rsidRPr="000E3BD6">
        <w:rPr>
          <w:rFonts w:ascii="Book Antiqua" w:hAnsi="Book Antiqua" w:cs="Times New Roman"/>
          <w:sz w:val="24"/>
          <w:szCs w:val="24"/>
        </w:rPr>
        <w:t xml:space="preserve">, immunofluorescence assays showed that CXCR4 was co-expressed in the cell membrane and cytoplasm of NPSCs and translocated to the cell surface by the stimulation </w:t>
      </w:r>
      <w:r w:rsidR="00791FB2">
        <w:rPr>
          <w:rFonts w:ascii="Book Antiqua" w:hAnsi="Book Antiqua" w:cs="Times New Roman"/>
          <w:sz w:val="24"/>
          <w:szCs w:val="24"/>
        </w:rPr>
        <w:t>with</w:t>
      </w:r>
      <w:r w:rsidR="00791FB2" w:rsidRPr="000E3BD6">
        <w:rPr>
          <w:rFonts w:ascii="Book Antiqua" w:hAnsi="Book Antiqua" w:cs="Times New Roman"/>
          <w:sz w:val="24"/>
          <w:szCs w:val="24"/>
        </w:rPr>
        <w:t xml:space="preserve">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 xml:space="preserve">α. </w:t>
      </w:r>
      <w:bookmarkStart w:id="23" w:name="_Hlk522801378"/>
      <w:r w:rsidRPr="000E3BD6">
        <w:rPr>
          <w:rFonts w:ascii="Book Antiqua" w:hAnsi="Book Antiqua" w:cs="Times New Roman"/>
          <w:sz w:val="24"/>
          <w:szCs w:val="24"/>
        </w:rPr>
        <w:t>In addition, cytoskeleton</w:t>
      </w:r>
      <w:bookmarkEnd w:id="23"/>
      <w:r w:rsidRPr="000E3BD6">
        <w:rPr>
          <w:rFonts w:ascii="Book Antiqua" w:hAnsi="Book Antiqua" w:cs="Times New Roman"/>
          <w:sz w:val="24"/>
          <w:szCs w:val="24"/>
        </w:rPr>
        <w:t xml:space="preserve"> organization associated with cell migration was analyzed by immunostaining of fibrous actin. We found that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 xml:space="preserve">α enhanced F-actin cytoskeletal remodeling and lamellipodia formation in NPSCs. </w:t>
      </w:r>
      <w:r w:rsidRPr="000E3BD6">
        <w:rPr>
          <w:rFonts w:ascii="Book Antiqua" w:hAnsi="Book Antiqua" w:cs="Times New Roman"/>
          <w:sz w:val="24"/>
          <w:szCs w:val="24"/>
        </w:rPr>
        <w:lastRenderedPageBreak/>
        <w:t xml:space="preserve">However, AMD3100 was able to inhibit the expression and translocation of CXCR4, and cytoskeletal rearrangements of NPSCs. </w:t>
      </w:r>
    </w:p>
    <w:p w14:paraId="4617F677" w14:textId="77777777" w:rsidR="006B0A36" w:rsidRPr="000E3BD6" w:rsidRDefault="006B0A36" w:rsidP="00F710B6">
      <w:pPr>
        <w:spacing w:after="0" w:line="360" w:lineRule="auto"/>
        <w:contextualSpacing/>
        <w:jc w:val="both"/>
        <w:rPr>
          <w:rStyle w:val="highlight"/>
          <w:rFonts w:ascii="Book Antiqua" w:hAnsi="Book Antiqua" w:cs="Times New Roman"/>
          <w:i/>
          <w:sz w:val="24"/>
          <w:szCs w:val="24"/>
        </w:rPr>
      </w:pPr>
    </w:p>
    <w:p w14:paraId="20571F34" w14:textId="77777777" w:rsidR="006B0A36" w:rsidRPr="000E3BD6" w:rsidRDefault="006B0A36" w:rsidP="00F710B6">
      <w:pPr>
        <w:spacing w:after="0" w:line="360" w:lineRule="auto"/>
        <w:contextualSpacing/>
        <w:jc w:val="both"/>
        <w:rPr>
          <w:rFonts w:ascii="Book Antiqua" w:hAnsi="Book Antiqua" w:cs="Times New Roman"/>
          <w:b/>
          <w:i/>
          <w:sz w:val="24"/>
          <w:szCs w:val="24"/>
        </w:rPr>
      </w:pPr>
      <w:r w:rsidRPr="000E3BD6">
        <w:rPr>
          <w:rStyle w:val="highlight"/>
          <w:rFonts w:ascii="Book Antiqua" w:hAnsi="Book Antiqua" w:cs="Times New Roman"/>
          <w:b/>
          <w:i/>
          <w:sz w:val="24"/>
          <w:szCs w:val="24"/>
        </w:rPr>
        <w:t>SDF-1</w:t>
      </w:r>
      <w:r w:rsidRPr="000E3BD6">
        <w:rPr>
          <w:rFonts w:ascii="Book Antiqua" w:hAnsi="Book Antiqua" w:cs="Times New Roman"/>
          <w:b/>
          <w:i/>
          <w:sz w:val="24"/>
          <w:szCs w:val="24"/>
        </w:rPr>
        <w:t>/CXCR4 axis regulates chondrogenic differentiation capacity of NPSCs</w:t>
      </w:r>
    </w:p>
    <w:p w14:paraId="4954DDEA" w14:textId="25107DDC" w:rsidR="006B0A36" w:rsidRPr="000E3BD6" w:rsidRDefault="006B0A36"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 xml:space="preserve">To determine the role of the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 xml:space="preserve">/CXCR4 axis in chondrogenic differentiation of NPSCs, we examined the mRNA and protein expression levels of chondrogenic markers </w:t>
      </w:r>
      <w:r w:rsidRPr="000E3BD6">
        <w:rPr>
          <w:rFonts w:ascii="Book Antiqua" w:hAnsi="Book Antiqua" w:cs="Times New Roman"/>
          <w:i/>
          <w:sz w:val="24"/>
          <w:szCs w:val="24"/>
        </w:rPr>
        <w:t>in vitro</w:t>
      </w:r>
      <w:r w:rsidRPr="000E3BD6">
        <w:rPr>
          <w:rFonts w:ascii="Book Antiqua" w:hAnsi="Book Antiqua" w:cs="Times New Roman"/>
          <w:sz w:val="24"/>
          <w:szCs w:val="24"/>
        </w:rPr>
        <w:t xml:space="preserve">. As shown in Figure 5, real-time RT-PCR and </w:t>
      </w:r>
      <w:r w:rsidR="00791FB2">
        <w:rPr>
          <w:rFonts w:ascii="Book Antiqua" w:hAnsi="Book Antiqua" w:cs="Times New Roman"/>
          <w:sz w:val="24"/>
          <w:szCs w:val="24"/>
        </w:rPr>
        <w:t>W</w:t>
      </w:r>
      <w:r w:rsidR="00791FB2" w:rsidRPr="000E3BD6">
        <w:rPr>
          <w:rFonts w:ascii="Book Antiqua" w:hAnsi="Book Antiqua" w:cs="Times New Roman"/>
          <w:sz w:val="24"/>
          <w:szCs w:val="24"/>
        </w:rPr>
        <w:t>estern blot</w:t>
      </w:r>
      <w:r w:rsidR="00791FB2">
        <w:rPr>
          <w:rFonts w:ascii="Book Antiqua" w:hAnsi="Book Antiqua" w:cs="Times New Roman"/>
          <w:sz w:val="24"/>
          <w:szCs w:val="24"/>
        </w:rPr>
        <w:t xml:space="preserve"> </w:t>
      </w:r>
      <w:r w:rsidRPr="000E3BD6">
        <w:rPr>
          <w:rFonts w:ascii="Book Antiqua" w:hAnsi="Book Antiqua" w:cs="Times New Roman"/>
          <w:sz w:val="24"/>
          <w:szCs w:val="24"/>
        </w:rPr>
        <w:t xml:space="preserve">analyses revealed that treating NPSCs with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 xml:space="preserve">α significantly increased the mRNA and protein levels of aggrecan, collagen II, and Sox-9. However, pretreatment with AMD3100 effectively blocked the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α-induced expression of aggrecan and collagen II.</w:t>
      </w:r>
    </w:p>
    <w:p w14:paraId="57D2338C" w14:textId="04B938F7" w:rsidR="006B0A36" w:rsidRPr="000E3BD6" w:rsidRDefault="006B0A36" w:rsidP="009341A1">
      <w:pPr>
        <w:spacing w:after="0" w:line="360" w:lineRule="auto"/>
        <w:ind w:firstLineChars="100" w:firstLine="240"/>
        <w:contextualSpacing/>
        <w:jc w:val="both"/>
        <w:rPr>
          <w:rFonts w:ascii="Book Antiqua" w:hAnsi="Book Antiqua" w:cs="Times New Roman"/>
          <w:sz w:val="24"/>
          <w:szCs w:val="24"/>
        </w:rPr>
      </w:pPr>
      <w:r w:rsidRPr="000E3BD6">
        <w:rPr>
          <w:rFonts w:ascii="Book Antiqua" w:hAnsi="Book Antiqua" w:cs="Times New Roman"/>
          <w:sz w:val="24"/>
          <w:szCs w:val="24"/>
        </w:rPr>
        <w:t xml:space="preserve">Using cell micromass culture, we examined the effects of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 xml:space="preserve">α on TGF-β1-induced chondrogenic differentiation of NPSCs. Cells within these aggregates were surrounded by a proteoglycan-rich extracellular matrix, as demonstrated by Alcian Blue staining. The weight and proteoglycan content of the aggregates increased significantly in the presence of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α, but this effect was counteracted by AMD3100 (Figure 6</w:t>
      </w:r>
      <w:r w:rsidR="009341A1" w:rsidRPr="000E3BD6">
        <w:rPr>
          <w:rFonts w:ascii="Book Antiqua" w:hAnsi="Book Antiqua" w:cs="Times New Roman"/>
          <w:sz w:val="24"/>
          <w:szCs w:val="24"/>
        </w:rPr>
        <w:t>A and B</w:t>
      </w:r>
      <w:r w:rsidRPr="000E3BD6">
        <w:rPr>
          <w:rFonts w:ascii="Book Antiqua" w:hAnsi="Book Antiqua" w:cs="Times New Roman"/>
          <w:sz w:val="24"/>
          <w:szCs w:val="24"/>
        </w:rPr>
        <w:t xml:space="preserve">). Immunohistochemical analysis further confirmed that the synthesis of collagen II and aggrecan at the protein level was increased after treatment </w:t>
      </w:r>
      <w:r w:rsidR="00791FB2">
        <w:rPr>
          <w:rFonts w:ascii="Book Antiqua" w:hAnsi="Book Antiqua" w:cs="Times New Roman"/>
          <w:sz w:val="24"/>
          <w:szCs w:val="24"/>
        </w:rPr>
        <w:t>with</w:t>
      </w:r>
      <w:r w:rsidR="00791FB2" w:rsidRPr="000E3BD6">
        <w:rPr>
          <w:rFonts w:ascii="Book Antiqua" w:hAnsi="Book Antiqua" w:cs="Times New Roman"/>
          <w:sz w:val="24"/>
          <w:szCs w:val="24"/>
        </w:rPr>
        <w:t xml:space="preserve">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α but blocked by AMD3100 (Figure 6</w:t>
      </w:r>
      <w:r w:rsidR="009341A1" w:rsidRPr="000E3BD6">
        <w:rPr>
          <w:rFonts w:ascii="Book Antiqua" w:hAnsi="Book Antiqua" w:cs="Times New Roman"/>
          <w:sz w:val="24"/>
          <w:szCs w:val="24"/>
        </w:rPr>
        <w:t>C</w:t>
      </w:r>
      <w:r w:rsidRPr="000E3BD6">
        <w:rPr>
          <w:rFonts w:ascii="Book Antiqua" w:hAnsi="Book Antiqua" w:cs="Times New Roman"/>
          <w:sz w:val="24"/>
          <w:szCs w:val="24"/>
        </w:rPr>
        <w:t xml:space="preserve">). This suggests that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 xml:space="preserve">α synergistically promotes TGF-β1-induced chondrogenic differentiation of NPSCs through the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 xml:space="preserve">/CXCR4 axis. </w:t>
      </w:r>
    </w:p>
    <w:p w14:paraId="36105E06" w14:textId="77777777" w:rsidR="006B0A36" w:rsidRPr="000E3BD6" w:rsidRDefault="006B0A36" w:rsidP="00F710B6">
      <w:pPr>
        <w:adjustRightInd w:val="0"/>
        <w:snapToGrid w:val="0"/>
        <w:spacing w:after="0" w:line="360" w:lineRule="auto"/>
        <w:contextualSpacing/>
        <w:jc w:val="both"/>
        <w:rPr>
          <w:rFonts w:ascii="Book Antiqua" w:hAnsi="Book Antiqua" w:cs="Times New Roman"/>
          <w:sz w:val="24"/>
          <w:szCs w:val="24"/>
        </w:rPr>
      </w:pPr>
    </w:p>
    <w:p w14:paraId="2CF3CFB1"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r w:rsidRPr="000E3BD6">
        <w:rPr>
          <w:rFonts w:ascii="Book Antiqua" w:hAnsi="Book Antiqua" w:cs="Times New Roman"/>
          <w:b/>
          <w:sz w:val="24"/>
          <w:szCs w:val="24"/>
        </w:rPr>
        <w:t>DISCUSSION</w:t>
      </w:r>
    </w:p>
    <w:p w14:paraId="20738608" w14:textId="49497FD0"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r w:rsidRPr="000E3BD6">
        <w:rPr>
          <w:rFonts w:ascii="Book Antiqua" w:hAnsi="Book Antiqua" w:cs="Times New Roman"/>
          <w:sz w:val="24"/>
          <w:szCs w:val="24"/>
        </w:rPr>
        <w:t>Stem cell therapy has been recognized as a promising strategy for disc regeneration</w:t>
      </w:r>
      <w:r w:rsidRPr="000E3BD6">
        <w:rPr>
          <w:rFonts w:ascii="Book Antiqua" w:hAnsi="Book Antiqua" w:cs="Times New Roman"/>
          <w:noProof/>
          <w:sz w:val="24"/>
          <w:szCs w:val="24"/>
          <w:vertAlign w:val="superscript"/>
        </w:rPr>
        <w:t>[35-37]</w:t>
      </w:r>
      <w:r w:rsidRPr="000E3BD6">
        <w:rPr>
          <w:rFonts w:ascii="Book Antiqua" w:hAnsi="Book Antiqua" w:cs="Times New Roman"/>
          <w:sz w:val="24"/>
          <w:szCs w:val="24"/>
        </w:rPr>
        <w:t>. However, the potential for long-term survival and biological function of the transplanted cells in the harsh microenvironment remains unknown</w:t>
      </w:r>
      <w:r w:rsidR="003C5E62" w:rsidRPr="000E3BD6">
        <w:rPr>
          <w:rFonts w:ascii="Book Antiqua" w:hAnsi="Book Antiqua" w:cs="Times New Roman"/>
          <w:noProof/>
          <w:sz w:val="24"/>
          <w:szCs w:val="24"/>
          <w:vertAlign w:val="superscript"/>
        </w:rPr>
        <w:t>[10,</w:t>
      </w:r>
      <w:r w:rsidRPr="000E3BD6">
        <w:rPr>
          <w:rFonts w:ascii="Book Antiqua" w:hAnsi="Book Antiqua" w:cs="Times New Roman"/>
          <w:noProof/>
          <w:sz w:val="24"/>
          <w:szCs w:val="24"/>
          <w:vertAlign w:val="superscript"/>
        </w:rPr>
        <w:t>38]</w:t>
      </w:r>
      <w:r w:rsidRPr="000E3BD6">
        <w:rPr>
          <w:rFonts w:ascii="Book Antiqua" w:hAnsi="Book Antiqua" w:cs="Times New Roman"/>
          <w:sz w:val="24"/>
          <w:szCs w:val="24"/>
        </w:rPr>
        <w:t xml:space="preserve">. To overcome the problems associated with stem cell transplantation, mobilization of endogenous progenitor/stem cells to the injury site has been considered as an alternative approach. Many studies have demonstrated that progenitor cells residing in the stem niches of the IVD migrate toward the annular fibrosus and the inner parts of the IVD that may contribute to disc regeneration </w:t>
      </w:r>
      <w:r w:rsidRPr="000E3BD6">
        <w:rPr>
          <w:rFonts w:ascii="Book Antiqua" w:hAnsi="Book Antiqua" w:cs="Times New Roman"/>
          <w:i/>
          <w:sz w:val="24"/>
          <w:szCs w:val="24"/>
        </w:rPr>
        <w:t>in situ</w:t>
      </w:r>
      <w:r w:rsidR="003C5E62" w:rsidRPr="000E3BD6">
        <w:rPr>
          <w:rFonts w:ascii="Book Antiqua" w:hAnsi="Book Antiqua" w:cs="Times New Roman"/>
          <w:noProof/>
          <w:sz w:val="24"/>
          <w:szCs w:val="24"/>
          <w:vertAlign w:val="superscript"/>
        </w:rPr>
        <w:t>[27-29,</w:t>
      </w:r>
      <w:r w:rsidRPr="000E3BD6">
        <w:rPr>
          <w:rFonts w:ascii="Book Antiqua" w:hAnsi="Book Antiqua" w:cs="Times New Roman"/>
          <w:noProof/>
          <w:sz w:val="24"/>
          <w:szCs w:val="24"/>
          <w:vertAlign w:val="superscript"/>
        </w:rPr>
        <w:t>39]</w:t>
      </w:r>
      <w:r w:rsidRPr="000E3BD6">
        <w:rPr>
          <w:rFonts w:ascii="Book Antiqua" w:hAnsi="Book Antiqua" w:cs="Times New Roman"/>
          <w:sz w:val="24"/>
          <w:szCs w:val="24"/>
        </w:rPr>
        <w:t xml:space="preserve">. In the natural healing process, the affected cells and tissues </w:t>
      </w:r>
      <w:r w:rsidRPr="000E3BD6">
        <w:rPr>
          <w:rFonts w:ascii="Book Antiqua" w:hAnsi="Book Antiqua" w:cs="Times New Roman"/>
          <w:sz w:val="24"/>
          <w:szCs w:val="24"/>
        </w:rPr>
        <w:lastRenderedPageBreak/>
        <w:t>release a variety of cytokines/chemokines to activate the dormant progenitor cells and then trigger their migration from their niches to the injury sites</w:t>
      </w:r>
      <w:r w:rsidRPr="000E3BD6">
        <w:rPr>
          <w:rFonts w:ascii="Book Antiqua" w:hAnsi="Book Antiqua" w:cs="Times New Roman"/>
          <w:noProof/>
          <w:sz w:val="24"/>
          <w:szCs w:val="24"/>
          <w:vertAlign w:val="superscript"/>
        </w:rPr>
        <w:t>[40]</w:t>
      </w:r>
      <w:r w:rsidRPr="000E3BD6">
        <w:rPr>
          <w:rFonts w:ascii="Book Antiqua" w:hAnsi="Book Antiqua" w:cs="Times New Roman"/>
          <w:sz w:val="24"/>
          <w:szCs w:val="24"/>
        </w:rPr>
        <w:t xml:space="preserve">. However, little is currently known about the possibility of endogenous tissue repair of the degenerative IVD by targeting the local microenvironment, or the mechanism by which this might occur. The present study sought to investigate the role of chemokine SDF-1α in regulating the migration and differentiation capacities of endogenous stem cells within the IVD for regeneration. </w:t>
      </w:r>
    </w:p>
    <w:p w14:paraId="0AE99463" w14:textId="77777777" w:rsidR="006B0A36" w:rsidRPr="000E3BD6" w:rsidRDefault="006B0A36" w:rsidP="003C5E62">
      <w:pPr>
        <w:autoSpaceDE w:val="0"/>
        <w:autoSpaceDN w:val="0"/>
        <w:adjustRightInd w:val="0"/>
        <w:spacing w:after="0" w:line="360" w:lineRule="auto"/>
        <w:ind w:firstLineChars="100" w:firstLine="240"/>
        <w:contextualSpacing/>
        <w:jc w:val="both"/>
        <w:rPr>
          <w:rFonts w:ascii="Book Antiqua" w:hAnsi="Book Antiqua" w:cs="Times New Roman"/>
          <w:sz w:val="24"/>
          <w:szCs w:val="24"/>
        </w:rPr>
      </w:pPr>
      <w:r w:rsidRPr="000E3BD6">
        <w:rPr>
          <w:rFonts w:ascii="Book Antiqua" w:hAnsi="Book Antiqua" w:cs="Times New Roman"/>
          <w:sz w:val="24"/>
          <w:szCs w:val="24"/>
        </w:rPr>
        <w:t xml:space="preserve">Recent studies have shown that the degenerative IVD releases several </w:t>
      </w:r>
      <w:r w:rsidRPr="000E3BD6">
        <w:rPr>
          <w:rStyle w:val="fontstyle01"/>
          <w:rFonts w:ascii="Book Antiqua" w:hAnsi="Book Antiqua" w:cs="Times New Roman"/>
          <w:color w:val="auto"/>
          <w:sz w:val="24"/>
          <w:szCs w:val="24"/>
        </w:rPr>
        <w:t>cytokines and chemokines</w:t>
      </w:r>
      <w:r w:rsidRPr="000E3BD6">
        <w:rPr>
          <w:rFonts w:ascii="Book Antiqua" w:hAnsi="Book Antiqua" w:cs="Times New Roman"/>
          <w:sz w:val="24"/>
          <w:szCs w:val="24"/>
        </w:rPr>
        <w:t xml:space="preserve"> for effective recruitment of endogenous stem cells during the repair process</w:t>
      </w:r>
      <w:r w:rsidRPr="000E3BD6">
        <w:rPr>
          <w:rFonts w:ascii="Book Antiqua" w:hAnsi="Book Antiqua" w:cs="Times New Roman"/>
          <w:noProof/>
          <w:sz w:val="24"/>
          <w:szCs w:val="24"/>
          <w:vertAlign w:val="superscript"/>
        </w:rPr>
        <w:t>[41]</w:t>
      </w:r>
      <w:r w:rsidRPr="000E3BD6">
        <w:rPr>
          <w:rFonts w:ascii="Book Antiqua" w:hAnsi="Book Antiqua" w:cs="Times New Roman"/>
          <w:sz w:val="24"/>
          <w:szCs w:val="24"/>
        </w:rPr>
        <w:t>. SDF-1α is considered to be a potent chemokine with a role in trafficking endogenous progenitor cells to repair injury</w:t>
      </w:r>
      <w:r w:rsidRPr="000E3BD6">
        <w:rPr>
          <w:rFonts w:ascii="Book Antiqua" w:hAnsi="Book Antiqua" w:cs="Times New Roman"/>
          <w:noProof/>
          <w:sz w:val="24"/>
          <w:szCs w:val="24"/>
          <w:vertAlign w:val="superscript"/>
        </w:rPr>
        <w:t>[42]</w:t>
      </w:r>
      <w:r w:rsidRPr="000E3BD6">
        <w:rPr>
          <w:rFonts w:ascii="Book Antiqua" w:hAnsi="Book Antiqua" w:cs="Times New Roman"/>
          <w:sz w:val="24"/>
          <w:szCs w:val="24"/>
        </w:rPr>
        <w:t>. It has been documented that upregulation of SDF-1α and of its receptor CXCR4 are closely related to IVD degeneration</w:t>
      </w:r>
      <w:r w:rsidRPr="000E3BD6">
        <w:rPr>
          <w:rFonts w:ascii="Book Antiqua" w:hAnsi="Book Antiqua" w:cs="Times New Roman"/>
          <w:noProof/>
          <w:sz w:val="24"/>
          <w:szCs w:val="24"/>
          <w:vertAlign w:val="superscript"/>
        </w:rPr>
        <w:t>[19]</w:t>
      </w:r>
      <w:r w:rsidRPr="000E3BD6">
        <w:rPr>
          <w:rFonts w:ascii="Book Antiqua" w:hAnsi="Book Antiqua" w:cs="Times New Roman"/>
          <w:sz w:val="24"/>
          <w:szCs w:val="24"/>
        </w:rPr>
        <w:t xml:space="preserve">. In the present study, we also demonstrated high expression and release of SDF-1α </w:t>
      </w:r>
      <w:r w:rsidRPr="000E3BD6">
        <w:rPr>
          <w:rFonts w:ascii="Book Antiqua" w:hAnsi="Book Antiqua" w:cs="Times New Roman"/>
          <w:i/>
          <w:sz w:val="24"/>
          <w:szCs w:val="24"/>
        </w:rPr>
        <w:t>in vitro</w:t>
      </w:r>
      <w:r w:rsidRPr="000E3BD6">
        <w:rPr>
          <w:rFonts w:ascii="Book Antiqua" w:hAnsi="Book Antiqua" w:cs="Times New Roman"/>
          <w:sz w:val="24"/>
          <w:szCs w:val="24"/>
        </w:rPr>
        <w:t xml:space="preserve"> in native cells affected by the pro-inflammatory mediators IL-1β and TNF-α. Moreover, upregulation of SDF-1α in the degenerative IVD induced by needle puncture was </w:t>
      </w:r>
      <w:r w:rsidRPr="000E3BD6">
        <w:rPr>
          <w:rStyle w:val="fontstyle01"/>
          <w:rFonts w:ascii="Book Antiqua" w:hAnsi="Book Antiqua" w:cs="Times New Roman"/>
          <w:color w:val="auto"/>
          <w:sz w:val="24"/>
          <w:szCs w:val="24"/>
        </w:rPr>
        <w:t>confirmed by immunohistochemistry.</w:t>
      </w:r>
      <w:r w:rsidRPr="000E3BD6">
        <w:rPr>
          <w:rFonts w:ascii="Book Antiqua" w:hAnsi="Book Antiqua" w:cs="Times New Roman"/>
          <w:sz w:val="24"/>
          <w:szCs w:val="24"/>
        </w:rPr>
        <w:t xml:space="preserve"> </w:t>
      </w:r>
    </w:p>
    <w:p w14:paraId="3DEE4546" w14:textId="1B88B99B" w:rsidR="006B0A36" w:rsidRPr="000E3BD6" w:rsidRDefault="006B0A36" w:rsidP="003C5E62">
      <w:pPr>
        <w:autoSpaceDE w:val="0"/>
        <w:autoSpaceDN w:val="0"/>
        <w:adjustRightInd w:val="0"/>
        <w:spacing w:after="0" w:line="360" w:lineRule="auto"/>
        <w:ind w:firstLineChars="100" w:firstLine="240"/>
        <w:contextualSpacing/>
        <w:jc w:val="both"/>
        <w:rPr>
          <w:rStyle w:val="fontstyle01"/>
          <w:rFonts w:ascii="Book Antiqua" w:eastAsiaTheme="minorEastAsia" w:hAnsi="Book Antiqua" w:cs="Times New Roman"/>
          <w:color w:val="auto"/>
          <w:sz w:val="24"/>
          <w:szCs w:val="24"/>
        </w:rPr>
      </w:pPr>
      <w:r w:rsidRPr="000E3BD6">
        <w:rPr>
          <w:rStyle w:val="fontstyle01"/>
          <w:rFonts w:ascii="Book Antiqua" w:hAnsi="Book Antiqua" w:cs="Times New Roman"/>
          <w:i/>
          <w:color w:val="auto"/>
          <w:sz w:val="24"/>
          <w:szCs w:val="24"/>
        </w:rPr>
        <w:t>In vitro</w:t>
      </w:r>
      <w:r w:rsidRPr="000E3BD6">
        <w:rPr>
          <w:rStyle w:val="fontstyle01"/>
          <w:rFonts w:ascii="Book Antiqua" w:hAnsi="Book Antiqua" w:cs="Times New Roman"/>
          <w:color w:val="auto"/>
          <w:sz w:val="24"/>
          <w:szCs w:val="24"/>
        </w:rPr>
        <w:t xml:space="preserve"> migration assays demonstrated that </w:t>
      </w:r>
      <w:r w:rsidRPr="000E3BD6">
        <w:rPr>
          <w:rFonts w:ascii="Book Antiqua" w:hAnsi="Book Antiqua" w:cs="Times New Roman"/>
          <w:sz w:val="24"/>
          <w:szCs w:val="24"/>
        </w:rPr>
        <w:t xml:space="preserve">SDF-1α </w:t>
      </w:r>
      <w:r w:rsidR="00E13AD9" w:rsidRPr="000E3BD6">
        <w:rPr>
          <w:rStyle w:val="fontstyle01"/>
          <w:rFonts w:ascii="Book Antiqua" w:hAnsi="Book Antiqua" w:cs="Times New Roman"/>
          <w:color w:val="auto"/>
          <w:sz w:val="24"/>
          <w:szCs w:val="24"/>
        </w:rPr>
        <w:t>promote</w:t>
      </w:r>
      <w:r w:rsidR="00E13AD9">
        <w:rPr>
          <w:rStyle w:val="fontstyle01"/>
          <w:rFonts w:ascii="Book Antiqua" w:hAnsi="Book Antiqua" w:cs="Times New Roman"/>
          <w:color w:val="auto"/>
          <w:sz w:val="24"/>
          <w:szCs w:val="24"/>
        </w:rPr>
        <w:t>d</w:t>
      </w:r>
      <w:r w:rsidR="00E13AD9" w:rsidRPr="000E3BD6">
        <w:rPr>
          <w:rStyle w:val="fontstyle01"/>
          <w:rFonts w:ascii="Book Antiqua" w:hAnsi="Book Antiqua" w:cs="Times New Roman"/>
          <w:color w:val="auto"/>
          <w:sz w:val="24"/>
          <w:szCs w:val="24"/>
        </w:rPr>
        <w:t xml:space="preserve"> </w:t>
      </w:r>
      <w:r w:rsidRPr="000E3BD6">
        <w:rPr>
          <w:rStyle w:val="fontstyle01"/>
          <w:rFonts w:ascii="Book Antiqua" w:hAnsi="Book Antiqua" w:cs="Times New Roman"/>
          <w:color w:val="auto"/>
          <w:sz w:val="24"/>
          <w:szCs w:val="24"/>
        </w:rPr>
        <w:t>migration capacity of NPSCs in a dose-dependent manner. Although</w:t>
      </w:r>
      <w:r w:rsidRPr="000E3BD6">
        <w:rPr>
          <w:rFonts w:ascii="Book Antiqua" w:hAnsi="Book Antiqua" w:cs="Times New Roman"/>
          <w:sz w:val="24"/>
          <w:szCs w:val="24"/>
        </w:rPr>
        <w:t xml:space="preserve"> neutralization of CXCR4</w:t>
      </w:r>
      <w:r w:rsidRPr="000E3BD6">
        <w:rPr>
          <w:rStyle w:val="fontstyle01"/>
          <w:rFonts w:ascii="Book Antiqua" w:hAnsi="Book Antiqua" w:cs="Times New Roman"/>
          <w:color w:val="auto"/>
          <w:sz w:val="24"/>
          <w:szCs w:val="24"/>
        </w:rPr>
        <w:t>, using a pharmaceutical inhibitor AMD3100, decreased the SDF-1</w:t>
      </w:r>
      <w:r w:rsidRPr="000E3BD6">
        <w:rPr>
          <w:rFonts w:ascii="Book Antiqua" w:hAnsi="Book Antiqua" w:cs="Times New Roman"/>
          <w:sz w:val="24"/>
          <w:szCs w:val="24"/>
        </w:rPr>
        <w:t>α</w:t>
      </w:r>
      <w:r w:rsidRPr="000E3BD6">
        <w:rPr>
          <w:rStyle w:val="fontstyle01"/>
          <w:rFonts w:ascii="Book Antiqua" w:hAnsi="Book Antiqua" w:cs="Times New Roman"/>
          <w:color w:val="auto"/>
          <w:sz w:val="24"/>
          <w:szCs w:val="24"/>
        </w:rPr>
        <w:t xml:space="preserve">-induced enhancement of migration of NPSCs, it </w:t>
      </w:r>
      <w:r w:rsidRPr="000E3BD6">
        <w:rPr>
          <w:rFonts w:ascii="Book Antiqua" w:hAnsi="Book Antiqua" w:cs="Times New Roman"/>
          <w:sz w:val="24"/>
          <w:szCs w:val="24"/>
        </w:rPr>
        <w:t xml:space="preserve">could not completely abolish the migration capacity. </w:t>
      </w:r>
      <w:r w:rsidRPr="000E3BD6">
        <w:rPr>
          <w:rStyle w:val="fontstyle01"/>
          <w:rFonts w:ascii="Book Antiqua" w:hAnsi="Book Antiqua" w:cs="Times New Roman"/>
          <w:color w:val="auto"/>
          <w:sz w:val="24"/>
          <w:szCs w:val="24"/>
        </w:rPr>
        <w:t>This suggests that the SDF-1/CXCR4 axis is essential for endogenous recruitment of NPSCs, although</w:t>
      </w:r>
      <w:r w:rsidRPr="000E3BD6">
        <w:rPr>
          <w:rFonts w:ascii="Book Antiqua" w:hAnsi="Book Antiqua" w:cs="Times New Roman"/>
          <w:sz w:val="24"/>
          <w:szCs w:val="24"/>
        </w:rPr>
        <w:t xml:space="preserve"> there may be other factors involved in their specific migration</w:t>
      </w:r>
      <w:r w:rsidRPr="000E3BD6">
        <w:rPr>
          <w:rStyle w:val="fontstyle01"/>
          <w:rFonts w:ascii="Book Antiqua" w:hAnsi="Book Antiqua" w:cs="Times New Roman"/>
          <w:color w:val="auto"/>
          <w:sz w:val="24"/>
          <w:szCs w:val="24"/>
        </w:rPr>
        <w:t>. Furthermore, in the immunofluorescence study, we found that SDF-1</w:t>
      </w:r>
      <w:r w:rsidRPr="000E3BD6">
        <w:rPr>
          <w:rFonts w:ascii="Book Antiqua" w:hAnsi="Book Antiqua" w:cs="Times New Roman"/>
          <w:sz w:val="24"/>
          <w:szCs w:val="24"/>
        </w:rPr>
        <w:t>α</w:t>
      </w:r>
      <w:r w:rsidRPr="000E3BD6">
        <w:rPr>
          <w:rStyle w:val="fontstyle01"/>
          <w:rFonts w:ascii="Book Antiqua" w:hAnsi="Book Antiqua" w:cs="Times New Roman"/>
          <w:color w:val="auto"/>
          <w:sz w:val="24"/>
          <w:szCs w:val="24"/>
        </w:rPr>
        <w:t xml:space="preserve"> promoted the formation of F-actin and lamellipodia in NPSCs</w:t>
      </w:r>
      <w:r w:rsidR="00E13AD9">
        <w:rPr>
          <w:rStyle w:val="fontstyle01"/>
          <w:rFonts w:ascii="Book Antiqua" w:hAnsi="Book Antiqua" w:cs="Times New Roman"/>
          <w:color w:val="auto"/>
          <w:sz w:val="24"/>
          <w:szCs w:val="24"/>
        </w:rPr>
        <w:t xml:space="preserve">, which </w:t>
      </w:r>
      <w:r w:rsidRPr="000E3BD6">
        <w:rPr>
          <w:rStyle w:val="fontstyle01"/>
          <w:rFonts w:ascii="Book Antiqua" w:hAnsi="Book Antiqua" w:cs="Times New Roman"/>
          <w:color w:val="auto"/>
          <w:sz w:val="24"/>
          <w:szCs w:val="24"/>
        </w:rPr>
        <w:t>was suppressed by the CXCR4 antagonist AMD3100. F-actin cytoskeletal networks are widely accepted to be key regulators of cellular shape and force generation in cell migration, and are involved in lamellipodia formation, cell adhesion, and cellular shape changes</w:t>
      </w:r>
      <w:r w:rsidRPr="000E3BD6">
        <w:rPr>
          <w:rStyle w:val="fontstyle01"/>
          <w:rFonts w:ascii="Book Antiqua" w:hAnsi="Book Antiqua" w:cs="Times New Roman"/>
          <w:noProof/>
          <w:color w:val="auto"/>
          <w:sz w:val="24"/>
          <w:szCs w:val="24"/>
          <w:vertAlign w:val="superscript"/>
        </w:rPr>
        <w:t>[43]</w:t>
      </w:r>
      <w:r w:rsidRPr="000E3BD6">
        <w:rPr>
          <w:rStyle w:val="fontstyle01"/>
          <w:rFonts w:ascii="Book Antiqua" w:hAnsi="Book Antiqua" w:cs="Times New Roman"/>
          <w:color w:val="auto"/>
          <w:sz w:val="24"/>
          <w:szCs w:val="24"/>
        </w:rPr>
        <w:t>. Herein, we hypothesized that the formation of F-actin and lamellipodia was compatible with the SDF-1</w:t>
      </w:r>
      <w:r w:rsidRPr="000E3BD6">
        <w:rPr>
          <w:rFonts w:ascii="Book Antiqua" w:hAnsi="Book Antiqua" w:cs="Times New Roman"/>
          <w:sz w:val="24"/>
          <w:szCs w:val="24"/>
        </w:rPr>
        <w:t>α</w:t>
      </w:r>
      <w:r w:rsidRPr="000E3BD6">
        <w:rPr>
          <w:rStyle w:val="fontstyle01"/>
          <w:rFonts w:ascii="Book Antiqua" w:hAnsi="Book Antiqua" w:cs="Times New Roman"/>
          <w:color w:val="auto"/>
          <w:sz w:val="24"/>
          <w:szCs w:val="24"/>
        </w:rPr>
        <w:t xml:space="preserve">-induced migration of NPSCs, </w:t>
      </w:r>
      <w:r w:rsidRPr="000E3BD6">
        <w:rPr>
          <w:rStyle w:val="fontstyle01"/>
          <w:rFonts w:ascii="Book Antiqua" w:hAnsi="Book Antiqua" w:cs="Times New Roman"/>
          <w:color w:val="auto"/>
          <w:sz w:val="24"/>
          <w:szCs w:val="24"/>
        </w:rPr>
        <w:lastRenderedPageBreak/>
        <w:t>suggesting that SDF-1</w:t>
      </w:r>
      <w:r w:rsidRPr="000E3BD6">
        <w:rPr>
          <w:rFonts w:ascii="Book Antiqua" w:hAnsi="Book Antiqua" w:cs="Times New Roman"/>
          <w:sz w:val="24"/>
          <w:szCs w:val="24"/>
        </w:rPr>
        <w:t>α</w:t>
      </w:r>
      <w:r w:rsidRPr="000E3BD6">
        <w:rPr>
          <w:rStyle w:val="fontstyle01"/>
          <w:rFonts w:ascii="Book Antiqua" w:hAnsi="Book Antiqua" w:cs="Times New Roman"/>
          <w:color w:val="auto"/>
          <w:sz w:val="24"/>
          <w:szCs w:val="24"/>
        </w:rPr>
        <w:t xml:space="preserve"> rearranges F-actin cytoskeletal networks in NPSCs to increase their migratory capability. </w:t>
      </w:r>
    </w:p>
    <w:p w14:paraId="78E467D1" w14:textId="34E122C3" w:rsidR="006B0A36" w:rsidRPr="000E3BD6" w:rsidRDefault="006B0A36" w:rsidP="003C5E62">
      <w:pPr>
        <w:autoSpaceDE w:val="0"/>
        <w:autoSpaceDN w:val="0"/>
        <w:adjustRightInd w:val="0"/>
        <w:spacing w:after="0" w:line="360" w:lineRule="auto"/>
        <w:ind w:firstLineChars="100" w:firstLine="240"/>
        <w:contextualSpacing/>
        <w:jc w:val="both"/>
        <w:rPr>
          <w:rFonts w:ascii="Book Antiqua" w:hAnsi="Book Antiqua" w:cs="Times New Roman"/>
          <w:sz w:val="24"/>
          <w:szCs w:val="24"/>
        </w:rPr>
      </w:pPr>
      <w:r w:rsidRPr="000E3BD6">
        <w:rPr>
          <w:rStyle w:val="fontstyle01"/>
          <w:rFonts w:ascii="Book Antiqua" w:hAnsi="Book Antiqua" w:cs="Times New Roman"/>
          <w:color w:val="auto"/>
          <w:sz w:val="24"/>
          <w:szCs w:val="24"/>
        </w:rPr>
        <w:t>The collected evidence demonstrated that bone marrow-derived mesenchymal stem cells</w:t>
      </w:r>
      <w:r w:rsidRPr="000E3BD6">
        <w:rPr>
          <w:rFonts w:ascii="Book Antiqua" w:hAnsi="Book Antiqua"/>
          <w:sz w:val="24"/>
          <w:szCs w:val="24"/>
        </w:rPr>
        <w:t xml:space="preserve"> (</w:t>
      </w:r>
      <w:r w:rsidRPr="000E3BD6">
        <w:rPr>
          <w:rStyle w:val="fontstyle01"/>
          <w:rFonts w:ascii="Book Antiqua" w:hAnsi="Book Antiqua" w:cs="Times New Roman"/>
          <w:color w:val="auto"/>
          <w:sz w:val="24"/>
          <w:szCs w:val="24"/>
        </w:rPr>
        <w:t>BMSCs) expressing CXCR4 show</w:t>
      </w:r>
      <w:r w:rsidR="00E13AD9">
        <w:rPr>
          <w:rStyle w:val="fontstyle01"/>
          <w:rFonts w:ascii="Book Antiqua" w:hAnsi="Book Antiqua" w:cs="Times New Roman"/>
          <w:color w:val="auto"/>
          <w:sz w:val="24"/>
          <w:szCs w:val="24"/>
        </w:rPr>
        <w:t>ed</w:t>
      </w:r>
      <w:r w:rsidRPr="000E3BD6">
        <w:rPr>
          <w:rStyle w:val="fontstyle01"/>
          <w:rFonts w:ascii="Book Antiqua" w:hAnsi="Book Antiqua" w:cs="Times New Roman"/>
          <w:color w:val="auto"/>
          <w:sz w:val="24"/>
          <w:szCs w:val="24"/>
        </w:rPr>
        <w:t xml:space="preserve"> powerful chemotaxis in response to SDF-1</w:t>
      </w:r>
      <w:r w:rsidRPr="000E3BD6">
        <w:rPr>
          <w:rFonts w:ascii="Book Antiqua" w:hAnsi="Book Antiqua" w:cs="Times New Roman"/>
          <w:sz w:val="24"/>
          <w:szCs w:val="24"/>
        </w:rPr>
        <w:t>α</w:t>
      </w:r>
      <w:r w:rsidRPr="000E3BD6">
        <w:rPr>
          <w:rStyle w:val="fontstyle01"/>
          <w:rFonts w:ascii="Book Antiqua" w:hAnsi="Book Antiqua" w:cs="Times New Roman"/>
          <w:color w:val="auto"/>
          <w:sz w:val="24"/>
          <w:szCs w:val="24"/>
        </w:rPr>
        <w:t>, and that SDF-1</w:t>
      </w:r>
      <w:r w:rsidRPr="000E3BD6">
        <w:rPr>
          <w:rFonts w:ascii="Book Antiqua" w:hAnsi="Book Antiqua" w:cs="Times New Roman"/>
          <w:sz w:val="24"/>
          <w:szCs w:val="24"/>
        </w:rPr>
        <w:t>α can promote the migration of the BMSCs by increasing the expression of CXCR4</w:t>
      </w:r>
      <w:r w:rsidRPr="000E3BD6">
        <w:rPr>
          <w:rFonts w:ascii="Book Antiqua" w:hAnsi="Book Antiqua" w:cs="Times New Roman"/>
          <w:noProof/>
          <w:sz w:val="24"/>
          <w:szCs w:val="24"/>
          <w:vertAlign w:val="superscript"/>
        </w:rPr>
        <w:t>[44]</w:t>
      </w:r>
      <w:r w:rsidRPr="000E3BD6">
        <w:rPr>
          <w:rFonts w:ascii="Book Antiqua" w:hAnsi="Book Antiqua" w:cs="Times New Roman"/>
          <w:sz w:val="24"/>
          <w:szCs w:val="24"/>
        </w:rPr>
        <w:t xml:space="preserve">. </w:t>
      </w:r>
      <w:bookmarkStart w:id="24" w:name="_Hlk532898136"/>
      <w:bookmarkStart w:id="25" w:name="OLE_LINK1"/>
      <w:bookmarkStart w:id="26" w:name="OLE_LINK6"/>
      <w:r w:rsidRPr="000E3BD6">
        <w:rPr>
          <w:rFonts w:ascii="Book Antiqua" w:hAnsi="Book Antiqua" w:cs="Times New Roman"/>
          <w:sz w:val="24"/>
          <w:szCs w:val="24"/>
        </w:rPr>
        <w:t>The present study, for the first time, showed the expression of SDF-1α receptor CXCR4 in NPSCs.</w:t>
      </w:r>
      <w:bookmarkEnd w:id="24"/>
      <w:r w:rsidRPr="000E3BD6">
        <w:rPr>
          <w:rFonts w:ascii="Book Antiqua" w:hAnsi="Book Antiqua" w:cs="Times New Roman"/>
          <w:sz w:val="24"/>
          <w:szCs w:val="24"/>
        </w:rPr>
        <w:t xml:space="preserve"> </w:t>
      </w:r>
      <w:bookmarkEnd w:id="25"/>
      <w:bookmarkEnd w:id="26"/>
      <w:r w:rsidRPr="000E3BD6">
        <w:rPr>
          <w:rFonts w:ascii="Book Antiqua" w:hAnsi="Book Antiqua" w:cs="Times New Roman"/>
          <w:sz w:val="24"/>
          <w:szCs w:val="24"/>
        </w:rPr>
        <w:t xml:space="preserve">The immunoblotting and real-time RT-PCR results demonstrated that </w:t>
      </w:r>
      <w:r w:rsidRPr="000E3BD6">
        <w:rPr>
          <w:rStyle w:val="fontstyle01"/>
          <w:rFonts w:ascii="Book Antiqua" w:hAnsi="Book Antiqua" w:cs="Times New Roman"/>
          <w:color w:val="auto"/>
          <w:sz w:val="24"/>
          <w:szCs w:val="24"/>
        </w:rPr>
        <w:t xml:space="preserve">the expression of CXCR4 was upregulated by </w:t>
      </w:r>
      <w:r w:rsidRPr="000E3BD6">
        <w:rPr>
          <w:rFonts w:ascii="Book Antiqua" w:hAnsi="Book Antiqua" w:cs="Times New Roman"/>
          <w:sz w:val="24"/>
          <w:szCs w:val="24"/>
        </w:rPr>
        <w:t>SDF-1α and abolished by pretreatment with the antagonist AMD3100</w:t>
      </w:r>
      <w:r w:rsidRPr="000E3BD6">
        <w:rPr>
          <w:rStyle w:val="fontstyle01"/>
          <w:rFonts w:ascii="Book Antiqua" w:hAnsi="Book Antiqua" w:cs="Times New Roman"/>
          <w:color w:val="auto"/>
          <w:sz w:val="24"/>
          <w:szCs w:val="24"/>
        </w:rPr>
        <w:t>.</w:t>
      </w:r>
      <w:r w:rsidRPr="000E3BD6">
        <w:rPr>
          <w:rFonts w:ascii="Book Antiqua" w:hAnsi="Book Antiqua" w:cs="Times New Roman"/>
          <w:sz w:val="24"/>
          <w:szCs w:val="24"/>
        </w:rPr>
        <w:t xml:space="preserve"> The majority of CXCR4 is localized in endosomal compartments of MSCs; it cycles continuously to the cell surface and re-enters the cytoplasm </w:t>
      </w:r>
      <w:r w:rsidR="00471703" w:rsidRPr="000E3BD6">
        <w:rPr>
          <w:rFonts w:ascii="Book Antiqua" w:hAnsi="Book Antiqua" w:cs="Times New Roman"/>
          <w:i/>
          <w:sz w:val="24"/>
          <w:szCs w:val="24"/>
        </w:rPr>
        <w:t>via</w:t>
      </w:r>
      <w:r w:rsidRPr="000E3BD6">
        <w:rPr>
          <w:rFonts w:ascii="Book Antiqua" w:hAnsi="Book Antiqua" w:cs="Times New Roman"/>
          <w:sz w:val="24"/>
          <w:szCs w:val="24"/>
        </w:rPr>
        <w:t xml:space="preserve"> endocytosis</w:t>
      </w:r>
      <w:r w:rsidRPr="000E3BD6">
        <w:rPr>
          <w:rFonts w:ascii="Book Antiqua" w:hAnsi="Book Antiqua" w:cs="Times New Roman"/>
          <w:noProof/>
          <w:sz w:val="24"/>
          <w:szCs w:val="24"/>
          <w:vertAlign w:val="superscript"/>
        </w:rPr>
        <w:t>[45]</w:t>
      </w:r>
      <w:r w:rsidRPr="000E3BD6">
        <w:rPr>
          <w:rFonts w:ascii="Book Antiqua" w:hAnsi="Book Antiqua" w:cs="Times New Roman"/>
          <w:sz w:val="24"/>
          <w:szCs w:val="24"/>
        </w:rPr>
        <w:t xml:space="preserve">. Immunofluorescence revealed </w:t>
      </w:r>
      <w:r w:rsidRPr="000E3BD6">
        <w:rPr>
          <w:rStyle w:val="fontstyle01"/>
          <w:rFonts w:ascii="Book Antiqua" w:hAnsi="Book Antiqua" w:cs="Times New Roman"/>
          <w:color w:val="auto"/>
          <w:sz w:val="24"/>
          <w:szCs w:val="24"/>
        </w:rPr>
        <w:t xml:space="preserve">that CXCR4 was </w:t>
      </w:r>
      <w:r w:rsidRPr="000E3BD6">
        <w:rPr>
          <w:rFonts w:ascii="Book Antiqua" w:hAnsi="Book Antiqua" w:cs="Times New Roman"/>
          <w:sz w:val="24"/>
          <w:szCs w:val="24"/>
        </w:rPr>
        <w:t xml:space="preserve">mainly </w:t>
      </w:r>
      <w:r w:rsidRPr="000E3BD6">
        <w:rPr>
          <w:rStyle w:val="fontstyle01"/>
          <w:rFonts w:ascii="Book Antiqua" w:hAnsi="Book Antiqua" w:cs="Times New Roman"/>
          <w:color w:val="auto"/>
          <w:sz w:val="24"/>
          <w:szCs w:val="24"/>
        </w:rPr>
        <w:t>expressed in the cytoplasm of NPSCs, and</w:t>
      </w:r>
      <w:r w:rsidRPr="000E3BD6">
        <w:rPr>
          <w:rFonts w:ascii="Book Antiqua" w:hAnsi="Book Antiqua" w:cs="Times New Roman"/>
          <w:sz w:val="24"/>
          <w:szCs w:val="24"/>
        </w:rPr>
        <w:t xml:space="preserve"> SDF-1α not only increased the CXCR4 expression level but also induced translocation of intracellular CXCR4 to the cell surface.</w:t>
      </w:r>
      <w:r w:rsidRPr="000E3BD6">
        <w:rPr>
          <w:rStyle w:val="fontstyle01"/>
          <w:rFonts w:ascii="Book Antiqua" w:hAnsi="Book Antiqua" w:cs="Times New Roman"/>
          <w:color w:val="auto"/>
          <w:sz w:val="24"/>
          <w:szCs w:val="24"/>
        </w:rPr>
        <w:t xml:space="preserve"> This phenomenon also appeared in the regulation of the SDF-1/CXCR4 axis in the chemoattraction of MSCs. These results suggest that SDF-1</w:t>
      </w:r>
      <w:r w:rsidRPr="000E3BD6">
        <w:rPr>
          <w:rFonts w:ascii="Book Antiqua" w:hAnsi="Book Antiqua" w:cs="Times New Roman"/>
          <w:sz w:val="24"/>
          <w:szCs w:val="24"/>
        </w:rPr>
        <w:t>α</w:t>
      </w:r>
      <w:r w:rsidRPr="000E3BD6">
        <w:rPr>
          <w:rStyle w:val="fontstyle01"/>
          <w:rFonts w:ascii="Book Antiqua" w:hAnsi="Book Antiqua" w:cs="Times New Roman"/>
          <w:color w:val="auto"/>
          <w:sz w:val="24"/>
          <w:szCs w:val="24"/>
        </w:rPr>
        <w:t xml:space="preserve"> affects cellular production and surface expression of CXCR4 in NPSCs, contributing to their migration capacity</w:t>
      </w:r>
      <w:r w:rsidRPr="000E3BD6">
        <w:rPr>
          <w:rStyle w:val="fontstyle01"/>
          <w:rFonts w:ascii="Book Antiqua" w:hAnsi="Book Antiqua" w:cs="Times New Roman"/>
          <w:noProof/>
          <w:color w:val="auto"/>
          <w:sz w:val="24"/>
          <w:szCs w:val="24"/>
          <w:vertAlign w:val="superscript"/>
        </w:rPr>
        <w:t>[46]</w:t>
      </w:r>
      <w:r w:rsidRPr="000E3BD6">
        <w:rPr>
          <w:rStyle w:val="fontstyle01"/>
          <w:rFonts w:ascii="Book Antiqua" w:hAnsi="Book Antiqua" w:cs="Times New Roman"/>
          <w:color w:val="auto"/>
          <w:sz w:val="24"/>
          <w:szCs w:val="24"/>
        </w:rPr>
        <w:t xml:space="preserve">. </w:t>
      </w:r>
    </w:p>
    <w:p w14:paraId="6D6FB183" w14:textId="6DF249C6" w:rsidR="006B0A36" w:rsidRPr="000E3BD6" w:rsidRDefault="006B0A36" w:rsidP="003C5E62">
      <w:pPr>
        <w:autoSpaceDE w:val="0"/>
        <w:autoSpaceDN w:val="0"/>
        <w:adjustRightInd w:val="0"/>
        <w:spacing w:after="0" w:line="360" w:lineRule="auto"/>
        <w:ind w:firstLineChars="100" w:firstLine="240"/>
        <w:contextualSpacing/>
        <w:jc w:val="both"/>
        <w:rPr>
          <w:rFonts w:ascii="Book Antiqua" w:eastAsia="OfficinaSansStd-Book" w:hAnsi="Book Antiqua" w:cs="Times New Roman"/>
          <w:sz w:val="24"/>
          <w:szCs w:val="24"/>
        </w:rPr>
      </w:pPr>
      <w:r w:rsidRPr="000E3BD6">
        <w:rPr>
          <w:rFonts w:ascii="Book Antiqua" w:hAnsi="Book Antiqua" w:cs="Times New Roman"/>
          <w:sz w:val="24"/>
          <w:szCs w:val="24"/>
        </w:rPr>
        <w:t xml:space="preserve">The role of the SDF-1/CXCR4 axis in chondrogenic differentiation of NPSCs is poorly understood. A recent report suggested a novel role of </w:t>
      </w:r>
      <w:bookmarkStart w:id="27" w:name="_Hlk532921623"/>
      <w:r w:rsidRPr="000E3BD6">
        <w:rPr>
          <w:rFonts w:ascii="Book Antiqua" w:hAnsi="Book Antiqua" w:cs="Times New Roman"/>
          <w:sz w:val="24"/>
          <w:szCs w:val="24"/>
        </w:rPr>
        <w:t>SDF-1α in regulating bone morphogenetic protein</w:t>
      </w:r>
      <w:r w:rsidR="004855F5" w:rsidRPr="000E3BD6">
        <w:rPr>
          <w:rFonts w:ascii="Book Antiqua" w:hAnsi="Book Antiqua" w:cs="Times New Roman"/>
          <w:sz w:val="24"/>
          <w:szCs w:val="24"/>
        </w:rPr>
        <w:t xml:space="preserve"> (BMP)</w:t>
      </w:r>
      <w:r w:rsidRPr="000E3BD6">
        <w:rPr>
          <w:rFonts w:ascii="Book Antiqua" w:hAnsi="Book Antiqua" w:cs="Times New Roman"/>
          <w:sz w:val="24"/>
          <w:szCs w:val="24"/>
        </w:rPr>
        <w:t xml:space="preserve">-2-induced osteogenic or </w:t>
      </w:r>
      <w:r w:rsidR="00772D6B" w:rsidRPr="000E3BD6">
        <w:rPr>
          <w:rFonts w:ascii="Book Antiqua" w:hAnsi="Book Antiqua" w:cs="Times New Roman"/>
          <w:sz w:val="24"/>
          <w:szCs w:val="24"/>
        </w:rPr>
        <w:t xml:space="preserve">TGF-β1-induced </w:t>
      </w:r>
      <w:r w:rsidRPr="000E3BD6">
        <w:rPr>
          <w:rFonts w:ascii="Book Antiqua" w:hAnsi="Book Antiqua" w:cs="Times New Roman"/>
          <w:sz w:val="24"/>
          <w:szCs w:val="24"/>
        </w:rPr>
        <w:t>chondrogenic differentiation of MSCs</w:t>
      </w:r>
      <w:bookmarkEnd w:id="27"/>
      <w:r w:rsidRPr="000E3BD6">
        <w:rPr>
          <w:rFonts w:ascii="Book Antiqua" w:hAnsi="Book Antiqua" w:cs="Times New Roman"/>
          <w:noProof/>
          <w:sz w:val="24"/>
          <w:szCs w:val="24"/>
          <w:vertAlign w:val="superscript"/>
        </w:rPr>
        <w:t>[23-26]</w:t>
      </w:r>
      <w:r w:rsidRPr="000E3BD6">
        <w:rPr>
          <w:rFonts w:ascii="Book Antiqua" w:hAnsi="Book Antiqua" w:cs="Times New Roman"/>
          <w:sz w:val="24"/>
          <w:szCs w:val="24"/>
        </w:rPr>
        <w:t xml:space="preserve">. Wang </w:t>
      </w:r>
      <w:r w:rsidR="003C5E62" w:rsidRPr="000E3BD6">
        <w:rPr>
          <w:rFonts w:ascii="Book Antiqua" w:hAnsi="Book Antiqua" w:cs="Times New Roman"/>
          <w:i/>
          <w:sz w:val="24"/>
          <w:szCs w:val="24"/>
        </w:rPr>
        <w:t>et al</w:t>
      </w:r>
      <w:r w:rsidRPr="000E3BD6">
        <w:rPr>
          <w:rFonts w:ascii="Book Antiqua" w:hAnsi="Book Antiqua" w:cs="Times New Roman"/>
          <w:noProof/>
          <w:sz w:val="24"/>
          <w:szCs w:val="24"/>
          <w:vertAlign w:val="superscript"/>
        </w:rPr>
        <w:t>[47]</w:t>
      </w:r>
      <w:r w:rsidRPr="000E3BD6">
        <w:rPr>
          <w:rFonts w:ascii="Book Antiqua" w:hAnsi="Book Antiqua" w:cs="Times New Roman"/>
          <w:sz w:val="24"/>
          <w:szCs w:val="24"/>
        </w:rPr>
        <w:t xml:space="preserve"> demonstrated that SDF-1α can recruit MSCs and promote their chondrogenic differentiation for the repair of cartilage defects. On the contrary, Kim </w:t>
      </w:r>
      <w:r w:rsidRPr="000E3BD6">
        <w:rPr>
          <w:rFonts w:ascii="Book Antiqua" w:hAnsi="Book Antiqua" w:cs="Times New Roman"/>
          <w:i/>
          <w:sz w:val="24"/>
          <w:szCs w:val="24"/>
        </w:rPr>
        <w:t>et al</w:t>
      </w:r>
      <w:r w:rsidRPr="000E3BD6">
        <w:rPr>
          <w:rFonts w:ascii="Book Antiqua" w:hAnsi="Book Antiqua" w:cs="Times New Roman"/>
          <w:noProof/>
          <w:sz w:val="24"/>
          <w:szCs w:val="24"/>
          <w:vertAlign w:val="superscript"/>
        </w:rPr>
        <w:t>[33]</w:t>
      </w:r>
      <w:r w:rsidRPr="000E3BD6">
        <w:rPr>
          <w:rFonts w:ascii="Book Antiqua" w:hAnsi="Book Antiqua" w:cs="Times New Roman"/>
          <w:sz w:val="24"/>
          <w:szCs w:val="24"/>
        </w:rPr>
        <w:t xml:space="preserve"> found </w:t>
      </w:r>
      <w:r w:rsidR="00E13AD9">
        <w:rPr>
          <w:rFonts w:ascii="Book Antiqua" w:hAnsi="Book Antiqua" w:cs="Times New Roman"/>
          <w:sz w:val="24"/>
          <w:szCs w:val="24"/>
        </w:rPr>
        <w:t xml:space="preserve">that the </w:t>
      </w:r>
      <w:r w:rsidRPr="000E3BD6">
        <w:rPr>
          <w:rFonts w:ascii="Book Antiqua" w:hAnsi="Book Antiqua" w:cs="Times New Roman"/>
          <w:sz w:val="24"/>
          <w:szCs w:val="24"/>
        </w:rPr>
        <w:t>SDF-1/CXCR4 axis</w:t>
      </w:r>
      <w:r w:rsidR="00E13AD9">
        <w:rPr>
          <w:rFonts w:ascii="Book Antiqua" w:hAnsi="Book Antiqua" w:cs="Times New Roman"/>
          <w:sz w:val="24"/>
          <w:szCs w:val="24"/>
        </w:rPr>
        <w:t xml:space="preserve"> </w:t>
      </w:r>
      <w:r w:rsidR="00E13AD9" w:rsidRPr="000E3BD6">
        <w:rPr>
          <w:rFonts w:ascii="Book Antiqua" w:hAnsi="Book Antiqua" w:cs="Times New Roman"/>
          <w:sz w:val="24"/>
          <w:szCs w:val="24"/>
        </w:rPr>
        <w:t>ha</w:t>
      </w:r>
      <w:r w:rsidR="00E13AD9">
        <w:rPr>
          <w:rFonts w:ascii="Book Antiqua" w:hAnsi="Book Antiqua" w:cs="Times New Roman"/>
          <w:sz w:val="24"/>
          <w:szCs w:val="24"/>
        </w:rPr>
        <w:t>d</w:t>
      </w:r>
      <w:r w:rsidR="00E13AD9" w:rsidRPr="000E3BD6">
        <w:rPr>
          <w:rFonts w:ascii="Book Antiqua" w:hAnsi="Book Antiqua" w:cs="Times New Roman"/>
          <w:sz w:val="24"/>
          <w:szCs w:val="24"/>
        </w:rPr>
        <w:t xml:space="preserve"> </w:t>
      </w:r>
      <w:r w:rsidRPr="000E3BD6">
        <w:rPr>
          <w:rFonts w:ascii="Book Antiqua" w:hAnsi="Book Antiqua" w:cs="Times New Roman"/>
          <w:sz w:val="24"/>
          <w:szCs w:val="24"/>
        </w:rPr>
        <w:t xml:space="preserve">little effect on early chondrogenic differentiation of MSCs. </w:t>
      </w:r>
      <w:r w:rsidR="003D0603" w:rsidRPr="000E3BD6">
        <w:rPr>
          <w:rStyle w:val="fontstyle01"/>
          <w:rFonts w:ascii="Book Antiqua" w:hAnsi="Book Antiqua" w:cs="Times New Roman"/>
          <w:color w:val="auto"/>
          <w:sz w:val="24"/>
          <w:szCs w:val="24"/>
        </w:rPr>
        <w:t xml:space="preserve">In the present study, we found that </w:t>
      </w:r>
      <w:r w:rsidR="003D0603" w:rsidRPr="000E3BD6">
        <w:rPr>
          <w:rFonts w:ascii="Book Antiqua" w:hAnsi="Book Antiqua" w:cs="Times New Roman"/>
          <w:sz w:val="24"/>
          <w:szCs w:val="24"/>
        </w:rPr>
        <w:t xml:space="preserve">SDF-1α </w:t>
      </w:r>
      <w:r w:rsidR="000A44E5" w:rsidRPr="000E3BD6">
        <w:rPr>
          <w:rFonts w:ascii="Book Antiqua" w:hAnsi="Book Antiqua" w:cs="Times New Roman"/>
          <w:sz w:val="24"/>
          <w:szCs w:val="24"/>
        </w:rPr>
        <w:t>upregulated</w:t>
      </w:r>
      <w:r w:rsidR="003D0603" w:rsidRPr="000E3BD6">
        <w:rPr>
          <w:rFonts w:ascii="Book Antiqua" w:hAnsi="Book Antiqua" w:cs="Times New Roman"/>
          <w:sz w:val="24"/>
          <w:szCs w:val="24"/>
        </w:rPr>
        <w:t xml:space="preserve"> the expression of </w:t>
      </w:r>
      <w:r w:rsidR="003D0603" w:rsidRPr="000E3BD6">
        <w:rPr>
          <w:rStyle w:val="fontstyle01"/>
          <w:rFonts w:ascii="Book Antiqua" w:hAnsi="Book Antiqua" w:cs="Times New Roman"/>
          <w:color w:val="auto"/>
          <w:sz w:val="24"/>
          <w:szCs w:val="24"/>
        </w:rPr>
        <w:t xml:space="preserve">its </w:t>
      </w:r>
      <w:r w:rsidR="000116FE" w:rsidRPr="000E3BD6">
        <w:rPr>
          <w:rFonts w:ascii="Book Antiqua" w:hAnsi="Book Antiqua" w:cs="Times New Roman"/>
          <w:sz w:val="24"/>
          <w:szCs w:val="24"/>
        </w:rPr>
        <w:t xml:space="preserve">transmembrane </w:t>
      </w:r>
      <w:r w:rsidR="003D0603" w:rsidRPr="000E3BD6">
        <w:rPr>
          <w:rStyle w:val="fontstyle01"/>
          <w:rFonts w:ascii="Book Antiqua" w:hAnsi="Book Antiqua" w:cs="Times New Roman"/>
          <w:color w:val="auto"/>
          <w:sz w:val="24"/>
          <w:szCs w:val="24"/>
        </w:rPr>
        <w:t>receptor</w:t>
      </w:r>
      <w:r w:rsidR="00E10552" w:rsidRPr="000E3BD6">
        <w:rPr>
          <w:rStyle w:val="fontstyle01"/>
          <w:rFonts w:ascii="Book Antiqua" w:hAnsi="Book Antiqua" w:cs="Times New Roman"/>
          <w:color w:val="auto"/>
          <w:sz w:val="24"/>
          <w:szCs w:val="24"/>
        </w:rPr>
        <w:t xml:space="preserve"> </w:t>
      </w:r>
      <w:r w:rsidR="003D0603" w:rsidRPr="000E3BD6">
        <w:rPr>
          <w:rFonts w:ascii="Book Antiqua" w:hAnsi="Book Antiqua" w:cs="Times New Roman"/>
          <w:sz w:val="24"/>
          <w:szCs w:val="24"/>
        </w:rPr>
        <w:t xml:space="preserve">CXCR4 </w:t>
      </w:r>
      <w:r w:rsidR="001114F6" w:rsidRPr="000E3BD6">
        <w:rPr>
          <w:rStyle w:val="fontstyle01"/>
          <w:rFonts w:ascii="Book Antiqua" w:hAnsi="Book Antiqua" w:cs="Times New Roman"/>
          <w:color w:val="auto"/>
          <w:sz w:val="24"/>
          <w:szCs w:val="24"/>
        </w:rPr>
        <w:t>in NPSCs</w:t>
      </w:r>
      <w:r w:rsidR="00E13AD9">
        <w:rPr>
          <w:rStyle w:val="fontstyle01"/>
          <w:rFonts w:ascii="Book Antiqua" w:hAnsi="Book Antiqua" w:cs="Times New Roman"/>
          <w:color w:val="auto"/>
          <w:sz w:val="24"/>
          <w:szCs w:val="24"/>
        </w:rPr>
        <w:t xml:space="preserve">, which </w:t>
      </w:r>
      <w:r w:rsidR="000A44E5" w:rsidRPr="000E3BD6">
        <w:rPr>
          <w:rStyle w:val="fontstyle01"/>
          <w:rFonts w:ascii="Book Antiqua" w:hAnsi="Book Antiqua" w:cs="Times New Roman"/>
          <w:color w:val="auto"/>
          <w:sz w:val="24"/>
          <w:szCs w:val="24"/>
        </w:rPr>
        <w:t>mo</w:t>
      </w:r>
      <w:r w:rsidR="001114F6" w:rsidRPr="000E3BD6">
        <w:rPr>
          <w:rStyle w:val="fontstyle01"/>
          <w:rFonts w:ascii="Book Antiqua" w:hAnsi="Book Antiqua" w:cs="Times New Roman"/>
          <w:color w:val="auto"/>
          <w:sz w:val="24"/>
          <w:szCs w:val="24"/>
        </w:rPr>
        <w:t xml:space="preserve">dulated </w:t>
      </w:r>
      <w:r w:rsidR="00B37E05" w:rsidRPr="000E3BD6">
        <w:rPr>
          <w:rStyle w:val="fontstyle01"/>
          <w:rFonts w:ascii="Book Antiqua" w:hAnsi="Book Antiqua" w:cs="Times New Roman"/>
          <w:color w:val="auto"/>
          <w:sz w:val="24"/>
          <w:szCs w:val="24"/>
        </w:rPr>
        <w:t xml:space="preserve">the chondrogenic differentiation of NPSCs </w:t>
      </w:r>
      <w:r w:rsidR="003D0603" w:rsidRPr="000E3BD6">
        <w:rPr>
          <w:rStyle w:val="fontstyle01"/>
          <w:rFonts w:ascii="Book Antiqua" w:hAnsi="Book Antiqua" w:cs="Times New Roman"/>
          <w:color w:val="auto"/>
          <w:sz w:val="24"/>
          <w:szCs w:val="24"/>
        </w:rPr>
        <w:t xml:space="preserve">in </w:t>
      </w:r>
      <w:r w:rsidR="009949CC" w:rsidRPr="000E3BD6">
        <w:rPr>
          <w:rStyle w:val="fontstyle01"/>
          <w:rFonts w:ascii="Book Antiqua" w:hAnsi="Book Antiqua" w:cs="Times New Roman"/>
          <w:color w:val="auto"/>
          <w:sz w:val="24"/>
          <w:szCs w:val="24"/>
        </w:rPr>
        <w:t xml:space="preserve">the presence of </w:t>
      </w:r>
      <w:r w:rsidR="003D0603" w:rsidRPr="000E3BD6">
        <w:rPr>
          <w:rFonts w:ascii="Book Antiqua" w:hAnsi="Book Antiqua" w:cs="Times New Roman"/>
          <w:sz w:val="24"/>
          <w:szCs w:val="24"/>
        </w:rPr>
        <w:t>TGF-β1</w:t>
      </w:r>
      <w:r w:rsidR="003D0603" w:rsidRPr="000E3BD6">
        <w:rPr>
          <w:rStyle w:val="fontstyle01"/>
          <w:rFonts w:ascii="Book Antiqua" w:hAnsi="Book Antiqua" w:cs="Times New Roman"/>
          <w:color w:val="auto"/>
          <w:sz w:val="24"/>
          <w:szCs w:val="24"/>
        </w:rPr>
        <w:t xml:space="preserve">. After micromass culture of NPSCs for </w:t>
      </w:r>
      <w:r w:rsidR="003D0603" w:rsidRPr="000E3BD6">
        <w:rPr>
          <w:rFonts w:ascii="Book Antiqua" w:hAnsi="Book Antiqua" w:cs="Times New Roman"/>
          <w:sz w:val="24"/>
          <w:szCs w:val="24"/>
        </w:rPr>
        <w:t>chondrogenesis</w:t>
      </w:r>
      <w:r w:rsidR="003D0603" w:rsidRPr="000E3BD6">
        <w:rPr>
          <w:rStyle w:val="fontstyle01"/>
          <w:rFonts w:ascii="Book Antiqua" w:hAnsi="Book Antiqua" w:cs="Times New Roman"/>
          <w:i/>
          <w:color w:val="auto"/>
          <w:sz w:val="24"/>
          <w:szCs w:val="24"/>
        </w:rPr>
        <w:t xml:space="preserve"> in vitro</w:t>
      </w:r>
      <w:r w:rsidR="003D0603" w:rsidRPr="000E3BD6">
        <w:rPr>
          <w:rStyle w:val="fontstyle01"/>
          <w:rFonts w:ascii="Book Antiqua" w:hAnsi="Book Antiqua" w:cs="Times New Roman"/>
          <w:color w:val="auto"/>
          <w:sz w:val="24"/>
          <w:szCs w:val="24"/>
        </w:rPr>
        <w:t>, histological analysis showed that SDF-1</w:t>
      </w:r>
      <w:r w:rsidR="003D0603" w:rsidRPr="000E3BD6">
        <w:rPr>
          <w:rFonts w:ascii="Book Antiqua" w:hAnsi="Book Antiqua" w:cs="Times New Roman"/>
          <w:sz w:val="24"/>
          <w:szCs w:val="24"/>
        </w:rPr>
        <w:t>α</w:t>
      </w:r>
      <w:r w:rsidR="003D0603" w:rsidRPr="000E3BD6">
        <w:rPr>
          <w:rStyle w:val="fontstyle01"/>
          <w:rFonts w:ascii="Book Antiqua" w:hAnsi="Book Antiqua" w:cs="Times New Roman"/>
          <w:color w:val="auto"/>
          <w:sz w:val="24"/>
          <w:szCs w:val="24"/>
        </w:rPr>
        <w:t xml:space="preserve"> could not only increase the weight and size of </w:t>
      </w:r>
      <w:r w:rsidR="003D0603" w:rsidRPr="000E3BD6">
        <w:rPr>
          <w:rFonts w:ascii="Book Antiqua" w:hAnsi="Book Antiqua" w:cs="Times New Roman"/>
          <w:sz w:val="24"/>
          <w:szCs w:val="24"/>
        </w:rPr>
        <w:t xml:space="preserve">chondrogenic pellets </w:t>
      </w:r>
      <w:r w:rsidR="003D0603" w:rsidRPr="000E3BD6">
        <w:rPr>
          <w:rStyle w:val="fontstyle01"/>
          <w:rFonts w:ascii="Book Antiqua" w:hAnsi="Book Antiqua" w:cs="Times New Roman"/>
          <w:color w:val="auto"/>
          <w:sz w:val="24"/>
          <w:szCs w:val="24"/>
        </w:rPr>
        <w:t>but also promote NPSCs to synthesize aggrecan and collagen</w:t>
      </w:r>
      <w:r w:rsidR="003D0603" w:rsidRPr="000E3BD6">
        <w:rPr>
          <w:rFonts w:ascii="Book Antiqua" w:eastAsia="OfficinaSansStd-Book" w:hAnsi="Book Antiqua" w:cs="Times New Roman"/>
          <w:sz w:val="24"/>
          <w:szCs w:val="24"/>
        </w:rPr>
        <w:t xml:space="preserve"> II </w:t>
      </w:r>
      <w:r w:rsidR="003D0603" w:rsidRPr="000E3BD6">
        <w:rPr>
          <w:rStyle w:val="fontstyle01"/>
          <w:rFonts w:ascii="Book Antiqua" w:hAnsi="Book Antiqua" w:cs="Times New Roman"/>
          <w:color w:val="auto"/>
          <w:sz w:val="24"/>
          <w:szCs w:val="24"/>
        </w:rPr>
        <w:t xml:space="preserve">in a dose-dependent manner. However, the effect of </w:t>
      </w:r>
      <w:r w:rsidR="003D0603" w:rsidRPr="000E3BD6">
        <w:rPr>
          <w:rFonts w:ascii="Book Antiqua" w:hAnsi="Book Antiqua" w:cs="Times New Roman"/>
          <w:sz w:val="24"/>
          <w:szCs w:val="24"/>
        </w:rPr>
        <w:t xml:space="preserve">SDF-1α-stimulated </w:t>
      </w:r>
      <w:r w:rsidR="003D0603" w:rsidRPr="000E3BD6">
        <w:rPr>
          <w:rStyle w:val="fontstyle01"/>
          <w:rFonts w:ascii="Book Antiqua" w:hAnsi="Book Antiqua" w:cs="Times New Roman"/>
          <w:color w:val="auto"/>
          <w:sz w:val="24"/>
          <w:szCs w:val="24"/>
        </w:rPr>
        <w:t xml:space="preserve">chondrogenic differentiation of NPSCs was </w:t>
      </w:r>
      <w:r w:rsidR="003D0603" w:rsidRPr="000E3BD6">
        <w:rPr>
          <w:rStyle w:val="fontstyle01"/>
          <w:rFonts w:ascii="Book Antiqua" w:hAnsi="Book Antiqua" w:cs="Times New Roman"/>
          <w:color w:val="auto"/>
          <w:sz w:val="24"/>
          <w:szCs w:val="24"/>
        </w:rPr>
        <w:lastRenderedPageBreak/>
        <w:t xml:space="preserve">neutralized by the CXCR4 antagonist AMD3100, which demonstrated that blocking of the </w:t>
      </w:r>
      <w:r w:rsidR="00A14CF3" w:rsidRPr="000E3BD6">
        <w:rPr>
          <w:rStyle w:val="fontstyle01"/>
          <w:rFonts w:ascii="Book Antiqua" w:hAnsi="Book Antiqua" w:cs="Times New Roman"/>
          <w:color w:val="auto"/>
          <w:sz w:val="24"/>
          <w:szCs w:val="24"/>
        </w:rPr>
        <w:t xml:space="preserve">receptor </w:t>
      </w:r>
      <w:r w:rsidR="003D0603" w:rsidRPr="000E3BD6">
        <w:rPr>
          <w:rStyle w:val="fontstyle01"/>
          <w:rFonts w:ascii="Book Antiqua" w:hAnsi="Book Antiqua" w:cs="Times New Roman"/>
          <w:color w:val="auto"/>
          <w:sz w:val="24"/>
          <w:szCs w:val="24"/>
        </w:rPr>
        <w:t>CXCR4 inhibits the differentiation of NPSCs into the chondrocyt</w:t>
      </w:r>
      <w:r w:rsidR="00B25ADC" w:rsidRPr="000E3BD6">
        <w:rPr>
          <w:rStyle w:val="fontstyle01"/>
          <w:rFonts w:ascii="Book Antiqua" w:hAnsi="Book Antiqua" w:cs="Times New Roman"/>
          <w:color w:val="auto"/>
          <w:sz w:val="24"/>
          <w:szCs w:val="24"/>
        </w:rPr>
        <w:t>e</w:t>
      </w:r>
      <w:r w:rsidR="003D0603" w:rsidRPr="000E3BD6">
        <w:rPr>
          <w:rStyle w:val="fontstyle01"/>
          <w:rFonts w:ascii="Book Antiqua" w:hAnsi="Book Antiqua" w:cs="Times New Roman"/>
          <w:color w:val="auto"/>
          <w:sz w:val="24"/>
          <w:szCs w:val="24"/>
        </w:rPr>
        <w:t xml:space="preserve"> lineages in response to </w:t>
      </w:r>
      <w:r w:rsidR="003D0603" w:rsidRPr="000E3BD6">
        <w:rPr>
          <w:rFonts w:ascii="Book Antiqua" w:hAnsi="Book Antiqua" w:cs="Times New Roman"/>
          <w:sz w:val="24"/>
          <w:szCs w:val="24"/>
        </w:rPr>
        <w:t>TGF-β1</w:t>
      </w:r>
      <w:r w:rsidR="003D0603" w:rsidRPr="000E3BD6">
        <w:rPr>
          <w:rStyle w:val="fontstyle01"/>
          <w:rFonts w:ascii="Book Antiqua" w:hAnsi="Book Antiqua" w:cs="Times New Roman"/>
          <w:color w:val="auto"/>
          <w:sz w:val="24"/>
          <w:szCs w:val="24"/>
        </w:rPr>
        <w:t xml:space="preserve"> stimulation, evidenced by the reduced expression of </w:t>
      </w:r>
      <w:r w:rsidR="00335E46" w:rsidRPr="000E3BD6">
        <w:rPr>
          <w:rStyle w:val="fontstyle01"/>
          <w:rFonts w:ascii="Book Antiqua" w:hAnsi="Book Antiqua" w:cs="Times New Roman"/>
          <w:color w:val="auto"/>
          <w:sz w:val="24"/>
          <w:szCs w:val="24"/>
        </w:rPr>
        <w:t xml:space="preserve">chondrogenic markers such as </w:t>
      </w:r>
      <w:r w:rsidR="003D0603" w:rsidRPr="000E3BD6">
        <w:rPr>
          <w:rStyle w:val="fontstyle01"/>
          <w:rFonts w:ascii="Book Antiqua" w:hAnsi="Book Antiqua" w:cs="Times New Roman"/>
          <w:color w:val="auto"/>
          <w:sz w:val="24"/>
          <w:szCs w:val="24"/>
        </w:rPr>
        <w:t xml:space="preserve">aggrecan, collagen II, and Sox-9. </w:t>
      </w:r>
      <w:r w:rsidR="00C9223E" w:rsidRPr="000E3BD6">
        <w:rPr>
          <w:rStyle w:val="fontstyle01"/>
          <w:rFonts w:ascii="Book Antiqua" w:hAnsi="Book Antiqua" w:cs="Times New Roman"/>
          <w:color w:val="auto"/>
          <w:sz w:val="24"/>
          <w:szCs w:val="24"/>
        </w:rPr>
        <w:t>Therefore, we propose that SDF-1</w:t>
      </w:r>
      <w:r w:rsidR="00595FC3" w:rsidRPr="000E3BD6">
        <w:rPr>
          <w:rStyle w:val="fontstyle01"/>
          <w:rFonts w:ascii="Book Antiqua" w:hAnsi="Book Antiqua" w:cs="Times New Roman"/>
          <w:color w:val="auto"/>
          <w:sz w:val="24"/>
          <w:szCs w:val="24"/>
        </w:rPr>
        <w:t>/CXCR4</w:t>
      </w:r>
      <w:r w:rsidR="00C9223E" w:rsidRPr="000E3BD6">
        <w:rPr>
          <w:rStyle w:val="fontstyle01"/>
          <w:rFonts w:ascii="Book Antiqua" w:hAnsi="Book Antiqua" w:cs="Times New Roman"/>
          <w:color w:val="auto"/>
          <w:sz w:val="24"/>
          <w:szCs w:val="24"/>
        </w:rPr>
        <w:t xml:space="preserve"> </w:t>
      </w:r>
      <w:r w:rsidR="00A14CF3" w:rsidRPr="000E3BD6">
        <w:rPr>
          <w:rStyle w:val="fontstyle01"/>
          <w:rFonts w:ascii="Book Antiqua" w:hAnsi="Book Antiqua" w:cs="Times New Roman"/>
          <w:color w:val="auto"/>
          <w:sz w:val="24"/>
          <w:szCs w:val="24"/>
        </w:rPr>
        <w:t xml:space="preserve">axis </w:t>
      </w:r>
      <w:r w:rsidR="00595FC3" w:rsidRPr="000E3BD6">
        <w:rPr>
          <w:rStyle w:val="fontstyle01"/>
          <w:rFonts w:ascii="Book Antiqua" w:hAnsi="Book Antiqua" w:cs="Times New Roman"/>
          <w:color w:val="auto"/>
          <w:sz w:val="24"/>
          <w:szCs w:val="24"/>
        </w:rPr>
        <w:t xml:space="preserve">synergy </w:t>
      </w:r>
      <w:r w:rsidR="00C9223E" w:rsidRPr="000E3BD6">
        <w:rPr>
          <w:rStyle w:val="fontstyle01"/>
          <w:rFonts w:ascii="Book Antiqua" w:hAnsi="Book Antiqua" w:cs="Times New Roman"/>
          <w:color w:val="auto"/>
          <w:sz w:val="24"/>
          <w:szCs w:val="24"/>
        </w:rPr>
        <w:t xml:space="preserve">with </w:t>
      </w:r>
      <w:r w:rsidR="00595FC3" w:rsidRPr="000E3BD6">
        <w:rPr>
          <w:rFonts w:ascii="Book Antiqua" w:hAnsi="Book Antiqua" w:cs="Times New Roman"/>
          <w:sz w:val="24"/>
          <w:szCs w:val="24"/>
        </w:rPr>
        <w:t>TGF-β1</w:t>
      </w:r>
      <w:r w:rsidR="00C9223E" w:rsidRPr="000E3BD6">
        <w:rPr>
          <w:rStyle w:val="fontstyle01"/>
          <w:rFonts w:ascii="Book Antiqua" w:hAnsi="Book Antiqua" w:cs="Times New Roman"/>
          <w:color w:val="auto"/>
          <w:sz w:val="24"/>
          <w:szCs w:val="24"/>
        </w:rPr>
        <w:t xml:space="preserve"> signaling </w:t>
      </w:r>
      <w:r w:rsidR="00595FC3" w:rsidRPr="000E3BD6">
        <w:rPr>
          <w:rStyle w:val="fontstyle01"/>
          <w:rFonts w:ascii="Book Antiqua" w:hAnsi="Book Antiqua" w:cs="Times New Roman"/>
          <w:color w:val="auto"/>
          <w:sz w:val="24"/>
          <w:szCs w:val="24"/>
        </w:rPr>
        <w:t xml:space="preserve">activates </w:t>
      </w:r>
      <w:r w:rsidR="00C9223E" w:rsidRPr="000E3BD6">
        <w:rPr>
          <w:rStyle w:val="fontstyle01"/>
          <w:rFonts w:ascii="Book Antiqua" w:hAnsi="Book Antiqua" w:cs="Times New Roman"/>
          <w:color w:val="auto"/>
          <w:sz w:val="24"/>
          <w:szCs w:val="24"/>
        </w:rPr>
        <w:t>intracellular R-Smads and Erk1/2</w:t>
      </w:r>
      <w:r w:rsidR="00595FC3" w:rsidRPr="000E3BD6">
        <w:rPr>
          <w:rStyle w:val="fontstyle01"/>
          <w:rFonts w:ascii="Book Antiqua" w:hAnsi="Book Antiqua" w:cs="Times New Roman"/>
          <w:color w:val="auto"/>
          <w:sz w:val="24"/>
          <w:szCs w:val="24"/>
        </w:rPr>
        <w:t xml:space="preserve">, which </w:t>
      </w:r>
      <w:r w:rsidR="00C9223E" w:rsidRPr="000E3BD6">
        <w:rPr>
          <w:rStyle w:val="fontstyle01"/>
          <w:rFonts w:ascii="Book Antiqua" w:hAnsi="Book Antiqua" w:cs="Times New Roman"/>
          <w:color w:val="auto"/>
          <w:sz w:val="24"/>
          <w:szCs w:val="24"/>
        </w:rPr>
        <w:t xml:space="preserve">translocate to </w:t>
      </w:r>
      <w:r w:rsidR="00E13AD9">
        <w:rPr>
          <w:rStyle w:val="fontstyle01"/>
          <w:rFonts w:ascii="Book Antiqua" w:hAnsi="Book Antiqua" w:cs="Times New Roman"/>
          <w:color w:val="auto"/>
          <w:sz w:val="24"/>
          <w:szCs w:val="24"/>
        </w:rPr>
        <w:t xml:space="preserve">the </w:t>
      </w:r>
      <w:r w:rsidR="00C9223E" w:rsidRPr="000E3BD6">
        <w:rPr>
          <w:rStyle w:val="fontstyle01"/>
          <w:rFonts w:ascii="Book Antiqua" w:hAnsi="Book Antiqua" w:cs="Times New Roman"/>
          <w:color w:val="auto"/>
          <w:sz w:val="24"/>
          <w:szCs w:val="24"/>
        </w:rPr>
        <w:t xml:space="preserve">nucleus </w:t>
      </w:r>
      <w:r w:rsidR="00595FC3" w:rsidRPr="000E3BD6">
        <w:rPr>
          <w:rStyle w:val="fontstyle01"/>
          <w:rFonts w:ascii="Book Antiqua" w:hAnsi="Book Antiqua" w:cs="Times New Roman"/>
          <w:color w:val="auto"/>
          <w:sz w:val="24"/>
          <w:szCs w:val="24"/>
        </w:rPr>
        <w:t>for</w:t>
      </w:r>
      <w:r w:rsidR="00C9223E" w:rsidRPr="000E3BD6">
        <w:rPr>
          <w:rStyle w:val="fontstyle01"/>
          <w:rFonts w:ascii="Book Antiqua" w:hAnsi="Book Antiqua" w:cs="Times New Roman"/>
          <w:color w:val="auto"/>
          <w:sz w:val="24"/>
          <w:szCs w:val="24"/>
        </w:rPr>
        <w:t xml:space="preserve"> regulat</w:t>
      </w:r>
      <w:r w:rsidR="00595FC3" w:rsidRPr="000E3BD6">
        <w:rPr>
          <w:rStyle w:val="fontstyle01"/>
          <w:rFonts w:ascii="Book Antiqua" w:hAnsi="Book Antiqua" w:cs="Times New Roman"/>
          <w:color w:val="auto"/>
          <w:sz w:val="24"/>
          <w:szCs w:val="24"/>
        </w:rPr>
        <w:t>ing</w:t>
      </w:r>
      <w:r w:rsidR="00C9223E" w:rsidRPr="000E3BD6">
        <w:rPr>
          <w:rStyle w:val="fontstyle01"/>
          <w:rFonts w:ascii="Book Antiqua" w:hAnsi="Book Antiqua" w:cs="Times New Roman"/>
          <w:color w:val="auto"/>
          <w:sz w:val="24"/>
          <w:szCs w:val="24"/>
        </w:rPr>
        <w:t xml:space="preserve"> the transcription of chondrogenic genes</w:t>
      </w:r>
      <w:r w:rsidR="00595FC3" w:rsidRPr="000E3BD6">
        <w:rPr>
          <w:rStyle w:val="fontstyle01"/>
          <w:rFonts w:ascii="Book Antiqua" w:hAnsi="Book Antiqua" w:cs="Times New Roman"/>
          <w:color w:val="auto"/>
          <w:sz w:val="24"/>
          <w:szCs w:val="24"/>
        </w:rPr>
        <w:t xml:space="preserve"> like Sox-9</w:t>
      </w:r>
      <w:r w:rsidR="002925B8" w:rsidRPr="000E3BD6">
        <w:rPr>
          <w:rStyle w:val="fontstyle01"/>
          <w:rFonts w:ascii="Book Antiqua" w:hAnsi="Book Antiqua" w:cs="Times New Roman"/>
          <w:color w:val="auto"/>
          <w:sz w:val="24"/>
          <w:szCs w:val="24"/>
          <w:vertAlign w:val="superscript"/>
        </w:rPr>
        <w:t>[25]</w:t>
      </w:r>
      <w:r w:rsidR="00C9223E" w:rsidRPr="000E3BD6">
        <w:rPr>
          <w:rStyle w:val="fontstyle01"/>
          <w:rFonts w:ascii="Book Antiqua" w:hAnsi="Book Antiqua" w:cs="Times New Roman"/>
          <w:color w:val="auto"/>
          <w:sz w:val="24"/>
          <w:szCs w:val="24"/>
        </w:rPr>
        <w:t>.</w:t>
      </w:r>
      <w:r w:rsidR="002925B8" w:rsidRPr="000E3BD6">
        <w:rPr>
          <w:rStyle w:val="fontstyle01"/>
          <w:rFonts w:ascii="Book Antiqua" w:hAnsi="Book Antiqua" w:cs="Times New Roman"/>
          <w:color w:val="auto"/>
          <w:sz w:val="24"/>
          <w:szCs w:val="24"/>
        </w:rPr>
        <w:t xml:space="preserve"> </w:t>
      </w:r>
      <w:r w:rsidR="00D040DC" w:rsidRPr="000E3BD6">
        <w:rPr>
          <w:rStyle w:val="fontstyle01"/>
          <w:rFonts w:ascii="Book Antiqua" w:hAnsi="Book Antiqua" w:cs="Times New Roman"/>
          <w:color w:val="auto"/>
          <w:sz w:val="24"/>
          <w:szCs w:val="24"/>
        </w:rPr>
        <w:t xml:space="preserve">These findings may </w:t>
      </w:r>
      <w:r w:rsidR="00D040DC" w:rsidRPr="000E3BD6">
        <w:rPr>
          <w:rFonts w:ascii="Book Antiqua" w:hAnsi="Book Antiqua" w:cs="Times New Roman"/>
          <w:sz w:val="24"/>
          <w:szCs w:val="24"/>
        </w:rPr>
        <w:t xml:space="preserve">suggest that </w:t>
      </w:r>
      <w:r w:rsidR="00E13AD9">
        <w:rPr>
          <w:rFonts w:ascii="Book Antiqua" w:hAnsi="Book Antiqua" w:cs="Times New Roman"/>
          <w:sz w:val="24"/>
          <w:szCs w:val="24"/>
        </w:rPr>
        <w:t xml:space="preserve">the </w:t>
      </w:r>
      <w:r w:rsidR="00D040DC" w:rsidRPr="000E3BD6">
        <w:rPr>
          <w:rFonts w:ascii="Book Antiqua" w:hAnsi="Book Antiqua" w:cs="Times New Roman"/>
          <w:sz w:val="24"/>
          <w:szCs w:val="24"/>
        </w:rPr>
        <w:t xml:space="preserve">SDF-1/CXCR4 axis plays an important role in mediating </w:t>
      </w:r>
      <w:r w:rsidR="00D040DC" w:rsidRPr="000E3BD6">
        <w:rPr>
          <w:rStyle w:val="fontstyle01"/>
          <w:rFonts w:ascii="Book Antiqua" w:hAnsi="Book Antiqua" w:cs="Times New Roman"/>
          <w:color w:val="auto"/>
          <w:sz w:val="24"/>
          <w:szCs w:val="24"/>
        </w:rPr>
        <w:t>NPSC differentiation toward an NP-like phenotype</w:t>
      </w:r>
      <w:r w:rsidR="00D040DC" w:rsidRPr="000E3BD6">
        <w:rPr>
          <w:rFonts w:ascii="Book Antiqua" w:hAnsi="Book Antiqua" w:cs="Times New Roman"/>
          <w:sz w:val="24"/>
          <w:szCs w:val="24"/>
        </w:rPr>
        <w:t xml:space="preserve"> </w:t>
      </w:r>
      <w:r w:rsidR="00D040DC" w:rsidRPr="000E3BD6">
        <w:rPr>
          <w:rStyle w:val="fontstyle01"/>
          <w:rFonts w:ascii="Book Antiqua" w:hAnsi="Book Antiqua" w:cs="Times New Roman"/>
          <w:color w:val="auto"/>
          <w:sz w:val="24"/>
          <w:szCs w:val="24"/>
        </w:rPr>
        <w:t>in cooperation with</w:t>
      </w:r>
      <w:r w:rsidR="00D040DC" w:rsidRPr="000E3BD6">
        <w:rPr>
          <w:rFonts w:ascii="Book Antiqua" w:hAnsi="Book Antiqua" w:cs="Times New Roman"/>
          <w:sz w:val="24"/>
          <w:szCs w:val="24"/>
        </w:rPr>
        <w:t xml:space="preserve"> </w:t>
      </w:r>
      <w:r w:rsidR="00D040DC" w:rsidRPr="000E3BD6">
        <w:rPr>
          <w:rStyle w:val="fontstyle01"/>
          <w:rFonts w:ascii="Book Antiqua" w:hAnsi="Book Antiqua" w:cs="Times New Roman"/>
          <w:color w:val="auto"/>
          <w:sz w:val="24"/>
          <w:szCs w:val="24"/>
        </w:rPr>
        <w:t xml:space="preserve">TGF-β1 </w:t>
      </w:r>
      <w:r w:rsidR="00D040DC" w:rsidRPr="000E3BD6">
        <w:rPr>
          <w:rFonts w:ascii="Book Antiqua" w:hAnsi="Book Antiqua" w:cs="Times New Roman"/>
          <w:sz w:val="24"/>
          <w:szCs w:val="24"/>
        </w:rPr>
        <w:t>for facilitating IVD regeneration.</w:t>
      </w:r>
    </w:p>
    <w:p w14:paraId="70F9E0B4" w14:textId="58BDDF08" w:rsidR="006B0A36" w:rsidRPr="000E3BD6" w:rsidRDefault="006B0A36" w:rsidP="003C5E62">
      <w:pPr>
        <w:spacing w:after="0" w:line="360" w:lineRule="auto"/>
        <w:ind w:firstLineChars="100" w:firstLine="240"/>
        <w:contextualSpacing/>
        <w:jc w:val="both"/>
        <w:rPr>
          <w:rFonts w:ascii="Book Antiqua" w:hAnsi="Book Antiqua" w:cs="Times New Roman"/>
          <w:sz w:val="24"/>
          <w:szCs w:val="24"/>
        </w:rPr>
      </w:pPr>
      <w:r w:rsidRPr="000E3BD6">
        <w:rPr>
          <w:rFonts w:ascii="Book Antiqua" w:hAnsi="Book Antiqua" w:cs="Times New Roman"/>
          <w:sz w:val="24"/>
          <w:szCs w:val="24"/>
        </w:rPr>
        <w:t xml:space="preserve">In summary, the current research demonstrated a novel role of SDF-1α, which pathogenically accumulates in the damaged or degenerative IVD, </w:t>
      </w:r>
      <w:r w:rsidRPr="000E3BD6">
        <w:rPr>
          <w:rFonts w:ascii="Book Antiqua" w:eastAsia="OfficinaSansStd-Book" w:hAnsi="Book Antiqua" w:cs="Times New Roman"/>
          <w:sz w:val="24"/>
          <w:szCs w:val="24"/>
        </w:rPr>
        <w:t xml:space="preserve">in </w:t>
      </w:r>
      <w:r w:rsidRPr="000E3BD6">
        <w:rPr>
          <w:rFonts w:ascii="Book Antiqua" w:hAnsi="Book Antiqua" w:cs="Times New Roman"/>
          <w:sz w:val="24"/>
          <w:szCs w:val="24"/>
        </w:rPr>
        <w:t xml:space="preserve">effectively promoting NPSC chondrogenic differentiation and migration toward injury sites </w:t>
      </w:r>
      <w:r w:rsidR="00471703" w:rsidRPr="000E3BD6">
        <w:rPr>
          <w:rFonts w:ascii="Book Antiqua" w:hAnsi="Book Antiqua" w:cs="Times New Roman"/>
          <w:i/>
          <w:sz w:val="24"/>
          <w:szCs w:val="24"/>
        </w:rPr>
        <w:t>via</w:t>
      </w:r>
      <w:r w:rsidRPr="000E3BD6">
        <w:rPr>
          <w:rFonts w:ascii="Book Antiqua" w:hAnsi="Book Antiqua" w:cs="Times New Roman"/>
          <w:sz w:val="24"/>
          <w:szCs w:val="24"/>
        </w:rPr>
        <w:t xml:space="preserve"> the SDF-1/CXCR4 axis. This provides a new therapeutic target and strategy to improve endogenous repair or regeneration of the degenerative IVD </w:t>
      </w:r>
      <w:r w:rsidRPr="000E3BD6">
        <w:rPr>
          <w:rFonts w:ascii="Book Antiqua" w:hAnsi="Book Antiqua" w:cs="Times New Roman"/>
          <w:i/>
          <w:sz w:val="24"/>
          <w:szCs w:val="24"/>
        </w:rPr>
        <w:t>in situ</w:t>
      </w:r>
      <w:r w:rsidRPr="000E3BD6">
        <w:rPr>
          <w:rFonts w:ascii="Book Antiqua" w:hAnsi="Book Antiqua" w:cs="Times New Roman"/>
          <w:sz w:val="24"/>
          <w:szCs w:val="24"/>
        </w:rPr>
        <w:t xml:space="preserve">. Future work will focus on understanding the possible </w:t>
      </w:r>
      <w:r w:rsidRPr="000E3BD6">
        <w:rPr>
          <w:rFonts w:ascii="Book Antiqua" w:eastAsia="OfficinaSansStd-Book" w:hAnsi="Book Antiqua" w:cs="Times New Roman"/>
          <w:sz w:val="24"/>
          <w:szCs w:val="24"/>
        </w:rPr>
        <w:t>downstream signaling pathways of the SDF-1/CXCR4 axis</w:t>
      </w:r>
      <w:r w:rsidRPr="000E3BD6">
        <w:rPr>
          <w:rFonts w:ascii="Book Antiqua" w:hAnsi="Book Antiqua" w:cs="Times New Roman"/>
          <w:sz w:val="24"/>
          <w:szCs w:val="24"/>
        </w:rPr>
        <w:t xml:space="preserve"> and their role in regulating the biological behaviors of NPSCs.</w:t>
      </w:r>
    </w:p>
    <w:p w14:paraId="3D2E4BCE" w14:textId="77777777" w:rsidR="006B0A36" w:rsidRPr="000E3BD6" w:rsidRDefault="006B0A36" w:rsidP="00F710B6">
      <w:pPr>
        <w:spacing w:after="0" w:line="360" w:lineRule="auto"/>
        <w:contextualSpacing/>
        <w:jc w:val="both"/>
        <w:rPr>
          <w:rFonts w:ascii="Book Antiqua" w:hAnsi="Book Antiqua" w:cs="Times New Roman"/>
          <w:sz w:val="24"/>
          <w:szCs w:val="24"/>
        </w:rPr>
      </w:pPr>
    </w:p>
    <w:p w14:paraId="341F05C3" w14:textId="77777777" w:rsidR="006A2137" w:rsidRPr="000E3BD6" w:rsidRDefault="006A2137" w:rsidP="00F710B6">
      <w:pPr>
        <w:spacing w:after="0" w:line="360" w:lineRule="auto"/>
        <w:jc w:val="both"/>
        <w:rPr>
          <w:rFonts w:ascii="Book Antiqua" w:hAnsi="Book Antiqua" w:cs="Times New Roman"/>
          <w:b/>
          <w:sz w:val="24"/>
          <w:szCs w:val="24"/>
        </w:rPr>
      </w:pPr>
      <w:r w:rsidRPr="000E3BD6">
        <w:rPr>
          <w:rFonts w:ascii="Book Antiqua" w:hAnsi="Book Antiqua" w:cs="Times New Roman"/>
          <w:b/>
          <w:sz w:val="24"/>
          <w:szCs w:val="24"/>
        </w:rPr>
        <w:t>ARTICLE HIGHLIGHTS</w:t>
      </w:r>
    </w:p>
    <w:p w14:paraId="252CE135" w14:textId="544D2856" w:rsidR="006A2137" w:rsidRPr="000E3BD6" w:rsidRDefault="00FC257E" w:rsidP="00F710B6">
      <w:pPr>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Research background</w:t>
      </w:r>
    </w:p>
    <w:p w14:paraId="2F113F3D" w14:textId="62130B34" w:rsidR="0053026B" w:rsidRPr="000E3BD6" w:rsidRDefault="007373E9"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 xml:space="preserve">Intervertebral disc </w:t>
      </w:r>
      <w:r w:rsidR="009A4E26" w:rsidRPr="000E3BD6">
        <w:rPr>
          <w:rFonts w:ascii="Book Antiqua" w:hAnsi="Book Antiqua" w:cs="Times New Roman"/>
          <w:sz w:val="24"/>
          <w:szCs w:val="24"/>
        </w:rPr>
        <w:t xml:space="preserve">(IVD) </w:t>
      </w:r>
      <w:r w:rsidRPr="000E3BD6">
        <w:rPr>
          <w:rFonts w:ascii="Book Antiqua" w:hAnsi="Book Antiqua" w:cs="Times New Roman"/>
          <w:sz w:val="24"/>
          <w:szCs w:val="24"/>
        </w:rPr>
        <w:t>degeneration, the primary cause of low back pain, is an irreversible disease with no currently effective treatment.</w:t>
      </w:r>
      <w:r w:rsidR="00714963" w:rsidRPr="000E3BD6">
        <w:rPr>
          <w:rFonts w:ascii="Book Antiqua" w:hAnsi="Book Antiqua" w:cs="Times New Roman"/>
          <w:sz w:val="24"/>
          <w:szCs w:val="24"/>
        </w:rPr>
        <w:t xml:space="preserve"> </w:t>
      </w:r>
      <w:r w:rsidR="00FB0DDA" w:rsidRPr="000E3BD6">
        <w:rPr>
          <w:rFonts w:ascii="Book Antiqua" w:hAnsi="Book Antiqua" w:cs="Times New Roman"/>
          <w:sz w:val="24"/>
          <w:szCs w:val="24"/>
        </w:rPr>
        <w:t>N</w:t>
      </w:r>
      <w:r w:rsidR="00714963" w:rsidRPr="000E3BD6">
        <w:rPr>
          <w:rFonts w:ascii="Book Antiqua" w:hAnsi="Book Antiqua" w:cs="Times New Roman"/>
          <w:sz w:val="24"/>
          <w:szCs w:val="24"/>
        </w:rPr>
        <w:t>ucleus pulposus-derived stem cells (NPSCs)</w:t>
      </w:r>
      <w:r w:rsidR="009A4E26" w:rsidRPr="000E3BD6">
        <w:rPr>
          <w:rFonts w:ascii="Book Antiqua" w:hAnsi="Book Antiqua" w:cs="Times New Roman"/>
          <w:sz w:val="24"/>
          <w:szCs w:val="24"/>
        </w:rPr>
        <w:t xml:space="preserve"> </w:t>
      </w:r>
      <w:r w:rsidR="00714963" w:rsidRPr="000E3BD6">
        <w:rPr>
          <w:rFonts w:ascii="Book Antiqua" w:hAnsi="Book Antiqua" w:cs="Times New Roman"/>
          <w:sz w:val="24"/>
          <w:szCs w:val="24"/>
        </w:rPr>
        <w:t>with the capacity of multilineage differentiation</w:t>
      </w:r>
      <w:r w:rsidR="009A4E26" w:rsidRPr="000E3BD6">
        <w:rPr>
          <w:rFonts w:ascii="Book Antiqua" w:hAnsi="Book Antiqua" w:cs="Times New Roman"/>
          <w:sz w:val="24"/>
          <w:szCs w:val="24"/>
        </w:rPr>
        <w:t xml:space="preserve"> </w:t>
      </w:r>
      <w:r w:rsidR="00714963" w:rsidRPr="000E3BD6">
        <w:rPr>
          <w:rFonts w:ascii="Book Antiqua" w:hAnsi="Book Antiqua" w:cs="Times New Roman"/>
          <w:sz w:val="24"/>
          <w:szCs w:val="24"/>
        </w:rPr>
        <w:t>ha</w:t>
      </w:r>
      <w:r w:rsidR="009A4E26" w:rsidRPr="000E3BD6">
        <w:rPr>
          <w:rFonts w:ascii="Book Antiqua" w:hAnsi="Book Antiqua" w:cs="Times New Roman"/>
          <w:sz w:val="24"/>
          <w:szCs w:val="24"/>
        </w:rPr>
        <w:t>ve</w:t>
      </w:r>
      <w:r w:rsidR="00714963" w:rsidRPr="000E3BD6">
        <w:rPr>
          <w:rFonts w:ascii="Book Antiqua" w:hAnsi="Book Antiqua" w:cs="Times New Roman"/>
          <w:sz w:val="24"/>
          <w:szCs w:val="24"/>
        </w:rPr>
        <w:t xml:space="preserve"> the regenerative potential </w:t>
      </w:r>
      <w:r w:rsidR="009A4E26" w:rsidRPr="000E3BD6">
        <w:rPr>
          <w:rFonts w:ascii="Book Antiqua" w:hAnsi="Book Antiqua" w:cs="Times New Roman"/>
          <w:sz w:val="24"/>
          <w:szCs w:val="24"/>
        </w:rPr>
        <w:t>to</w:t>
      </w:r>
      <w:r w:rsidR="00714963" w:rsidRPr="000E3BD6">
        <w:rPr>
          <w:rFonts w:ascii="Book Antiqua" w:hAnsi="Book Antiqua" w:cs="Times New Roman"/>
          <w:sz w:val="24"/>
          <w:szCs w:val="24"/>
        </w:rPr>
        <w:t xml:space="preserve"> repair</w:t>
      </w:r>
      <w:r w:rsidR="009A4E26" w:rsidRPr="000E3BD6">
        <w:rPr>
          <w:rFonts w:ascii="Book Antiqua" w:hAnsi="Book Antiqua" w:cs="Times New Roman"/>
          <w:sz w:val="24"/>
          <w:szCs w:val="24"/>
        </w:rPr>
        <w:t xml:space="preserve"> the degenerative IVD</w:t>
      </w:r>
      <w:r w:rsidR="00714963" w:rsidRPr="000E3BD6">
        <w:rPr>
          <w:rFonts w:ascii="Book Antiqua" w:hAnsi="Book Antiqua" w:cs="Times New Roman"/>
          <w:sz w:val="24"/>
          <w:szCs w:val="24"/>
        </w:rPr>
        <w:t xml:space="preserve">. </w:t>
      </w:r>
      <w:r w:rsidR="002846DA" w:rsidRPr="000E3BD6">
        <w:rPr>
          <w:rFonts w:ascii="Book Antiqua" w:hAnsi="Book Antiqua" w:cs="Times New Roman"/>
          <w:sz w:val="24"/>
          <w:szCs w:val="24"/>
        </w:rPr>
        <w:t>S</w:t>
      </w:r>
      <w:r w:rsidR="009A4E26" w:rsidRPr="000E3BD6">
        <w:rPr>
          <w:rFonts w:ascii="Book Antiqua" w:hAnsi="Book Antiqua" w:cs="Times New Roman"/>
          <w:sz w:val="24"/>
          <w:szCs w:val="24"/>
        </w:rPr>
        <w:t xml:space="preserve">tromal cell-derived factor 1α (SDF-1α) </w:t>
      </w:r>
      <w:r w:rsidR="002846DA" w:rsidRPr="000E3BD6">
        <w:rPr>
          <w:rFonts w:ascii="Book Antiqua" w:hAnsi="Book Antiqua" w:cs="Times New Roman"/>
          <w:sz w:val="24"/>
          <w:szCs w:val="24"/>
        </w:rPr>
        <w:t xml:space="preserve">released </w:t>
      </w:r>
      <w:r w:rsidR="009A4E26" w:rsidRPr="000E3BD6">
        <w:rPr>
          <w:rFonts w:ascii="Book Antiqua" w:hAnsi="Book Antiqua" w:cs="Times New Roman"/>
          <w:sz w:val="24"/>
          <w:szCs w:val="24"/>
        </w:rPr>
        <w:t xml:space="preserve">in </w:t>
      </w:r>
      <w:r w:rsidR="002846DA" w:rsidRPr="000E3BD6">
        <w:rPr>
          <w:rFonts w:ascii="Book Antiqua" w:hAnsi="Book Antiqua" w:cs="Times New Roman"/>
          <w:sz w:val="24"/>
          <w:szCs w:val="24"/>
        </w:rPr>
        <w:t xml:space="preserve">the injury </w:t>
      </w:r>
      <w:r w:rsidR="009A4E26" w:rsidRPr="000E3BD6">
        <w:rPr>
          <w:rFonts w:ascii="Book Antiqua" w:hAnsi="Book Antiqua" w:cs="Times New Roman"/>
          <w:sz w:val="24"/>
          <w:szCs w:val="24"/>
        </w:rPr>
        <w:t>tissue</w:t>
      </w:r>
      <w:r w:rsidR="002846DA" w:rsidRPr="000E3BD6">
        <w:rPr>
          <w:rFonts w:ascii="Book Antiqua" w:hAnsi="Book Antiqua" w:cs="Times New Roman"/>
          <w:sz w:val="24"/>
          <w:szCs w:val="24"/>
        </w:rPr>
        <w:t>s</w:t>
      </w:r>
      <w:r w:rsidR="009A4E26" w:rsidRPr="000E3BD6">
        <w:rPr>
          <w:rFonts w:ascii="Book Antiqua" w:hAnsi="Book Antiqua" w:cs="Times New Roman"/>
          <w:sz w:val="24"/>
          <w:szCs w:val="24"/>
        </w:rPr>
        <w:t xml:space="preserve"> displays a remarkable ability to attract stem cells</w:t>
      </w:r>
      <w:r w:rsidR="0066753F" w:rsidRPr="000E3BD6">
        <w:rPr>
          <w:rFonts w:ascii="Book Antiqua" w:hAnsi="Book Antiqua" w:cs="Times New Roman"/>
          <w:sz w:val="24"/>
          <w:szCs w:val="24"/>
        </w:rPr>
        <w:t xml:space="preserve"> for repairing tissues</w:t>
      </w:r>
      <w:r w:rsidR="009A4E26" w:rsidRPr="000E3BD6">
        <w:rPr>
          <w:rFonts w:ascii="Book Antiqua" w:hAnsi="Book Antiqua" w:cs="Times New Roman"/>
          <w:sz w:val="24"/>
          <w:szCs w:val="24"/>
        </w:rPr>
        <w:t xml:space="preserve">. </w:t>
      </w:r>
    </w:p>
    <w:p w14:paraId="1E1C0F5D" w14:textId="77777777" w:rsidR="00770923" w:rsidRPr="000E3BD6" w:rsidRDefault="00770923" w:rsidP="00F710B6">
      <w:pPr>
        <w:spacing w:after="0" w:line="360" w:lineRule="auto"/>
        <w:contextualSpacing/>
        <w:jc w:val="both"/>
        <w:rPr>
          <w:rFonts w:ascii="Book Antiqua" w:hAnsi="Book Antiqua" w:cs="Times New Roman"/>
          <w:b/>
          <w:i/>
          <w:sz w:val="24"/>
          <w:szCs w:val="24"/>
        </w:rPr>
      </w:pPr>
    </w:p>
    <w:p w14:paraId="68BB1A97" w14:textId="5E9BE7E4" w:rsidR="0053026B" w:rsidRPr="000E3BD6" w:rsidRDefault="0053026B" w:rsidP="00F710B6">
      <w:pPr>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Research motivation</w:t>
      </w:r>
    </w:p>
    <w:p w14:paraId="7D04D3E2" w14:textId="03053196" w:rsidR="002846DA" w:rsidRPr="000E3BD6" w:rsidRDefault="00130C95"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 xml:space="preserve">Mobilization and differentiation of NPSCs within </w:t>
      </w:r>
      <w:r w:rsidR="00466805">
        <w:rPr>
          <w:rFonts w:ascii="Book Antiqua" w:hAnsi="Book Antiqua" w:cs="Times New Roman"/>
          <w:sz w:val="24"/>
          <w:szCs w:val="24"/>
        </w:rPr>
        <w:t xml:space="preserve">the </w:t>
      </w:r>
      <w:r w:rsidRPr="000E3BD6">
        <w:rPr>
          <w:rFonts w:ascii="Book Antiqua" w:hAnsi="Book Antiqua" w:cs="Times New Roman"/>
          <w:sz w:val="24"/>
          <w:szCs w:val="24"/>
        </w:rPr>
        <w:t xml:space="preserve">IVD </w:t>
      </w:r>
      <w:r w:rsidR="00466805" w:rsidRPr="000E3BD6">
        <w:rPr>
          <w:rFonts w:ascii="Book Antiqua" w:hAnsi="Book Antiqua" w:cs="Times New Roman"/>
          <w:sz w:val="24"/>
          <w:szCs w:val="24"/>
        </w:rPr>
        <w:t>represent</w:t>
      </w:r>
      <w:r w:rsidR="00466805">
        <w:rPr>
          <w:rFonts w:ascii="Book Antiqua" w:hAnsi="Book Antiqua" w:cs="Times New Roman"/>
          <w:sz w:val="24"/>
          <w:szCs w:val="24"/>
        </w:rPr>
        <w:t xml:space="preserve"> </w:t>
      </w:r>
      <w:r w:rsidRPr="000E3BD6">
        <w:rPr>
          <w:rFonts w:ascii="Book Antiqua" w:hAnsi="Book Antiqua" w:cs="Times New Roman"/>
          <w:sz w:val="24"/>
          <w:szCs w:val="24"/>
        </w:rPr>
        <w:t xml:space="preserve">an attractive target for future regenerative strategies for IVD degeneration </w:t>
      </w:r>
      <w:r w:rsidRPr="000E3BD6">
        <w:rPr>
          <w:rFonts w:ascii="Book Antiqua" w:hAnsi="Book Antiqua" w:cs="Times New Roman"/>
          <w:i/>
          <w:sz w:val="24"/>
          <w:szCs w:val="24"/>
        </w:rPr>
        <w:t>in situ</w:t>
      </w:r>
      <w:r w:rsidRPr="000E3BD6">
        <w:rPr>
          <w:rFonts w:ascii="Book Antiqua" w:hAnsi="Book Antiqua" w:cs="Times New Roman"/>
          <w:sz w:val="24"/>
          <w:szCs w:val="24"/>
        </w:rPr>
        <w:t>.</w:t>
      </w:r>
      <w:r w:rsidR="00F710B6" w:rsidRPr="000E3BD6">
        <w:rPr>
          <w:rFonts w:ascii="Book Antiqua" w:hAnsi="Book Antiqua" w:cs="Times New Roman"/>
          <w:sz w:val="24"/>
          <w:szCs w:val="24"/>
        </w:rPr>
        <w:t xml:space="preserve"> </w:t>
      </w:r>
    </w:p>
    <w:p w14:paraId="77A2F0E2" w14:textId="77777777" w:rsidR="00770923" w:rsidRPr="000C3D8B" w:rsidRDefault="00770923" w:rsidP="00F710B6">
      <w:pPr>
        <w:spacing w:after="0" w:line="360" w:lineRule="auto"/>
        <w:contextualSpacing/>
        <w:jc w:val="both"/>
        <w:rPr>
          <w:rFonts w:ascii="Book Antiqua" w:hAnsi="Book Antiqua" w:cs="Times New Roman"/>
          <w:b/>
          <w:i/>
          <w:sz w:val="24"/>
          <w:szCs w:val="24"/>
        </w:rPr>
      </w:pPr>
    </w:p>
    <w:p w14:paraId="346E06C4" w14:textId="35862E17" w:rsidR="0053026B" w:rsidRPr="000E3BD6" w:rsidRDefault="0053026B" w:rsidP="00F710B6">
      <w:pPr>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lastRenderedPageBreak/>
        <w:t>Research objectives</w:t>
      </w:r>
    </w:p>
    <w:p w14:paraId="649B07E3" w14:textId="180F3B91" w:rsidR="0053026B" w:rsidRPr="000E3BD6" w:rsidRDefault="00714260"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In the present study,</w:t>
      </w:r>
      <w:r w:rsidR="00ED346D" w:rsidRPr="000E3BD6">
        <w:rPr>
          <w:rFonts w:ascii="Book Antiqua" w:hAnsi="Book Antiqua" w:cs="Times New Roman"/>
          <w:sz w:val="24"/>
          <w:szCs w:val="24"/>
        </w:rPr>
        <w:t xml:space="preserve"> the aim was to detect SDF-1α in </w:t>
      </w:r>
      <w:r w:rsidR="00C57F59" w:rsidRPr="000E3BD6">
        <w:rPr>
          <w:rFonts w:ascii="Book Antiqua" w:hAnsi="Book Antiqua" w:cs="Times New Roman"/>
          <w:sz w:val="24"/>
          <w:szCs w:val="24"/>
        </w:rPr>
        <w:t xml:space="preserve">the </w:t>
      </w:r>
      <w:r w:rsidR="00ED346D" w:rsidRPr="000E3BD6">
        <w:rPr>
          <w:rFonts w:ascii="Book Antiqua" w:hAnsi="Book Antiqua" w:cs="Times New Roman"/>
          <w:sz w:val="24"/>
          <w:szCs w:val="24"/>
        </w:rPr>
        <w:t>degenerative IVD and to determine its roles in the migration and differentiation of NPSCs.</w:t>
      </w:r>
    </w:p>
    <w:p w14:paraId="3934A377" w14:textId="77777777" w:rsidR="00770923" w:rsidRPr="000E3BD6" w:rsidRDefault="00770923" w:rsidP="00F710B6">
      <w:pPr>
        <w:spacing w:after="0" w:line="360" w:lineRule="auto"/>
        <w:contextualSpacing/>
        <w:jc w:val="both"/>
        <w:rPr>
          <w:rFonts w:ascii="Book Antiqua" w:hAnsi="Book Antiqua" w:cs="Times New Roman"/>
          <w:b/>
          <w:i/>
          <w:sz w:val="24"/>
          <w:szCs w:val="24"/>
        </w:rPr>
      </w:pPr>
    </w:p>
    <w:p w14:paraId="7159EF74" w14:textId="410007B6" w:rsidR="0053026B" w:rsidRPr="000E3BD6" w:rsidRDefault="0053026B" w:rsidP="00F710B6">
      <w:pPr>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Research methods</w:t>
      </w:r>
    </w:p>
    <w:p w14:paraId="20578910" w14:textId="421CCE1D" w:rsidR="0053026B" w:rsidRPr="000E3BD6" w:rsidRDefault="00ED346D"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Enzyme-linked immunosorbent assay (ELISA)</w:t>
      </w:r>
      <w:r w:rsidR="004510DD" w:rsidRPr="000E3BD6">
        <w:rPr>
          <w:rFonts w:ascii="Book Antiqua" w:hAnsi="Book Antiqua" w:cs="Times New Roman"/>
          <w:sz w:val="24"/>
          <w:szCs w:val="24"/>
        </w:rPr>
        <w:t>, RT-qPCR,</w:t>
      </w:r>
      <w:r w:rsidRPr="000E3BD6">
        <w:rPr>
          <w:rFonts w:ascii="Book Antiqua" w:hAnsi="Book Antiqua" w:cs="Times New Roman"/>
          <w:sz w:val="24"/>
          <w:szCs w:val="24"/>
        </w:rPr>
        <w:t xml:space="preserve"> and</w:t>
      </w:r>
      <w:r w:rsidR="004510DD" w:rsidRPr="000E3BD6">
        <w:rPr>
          <w:rFonts w:ascii="Book Antiqua" w:hAnsi="Book Antiqua" w:cs="Times New Roman"/>
          <w:sz w:val="24"/>
          <w:szCs w:val="24"/>
        </w:rPr>
        <w:t xml:space="preserve"> immunohistochemistry</w:t>
      </w:r>
      <w:r w:rsidRPr="000E3BD6">
        <w:rPr>
          <w:rFonts w:ascii="Book Antiqua" w:hAnsi="Book Antiqua" w:cs="Times New Roman"/>
          <w:sz w:val="24"/>
          <w:szCs w:val="24"/>
        </w:rPr>
        <w:t xml:space="preserve"> </w:t>
      </w:r>
      <w:r w:rsidR="004510DD" w:rsidRPr="000E3BD6">
        <w:rPr>
          <w:rFonts w:ascii="Book Antiqua" w:hAnsi="Book Antiqua" w:cs="Times New Roman"/>
          <w:sz w:val="24"/>
          <w:szCs w:val="24"/>
        </w:rPr>
        <w:t>were performed to demonstrate</w:t>
      </w:r>
      <w:r w:rsidRPr="000E3BD6">
        <w:rPr>
          <w:rFonts w:ascii="Book Antiqua" w:hAnsi="Book Antiqua" w:cs="Times New Roman"/>
          <w:sz w:val="24"/>
          <w:szCs w:val="24"/>
        </w:rPr>
        <w:t xml:space="preserve"> the level</w:t>
      </w:r>
      <w:r w:rsidR="00466805">
        <w:rPr>
          <w:rFonts w:ascii="Book Antiqua" w:hAnsi="Book Antiqua" w:cs="Times New Roman"/>
          <w:sz w:val="24"/>
          <w:szCs w:val="24"/>
        </w:rPr>
        <w:t>s</w:t>
      </w:r>
      <w:r w:rsidRPr="000E3BD6">
        <w:rPr>
          <w:rFonts w:ascii="Book Antiqua" w:hAnsi="Book Antiqua" w:cs="Times New Roman"/>
          <w:sz w:val="24"/>
          <w:szCs w:val="24"/>
        </w:rPr>
        <w:t xml:space="preserve"> of </w:t>
      </w:r>
      <w:r w:rsidR="004510DD" w:rsidRPr="000E3BD6">
        <w:rPr>
          <w:rFonts w:ascii="Book Antiqua" w:hAnsi="Book Antiqua" w:cs="Times New Roman"/>
          <w:sz w:val="24"/>
          <w:szCs w:val="24"/>
        </w:rPr>
        <w:t>SDF-1α</w:t>
      </w:r>
      <w:r w:rsidR="00466805">
        <w:rPr>
          <w:rFonts w:ascii="Book Antiqua" w:hAnsi="Book Antiqua" w:cs="Times New Roman"/>
          <w:sz w:val="24"/>
          <w:szCs w:val="24"/>
        </w:rPr>
        <w:t xml:space="preserve"> </w:t>
      </w:r>
      <w:r w:rsidRPr="000E3BD6">
        <w:rPr>
          <w:rFonts w:ascii="Book Antiqua" w:hAnsi="Book Antiqua" w:cs="Times New Roman"/>
          <w:sz w:val="24"/>
          <w:szCs w:val="24"/>
        </w:rPr>
        <w:t>generate</w:t>
      </w:r>
      <w:r w:rsidR="004510DD" w:rsidRPr="000E3BD6">
        <w:rPr>
          <w:rFonts w:ascii="Book Antiqua" w:hAnsi="Book Antiqua" w:cs="Times New Roman"/>
          <w:sz w:val="24"/>
          <w:szCs w:val="24"/>
        </w:rPr>
        <w:t>d</w:t>
      </w:r>
      <w:r w:rsidRPr="000E3BD6">
        <w:rPr>
          <w:rFonts w:ascii="Book Antiqua" w:hAnsi="Book Antiqua" w:cs="Times New Roman"/>
          <w:sz w:val="24"/>
          <w:szCs w:val="24"/>
        </w:rPr>
        <w:t xml:space="preserve"> </w:t>
      </w:r>
      <w:r w:rsidR="004510DD" w:rsidRPr="000E3BD6">
        <w:rPr>
          <w:rFonts w:ascii="Book Antiqua" w:hAnsi="Book Antiqua" w:cs="Times New Roman"/>
          <w:sz w:val="24"/>
          <w:szCs w:val="24"/>
        </w:rPr>
        <w:t xml:space="preserve">in </w:t>
      </w:r>
      <w:r w:rsidRPr="000E3BD6">
        <w:rPr>
          <w:rFonts w:ascii="Book Antiqua" w:hAnsi="Book Antiqua" w:cs="Times New Roman"/>
          <w:sz w:val="24"/>
          <w:szCs w:val="24"/>
        </w:rPr>
        <w:t xml:space="preserve">the </w:t>
      </w:r>
      <w:r w:rsidR="004510DD" w:rsidRPr="000E3BD6">
        <w:rPr>
          <w:rFonts w:ascii="Book Antiqua" w:hAnsi="Book Antiqua" w:cs="Times New Roman"/>
          <w:sz w:val="24"/>
          <w:szCs w:val="24"/>
        </w:rPr>
        <w:t xml:space="preserve">condition </w:t>
      </w:r>
      <w:r w:rsidRPr="000E3BD6">
        <w:rPr>
          <w:rFonts w:ascii="Book Antiqua" w:hAnsi="Book Antiqua" w:cs="Times New Roman"/>
          <w:sz w:val="24"/>
          <w:szCs w:val="24"/>
        </w:rPr>
        <w:t xml:space="preserve">of IVD degeneration. </w:t>
      </w:r>
      <w:r w:rsidR="002235F1" w:rsidRPr="000E3BD6">
        <w:rPr>
          <w:rFonts w:ascii="Book Antiqua" w:hAnsi="Book Antiqua" w:cs="Times New Roman"/>
          <w:sz w:val="24"/>
          <w:szCs w:val="24"/>
        </w:rPr>
        <w:t xml:space="preserve">The capacity of SDF-1α to recruit NPSCs was evaluated using wound healing and transwell migration assays. </w:t>
      </w:r>
      <w:r w:rsidR="00B55CB5" w:rsidRPr="000E3BD6">
        <w:rPr>
          <w:rFonts w:ascii="Book Antiqua" w:hAnsi="Book Antiqua" w:cs="Times New Roman"/>
          <w:sz w:val="24"/>
          <w:szCs w:val="24"/>
        </w:rPr>
        <w:t>Western blot, RT-qPCR</w:t>
      </w:r>
      <w:r w:rsidR="00466805">
        <w:rPr>
          <w:rFonts w:ascii="Book Antiqua" w:hAnsi="Book Antiqua" w:cs="Times New Roman"/>
          <w:sz w:val="24"/>
          <w:szCs w:val="24"/>
        </w:rPr>
        <w:t>,</w:t>
      </w:r>
      <w:r w:rsidR="00B55CB5" w:rsidRPr="000E3BD6">
        <w:rPr>
          <w:rFonts w:ascii="Book Antiqua" w:hAnsi="Book Antiqua" w:cs="Times New Roman"/>
          <w:sz w:val="24"/>
          <w:szCs w:val="24"/>
        </w:rPr>
        <w:t xml:space="preserve"> and </w:t>
      </w:r>
      <w:r w:rsidR="00466805">
        <w:rPr>
          <w:rFonts w:ascii="Book Antiqua" w:hAnsi="Book Antiqua" w:cs="Times New Roman"/>
          <w:sz w:val="24"/>
          <w:szCs w:val="24"/>
        </w:rPr>
        <w:t>i</w:t>
      </w:r>
      <w:r w:rsidR="00466805" w:rsidRPr="000E3BD6">
        <w:rPr>
          <w:rFonts w:ascii="Book Antiqua" w:hAnsi="Book Antiqua" w:cs="Times New Roman"/>
          <w:sz w:val="24"/>
          <w:szCs w:val="24"/>
        </w:rPr>
        <w:t xml:space="preserve">mmunofluorescence </w:t>
      </w:r>
      <w:r w:rsidR="00B55CB5" w:rsidRPr="000E3BD6">
        <w:rPr>
          <w:rFonts w:ascii="Book Antiqua" w:hAnsi="Book Antiqua" w:cs="Times New Roman"/>
          <w:sz w:val="24"/>
          <w:szCs w:val="24"/>
        </w:rPr>
        <w:t xml:space="preserve">were employed to </w:t>
      </w:r>
      <w:r w:rsidR="009C5B98" w:rsidRPr="000E3BD6">
        <w:rPr>
          <w:rFonts w:ascii="Book Antiqua" w:hAnsi="Book Antiqua" w:cs="Times New Roman"/>
          <w:sz w:val="24"/>
          <w:szCs w:val="24"/>
        </w:rPr>
        <w:t xml:space="preserve">determine the expression and location of </w:t>
      </w:r>
      <w:r w:rsidR="009C5B98" w:rsidRPr="000E3BD6">
        <w:rPr>
          <w:rFonts w:ascii="Book Antiqua" w:hAnsi="Book Antiqua" w:cs="Times New Roman"/>
          <w:sz w:val="24"/>
          <w:szCs w:val="24"/>
          <w:lang w:val="en-GB"/>
        </w:rPr>
        <w:t xml:space="preserve">C-X-C chemokine receptor type 4 (CXCR4) </w:t>
      </w:r>
      <w:r w:rsidR="009C5B98" w:rsidRPr="000E3BD6">
        <w:rPr>
          <w:rFonts w:ascii="Book Antiqua" w:hAnsi="Book Antiqua" w:cs="Times New Roman"/>
          <w:sz w:val="24"/>
          <w:szCs w:val="24"/>
        </w:rPr>
        <w:t xml:space="preserve">in response to SDF-1α. </w:t>
      </w:r>
      <w:r w:rsidR="00B55CB5" w:rsidRPr="000E3BD6">
        <w:rPr>
          <w:rFonts w:ascii="Book Antiqua" w:hAnsi="Book Antiqua" w:cs="Times New Roman"/>
          <w:sz w:val="24"/>
          <w:szCs w:val="24"/>
        </w:rPr>
        <w:t>C</w:t>
      </w:r>
      <w:r w:rsidR="004510DD" w:rsidRPr="000E3BD6">
        <w:rPr>
          <w:rFonts w:ascii="Book Antiqua" w:hAnsi="Book Antiqua" w:cs="Times New Roman"/>
          <w:sz w:val="24"/>
          <w:szCs w:val="24"/>
        </w:rPr>
        <w:t xml:space="preserve">ell micromass culture </w:t>
      </w:r>
      <w:r w:rsidR="00B55CB5" w:rsidRPr="000E3BD6">
        <w:rPr>
          <w:rFonts w:ascii="Book Antiqua" w:hAnsi="Book Antiqua" w:cs="Times New Roman"/>
          <w:sz w:val="24"/>
          <w:szCs w:val="24"/>
        </w:rPr>
        <w:t xml:space="preserve">was used </w:t>
      </w:r>
      <w:r w:rsidR="004510DD" w:rsidRPr="000E3BD6">
        <w:rPr>
          <w:rFonts w:ascii="Book Antiqua" w:hAnsi="Book Antiqua" w:cs="Times New Roman"/>
          <w:sz w:val="24"/>
          <w:szCs w:val="24"/>
        </w:rPr>
        <w:t xml:space="preserve">to assess the </w:t>
      </w:r>
      <w:r w:rsidR="00B55CB5" w:rsidRPr="000E3BD6">
        <w:rPr>
          <w:rFonts w:ascii="Book Antiqua" w:hAnsi="Book Antiqua" w:cs="Times New Roman"/>
          <w:sz w:val="24"/>
          <w:szCs w:val="24"/>
        </w:rPr>
        <w:t>effect</w:t>
      </w:r>
      <w:r w:rsidR="004510DD" w:rsidRPr="000E3BD6">
        <w:rPr>
          <w:rFonts w:ascii="Book Antiqua" w:hAnsi="Book Antiqua" w:cs="Times New Roman"/>
          <w:sz w:val="24"/>
          <w:szCs w:val="24"/>
        </w:rPr>
        <w:t xml:space="preserve"> of SDF-1α </w:t>
      </w:r>
      <w:r w:rsidR="00B55CB5" w:rsidRPr="000E3BD6">
        <w:rPr>
          <w:rFonts w:ascii="Book Antiqua" w:hAnsi="Book Antiqua" w:cs="Times New Roman"/>
          <w:sz w:val="24"/>
          <w:szCs w:val="24"/>
        </w:rPr>
        <w:t>on</w:t>
      </w:r>
      <w:r w:rsidR="004510DD" w:rsidRPr="000E3BD6">
        <w:rPr>
          <w:rFonts w:ascii="Book Antiqua" w:hAnsi="Book Antiqua" w:cs="Times New Roman"/>
          <w:sz w:val="24"/>
          <w:szCs w:val="24"/>
        </w:rPr>
        <w:t xml:space="preserve"> chondrogenic differentiation of NPSCs.</w:t>
      </w:r>
      <w:r w:rsidR="00B55CB5" w:rsidRPr="000E3BD6">
        <w:rPr>
          <w:rFonts w:ascii="Book Antiqua" w:hAnsi="Book Antiqua" w:cs="Times New Roman"/>
          <w:sz w:val="24"/>
          <w:szCs w:val="24"/>
        </w:rPr>
        <w:t xml:space="preserve"> </w:t>
      </w:r>
      <w:r w:rsidR="00720F5D" w:rsidRPr="000E3BD6">
        <w:rPr>
          <w:rFonts w:ascii="Book Antiqua" w:hAnsi="Book Antiqua" w:cs="Times New Roman"/>
          <w:sz w:val="24"/>
          <w:szCs w:val="24"/>
        </w:rPr>
        <w:t xml:space="preserve">Western blot, RT-qPCR, and histological analysis were conducted to examine the </w:t>
      </w:r>
      <w:r w:rsidR="003B13F2" w:rsidRPr="000E3BD6">
        <w:rPr>
          <w:rFonts w:ascii="Book Antiqua" w:hAnsi="Book Antiqua" w:cs="Times New Roman"/>
          <w:sz w:val="24"/>
          <w:szCs w:val="24"/>
        </w:rPr>
        <w:t>expression of chondrogenic markers</w:t>
      </w:r>
      <w:r w:rsidR="00BD3B39" w:rsidRPr="000E3BD6">
        <w:rPr>
          <w:rFonts w:ascii="Book Antiqua" w:hAnsi="Book Antiqua" w:cs="Times New Roman"/>
          <w:sz w:val="24"/>
          <w:szCs w:val="24"/>
        </w:rPr>
        <w:t xml:space="preserve"> such as</w:t>
      </w:r>
      <w:r w:rsidR="00BD3B39" w:rsidRPr="000E3BD6">
        <w:rPr>
          <w:rFonts w:ascii="Book Antiqua" w:hAnsi="Book Antiqua"/>
          <w:sz w:val="24"/>
          <w:szCs w:val="24"/>
        </w:rPr>
        <w:t xml:space="preserve"> </w:t>
      </w:r>
      <w:r w:rsidR="00BD3B39" w:rsidRPr="000E3BD6">
        <w:rPr>
          <w:rFonts w:ascii="Book Antiqua" w:hAnsi="Book Antiqua" w:cs="Times New Roman"/>
          <w:sz w:val="24"/>
          <w:szCs w:val="24"/>
        </w:rPr>
        <w:t>aggrecan, collagen II, and Sox-9</w:t>
      </w:r>
      <w:r w:rsidR="00B55CB5" w:rsidRPr="000E3BD6">
        <w:rPr>
          <w:rFonts w:ascii="Book Antiqua" w:hAnsi="Book Antiqua" w:cs="Times New Roman"/>
          <w:sz w:val="24"/>
          <w:szCs w:val="24"/>
        </w:rPr>
        <w:t>.</w:t>
      </w:r>
      <w:r w:rsidR="003B13F2" w:rsidRPr="000E3BD6">
        <w:rPr>
          <w:rFonts w:ascii="Book Antiqua" w:hAnsi="Book Antiqua" w:cs="Times New Roman"/>
          <w:sz w:val="24"/>
          <w:szCs w:val="24"/>
        </w:rPr>
        <w:t xml:space="preserve"> </w:t>
      </w:r>
      <w:r w:rsidR="000B3A6E" w:rsidRPr="000E3BD6">
        <w:rPr>
          <w:rFonts w:ascii="Book Antiqua" w:hAnsi="Book Antiqua" w:cs="Times New Roman"/>
          <w:sz w:val="24"/>
          <w:szCs w:val="24"/>
        </w:rPr>
        <w:t xml:space="preserve">CXCR4 antagonist AMD3100 was used to </w:t>
      </w:r>
      <w:r w:rsidR="00A330E0" w:rsidRPr="000E3BD6">
        <w:rPr>
          <w:rFonts w:ascii="Book Antiqua" w:hAnsi="Book Antiqua" w:cs="Times New Roman"/>
          <w:sz w:val="24"/>
          <w:szCs w:val="24"/>
        </w:rPr>
        <w:t xml:space="preserve">inhibit </w:t>
      </w:r>
      <w:r w:rsidR="000B3A6E" w:rsidRPr="000E3BD6">
        <w:rPr>
          <w:rFonts w:ascii="Book Antiqua" w:hAnsi="Book Antiqua" w:cs="Times New Roman"/>
          <w:sz w:val="24"/>
          <w:szCs w:val="24"/>
        </w:rPr>
        <w:t xml:space="preserve">the </w:t>
      </w:r>
      <w:r w:rsidR="00F35F62" w:rsidRPr="000E3BD6">
        <w:rPr>
          <w:rFonts w:ascii="Book Antiqua" w:hAnsi="Book Antiqua" w:cs="Times New Roman"/>
          <w:sz w:val="24"/>
          <w:szCs w:val="24"/>
        </w:rPr>
        <w:t>effects</w:t>
      </w:r>
      <w:r w:rsidR="000B3A6E" w:rsidRPr="000E3BD6">
        <w:rPr>
          <w:rFonts w:ascii="Book Antiqua" w:hAnsi="Book Antiqua" w:cs="Times New Roman"/>
          <w:sz w:val="24"/>
          <w:szCs w:val="24"/>
        </w:rPr>
        <w:t xml:space="preserve"> of </w:t>
      </w:r>
      <w:r w:rsidR="00466805">
        <w:rPr>
          <w:rFonts w:ascii="Book Antiqua" w:hAnsi="Book Antiqua" w:cs="Times New Roman"/>
          <w:sz w:val="24"/>
          <w:szCs w:val="24"/>
        </w:rPr>
        <w:t xml:space="preserve">the </w:t>
      </w:r>
      <w:r w:rsidR="00A330E0" w:rsidRPr="000E3BD6">
        <w:rPr>
          <w:rFonts w:ascii="Book Antiqua" w:hAnsi="Book Antiqua" w:cs="Times New Roman"/>
          <w:sz w:val="24"/>
          <w:szCs w:val="24"/>
        </w:rPr>
        <w:t>SDF-1/CXCR4 axis</w:t>
      </w:r>
      <w:r w:rsidR="000B3A6E" w:rsidRPr="000E3BD6">
        <w:rPr>
          <w:rFonts w:ascii="Book Antiqua" w:hAnsi="Book Antiqua" w:cs="Times New Roman"/>
          <w:sz w:val="24"/>
          <w:szCs w:val="24"/>
        </w:rPr>
        <w:t xml:space="preserve"> on </w:t>
      </w:r>
      <w:r w:rsidR="00466805">
        <w:rPr>
          <w:rFonts w:ascii="Book Antiqua" w:hAnsi="Book Antiqua" w:cs="Times New Roman"/>
          <w:sz w:val="24"/>
          <w:szCs w:val="24"/>
        </w:rPr>
        <w:t xml:space="preserve">the </w:t>
      </w:r>
      <w:r w:rsidR="000B3A6E" w:rsidRPr="000E3BD6">
        <w:rPr>
          <w:rFonts w:ascii="Book Antiqua" w:hAnsi="Book Antiqua" w:cs="Times New Roman"/>
          <w:sz w:val="24"/>
          <w:szCs w:val="24"/>
        </w:rPr>
        <w:t xml:space="preserve">migration and chondrogenic differentiation capacities of NPSCs. </w:t>
      </w:r>
    </w:p>
    <w:p w14:paraId="64AF4B2B" w14:textId="77777777" w:rsidR="00770923" w:rsidRPr="000E3BD6" w:rsidRDefault="00770923" w:rsidP="00F710B6">
      <w:pPr>
        <w:spacing w:after="0" w:line="360" w:lineRule="auto"/>
        <w:contextualSpacing/>
        <w:jc w:val="both"/>
        <w:rPr>
          <w:rFonts w:ascii="Book Antiqua" w:hAnsi="Book Antiqua" w:cs="Times New Roman"/>
          <w:b/>
          <w:i/>
          <w:sz w:val="24"/>
          <w:szCs w:val="24"/>
        </w:rPr>
      </w:pPr>
    </w:p>
    <w:p w14:paraId="355183FD" w14:textId="336FD79C" w:rsidR="0053026B" w:rsidRPr="000E3BD6" w:rsidRDefault="0053026B" w:rsidP="00F710B6">
      <w:pPr>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Research results</w:t>
      </w:r>
    </w:p>
    <w:p w14:paraId="6C3A4B3F" w14:textId="178605CE" w:rsidR="0053026B" w:rsidRPr="000E3BD6" w:rsidRDefault="00735147"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 xml:space="preserve">SDF-1α was </w:t>
      </w:r>
      <w:r w:rsidR="004F6E06" w:rsidRPr="000E3BD6">
        <w:rPr>
          <w:rFonts w:ascii="Book Antiqua" w:hAnsi="Book Antiqua" w:cs="Times New Roman"/>
          <w:sz w:val="24"/>
          <w:szCs w:val="24"/>
        </w:rPr>
        <w:t>highly expressed</w:t>
      </w:r>
      <w:r w:rsidRPr="000E3BD6">
        <w:rPr>
          <w:rFonts w:ascii="Book Antiqua" w:hAnsi="Book Antiqua" w:cs="Times New Roman"/>
          <w:sz w:val="24"/>
          <w:szCs w:val="24"/>
        </w:rPr>
        <w:t xml:space="preserve"> in</w:t>
      </w:r>
      <w:r w:rsidR="00780434" w:rsidRPr="000E3BD6">
        <w:rPr>
          <w:rFonts w:ascii="Book Antiqua" w:hAnsi="Book Antiqua" w:cs="Times New Roman"/>
          <w:sz w:val="24"/>
          <w:szCs w:val="24"/>
        </w:rPr>
        <w:t xml:space="preserve"> </w:t>
      </w:r>
      <w:r w:rsidRPr="000E3BD6">
        <w:rPr>
          <w:rFonts w:ascii="Book Antiqua" w:hAnsi="Book Antiqua" w:cs="Times New Roman"/>
          <w:sz w:val="24"/>
          <w:szCs w:val="24"/>
        </w:rPr>
        <w:t xml:space="preserve">the </w:t>
      </w:r>
      <w:r w:rsidR="00780434" w:rsidRPr="000E3BD6">
        <w:rPr>
          <w:rFonts w:ascii="Book Antiqua" w:hAnsi="Book Antiqua" w:cs="Times New Roman"/>
          <w:sz w:val="24"/>
          <w:szCs w:val="24"/>
        </w:rPr>
        <w:t xml:space="preserve">inflammatory microenvironment of the </w:t>
      </w:r>
      <w:r w:rsidRPr="000E3BD6">
        <w:rPr>
          <w:rFonts w:ascii="Book Antiqua" w:hAnsi="Book Antiqua" w:cs="Times New Roman"/>
          <w:sz w:val="24"/>
          <w:szCs w:val="24"/>
        </w:rPr>
        <w:t>degenerative</w:t>
      </w:r>
      <w:r w:rsidR="00780434" w:rsidRPr="000E3BD6">
        <w:rPr>
          <w:rFonts w:ascii="Book Antiqua" w:hAnsi="Book Antiqua" w:cs="Times New Roman"/>
          <w:sz w:val="24"/>
          <w:szCs w:val="24"/>
        </w:rPr>
        <w:t xml:space="preserve"> IVD</w:t>
      </w:r>
      <w:r w:rsidRPr="000E3BD6">
        <w:rPr>
          <w:rFonts w:ascii="Book Antiqua" w:hAnsi="Book Antiqua" w:cs="Times New Roman"/>
          <w:sz w:val="24"/>
          <w:szCs w:val="24"/>
        </w:rPr>
        <w:t xml:space="preserve">. SDF-1α </w:t>
      </w:r>
      <w:r w:rsidR="004E1705" w:rsidRPr="000E3BD6">
        <w:rPr>
          <w:rFonts w:ascii="Book Antiqua" w:hAnsi="Book Antiqua" w:cs="Times New Roman"/>
          <w:sz w:val="24"/>
          <w:szCs w:val="24"/>
        </w:rPr>
        <w:t>promote</w:t>
      </w:r>
      <w:r w:rsidR="009F6921" w:rsidRPr="000E3BD6">
        <w:rPr>
          <w:rFonts w:ascii="Book Antiqua" w:hAnsi="Book Antiqua" w:cs="Times New Roman"/>
          <w:sz w:val="24"/>
          <w:szCs w:val="24"/>
        </w:rPr>
        <w:t>d</w:t>
      </w:r>
      <w:r w:rsidRPr="000E3BD6">
        <w:rPr>
          <w:rFonts w:ascii="Book Antiqua" w:hAnsi="Book Antiqua" w:cs="Times New Roman"/>
          <w:sz w:val="24"/>
          <w:szCs w:val="24"/>
        </w:rPr>
        <w:t xml:space="preserve"> migration </w:t>
      </w:r>
      <w:r w:rsidR="009F6921" w:rsidRPr="000E3BD6">
        <w:rPr>
          <w:rFonts w:ascii="Book Antiqua" w:hAnsi="Book Antiqua" w:cs="Times New Roman"/>
          <w:sz w:val="24"/>
          <w:szCs w:val="24"/>
        </w:rPr>
        <w:t xml:space="preserve">and chondrogenic differentiation </w:t>
      </w:r>
      <w:r w:rsidRPr="000E3BD6">
        <w:rPr>
          <w:rFonts w:ascii="Book Antiqua" w:hAnsi="Book Antiqua" w:cs="Times New Roman"/>
          <w:sz w:val="24"/>
          <w:szCs w:val="24"/>
        </w:rPr>
        <w:t xml:space="preserve">of NPSCs in a dose-dependent manner. SDF-1α not only increased CXCR4 expression but also stimulated translocation of CXCR4 from </w:t>
      </w:r>
      <w:r w:rsidR="00466805">
        <w:rPr>
          <w:rFonts w:ascii="Book Antiqua" w:hAnsi="Book Antiqua" w:cs="Times New Roman"/>
          <w:sz w:val="24"/>
          <w:szCs w:val="24"/>
        </w:rPr>
        <w:t xml:space="preserve">the </w:t>
      </w:r>
      <w:r w:rsidRPr="000E3BD6">
        <w:rPr>
          <w:rFonts w:ascii="Book Antiqua" w:hAnsi="Book Antiqua" w:cs="Times New Roman"/>
          <w:sz w:val="24"/>
          <w:szCs w:val="24"/>
        </w:rPr>
        <w:t xml:space="preserve">cytoplasm to membrane, accompanied by cytoskeletal rearrangement. </w:t>
      </w:r>
      <w:r w:rsidR="00662A83" w:rsidRPr="000E3BD6">
        <w:rPr>
          <w:rFonts w:ascii="Book Antiqua" w:hAnsi="Book Antiqua" w:cs="Times New Roman"/>
          <w:sz w:val="24"/>
          <w:szCs w:val="24"/>
        </w:rPr>
        <w:t xml:space="preserve">Inhibition of </w:t>
      </w:r>
      <w:r w:rsidR="00466805">
        <w:rPr>
          <w:rFonts w:ascii="Book Antiqua" w:hAnsi="Book Antiqua" w:cs="Times New Roman"/>
          <w:sz w:val="24"/>
          <w:szCs w:val="24"/>
        </w:rPr>
        <w:t xml:space="preserve">the </w:t>
      </w:r>
      <w:r w:rsidR="00662A83" w:rsidRPr="000E3BD6">
        <w:rPr>
          <w:rFonts w:ascii="Book Antiqua" w:hAnsi="Book Antiqua" w:cs="Times New Roman"/>
          <w:sz w:val="24"/>
          <w:szCs w:val="24"/>
        </w:rPr>
        <w:t xml:space="preserve">SDF-1/CXCR4 axis using </w:t>
      </w:r>
      <w:r w:rsidRPr="000E3BD6">
        <w:rPr>
          <w:rFonts w:ascii="Book Antiqua" w:hAnsi="Book Antiqua" w:cs="Times New Roman"/>
          <w:sz w:val="24"/>
          <w:szCs w:val="24"/>
        </w:rPr>
        <w:t xml:space="preserve">CXCR4 </w:t>
      </w:r>
      <w:r w:rsidR="00662A83" w:rsidRPr="000E3BD6">
        <w:rPr>
          <w:rFonts w:ascii="Book Antiqua" w:hAnsi="Book Antiqua" w:cs="Times New Roman"/>
          <w:sz w:val="24"/>
          <w:szCs w:val="24"/>
        </w:rPr>
        <w:t xml:space="preserve">antagonist </w:t>
      </w:r>
      <w:r w:rsidRPr="000E3BD6">
        <w:rPr>
          <w:rFonts w:ascii="Book Antiqua" w:hAnsi="Book Antiqua" w:cs="Times New Roman"/>
          <w:sz w:val="24"/>
          <w:szCs w:val="24"/>
        </w:rPr>
        <w:t xml:space="preserve">AMD3100 effectively </w:t>
      </w:r>
      <w:r w:rsidR="00662A83" w:rsidRPr="000E3BD6">
        <w:rPr>
          <w:rFonts w:ascii="Book Antiqua" w:hAnsi="Book Antiqua" w:cs="Times New Roman"/>
          <w:sz w:val="24"/>
          <w:szCs w:val="24"/>
        </w:rPr>
        <w:t>abolished</w:t>
      </w:r>
      <w:r w:rsidRPr="000E3BD6">
        <w:rPr>
          <w:rFonts w:ascii="Book Antiqua" w:hAnsi="Book Antiqua" w:cs="Times New Roman"/>
          <w:sz w:val="24"/>
          <w:szCs w:val="24"/>
        </w:rPr>
        <w:t xml:space="preserve"> the SDF-1α-induced migration and differentiation capacities</w:t>
      </w:r>
      <w:r w:rsidR="00466805">
        <w:rPr>
          <w:rFonts w:ascii="Book Antiqua" w:hAnsi="Book Antiqua" w:cs="Times New Roman"/>
          <w:sz w:val="24"/>
          <w:szCs w:val="24"/>
        </w:rPr>
        <w:t xml:space="preserve"> of </w:t>
      </w:r>
      <w:r w:rsidR="00466805" w:rsidRPr="000E3BD6">
        <w:rPr>
          <w:rFonts w:ascii="Book Antiqua" w:hAnsi="Book Antiqua" w:cs="Times New Roman"/>
          <w:sz w:val="24"/>
          <w:szCs w:val="24"/>
        </w:rPr>
        <w:t>NPSCs</w:t>
      </w:r>
      <w:r w:rsidRPr="000E3BD6">
        <w:rPr>
          <w:rFonts w:ascii="Book Antiqua" w:hAnsi="Book Antiqua" w:cs="Times New Roman"/>
          <w:sz w:val="24"/>
          <w:szCs w:val="24"/>
        </w:rPr>
        <w:t>.</w:t>
      </w:r>
    </w:p>
    <w:p w14:paraId="3F6852D1" w14:textId="77777777" w:rsidR="00770923" w:rsidRPr="000E3BD6" w:rsidRDefault="00770923" w:rsidP="00F710B6">
      <w:pPr>
        <w:spacing w:after="0" w:line="360" w:lineRule="auto"/>
        <w:contextualSpacing/>
        <w:jc w:val="both"/>
        <w:rPr>
          <w:rFonts w:ascii="Book Antiqua" w:hAnsi="Book Antiqua" w:cs="Times New Roman"/>
          <w:b/>
          <w:i/>
          <w:sz w:val="24"/>
          <w:szCs w:val="24"/>
        </w:rPr>
      </w:pPr>
    </w:p>
    <w:p w14:paraId="392BD2AD" w14:textId="33E3A61C" w:rsidR="0053026B" w:rsidRPr="000E3BD6" w:rsidRDefault="0053026B" w:rsidP="00F710B6">
      <w:pPr>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Research conclusions</w:t>
      </w:r>
    </w:p>
    <w:p w14:paraId="3D2FEA8D" w14:textId="40080C77" w:rsidR="0053026B" w:rsidRPr="000E3BD6" w:rsidRDefault="0068285F"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T</w:t>
      </w:r>
      <w:r w:rsidR="00B113BB" w:rsidRPr="000E3BD6">
        <w:rPr>
          <w:rFonts w:ascii="Book Antiqua" w:hAnsi="Book Antiqua" w:cs="Times New Roman"/>
          <w:sz w:val="24"/>
          <w:szCs w:val="24"/>
        </w:rPr>
        <w:t xml:space="preserve">he </w:t>
      </w:r>
      <w:r w:rsidRPr="000E3BD6">
        <w:rPr>
          <w:rFonts w:ascii="Book Antiqua" w:hAnsi="Book Antiqua" w:cs="Times New Roman"/>
          <w:sz w:val="24"/>
          <w:szCs w:val="24"/>
        </w:rPr>
        <w:t>present</w:t>
      </w:r>
      <w:r w:rsidR="00B113BB" w:rsidRPr="000E3BD6">
        <w:rPr>
          <w:rFonts w:ascii="Book Antiqua" w:hAnsi="Book Antiqua" w:cs="Times New Roman"/>
          <w:sz w:val="24"/>
          <w:szCs w:val="24"/>
        </w:rPr>
        <w:t xml:space="preserve"> </w:t>
      </w:r>
      <w:r w:rsidRPr="000E3BD6">
        <w:rPr>
          <w:rFonts w:ascii="Book Antiqua" w:hAnsi="Book Antiqua" w:cs="Times New Roman"/>
          <w:sz w:val="24"/>
          <w:szCs w:val="24"/>
        </w:rPr>
        <w:t>study</w:t>
      </w:r>
      <w:r w:rsidR="00B113BB" w:rsidRPr="000E3BD6">
        <w:rPr>
          <w:rFonts w:ascii="Book Antiqua" w:hAnsi="Book Antiqua" w:cs="Times New Roman"/>
          <w:sz w:val="24"/>
          <w:szCs w:val="24"/>
        </w:rPr>
        <w:t xml:space="preserve"> demonstrated </w:t>
      </w:r>
      <w:r w:rsidRPr="000E3BD6">
        <w:rPr>
          <w:rFonts w:ascii="Book Antiqua" w:hAnsi="Book Antiqua" w:cs="Times New Roman"/>
          <w:sz w:val="24"/>
          <w:szCs w:val="24"/>
        </w:rPr>
        <w:t xml:space="preserve">that </w:t>
      </w:r>
      <w:r w:rsidR="00ED1AF5" w:rsidRPr="000E3BD6">
        <w:rPr>
          <w:rFonts w:ascii="Book Antiqua" w:hAnsi="Book Antiqua" w:cs="Times New Roman"/>
          <w:sz w:val="24"/>
          <w:szCs w:val="24"/>
        </w:rPr>
        <w:t xml:space="preserve">the chemokine </w:t>
      </w:r>
      <w:r w:rsidR="00B113BB" w:rsidRPr="000E3BD6">
        <w:rPr>
          <w:rFonts w:ascii="Book Antiqua" w:hAnsi="Book Antiqua" w:cs="Times New Roman"/>
          <w:sz w:val="24"/>
          <w:szCs w:val="24"/>
        </w:rPr>
        <w:t xml:space="preserve">SDF-1α </w:t>
      </w:r>
      <w:r w:rsidRPr="000E3BD6">
        <w:rPr>
          <w:rFonts w:ascii="Book Antiqua" w:hAnsi="Book Antiqua" w:cs="Times New Roman"/>
          <w:sz w:val="24"/>
          <w:szCs w:val="24"/>
        </w:rPr>
        <w:t>was</w:t>
      </w:r>
      <w:r w:rsidR="00B113BB" w:rsidRPr="000E3BD6">
        <w:rPr>
          <w:rFonts w:ascii="Book Antiqua" w:hAnsi="Book Antiqua" w:cs="Times New Roman"/>
          <w:sz w:val="24"/>
          <w:szCs w:val="24"/>
        </w:rPr>
        <w:t xml:space="preserve"> pathogenically </w:t>
      </w:r>
      <w:r w:rsidR="00ED1AF5" w:rsidRPr="000E3BD6">
        <w:rPr>
          <w:rFonts w:ascii="Book Antiqua" w:hAnsi="Book Antiqua" w:cs="Times New Roman"/>
          <w:sz w:val="24"/>
          <w:szCs w:val="24"/>
        </w:rPr>
        <w:t xml:space="preserve">produced and secreted </w:t>
      </w:r>
      <w:r w:rsidR="00B113BB" w:rsidRPr="000E3BD6">
        <w:rPr>
          <w:rFonts w:ascii="Book Antiqua" w:hAnsi="Book Antiqua" w:cs="Times New Roman"/>
          <w:sz w:val="24"/>
          <w:szCs w:val="24"/>
        </w:rPr>
        <w:t>in the degenerative IVD</w:t>
      </w:r>
      <w:r w:rsidR="007D13B3" w:rsidRPr="000E3BD6">
        <w:rPr>
          <w:rFonts w:ascii="Book Antiqua" w:hAnsi="Book Antiqua" w:cs="Times New Roman"/>
          <w:sz w:val="24"/>
          <w:szCs w:val="24"/>
        </w:rPr>
        <w:t>, which plays a cru</w:t>
      </w:r>
      <w:r w:rsidR="009C4A62" w:rsidRPr="000E3BD6">
        <w:rPr>
          <w:rFonts w:ascii="Book Antiqua" w:hAnsi="Book Antiqua" w:cs="Times New Roman"/>
          <w:sz w:val="24"/>
          <w:szCs w:val="24"/>
        </w:rPr>
        <w:t xml:space="preserve">cial role in </w:t>
      </w:r>
      <w:r w:rsidR="00B113BB" w:rsidRPr="000E3BD6">
        <w:rPr>
          <w:rFonts w:ascii="Book Antiqua" w:hAnsi="Book Antiqua" w:cs="Times New Roman"/>
          <w:sz w:val="24"/>
          <w:szCs w:val="24"/>
        </w:rPr>
        <w:t xml:space="preserve">promoting </w:t>
      </w:r>
      <w:r w:rsidR="00B113BB" w:rsidRPr="000E3BD6">
        <w:rPr>
          <w:rFonts w:ascii="Book Antiqua" w:hAnsi="Book Antiqua" w:cs="Times New Roman"/>
          <w:sz w:val="24"/>
          <w:szCs w:val="24"/>
        </w:rPr>
        <w:lastRenderedPageBreak/>
        <w:t xml:space="preserve">NPSC chondrogenic differentiation and migration toward injury sites </w:t>
      </w:r>
      <w:r w:rsidR="00471703" w:rsidRPr="000E3BD6">
        <w:rPr>
          <w:rFonts w:ascii="Book Antiqua" w:hAnsi="Book Antiqua" w:cs="Times New Roman"/>
          <w:i/>
          <w:sz w:val="24"/>
          <w:szCs w:val="24"/>
        </w:rPr>
        <w:t>via</w:t>
      </w:r>
      <w:r w:rsidR="00B113BB" w:rsidRPr="000E3BD6">
        <w:rPr>
          <w:rFonts w:ascii="Book Antiqua" w:hAnsi="Book Antiqua" w:cs="Times New Roman"/>
          <w:sz w:val="24"/>
          <w:szCs w:val="24"/>
        </w:rPr>
        <w:t xml:space="preserve"> the SDF-1/CXCR4 axis.</w:t>
      </w:r>
    </w:p>
    <w:p w14:paraId="060CBABB" w14:textId="77777777" w:rsidR="00770923" w:rsidRPr="000E3BD6" w:rsidRDefault="00770923" w:rsidP="00F710B6">
      <w:pPr>
        <w:spacing w:after="0" w:line="360" w:lineRule="auto"/>
        <w:contextualSpacing/>
        <w:jc w:val="both"/>
        <w:rPr>
          <w:rFonts w:ascii="Book Antiqua" w:hAnsi="Book Antiqua" w:cs="Times New Roman"/>
          <w:b/>
          <w:i/>
          <w:sz w:val="24"/>
          <w:szCs w:val="24"/>
        </w:rPr>
      </w:pPr>
    </w:p>
    <w:p w14:paraId="503FCF56" w14:textId="203E032E" w:rsidR="0053026B" w:rsidRPr="000E3BD6" w:rsidRDefault="0053026B" w:rsidP="00F710B6">
      <w:pPr>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Research perspectives</w:t>
      </w:r>
    </w:p>
    <w:p w14:paraId="01AB44C2" w14:textId="0B998123" w:rsidR="0053026B" w:rsidRPr="000E3BD6" w:rsidRDefault="00E402C1"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 xml:space="preserve">In summary, </w:t>
      </w:r>
      <w:r w:rsidR="00CD47CD" w:rsidRPr="000E3BD6">
        <w:rPr>
          <w:rFonts w:ascii="Book Antiqua" w:hAnsi="Book Antiqua" w:cs="Times New Roman"/>
          <w:sz w:val="24"/>
          <w:szCs w:val="24"/>
        </w:rPr>
        <w:t>SDF-1α</w:t>
      </w:r>
      <w:r w:rsidR="00804D2E" w:rsidRPr="000E3BD6">
        <w:rPr>
          <w:rFonts w:ascii="Book Antiqua" w:hAnsi="Book Antiqua" w:cs="Times New Roman"/>
          <w:sz w:val="24"/>
          <w:szCs w:val="24"/>
        </w:rPr>
        <w:t xml:space="preserve"> is highly released </w:t>
      </w:r>
      <w:r w:rsidR="00CD47CD" w:rsidRPr="000E3BD6">
        <w:rPr>
          <w:rFonts w:ascii="Book Antiqua" w:hAnsi="Book Antiqua" w:cs="Times New Roman"/>
          <w:sz w:val="24"/>
          <w:szCs w:val="24"/>
        </w:rPr>
        <w:t xml:space="preserve">in the damaged or degenerative IVD </w:t>
      </w:r>
      <w:r w:rsidR="0066586F" w:rsidRPr="000E3BD6">
        <w:rPr>
          <w:rFonts w:ascii="Book Antiqua" w:hAnsi="Book Antiqua" w:cs="Times New Roman"/>
          <w:sz w:val="24"/>
          <w:szCs w:val="24"/>
        </w:rPr>
        <w:t xml:space="preserve">and its receptor CXCR4 is expressed </w:t>
      </w:r>
      <w:r w:rsidR="00CD47CD" w:rsidRPr="000E3BD6">
        <w:rPr>
          <w:rFonts w:ascii="Book Antiqua" w:hAnsi="Book Antiqua" w:cs="Times New Roman"/>
          <w:sz w:val="24"/>
          <w:szCs w:val="24"/>
        </w:rPr>
        <w:t xml:space="preserve">in </w:t>
      </w:r>
      <w:r w:rsidR="00466805">
        <w:rPr>
          <w:rFonts w:ascii="Book Antiqua" w:hAnsi="Book Antiqua" w:cs="Times New Roman"/>
          <w:sz w:val="24"/>
          <w:szCs w:val="24"/>
        </w:rPr>
        <w:t xml:space="preserve">the </w:t>
      </w:r>
      <w:r w:rsidR="0066586F" w:rsidRPr="000E3BD6">
        <w:rPr>
          <w:rFonts w:ascii="Book Antiqua" w:hAnsi="Book Antiqua" w:cs="Times New Roman"/>
          <w:sz w:val="24"/>
          <w:szCs w:val="24"/>
        </w:rPr>
        <w:t xml:space="preserve">cytomembrane and cytoplasm of </w:t>
      </w:r>
      <w:r w:rsidR="00CD47CD" w:rsidRPr="000E3BD6">
        <w:rPr>
          <w:rFonts w:ascii="Book Antiqua" w:hAnsi="Book Antiqua" w:cs="Times New Roman"/>
          <w:sz w:val="24"/>
          <w:szCs w:val="24"/>
        </w:rPr>
        <w:t>NPSCs.</w:t>
      </w:r>
      <w:r w:rsidR="00804D2E" w:rsidRPr="000E3BD6">
        <w:rPr>
          <w:rFonts w:ascii="Book Antiqua" w:hAnsi="Book Antiqua" w:cs="Times New Roman"/>
          <w:sz w:val="24"/>
          <w:szCs w:val="24"/>
        </w:rPr>
        <w:t xml:space="preserve"> </w:t>
      </w:r>
      <w:r w:rsidRPr="000E3BD6">
        <w:rPr>
          <w:rFonts w:ascii="Book Antiqua" w:hAnsi="Book Antiqua" w:cs="Times New Roman"/>
          <w:sz w:val="24"/>
          <w:szCs w:val="24"/>
        </w:rPr>
        <w:t xml:space="preserve">SDF-1α has the potential to enhance recruitment and chondrogenic differentiation of NPSCs </w:t>
      </w:r>
      <w:r w:rsidR="00471703" w:rsidRPr="000E3BD6">
        <w:rPr>
          <w:rFonts w:ascii="Book Antiqua" w:hAnsi="Book Antiqua" w:cs="Times New Roman"/>
          <w:i/>
          <w:sz w:val="24"/>
          <w:szCs w:val="24"/>
        </w:rPr>
        <w:t>via</w:t>
      </w:r>
      <w:r w:rsidRPr="000E3BD6">
        <w:rPr>
          <w:rFonts w:ascii="Book Antiqua" w:hAnsi="Book Antiqua" w:cs="Times New Roman"/>
          <w:sz w:val="24"/>
          <w:szCs w:val="24"/>
        </w:rPr>
        <w:t xml:space="preserve"> SDF-1/CXCR4 chemotaxis signals, which </w:t>
      </w:r>
      <w:r w:rsidR="00B113BB" w:rsidRPr="000E3BD6">
        <w:rPr>
          <w:rFonts w:ascii="Book Antiqua" w:hAnsi="Book Antiqua" w:cs="Times New Roman"/>
          <w:sz w:val="24"/>
          <w:szCs w:val="24"/>
        </w:rPr>
        <w:t xml:space="preserve">provides </w:t>
      </w:r>
      <w:r w:rsidR="00B92921" w:rsidRPr="000E3BD6">
        <w:rPr>
          <w:rFonts w:ascii="Book Antiqua" w:hAnsi="Book Antiqua" w:cs="Times New Roman"/>
          <w:sz w:val="24"/>
          <w:szCs w:val="24"/>
        </w:rPr>
        <w:t xml:space="preserve">a novel insight into IVD regeneration mechanism and </w:t>
      </w:r>
      <w:r w:rsidR="00B113BB" w:rsidRPr="000E3BD6">
        <w:rPr>
          <w:rFonts w:ascii="Book Antiqua" w:hAnsi="Book Antiqua" w:cs="Times New Roman"/>
          <w:sz w:val="24"/>
          <w:szCs w:val="24"/>
        </w:rPr>
        <w:t xml:space="preserve">a </w:t>
      </w:r>
      <w:r w:rsidR="00B92921" w:rsidRPr="000E3BD6">
        <w:rPr>
          <w:rFonts w:ascii="Book Antiqua" w:hAnsi="Book Antiqua" w:cs="Times New Roman"/>
          <w:sz w:val="24"/>
          <w:szCs w:val="24"/>
        </w:rPr>
        <w:t>promising</w:t>
      </w:r>
      <w:r w:rsidR="00B113BB" w:rsidRPr="000E3BD6">
        <w:rPr>
          <w:rFonts w:ascii="Book Antiqua" w:hAnsi="Book Antiqua" w:cs="Times New Roman"/>
          <w:sz w:val="24"/>
          <w:szCs w:val="24"/>
        </w:rPr>
        <w:t xml:space="preserve"> therapeutic strategy to improve endogenous repair or regeneration of the degenerative IVD </w:t>
      </w:r>
      <w:r w:rsidR="00B113BB" w:rsidRPr="000E3BD6">
        <w:rPr>
          <w:rFonts w:ascii="Book Antiqua" w:hAnsi="Book Antiqua" w:cs="Times New Roman"/>
          <w:i/>
          <w:sz w:val="24"/>
          <w:szCs w:val="24"/>
        </w:rPr>
        <w:t>in situ</w:t>
      </w:r>
      <w:r w:rsidR="00B92921" w:rsidRPr="000E3BD6">
        <w:rPr>
          <w:rFonts w:ascii="Book Antiqua" w:hAnsi="Book Antiqua" w:cs="Times New Roman"/>
          <w:sz w:val="24"/>
          <w:szCs w:val="24"/>
        </w:rPr>
        <w:t xml:space="preserve">. </w:t>
      </w:r>
      <w:r w:rsidR="00804D2E" w:rsidRPr="000E3BD6">
        <w:rPr>
          <w:rFonts w:ascii="Book Antiqua" w:hAnsi="Book Antiqua" w:cs="Times New Roman"/>
          <w:sz w:val="24"/>
          <w:szCs w:val="24"/>
        </w:rPr>
        <w:t>Future work will focus on understanding the possible downstream signaling pathways of the SDF-1/CXCR4 axis and their role in regulating the biological behaviors of NPSCs.</w:t>
      </w:r>
    </w:p>
    <w:p w14:paraId="45C88027" w14:textId="77777777" w:rsidR="006A2137" w:rsidRPr="000E3BD6" w:rsidRDefault="006A2137" w:rsidP="00F710B6">
      <w:pPr>
        <w:spacing w:after="0" w:line="360" w:lineRule="auto"/>
        <w:contextualSpacing/>
        <w:jc w:val="both"/>
        <w:rPr>
          <w:rFonts w:ascii="Book Antiqua" w:hAnsi="Book Antiqua" w:cs="Times New Roman"/>
          <w:sz w:val="24"/>
          <w:szCs w:val="24"/>
        </w:rPr>
      </w:pPr>
    </w:p>
    <w:p w14:paraId="37E9201A" w14:textId="77777777" w:rsidR="005537FF" w:rsidRPr="000E3BD6" w:rsidRDefault="005537FF" w:rsidP="00F710B6">
      <w:pPr>
        <w:spacing w:after="0" w:line="360" w:lineRule="auto"/>
        <w:contextualSpacing/>
        <w:jc w:val="both"/>
        <w:rPr>
          <w:rFonts w:ascii="Book Antiqua" w:hAnsi="Book Antiqua" w:cs="Times New Roman"/>
          <w:b/>
          <w:sz w:val="24"/>
          <w:szCs w:val="24"/>
        </w:rPr>
      </w:pPr>
      <w:r w:rsidRPr="000E3BD6">
        <w:rPr>
          <w:rFonts w:ascii="Book Antiqua" w:hAnsi="Book Antiqua" w:cs="Times New Roman"/>
          <w:b/>
          <w:sz w:val="24"/>
          <w:szCs w:val="24"/>
        </w:rPr>
        <w:t>ACKNOWLEDGEMENTS</w:t>
      </w:r>
    </w:p>
    <w:p w14:paraId="05814750" w14:textId="2B5E538D" w:rsidR="003F74ED" w:rsidRPr="000E3BD6" w:rsidRDefault="003F74ED" w:rsidP="00F710B6">
      <w:pPr>
        <w:autoSpaceDE w:val="0"/>
        <w:autoSpaceDN w:val="0"/>
        <w:adjustRightInd w:val="0"/>
        <w:spacing w:after="0" w:line="360" w:lineRule="auto"/>
        <w:jc w:val="both"/>
        <w:rPr>
          <w:rFonts w:ascii="Book Antiqua" w:hAnsi="Book Antiqua"/>
          <w:sz w:val="24"/>
          <w:szCs w:val="24"/>
        </w:rPr>
      </w:pPr>
      <w:r w:rsidRPr="000E3BD6">
        <w:rPr>
          <w:rFonts w:ascii="Book Antiqua" w:hAnsi="Book Antiqua"/>
          <w:sz w:val="24"/>
          <w:szCs w:val="24"/>
        </w:rPr>
        <w:t>We thank Li-Jun Zhou and Da-Jin Zhang in the Research Laboratory Center, Navy General Hospital for providing technical support.</w:t>
      </w:r>
    </w:p>
    <w:p w14:paraId="4B996E93" w14:textId="77777777" w:rsidR="003F74ED" w:rsidRPr="000E3BD6" w:rsidRDefault="003F74ED" w:rsidP="00F710B6">
      <w:pPr>
        <w:spacing w:after="0" w:line="360" w:lineRule="auto"/>
        <w:contextualSpacing/>
        <w:jc w:val="both"/>
        <w:rPr>
          <w:rFonts w:ascii="Book Antiqua" w:hAnsi="Book Antiqua" w:cs="Times New Roman"/>
          <w:sz w:val="24"/>
          <w:szCs w:val="24"/>
        </w:rPr>
      </w:pPr>
    </w:p>
    <w:p w14:paraId="1C537044" w14:textId="77777777" w:rsidR="006C683D" w:rsidRPr="000E3BD6" w:rsidRDefault="006C683D">
      <w:pPr>
        <w:rPr>
          <w:rFonts w:ascii="Book Antiqua" w:hAnsi="Book Antiqua" w:cs="Times New Roman"/>
          <w:b/>
          <w:sz w:val="24"/>
          <w:szCs w:val="24"/>
        </w:rPr>
      </w:pPr>
      <w:r w:rsidRPr="000E3BD6">
        <w:rPr>
          <w:rFonts w:ascii="Book Antiqua" w:hAnsi="Book Antiqua" w:cs="Times New Roman"/>
          <w:b/>
          <w:sz w:val="24"/>
          <w:szCs w:val="24"/>
        </w:rPr>
        <w:br w:type="page"/>
      </w:r>
    </w:p>
    <w:p w14:paraId="5833E52D" w14:textId="097486A1" w:rsidR="006C683D" w:rsidRPr="000E6819" w:rsidRDefault="006B0A36" w:rsidP="000E6819">
      <w:pPr>
        <w:spacing w:after="0" w:line="360" w:lineRule="auto"/>
        <w:contextualSpacing/>
        <w:jc w:val="both"/>
        <w:rPr>
          <w:rFonts w:ascii="Book Antiqua" w:hAnsi="Book Antiqua" w:cs="Times New Roman"/>
          <w:b/>
          <w:sz w:val="24"/>
          <w:szCs w:val="24"/>
        </w:rPr>
      </w:pPr>
      <w:r w:rsidRPr="000E6819">
        <w:rPr>
          <w:rFonts w:ascii="Book Antiqua" w:hAnsi="Book Antiqua" w:cs="Times New Roman"/>
          <w:b/>
          <w:sz w:val="24"/>
          <w:szCs w:val="24"/>
        </w:rPr>
        <w:lastRenderedPageBreak/>
        <w:t>REFERENCES</w:t>
      </w:r>
    </w:p>
    <w:p w14:paraId="6F15E4EF"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1 </w:t>
      </w:r>
      <w:r w:rsidRPr="000E6819">
        <w:rPr>
          <w:rFonts w:ascii="Book Antiqua" w:hAnsi="Book Antiqua"/>
          <w:b/>
          <w:sz w:val="24"/>
          <w:szCs w:val="24"/>
        </w:rPr>
        <w:t>Buckwalter JA</w:t>
      </w:r>
      <w:r w:rsidRPr="000E6819">
        <w:rPr>
          <w:rFonts w:ascii="Book Antiqua" w:hAnsi="Book Antiqua"/>
          <w:sz w:val="24"/>
          <w:szCs w:val="24"/>
        </w:rPr>
        <w:t xml:space="preserve">. Aging and degeneration of the human intervertebral disc. </w:t>
      </w:r>
      <w:r w:rsidRPr="000E6819">
        <w:rPr>
          <w:rFonts w:ascii="Book Antiqua" w:hAnsi="Book Antiqua"/>
          <w:i/>
          <w:sz w:val="24"/>
          <w:szCs w:val="24"/>
        </w:rPr>
        <w:t>Spine (Phila Pa 1976)</w:t>
      </w:r>
      <w:r w:rsidRPr="000E6819">
        <w:rPr>
          <w:rFonts w:ascii="Book Antiqua" w:hAnsi="Book Antiqua"/>
          <w:sz w:val="24"/>
          <w:szCs w:val="24"/>
        </w:rPr>
        <w:t xml:space="preserve"> 1995; </w:t>
      </w:r>
      <w:r w:rsidRPr="000E6819">
        <w:rPr>
          <w:rFonts w:ascii="Book Antiqua" w:hAnsi="Book Antiqua"/>
          <w:b/>
          <w:sz w:val="24"/>
          <w:szCs w:val="24"/>
        </w:rPr>
        <w:t>20</w:t>
      </w:r>
      <w:r w:rsidRPr="000E6819">
        <w:rPr>
          <w:rFonts w:ascii="Book Antiqua" w:hAnsi="Book Antiqua"/>
          <w:sz w:val="24"/>
          <w:szCs w:val="24"/>
        </w:rPr>
        <w:t>: 1307-1314 [PMID: 7660243 DOI: 10.1097/00007632-199506000-00022]</w:t>
      </w:r>
    </w:p>
    <w:p w14:paraId="35FCA3C1"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2 </w:t>
      </w:r>
      <w:r w:rsidRPr="000E6819">
        <w:rPr>
          <w:rFonts w:ascii="Book Antiqua" w:hAnsi="Book Antiqua"/>
          <w:b/>
          <w:sz w:val="24"/>
          <w:szCs w:val="24"/>
        </w:rPr>
        <w:t>Roughley PJ</w:t>
      </w:r>
      <w:r w:rsidRPr="000E6819">
        <w:rPr>
          <w:rFonts w:ascii="Book Antiqua" w:hAnsi="Book Antiqua"/>
          <w:sz w:val="24"/>
          <w:szCs w:val="24"/>
        </w:rPr>
        <w:t xml:space="preserve">. Biology of intervertebral disc aging and degeneration: involvement of the extracellular matrix. </w:t>
      </w:r>
      <w:r w:rsidRPr="000E6819">
        <w:rPr>
          <w:rFonts w:ascii="Book Antiqua" w:hAnsi="Book Antiqua"/>
          <w:i/>
          <w:sz w:val="24"/>
          <w:szCs w:val="24"/>
        </w:rPr>
        <w:t>Spine</w:t>
      </w:r>
      <w:r w:rsidRPr="00851F8A">
        <w:rPr>
          <w:rFonts w:ascii="Book Antiqua" w:hAnsi="Book Antiqua"/>
          <w:sz w:val="24"/>
          <w:szCs w:val="24"/>
        </w:rPr>
        <w:t xml:space="preserve"> (Phila Pa 1976) </w:t>
      </w:r>
      <w:r w:rsidRPr="000E6819">
        <w:rPr>
          <w:rFonts w:ascii="Book Antiqua" w:hAnsi="Book Antiqua"/>
          <w:sz w:val="24"/>
          <w:szCs w:val="24"/>
        </w:rPr>
        <w:t xml:space="preserve">2004; </w:t>
      </w:r>
      <w:r w:rsidRPr="000E6819">
        <w:rPr>
          <w:rFonts w:ascii="Book Antiqua" w:hAnsi="Book Antiqua"/>
          <w:b/>
          <w:sz w:val="24"/>
          <w:szCs w:val="24"/>
        </w:rPr>
        <w:t>29</w:t>
      </w:r>
      <w:r w:rsidRPr="000E6819">
        <w:rPr>
          <w:rFonts w:ascii="Book Antiqua" w:hAnsi="Book Antiqua"/>
          <w:sz w:val="24"/>
          <w:szCs w:val="24"/>
        </w:rPr>
        <w:t>: 2691-2699 [PMID: 15564918 DOI: 10.1097/01.brs.0000146101.53784.b1]</w:t>
      </w:r>
    </w:p>
    <w:p w14:paraId="3822F190"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3 </w:t>
      </w:r>
      <w:r w:rsidRPr="000E6819">
        <w:rPr>
          <w:rFonts w:ascii="Book Antiqua" w:hAnsi="Book Antiqua"/>
          <w:b/>
          <w:sz w:val="24"/>
          <w:szCs w:val="24"/>
        </w:rPr>
        <w:t>Deyo RA</w:t>
      </w:r>
      <w:r w:rsidRPr="000E6819">
        <w:rPr>
          <w:rFonts w:ascii="Book Antiqua" w:hAnsi="Book Antiqua"/>
          <w:sz w:val="24"/>
          <w:szCs w:val="24"/>
        </w:rPr>
        <w:t xml:space="preserve">, Weinstein JN. Low back pain. </w:t>
      </w:r>
      <w:r w:rsidRPr="000E6819">
        <w:rPr>
          <w:rFonts w:ascii="Book Antiqua" w:hAnsi="Book Antiqua"/>
          <w:i/>
          <w:sz w:val="24"/>
          <w:szCs w:val="24"/>
        </w:rPr>
        <w:t>N Engl J Med</w:t>
      </w:r>
      <w:r w:rsidRPr="000E6819">
        <w:rPr>
          <w:rFonts w:ascii="Book Antiqua" w:hAnsi="Book Antiqua"/>
          <w:sz w:val="24"/>
          <w:szCs w:val="24"/>
        </w:rPr>
        <w:t xml:space="preserve"> 2001; </w:t>
      </w:r>
      <w:r w:rsidRPr="000E6819">
        <w:rPr>
          <w:rFonts w:ascii="Book Antiqua" w:hAnsi="Book Antiqua"/>
          <w:b/>
          <w:sz w:val="24"/>
          <w:szCs w:val="24"/>
        </w:rPr>
        <w:t>344</w:t>
      </w:r>
      <w:r w:rsidRPr="000E6819">
        <w:rPr>
          <w:rFonts w:ascii="Book Antiqua" w:hAnsi="Book Antiqua"/>
          <w:sz w:val="24"/>
          <w:szCs w:val="24"/>
        </w:rPr>
        <w:t>: 363-370 [PMID: 11172169 DOI: 10.1056/nejm200102013440508]</w:t>
      </w:r>
    </w:p>
    <w:p w14:paraId="2F9A01F9"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4 </w:t>
      </w:r>
      <w:r w:rsidRPr="000E6819">
        <w:rPr>
          <w:rFonts w:ascii="Book Antiqua" w:hAnsi="Book Antiqua"/>
          <w:b/>
          <w:sz w:val="24"/>
          <w:szCs w:val="24"/>
        </w:rPr>
        <w:t>Balagué F</w:t>
      </w:r>
      <w:r w:rsidRPr="000E6819">
        <w:rPr>
          <w:rFonts w:ascii="Book Antiqua" w:hAnsi="Book Antiqua"/>
          <w:sz w:val="24"/>
          <w:szCs w:val="24"/>
        </w:rPr>
        <w:t xml:space="preserve">, Mannion AF, Pellisé F, Cedraschi C. Non-specific low back pain. </w:t>
      </w:r>
      <w:r w:rsidRPr="000E6819">
        <w:rPr>
          <w:rFonts w:ascii="Book Antiqua" w:hAnsi="Book Antiqua"/>
          <w:i/>
          <w:sz w:val="24"/>
          <w:szCs w:val="24"/>
        </w:rPr>
        <w:t>Lancet</w:t>
      </w:r>
      <w:r w:rsidRPr="000E6819">
        <w:rPr>
          <w:rFonts w:ascii="Book Antiqua" w:hAnsi="Book Antiqua"/>
          <w:sz w:val="24"/>
          <w:szCs w:val="24"/>
        </w:rPr>
        <w:t xml:space="preserve"> 2012; </w:t>
      </w:r>
      <w:r w:rsidRPr="000E6819">
        <w:rPr>
          <w:rFonts w:ascii="Book Antiqua" w:hAnsi="Book Antiqua"/>
          <w:b/>
          <w:sz w:val="24"/>
          <w:szCs w:val="24"/>
        </w:rPr>
        <w:t>379</w:t>
      </w:r>
      <w:r w:rsidRPr="000E6819">
        <w:rPr>
          <w:rFonts w:ascii="Book Antiqua" w:hAnsi="Book Antiqua"/>
          <w:sz w:val="24"/>
          <w:szCs w:val="24"/>
        </w:rPr>
        <w:t>: 482-491 [PMID: 21982256 DOI: 10.1016/S0140-6736(11)60610-7]</w:t>
      </w:r>
    </w:p>
    <w:p w14:paraId="424A6D12"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5 </w:t>
      </w:r>
      <w:r w:rsidRPr="000E6819">
        <w:rPr>
          <w:rFonts w:ascii="Book Antiqua" w:hAnsi="Book Antiqua"/>
          <w:b/>
          <w:sz w:val="24"/>
          <w:szCs w:val="24"/>
        </w:rPr>
        <w:t>Katz JN</w:t>
      </w:r>
      <w:r w:rsidRPr="000E6819">
        <w:rPr>
          <w:rFonts w:ascii="Book Antiqua" w:hAnsi="Book Antiqua"/>
          <w:sz w:val="24"/>
          <w:szCs w:val="24"/>
        </w:rPr>
        <w:t xml:space="preserve">. Lumbar disc disorders and low-back pain: socioeconomic factors and consequences. </w:t>
      </w:r>
      <w:r w:rsidRPr="000E6819">
        <w:rPr>
          <w:rFonts w:ascii="Book Antiqua" w:hAnsi="Book Antiqua"/>
          <w:i/>
          <w:sz w:val="24"/>
          <w:szCs w:val="24"/>
        </w:rPr>
        <w:t>J Bone Joint Surg Am</w:t>
      </w:r>
      <w:r w:rsidRPr="000E6819">
        <w:rPr>
          <w:rFonts w:ascii="Book Antiqua" w:hAnsi="Book Antiqua"/>
          <w:sz w:val="24"/>
          <w:szCs w:val="24"/>
        </w:rPr>
        <w:t xml:space="preserve"> 2006; </w:t>
      </w:r>
      <w:r w:rsidRPr="000E6819">
        <w:rPr>
          <w:rFonts w:ascii="Book Antiqua" w:hAnsi="Book Antiqua"/>
          <w:b/>
          <w:sz w:val="24"/>
          <w:szCs w:val="24"/>
        </w:rPr>
        <w:t xml:space="preserve">88 </w:t>
      </w:r>
      <w:r w:rsidRPr="00851F8A">
        <w:rPr>
          <w:rFonts w:ascii="Book Antiqua" w:hAnsi="Book Antiqua"/>
          <w:sz w:val="24"/>
          <w:szCs w:val="24"/>
        </w:rPr>
        <w:t>Suppl 2:</w:t>
      </w:r>
      <w:r w:rsidRPr="000E6819">
        <w:rPr>
          <w:rFonts w:ascii="Book Antiqua" w:hAnsi="Book Antiqua"/>
          <w:sz w:val="24"/>
          <w:szCs w:val="24"/>
        </w:rPr>
        <w:t xml:space="preserve"> 21-24 [PMID: 16595438 DOI: 10.2106/jbjs.e.01273]</w:t>
      </w:r>
    </w:p>
    <w:p w14:paraId="3C472D8C"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6 </w:t>
      </w:r>
      <w:r w:rsidRPr="000E6819">
        <w:rPr>
          <w:rFonts w:ascii="Book Antiqua" w:hAnsi="Book Antiqua"/>
          <w:b/>
          <w:sz w:val="24"/>
          <w:szCs w:val="24"/>
        </w:rPr>
        <w:t>Risbud MV</w:t>
      </w:r>
      <w:r w:rsidRPr="000E6819">
        <w:rPr>
          <w:rFonts w:ascii="Book Antiqua" w:hAnsi="Book Antiqua"/>
          <w:sz w:val="24"/>
          <w:szCs w:val="24"/>
        </w:rPr>
        <w:t xml:space="preserve">, Albert TJ, Guttapalli A, Vresilovic EJ, Hillibrand AS, Vaccaro AR, Shapiro IM. Differentiation of mesenchymal stem cells towards a nucleus pulposus-like phenotype in vitro: implications for cell-based transplantation therapy. </w:t>
      </w:r>
      <w:r w:rsidRPr="000E6819">
        <w:rPr>
          <w:rFonts w:ascii="Book Antiqua" w:hAnsi="Book Antiqua"/>
          <w:i/>
          <w:sz w:val="24"/>
          <w:szCs w:val="24"/>
        </w:rPr>
        <w:t>Spine</w:t>
      </w:r>
      <w:r w:rsidRPr="00851F8A">
        <w:rPr>
          <w:rFonts w:ascii="Book Antiqua" w:hAnsi="Book Antiqua"/>
          <w:sz w:val="24"/>
          <w:szCs w:val="24"/>
        </w:rPr>
        <w:t xml:space="preserve"> (Phila Pa 1976)</w:t>
      </w:r>
      <w:r w:rsidRPr="000E6819">
        <w:rPr>
          <w:rFonts w:ascii="Book Antiqua" w:hAnsi="Book Antiqua"/>
          <w:sz w:val="24"/>
          <w:szCs w:val="24"/>
        </w:rPr>
        <w:t xml:space="preserve"> 2004; </w:t>
      </w:r>
      <w:r w:rsidRPr="000E6819">
        <w:rPr>
          <w:rFonts w:ascii="Book Antiqua" w:hAnsi="Book Antiqua"/>
          <w:b/>
          <w:sz w:val="24"/>
          <w:szCs w:val="24"/>
        </w:rPr>
        <w:t>29</w:t>
      </w:r>
      <w:r w:rsidRPr="000E6819">
        <w:rPr>
          <w:rFonts w:ascii="Book Antiqua" w:hAnsi="Book Antiqua"/>
          <w:sz w:val="24"/>
          <w:szCs w:val="24"/>
        </w:rPr>
        <w:t>: 2627-2632 [PMID: 15564911 DOI: 10.1097/01.brs.0000146462.92171.7f]</w:t>
      </w:r>
    </w:p>
    <w:p w14:paraId="11AB1DD1"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7 </w:t>
      </w:r>
      <w:r w:rsidRPr="000E6819">
        <w:rPr>
          <w:rFonts w:ascii="Book Antiqua" w:hAnsi="Book Antiqua"/>
          <w:b/>
          <w:sz w:val="24"/>
          <w:szCs w:val="24"/>
        </w:rPr>
        <w:t>Yim RL</w:t>
      </w:r>
      <w:r w:rsidRPr="000E6819">
        <w:rPr>
          <w:rFonts w:ascii="Book Antiqua" w:hAnsi="Book Antiqua"/>
          <w:sz w:val="24"/>
          <w:szCs w:val="24"/>
        </w:rPr>
        <w:t xml:space="preserve">, Lee JT, Bow CH, Meij B, Leung V, Cheung KM, Vavken P, Samartzis D. A systematic review of the safety and efficacy of mesenchymal stem cells for disc degeneration: insights and future directions for regenerative therapeutics. </w:t>
      </w:r>
      <w:r w:rsidRPr="000E6819">
        <w:rPr>
          <w:rFonts w:ascii="Book Antiqua" w:hAnsi="Book Antiqua"/>
          <w:i/>
          <w:sz w:val="24"/>
          <w:szCs w:val="24"/>
        </w:rPr>
        <w:t>Stem Cells Dev</w:t>
      </w:r>
      <w:r w:rsidRPr="000E6819">
        <w:rPr>
          <w:rFonts w:ascii="Book Antiqua" w:hAnsi="Book Antiqua"/>
          <w:sz w:val="24"/>
          <w:szCs w:val="24"/>
        </w:rPr>
        <w:t xml:space="preserve"> 2014; </w:t>
      </w:r>
      <w:r w:rsidRPr="000E6819">
        <w:rPr>
          <w:rFonts w:ascii="Book Antiqua" w:hAnsi="Book Antiqua"/>
          <w:b/>
          <w:sz w:val="24"/>
          <w:szCs w:val="24"/>
        </w:rPr>
        <w:t>23</w:t>
      </w:r>
      <w:r w:rsidRPr="000E6819">
        <w:rPr>
          <w:rFonts w:ascii="Book Antiqua" w:hAnsi="Book Antiqua"/>
          <w:sz w:val="24"/>
          <w:szCs w:val="24"/>
        </w:rPr>
        <w:t>: 2553-2567 [PMID: 25050446 DOI: 10.1089/scd.2014.0203]</w:t>
      </w:r>
    </w:p>
    <w:p w14:paraId="6CA3991D"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8 </w:t>
      </w:r>
      <w:r w:rsidRPr="000E6819">
        <w:rPr>
          <w:rFonts w:ascii="Book Antiqua" w:hAnsi="Book Antiqua"/>
          <w:b/>
          <w:sz w:val="24"/>
          <w:szCs w:val="24"/>
        </w:rPr>
        <w:t>Murphy MB</w:t>
      </w:r>
      <w:r w:rsidRPr="000E6819">
        <w:rPr>
          <w:rFonts w:ascii="Book Antiqua" w:hAnsi="Book Antiqua"/>
          <w:sz w:val="24"/>
          <w:szCs w:val="24"/>
        </w:rPr>
        <w:t xml:space="preserve">, Moncivais K, Caplan AI. Mesenchymal stem cells: environmentally responsive therapeutics for regenerative medicine. </w:t>
      </w:r>
      <w:r w:rsidRPr="000E6819">
        <w:rPr>
          <w:rFonts w:ascii="Book Antiqua" w:hAnsi="Book Antiqua"/>
          <w:i/>
          <w:sz w:val="24"/>
          <w:szCs w:val="24"/>
        </w:rPr>
        <w:t>Exp Mol Med</w:t>
      </w:r>
      <w:r w:rsidRPr="000E6819">
        <w:rPr>
          <w:rFonts w:ascii="Book Antiqua" w:hAnsi="Book Antiqua"/>
          <w:sz w:val="24"/>
          <w:szCs w:val="24"/>
        </w:rPr>
        <w:t xml:space="preserve"> 2013; </w:t>
      </w:r>
      <w:r w:rsidRPr="000E6819">
        <w:rPr>
          <w:rFonts w:ascii="Book Antiqua" w:hAnsi="Book Antiqua"/>
          <w:b/>
          <w:sz w:val="24"/>
          <w:szCs w:val="24"/>
        </w:rPr>
        <w:t>45</w:t>
      </w:r>
      <w:r w:rsidRPr="000E6819">
        <w:rPr>
          <w:rFonts w:ascii="Book Antiqua" w:hAnsi="Book Antiqua"/>
          <w:sz w:val="24"/>
          <w:szCs w:val="24"/>
        </w:rPr>
        <w:t>: e54 [PMID: 24232253 DOI: 10.1038/emm.2013.94]</w:t>
      </w:r>
    </w:p>
    <w:p w14:paraId="5B35E498"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9 </w:t>
      </w:r>
      <w:r w:rsidRPr="000E6819">
        <w:rPr>
          <w:rFonts w:ascii="Book Antiqua" w:hAnsi="Book Antiqua"/>
          <w:b/>
          <w:sz w:val="24"/>
          <w:szCs w:val="24"/>
        </w:rPr>
        <w:t>Yang H</w:t>
      </w:r>
      <w:r w:rsidRPr="000E6819">
        <w:rPr>
          <w:rFonts w:ascii="Book Antiqua" w:hAnsi="Book Antiqua"/>
          <w:sz w:val="24"/>
          <w:szCs w:val="24"/>
        </w:rPr>
        <w:t xml:space="preserve">, Cao C, Wu C, Yuan C, Gu Q, Shi Q, Zou J. TGF-βl Suppresses Inflammation in Cell Therapy for Intervertebral Disc Degeneration. </w:t>
      </w:r>
      <w:r w:rsidRPr="000E6819">
        <w:rPr>
          <w:rFonts w:ascii="Book Antiqua" w:hAnsi="Book Antiqua"/>
          <w:i/>
          <w:sz w:val="24"/>
          <w:szCs w:val="24"/>
        </w:rPr>
        <w:t>Sci Rep</w:t>
      </w:r>
      <w:r w:rsidRPr="000E6819">
        <w:rPr>
          <w:rFonts w:ascii="Book Antiqua" w:hAnsi="Book Antiqua"/>
          <w:sz w:val="24"/>
          <w:szCs w:val="24"/>
        </w:rPr>
        <w:t xml:space="preserve"> 2015; </w:t>
      </w:r>
      <w:r w:rsidRPr="000E6819">
        <w:rPr>
          <w:rFonts w:ascii="Book Antiqua" w:hAnsi="Book Antiqua"/>
          <w:b/>
          <w:sz w:val="24"/>
          <w:szCs w:val="24"/>
        </w:rPr>
        <w:t>5</w:t>
      </w:r>
      <w:r w:rsidRPr="000E6819">
        <w:rPr>
          <w:rFonts w:ascii="Book Antiqua" w:hAnsi="Book Antiqua"/>
          <w:sz w:val="24"/>
          <w:szCs w:val="24"/>
        </w:rPr>
        <w:t>: 13254 [PMID: 26289964 DOI: 10.1038/srep13254]</w:t>
      </w:r>
    </w:p>
    <w:p w14:paraId="3D8F8D2F"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lastRenderedPageBreak/>
        <w:t xml:space="preserve">10 </w:t>
      </w:r>
      <w:r w:rsidRPr="000E6819">
        <w:rPr>
          <w:rFonts w:ascii="Book Antiqua" w:hAnsi="Book Antiqua"/>
          <w:b/>
          <w:sz w:val="24"/>
          <w:szCs w:val="24"/>
        </w:rPr>
        <w:t>Liang C</w:t>
      </w:r>
      <w:r w:rsidRPr="000E6819">
        <w:rPr>
          <w:rFonts w:ascii="Book Antiqua" w:hAnsi="Book Antiqua"/>
          <w:sz w:val="24"/>
          <w:szCs w:val="24"/>
        </w:rPr>
        <w:t xml:space="preserve">, Li H, Tao Y, Zhou X, Li F, Chen G, Chen Q. Responses of human adipose-derived mesenchymal stem cells to chemical microenvironment of the intervertebral disc. </w:t>
      </w:r>
      <w:r w:rsidRPr="000E6819">
        <w:rPr>
          <w:rFonts w:ascii="Book Antiqua" w:hAnsi="Book Antiqua"/>
          <w:i/>
          <w:sz w:val="24"/>
          <w:szCs w:val="24"/>
        </w:rPr>
        <w:t>J Transl Med</w:t>
      </w:r>
      <w:r w:rsidRPr="000E6819">
        <w:rPr>
          <w:rFonts w:ascii="Book Antiqua" w:hAnsi="Book Antiqua"/>
          <w:sz w:val="24"/>
          <w:szCs w:val="24"/>
        </w:rPr>
        <w:t xml:space="preserve"> 2012; </w:t>
      </w:r>
      <w:r w:rsidRPr="000E6819">
        <w:rPr>
          <w:rFonts w:ascii="Book Antiqua" w:hAnsi="Book Antiqua"/>
          <w:b/>
          <w:sz w:val="24"/>
          <w:szCs w:val="24"/>
        </w:rPr>
        <w:t>10</w:t>
      </w:r>
      <w:r w:rsidRPr="000E6819">
        <w:rPr>
          <w:rFonts w:ascii="Book Antiqua" w:hAnsi="Book Antiqua"/>
          <w:sz w:val="24"/>
          <w:szCs w:val="24"/>
        </w:rPr>
        <w:t>: 49 [PMID: 22424131 DOI: 10.1186/1479-5876-10-49]</w:t>
      </w:r>
    </w:p>
    <w:p w14:paraId="4728287A"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11 </w:t>
      </w:r>
      <w:r w:rsidRPr="000E6819">
        <w:rPr>
          <w:rFonts w:ascii="Book Antiqua" w:hAnsi="Book Antiqua"/>
          <w:b/>
          <w:sz w:val="24"/>
          <w:szCs w:val="24"/>
        </w:rPr>
        <w:t>Sakai D</w:t>
      </w:r>
      <w:r w:rsidRPr="000E6819">
        <w:rPr>
          <w:rFonts w:ascii="Book Antiqua" w:hAnsi="Book Antiqua"/>
          <w:sz w:val="24"/>
          <w:szCs w:val="24"/>
        </w:rPr>
        <w:t xml:space="preserve">, Grad S. Advancing the cellular and molecular therapy for intervertebral disc disease. </w:t>
      </w:r>
      <w:r w:rsidRPr="000E6819">
        <w:rPr>
          <w:rFonts w:ascii="Book Antiqua" w:hAnsi="Book Antiqua"/>
          <w:i/>
          <w:sz w:val="24"/>
          <w:szCs w:val="24"/>
        </w:rPr>
        <w:t>Adv Drug Deliv Rev</w:t>
      </w:r>
      <w:r w:rsidRPr="000E6819">
        <w:rPr>
          <w:rFonts w:ascii="Book Antiqua" w:hAnsi="Book Antiqua"/>
          <w:sz w:val="24"/>
          <w:szCs w:val="24"/>
        </w:rPr>
        <w:t xml:space="preserve"> 2015; </w:t>
      </w:r>
      <w:r w:rsidRPr="000E6819">
        <w:rPr>
          <w:rFonts w:ascii="Book Antiqua" w:hAnsi="Book Antiqua"/>
          <w:b/>
          <w:sz w:val="24"/>
          <w:szCs w:val="24"/>
        </w:rPr>
        <w:t>84</w:t>
      </w:r>
      <w:r w:rsidRPr="000E6819">
        <w:rPr>
          <w:rFonts w:ascii="Book Antiqua" w:hAnsi="Book Antiqua"/>
          <w:sz w:val="24"/>
          <w:szCs w:val="24"/>
        </w:rPr>
        <w:t>: 159-171 [PMID: 24993611 DOI: 10.1016/j.addr.2014.06.009]</w:t>
      </w:r>
    </w:p>
    <w:p w14:paraId="6AA5B971"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12 </w:t>
      </w:r>
      <w:r w:rsidRPr="000E6819">
        <w:rPr>
          <w:rFonts w:ascii="Book Antiqua" w:hAnsi="Book Antiqua"/>
          <w:b/>
          <w:sz w:val="24"/>
          <w:szCs w:val="24"/>
        </w:rPr>
        <w:t>Chik TK</w:t>
      </w:r>
      <w:r w:rsidRPr="000E6819">
        <w:rPr>
          <w:rFonts w:ascii="Book Antiqua" w:hAnsi="Book Antiqua"/>
          <w:sz w:val="24"/>
          <w:szCs w:val="24"/>
        </w:rPr>
        <w:t xml:space="preserve">, Ma XY, Choy TH, Li YY, Diao HJ, Teng WK, Han SJ, Cheung KM, Chan BP. Photochemically crosslinked collagen annulus plug: a potential solution solving the leakage problem of cell-based therapies for disc degeneration. </w:t>
      </w:r>
      <w:r w:rsidRPr="000E6819">
        <w:rPr>
          <w:rFonts w:ascii="Book Antiqua" w:hAnsi="Book Antiqua"/>
          <w:i/>
          <w:sz w:val="24"/>
          <w:szCs w:val="24"/>
        </w:rPr>
        <w:t>Acta Biomater</w:t>
      </w:r>
      <w:r w:rsidRPr="000E6819">
        <w:rPr>
          <w:rFonts w:ascii="Book Antiqua" w:hAnsi="Book Antiqua"/>
          <w:sz w:val="24"/>
          <w:szCs w:val="24"/>
        </w:rPr>
        <w:t xml:space="preserve"> 2013; </w:t>
      </w:r>
      <w:r w:rsidRPr="000E6819">
        <w:rPr>
          <w:rFonts w:ascii="Book Antiqua" w:hAnsi="Book Antiqua"/>
          <w:b/>
          <w:sz w:val="24"/>
          <w:szCs w:val="24"/>
        </w:rPr>
        <w:t>9</w:t>
      </w:r>
      <w:r w:rsidRPr="000E6819">
        <w:rPr>
          <w:rFonts w:ascii="Book Antiqua" w:hAnsi="Book Antiqua"/>
          <w:sz w:val="24"/>
          <w:szCs w:val="24"/>
        </w:rPr>
        <w:t>: 8128-8139 [PMID: 23751592 DOI: 10.1016/j.actbio.2013.05.034]</w:t>
      </w:r>
    </w:p>
    <w:p w14:paraId="72C81E2E"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13 </w:t>
      </w:r>
      <w:r w:rsidRPr="000E6819">
        <w:rPr>
          <w:rFonts w:ascii="Book Antiqua" w:hAnsi="Book Antiqua"/>
          <w:b/>
          <w:sz w:val="24"/>
          <w:szCs w:val="24"/>
        </w:rPr>
        <w:t>Vadalà G</w:t>
      </w:r>
      <w:r w:rsidRPr="000E6819">
        <w:rPr>
          <w:rFonts w:ascii="Book Antiqua" w:hAnsi="Book Antiqua"/>
          <w:sz w:val="24"/>
          <w:szCs w:val="24"/>
        </w:rPr>
        <w:t xml:space="preserve">, Sowa G, Hubert M, Gilbertson LG, Denaro V, Kang JD. Mesenchymal stem cells injection in degenerated intervertebral disc: cell leakage may induce osteophyte formation. </w:t>
      </w:r>
      <w:r w:rsidRPr="000E6819">
        <w:rPr>
          <w:rFonts w:ascii="Book Antiqua" w:hAnsi="Book Antiqua"/>
          <w:i/>
          <w:sz w:val="24"/>
          <w:szCs w:val="24"/>
        </w:rPr>
        <w:t>J Tissue Eng Regen Med</w:t>
      </w:r>
      <w:r w:rsidRPr="000E6819">
        <w:rPr>
          <w:rFonts w:ascii="Book Antiqua" w:hAnsi="Book Antiqua"/>
          <w:sz w:val="24"/>
          <w:szCs w:val="24"/>
        </w:rPr>
        <w:t xml:space="preserve"> 2012; </w:t>
      </w:r>
      <w:r w:rsidRPr="000E6819">
        <w:rPr>
          <w:rFonts w:ascii="Book Antiqua" w:hAnsi="Book Antiqua"/>
          <w:b/>
          <w:sz w:val="24"/>
          <w:szCs w:val="24"/>
        </w:rPr>
        <w:t>6</w:t>
      </w:r>
      <w:r w:rsidRPr="000E6819">
        <w:rPr>
          <w:rFonts w:ascii="Book Antiqua" w:hAnsi="Book Antiqua"/>
          <w:sz w:val="24"/>
          <w:szCs w:val="24"/>
        </w:rPr>
        <w:t>: 348-355 [PMID: 21671407 DOI: 10.1002/term.433]</w:t>
      </w:r>
    </w:p>
    <w:p w14:paraId="023ACDC4"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14 </w:t>
      </w:r>
      <w:r w:rsidRPr="000E6819">
        <w:rPr>
          <w:rFonts w:ascii="Book Antiqua" w:hAnsi="Book Antiqua"/>
          <w:b/>
          <w:sz w:val="24"/>
          <w:szCs w:val="24"/>
        </w:rPr>
        <w:t>Omlor GW</w:t>
      </w:r>
      <w:r w:rsidRPr="000E6819">
        <w:rPr>
          <w:rFonts w:ascii="Book Antiqua" w:hAnsi="Book Antiqua"/>
          <w:sz w:val="24"/>
          <w:szCs w:val="24"/>
        </w:rPr>
        <w:t xml:space="preserve">, Bertram H, Kleinschmidt K, Fischer J, Brohm K, Guehring T, Anton M, Richter W. Methods to monitor distribution and metabolic activity of mesenchymal stem cells following in vivo injection into nucleotomized porcine intervertebral discs. </w:t>
      </w:r>
      <w:r w:rsidRPr="000E6819">
        <w:rPr>
          <w:rFonts w:ascii="Book Antiqua" w:hAnsi="Book Antiqua"/>
          <w:i/>
          <w:sz w:val="24"/>
          <w:szCs w:val="24"/>
        </w:rPr>
        <w:t>Eur Spine J</w:t>
      </w:r>
      <w:r w:rsidRPr="000E6819">
        <w:rPr>
          <w:rFonts w:ascii="Book Antiqua" w:hAnsi="Book Antiqua"/>
          <w:sz w:val="24"/>
          <w:szCs w:val="24"/>
        </w:rPr>
        <w:t xml:space="preserve"> 2010; </w:t>
      </w:r>
      <w:r w:rsidRPr="000E6819">
        <w:rPr>
          <w:rFonts w:ascii="Book Antiqua" w:hAnsi="Book Antiqua"/>
          <w:b/>
          <w:sz w:val="24"/>
          <w:szCs w:val="24"/>
        </w:rPr>
        <w:t>19</w:t>
      </w:r>
      <w:r w:rsidRPr="000E6819">
        <w:rPr>
          <w:rFonts w:ascii="Book Antiqua" w:hAnsi="Book Antiqua"/>
          <w:sz w:val="24"/>
          <w:szCs w:val="24"/>
        </w:rPr>
        <w:t>: 601-612 [PMID: 20039083 DOI: 10.1007/s00586-009-1255-7]</w:t>
      </w:r>
    </w:p>
    <w:p w14:paraId="24F47FD8"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15 </w:t>
      </w:r>
      <w:r w:rsidRPr="000E6819">
        <w:rPr>
          <w:rFonts w:ascii="Book Antiqua" w:hAnsi="Book Antiqua"/>
          <w:b/>
          <w:sz w:val="24"/>
          <w:szCs w:val="24"/>
        </w:rPr>
        <w:t>Liu ZJ</w:t>
      </w:r>
      <w:r w:rsidRPr="000E6819">
        <w:rPr>
          <w:rFonts w:ascii="Book Antiqua" w:hAnsi="Book Antiqua"/>
          <w:sz w:val="24"/>
          <w:szCs w:val="24"/>
        </w:rPr>
        <w:t xml:space="preserve">, Zhuge Y, Velazquez OC. Trafficking and differentiation of mesenchymal stem cells. </w:t>
      </w:r>
      <w:r w:rsidRPr="000E6819">
        <w:rPr>
          <w:rFonts w:ascii="Book Antiqua" w:hAnsi="Book Antiqua"/>
          <w:i/>
          <w:sz w:val="24"/>
          <w:szCs w:val="24"/>
        </w:rPr>
        <w:t>J Cell Biochem</w:t>
      </w:r>
      <w:r w:rsidRPr="000E6819">
        <w:rPr>
          <w:rFonts w:ascii="Book Antiqua" w:hAnsi="Book Antiqua"/>
          <w:sz w:val="24"/>
          <w:szCs w:val="24"/>
        </w:rPr>
        <w:t xml:space="preserve"> 2009; </w:t>
      </w:r>
      <w:r w:rsidRPr="000E6819">
        <w:rPr>
          <w:rFonts w:ascii="Book Antiqua" w:hAnsi="Book Antiqua"/>
          <w:b/>
          <w:sz w:val="24"/>
          <w:szCs w:val="24"/>
        </w:rPr>
        <w:t>106</w:t>
      </w:r>
      <w:r w:rsidRPr="000E6819">
        <w:rPr>
          <w:rFonts w:ascii="Book Antiqua" w:hAnsi="Book Antiqua"/>
          <w:sz w:val="24"/>
          <w:szCs w:val="24"/>
        </w:rPr>
        <w:t>: 984-991 [PMID: 19229871 DOI: 10.1002/jcb.22091]</w:t>
      </w:r>
    </w:p>
    <w:p w14:paraId="52D93851"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16 </w:t>
      </w:r>
      <w:r w:rsidRPr="000E6819">
        <w:rPr>
          <w:rFonts w:ascii="Book Antiqua" w:hAnsi="Book Antiqua"/>
          <w:b/>
          <w:sz w:val="24"/>
          <w:szCs w:val="24"/>
        </w:rPr>
        <w:t>Liekens S</w:t>
      </w:r>
      <w:r w:rsidRPr="000E6819">
        <w:rPr>
          <w:rFonts w:ascii="Book Antiqua" w:hAnsi="Book Antiqua"/>
          <w:sz w:val="24"/>
          <w:szCs w:val="24"/>
        </w:rPr>
        <w:t xml:space="preserve">, Schols D, Hatse S. CXCL12-CXCR4 axis in angiogenesis, metastasis and stem cell mobilization. </w:t>
      </w:r>
      <w:r w:rsidRPr="000E6819">
        <w:rPr>
          <w:rFonts w:ascii="Book Antiqua" w:hAnsi="Book Antiqua"/>
          <w:i/>
          <w:sz w:val="24"/>
          <w:szCs w:val="24"/>
        </w:rPr>
        <w:t>Curr Pharm Des</w:t>
      </w:r>
      <w:r w:rsidRPr="000E6819">
        <w:rPr>
          <w:rFonts w:ascii="Book Antiqua" w:hAnsi="Book Antiqua"/>
          <w:sz w:val="24"/>
          <w:szCs w:val="24"/>
        </w:rPr>
        <w:t xml:space="preserve"> 2010; </w:t>
      </w:r>
      <w:r w:rsidRPr="000E6819">
        <w:rPr>
          <w:rFonts w:ascii="Book Antiqua" w:hAnsi="Book Antiqua"/>
          <w:b/>
          <w:sz w:val="24"/>
          <w:szCs w:val="24"/>
        </w:rPr>
        <w:t>16</w:t>
      </w:r>
      <w:r w:rsidRPr="000E6819">
        <w:rPr>
          <w:rFonts w:ascii="Book Antiqua" w:hAnsi="Book Antiqua"/>
          <w:sz w:val="24"/>
          <w:szCs w:val="24"/>
        </w:rPr>
        <w:t>: 3903-3920 [PMID: 21158728 DOI: 10.2174/138161210794455003]</w:t>
      </w:r>
    </w:p>
    <w:p w14:paraId="72526AC4"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17 </w:t>
      </w:r>
      <w:r w:rsidRPr="000E6819">
        <w:rPr>
          <w:rFonts w:ascii="Book Antiqua" w:hAnsi="Book Antiqua"/>
          <w:b/>
          <w:sz w:val="24"/>
          <w:szCs w:val="24"/>
        </w:rPr>
        <w:t>Lapidot T</w:t>
      </w:r>
      <w:r w:rsidRPr="000E6819">
        <w:rPr>
          <w:rFonts w:ascii="Book Antiqua" w:hAnsi="Book Antiqua"/>
          <w:sz w:val="24"/>
          <w:szCs w:val="24"/>
        </w:rPr>
        <w:t xml:space="preserve">, Kollet O. The essential roles of the chemokine SDF-1 and its receptor CXCR4 in human stem cell homing and repopulation of transplanted immune-deficient NOD/SCID and NOD/SCID/B2m(null) mice. </w:t>
      </w:r>
      <w:r w:rsidRPr="000E6819">
        <w:rPr>
          <w:rFonts w:ascii="Book Antiqua" w:hAnsi="Book Antiqua"/>
          <w:i/>
          <w:sz w:val="24"/>
          <w:szCs w:val="24"/>
        </w:rPr>
        <w:t>Leukemia</w:t>
      </w:r>
      <w:r w:rsidRPr="000E6819">
        <w:rPr>
          <w:rFonts w:ascii="Book Antiqua" w:hAnsi="Book Antiqua"/>
          <w:sz w:val="24"/>
          <w:szCs w:val="24"/>
        </w:rPr>
        <w:t xml:space="preserve"> 2002; </w:t>
      </w:r>
      <w:r w:rsidRPr="000E6819">
        <w:rPr>
          <w:rFonts w:ascii="Book Antiqua" w:hAnsi="Book Antiqua"/>
          <w:b/>
          <w:sz w:val="24"/>
          <w:szCs w:val="24"/>
        </w:rPr>
        <w:t>16</w:t>
      </w:r>
      <w:r w:rsidRPr="000E6819">
        <w:rPr>
          <w:rFonts w:ascii="Book Antiqua" w:hAnsi="Book Antiqua"/>
          <w:sz w:val="24"/>
          <w:szCs w:val="24"/>
        </w:rPr>
        <w:t>: 1992-2003 [PMID: 12357350 DOI: 10.1038/sj.leu.2402684]</w:t>
      </w:r>
    </w:p>
    <w:p w14:paraId="5ED6DE42"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18 </w:t>
      </w:r>
      <w:r w:rsidRPr="000E6819">
        <w:rPr>
          <w:rFonts w:ascii="Book Antiqua" w:hAnsi="Book Antiqua"/>
          <w:b/>
          <w:sz w:val="24"/>
          <w:szCs w:val="24"/>
        </w:rPr>
        <w:t>Jia CQ</w:t>
      </w:r>
      <w:r w:rsidRPr="000E6819">
        <w:rPr>
          <w:rFonts w:ascii="Book Antiqua" w:hAnsi="Book Antiqua"/>
          <w:sz w:val="24"/>
          <w:szCs w:val="24"/>
        </w:rPr>
        <w:t xml:space="preserve">, Zhao JG, Zhang SF, Qi F. Stromal cell-derived factor-1 and vascular endothelial growth factor may play an important role in the process of neovascularization of </w:t>
      </w:r>
      <w:r w:rsidRPr="000E6819">
        <w:rPr>
          <w:rFonts w:ascii="Book Antiqua" w:hAnsi="Book Antiqua"/>
          <w:sz w:val="24"/>
          <w:szCs w:val="24"/>
        </w:rPr>
        <w:lastRenderedPageBreak/>
        <w:t xml:space="preserve">herniated intervertebral discs. </w:t>
      </w:r>
      <w:r w:rsidRPr="000E6819">
        <w:rPr>
          <w:rFonts w:ascii="Book Antiqua" w:hAnsi="Book Antiqua"/>
          <w:i/>
          <w:sz w:val="24"/>
          <w:szCs w:val="24"/>
        </w:rPr>
        <w:t>J Int Med Res</w:t>
      </w:r>
      <w:r w:rsidRPr="000E6819">
        <w:rPr>
          <w:rFonts w:ascii="Book Antiqua" w:hAnsi="Book Antiqua"/>
          <w:sz w:val="24"/>
          <w:szCs w:val="24"/>
        </w:rPr>
        <w:t xml:space="preserve"> 2009; </w:t>
      </w:r>
      <w:r w:rsidRPr="000E6819">
        <w:rPr>
          <w:rFonts w:ascii="Book Antiqua" w:hAnsi="Book Antiqua"/>
          <w:b/>
          <w:sz w:val="24"/>
          <w:szCs w:val="24"/>
        </w:rPr>
        <w:t>37</w:t>
      </w:r>
      <w:r w:rsidRPr="000E6819">
        <w:rPr>
          <w:rFonts w:ascii="Book Antiqua" w:hAnsi="Book Antiqua"/>
          <w:sz w:val="24"/>
          <w:szCs w:val="24"/>
        </w:rPr>
        <w:t>: 136-144 [PMID: 19215683 DOI: 10.1177/147323000903700116]</w:t>
      </w:r>
    </w:p>
    <w:p w14:paraId="741969F5"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19 </w:t>
      </w:r>
      <w:r w:rsidRPr="000E6819">
        <w:rPr>
          <w:rFonts w:ascii="Book Antiqua" w:hAnsi="Book Antiqua"/>
          <w:b/>
          <w:sz w:val="24"/>
          <w:szCs w:val="24"/>
        </w:rPr>
        <w:t>Zhang H</w:t>
      </w:r>
      <w:r w:rsidRPr="000E6819">
        <w:rPr>
          <w:rFonts w:ascii="Book Antiqua" w:hAnsi="Book Antiqua"/>
          <w:sz w:val="24"/>
          <w:szCs w:val="24"/>
        </w:rPr>
        <w:t xml:space="preserve">, Zhang L, Chen L, Li W, Li F, Chen Q. Stromal cell-derived factor-1 and its receptor CXCR4 are upregulated expression in degenerated intervertebral discs. </w:t>
      </w:r>
      <w:r w:rsidRPr="000E6819">
        <w:rPr>
          <w:rFonts w:ascii="Book Antiqua" w:hAnsi="Book Antiqua"/>
          <w:i/>
          <w:sz w:val="24"/>
          <w:szCs w:val="24"/>
        </w:rPr>
        <w:t>Int J Med Sci</w:t>
      </w:r>
      <w:r w:rsidRPr="000E6819">
        <w:rPr>
          <w:rFonts w:ascii="Book Antiqua" w:hAnsi="Book Antiqua"/>
          <w:sz w:val="24"/>
          <w:szCs w:val="24"/>
        </w:rPr>
        <w:t xml:space="preserve"> 2014; </w:t>
      </w:r>
      <w:r w:rsidRPr="000E6819">
        <w:rPr>
          <w:rFonts w:ascii="Book Antiqua" w:hAnsi="Book Antiqua"/>
          <w:b/>
          <w:sz w:val="24"/>
          <w:szCs w:val="24"/>
        </w:rPr>
        <w:t>11</w:t>
      </w:r>
      <w:r w:rsidRPr="000E6819">
        <w:rPr>
          <w:rFonts w:ascii="Book Antiqua" w:hAnsi="Book Antiqua"/>
          <w:sz w:val="24"/>
          <w:szCs w:val="24"/>
        </w:rPr>
        <w:t>: 240-245 [PMID: 24516346 DOI: 10.7150/ijms.7489]</w:t>
      </w:r>
    </w:p>
    <w:p w14:paraId="0E02CFFF"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20 </w:t>
      </w:r>
      <w:r w:rsidRPr="000E6819">
        <w:rPr>
          <w:rFonts w:ascii="Book Antiqua" w:hAnsi="Book Antiqua"/>
          <w:b/>
          <w:sz w:val="24"/>
          <w:szCs w:val="24"/>
        </w:rPr>
        <w:t>Marquez-Curtis LA</w:t>
      </w:r>
      <w:r w:rsidRPr="000E6819">
        <w:rPr>
          <w:rFonts w:ascii="Book Antiqua" w:hAnsi="Book Antiqua"/>
          <w:sz w:val="24"/>
          <w:szCs w:val="24"/>
        </w:rPr>
        <w:t xml:space="preserve">, Janowska-Wieczorek A. Enhancing the migration ability of mesenchymal stromal cells by targeting the SDF-1/CXCR4 axis. </w:t>
      </w:r>
      <w:r w:rsidRPr="000E6819">
        <w:rPr>
          <w:rFonts w:ascii="Book Antiqua" w:hAnsi="Book Antiqua"/>
          <w:i/>
          <w:sz w:val="24"/>
          <w:szCs w:val="24"/>
        </w:rPr>
        <w:t>Biomed Res Int</w:t>
      </w:r>
      <w:r w:rsidRPr="000E6819">
        <w:rPr>
          <w:rFonts w:ascii="Book Antiqua" w:hAnsi="Book Antiqua"/>
          <w:sz w:val="24"/>
          <w:szCs w:val="24"/>
        </w:rPr>
        <w:t xml:space="preserve"> 2013; </w:t>
      </w:r>
      <w:r w:rsidRPr="000E6819">
        <w:rPr>
          <w:rFonts w:ascii="Book Antiqua" w:hAnsi="Book Antiqua"/>
          <w:b/>
          <w:sz w:val="24"/>
          <w:szCs w:val="24"/>
        </w:rPr>
        <w:t>2013</w:t>
      </w:r>
      <w:r w:rsidRPr="000E6819">
        <w:rPr>
          <w:rFonts w:ascii="Book Antiqua" w:hAnsi="Book Antiqua"/>
          <w:sz w:val="24"/>
          <w:szCs w:val="24"/>
        </w:rPr>
        <w:t>: 561098 [PMID: 24381939 DOI: 10.1155/2013/561098]</w:t>
      </w:r>
    </w:p>
    <w:p w14:paraId="1CF22402"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21 </w:t>
      </w:r>
      <w:r w:rsidRPr="000E6819">
        <w:rPr>
          <w:rFonts w:ascii="Book Antiqua" w:hAnsi="Book Antiqua"/>
          <w:b/>
          <w:sz w:val="24"/>
          <w:szCs w:val="24"/>
        </w:rPr>
        <w:t>Pereira CL</w:t>
      </w:r>
      <w:r w:rsidRPr="000E6819">
        <w:rPr>
          <w:rFonts w:ascii="Book Antiqua" w:hAnsi="Book Antiqua"/>
          <w:sz w:val="24"/>
          <w:szCs w:val="24"/>
        </w:rPr>
        <w:t xml:space="preserve">, Gonçalves RM, Peroglio M, Pattappa G, D'Este M, Eglin D, Barbosa MA, Alini M, Grad S. The effect of hyaluronan-based delivery of stromal cell-derived factor-1 on the recruitment of MSCs in degenerating intervertebral discs. </w:t>
      </w:r>
      <w:r w:rsidRPr="000E6819">
        <w:rPr>
          <w:rFonts w:ascii="Book Antiqua" w:hAnsi="Book Antiqua"/>
          <w:i/>
          <w:sz w:val="24"/>
          <w:szCs w:val="24"/>
        </w:rPr>
        <w:t>Biomaterials</w:t>
      </w:r>
      <w:r w:rsidRPr="000E6819">
        <w:rPr>
          <w:rFonts w:ascii="Book Antiqua" w:hAnsi="Book Antiqua"/>
          <w:sz w:val="24"/>
          <w:szCs w:val="24"/>
        </w:rPr>
        <w:t xml:space="preserve"> 2014; </w:t>
      </w:r>
      <w:r w:rsidRPr="000E6819">
        <w:rPr>
          <w:rFonts w:ascii="Book Antiqua" w:hAnsi="Book Antiqua"/>
          <w:b/>
          <w:sz w:val="24"/>
          <w:szCs w:val="24"/>
        </w:rPr>
        <w:t>35</w:t>
      </w:r>
      <w:r w:rsidRPr="000E6819">
        <w:rPr>
          <w:rFonts w:ascii="Book Antiqua" w:hAnsi="Book Antiqua"/>
          <w:sz w:val="24"/>
          <w:szCs w:val="24"/>
        </w:rPr>
        <w:t>: 8144-8153 [PMID: 24969636 DOI: 10.1016/j.biomaterials.2014.06.017]</w:t>
      </w:r>
    </w:p>
    <w:p w14:paraId="105C2750"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22 </w:t>
      </w:r>
      <w:r w:rsidRPr="000E6819">
        <w:rPr>
          <w:rFonts w:ascii="Book Antiqua" w:hAnsi="Book Antiqua"/>
          <w:b/>
          <w:sz w:val="24"/>
          <w:szCs w:val="24"/>
        </w:rPr>
        <w:t>Sakai D</w:t>
      </w:r>
      <w:r w:rsidRPr="000E6819">
        <w:rPr>
          <w:rFonts w:ascii="Book Antiqua" w:hAnsi="Book Antiqua"/>
          <w:sz w:val="24"/>
          <w:szCs w:val="24"/>
        </w:rPr>
        <w:t xml:space="preserve">, Nishimura K, Tanaka M, Nakajima D, Grad S, Alini M, Kawada H, Ando K, Mochida J. Migration of bone marrow-derived cells for endogenous repair in a new tail-looping disc degeneration model in the mouse: a pilot study. </w:t>
      </w:r>
      <w:r w:rsidRPr="000E6819">
        <w:rPr>
          <w:rFonts w:ascii="Book Antiqua" w:hAnsi="Book Antiqua"/>
          <w:i/>
          <w:sz w:val="24"/>
          <w:szCs w:val="24"/>
        </w:rPr>
        <w:t>Spine J</w:t>
      </w:r>
      <w:r w:rsidRPr="000E6819">
        <w:rPr>
          <w:rFonts w:ascii="Book Antiqua" w:hAnsi="Book Antiqua"/>
          <w:sz w:val="24"/>
          <w:szCs w:val="24"/>
        </w:rPr>
        <w:t xml:space="preserve"> 2015; </w:t>
      </w:r>
      <w:r w:rsidRPr="000E6819">
        <w:rPr>
          <w:rFonts w:ascii="Book Antiqua" w:hAnsi="Book Antiqua"/>
          <w:b/>
          <w:sz w:val="24"/>
          <w:szCs w:val="24"/>
        </w:rPr>
        <w:t>15</w:t>
      </w:r>
      <w:r w:rsidRPr="000E6819">
        <w:rPr>
          <w:rFonts w:ascii="Book Antiqua" w:hAnsi="Book Antiqua"/>
          <w:sz w:val="24"/>
          <w:szCs w:val="24"/>
        </w:rPr>
        <w:t>: 1356-1365 [PMID: 25459743 DOI: 10.1016/j.spinee.2013.07.491]</w:t>
      </w:r>
    </w:p>
    <w:p w14:paraId="3A5CDF96"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23 </w:t>
      </w:r>
      <w:r w:rsidRPr="000E6819">
        <w:rPr>
          <w:rFonts w:ascii="Book Antiqua" w:hAnsi="Book Antiqua"/>
          <w:b/>
          <w:sz w:val="24"/>
          <w:szCs w:val="24"/>
        </w:rPr>
        <w:t>Kortesidis A</w:t>
      </w:r>
      <w:r w:rsidRPr="000E6819">
        <w:rPr>
          <w:rFonts w:ascii="Book Antiqua" w:hAnsi="Book Antiqua"/>
          <w:sz w:val="24"/>
          <w:szCs w:val="24"/>
        </w:rPr>
        <w:t xml:space="preserve">, Zannettino A, Isenmann S, Shi S, Lapidot T, Gronthos S. Stromal-derived factor-1 promotes the growth, survival, and development of human bone marrow stromal stem cells. </w:t>
      </w:r>
      <w:r w:rsidRPr="000E6819">
        <w:rPr>
          <w:rFonts w:ascii="Book Antiqua" w:hAnsi="Book Antiqua"/>
          <w:i/>
          <w:sz w:val="24"/>
          <w:szCs w:val="24"/>
        </w:rPr>
        <w:t>Blood</w:t>
      </w:r>
      <w:r w:rsidRPr="000E6819">
        <w:rPr>
          <w:rFonts w:ascii="Book Antiqua" w:hAnsi="Book Antiqua"/>
          <w:sz w:val="24"/>
          <w:szCs w:val="24"/>
        </w:rPr>
        <w:t xml:space="preserve"> 2005; </w:t>
      </w:r>
      <w:r w:rsidRPr="000E6819">
        <w:rPr>
          <w:rFonts w:ascii="Book Antiqua" w:hAnsi="Book Antiqua"/>
          <w:b/>
          <w:sz w:val="24"/>
          <w:szCs w:val="24"/>
        </w:rPr>
        <w:t>105</w:t>
      </w:r>
      <w:r w:rsidRPr="000E6819">
        <w:rPr>
          <w:rFonts w:ascii="Book Antiqua" w:hAnsi="Book Antiqua"/>
          <w:sz w:val="24"/>
          <w:szCs w:val="24"/>
        </w:rPr>
        <w:t>: 3793-3801 [PMID: 15677562 DOI: 10.1182/blood-2004-11-4349]</w:t>
      </w:r>
    </w:p>
    <w:p w14:paraId="17FA47D3"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24 </w:t>
      </w:r>
      <w:r w:rsidRPr="000E6819">
        <w:rPr>
          <w:rFonts w:ascii="Book Antiqua" w:hAnsi="Book Antiqua"/>
          <w:b/>
          <w:sz w:val="24"/>
          <w:szCs w:val="24"/>
        </w:rPr>
        <w:t>Zhu W</w:t>
      </w:r>
      <w:r w:rsidRPr="000E6819">
        <w:rPr>
          <w:rFonts w:ascii="Book Antiqua" w:hAnsi="Book Antiqua"/>
          <w:sz w:val="24"/>
          <w:szCs w:val="24"/>
        </w:rPr>
        <w:t xml:space="preserve">, Boachie-Adjei O, Rawlins BA, Frenkel B, Boskey AL, Ivashkiv LB, Blobel CP. A novel regulatory role for stromal-derived factor-1 signaling in bone morphogenic protein-2 osteogenic differentiation of mesenchymal C2C12 cells. </w:t>
      </w:r>
      <w:r w:rsidRPr="000E6819">
        <w:rPr>
          <w:rFonts w:ascii="Book Antiqua" w:hAnsi="Book Antiqua"/>
          <w:i/>
          <w:sz w:val="24"/>
          <w:szCs w:val="24"/>
        </w:rPr>
        <w:t>J Biol Chem</w:t>
      </w:r>
      <w:r w:rsidRPr="000E6819">
        <w:rPr>
          <w:rFonts w:ascii="Book Antiqua" w:hAnsi="Book Antiqua"/>
          <w:sz w:val="24"/>
          <w:szCs w:val="24"/>
        </w:rPr>
        <w:t xml:space="preserve"> 2007; </w:t>
      </w:r>
      <w:r w:rsidRPr="000E6819">
        <w:rPr>
          <w:rFonts w:ascii="Book Antiqua" w:hAnsi="Book Antiqua"/>
          <w:b/>
          <w:sz w:val="24"/>
          <w:szCs w:val="24"/>
        </w:rPr>
        <w:t>282</w:t>
      </w:r>
      <w:r w:rsidRPr="000E6819">
        <w:rPr>
          <w:rFonts w:ascii="Book Antiqua" w:hAnsi="Book Antiqua"/>
          <w:sz w:val="24"/>
          <w:szCs w:val="24"/>
        </w:rPr>
        <w:t>: 18676-18685 [PMID: 17439946 DOI: 10.1074/jbc.M610232200]</w:t>
      </w:r>
    </w:p>
    <w:p w14:paraId="77A22451"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25 </w:t>
      </w:r>
      <w:r w:rsidRPr="000E6819">
        <w:rPr>
          <w:rFonts w:ascii="Book Antiqua" w:hAnsi="Book Antiqua"/>
          <w:b/>
          <w:sz w:val="24"/>
          <w:szCs w:val="24"/>
        </w:rPr>
        <w:t>Guang LG</w:t>
      </w:r>
      <w:r w:rsidRPr="000E6819">
        <w:rPr>
          <w:rFonts w:ascii="Book Antiqua" w:hAnsi="Book Antiqua"/>
          <w:sz w:val="24"/>
          <w:szCs w:val="24"/>
        </w:rPr>
        <w:t xml:space="preserve">, Boskey AL, Zhu W. Regulatory role of stromal cell-derived factor-1 in bone morphogenetic protein-2-induced chondrogenic differentiation in vitro. </w:t>
      </w:r>
      <w:r w:rsidRPr="000E6819">
        <w:rPr>
          <w:rFonts w:ascii="Book Antiqua" w:hAnsi="Book Antiqua"/>
          <w:i/>
          <w:sz w:val="24"/>
          <w:szCs w:val="24"/>
        </w:rPr>
        <w:t>Int J Biochem Cell Biol</w:t>
      </w:r>
      <w:r w:rsidRPr="000E6819">
        <w:rPr>
          <w:rFonts w:ascii="Book Antiqua" w:hAnsi="Book Antiqua"/>
          <w:sz w:val="24"/>
          <w:szCs w:val="24"/>
        </w:rPr>
        <w:t xml:space="preserve"> 2012; </w:t>
      </w:r>
      <w:r w:rsidRPr="000E6819">
        <w:rPr>
          <w:rFonts w:ascii="Book Antiqua" w:hAnsi="Book Antiqua"/>
          <w:b/>
          <w:sz w:val="24"/>
          <w:szCs w:val="24"/>
        </w:rPr>
        <w:t>44</w:t>
      </w:r>
      <w:r w:rsidRPr="000E6819">
        <w:rPr>
          <w:rFonts w:ascii="Book Antiqua" w:hAnsi="Book Antiqua"/>
          <w:sz w:val="24"/>
          <w:szCs w:val="24"/>
        </w:rPr>
        <w:t>: 1825-1833 [PMID: 22771956 DOI: 10.1016/j.biocel.2012.06.033]</w:t>
      </w:r>
    </w:p>
    <w:p w14:paraId="2258403F"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26 </w:t>
      </w:r>
      <w:r w:rsidRPr="000E6819">
        <w:rPr>
          <w:rFonts w:ascii="Book Antiqua" w:hAnsi="Book Antiqua"/>
          <w:b/>
          <w:sz w:val="24"/>
          <w:szCs w:val="24"/>
        </w:rPr>
        <w:t>Chim H</w:t>
      </w:r>
      <w:r w:rsidRPr="000E6819">
        <w:rPr>
          <w:rFonts w:ascii="Book Antiqua" w:hAnsi="Book Antiqua"/>
          <w:sz w:val="24"/>
          <w:szCs w:val="24"/>
        </w:rPr>
        <w:t xml:space="preserve">, Miller E, Gliniak C, Alsberg E. Stromal-cell-derived factor (SDF) 1-alpha in combination with BMP-2 and TGF-β1 induces site-directed cell homing and osteogenic </w:t>
      </w:r>
      <w:r w:rsidRPr="000E6819">
        <w:rPr>
          <w:rFonts w:ascii="Book Antiqua" w:hAnsi="Book Antiqua"/>
          <w:sz w:val="24"/>
          <w:szCs w:val="24"/>
        </w:rPr>
        <w:lastRenderedPageBreak/>
        <w:t xml:space="preserve">and chondrogenic differentiation for tissue engineering without the requirement for cell seeding. </w:t>
      </w:r>
      <w:r w:rsidRPr="000E6819">
        <w:rPr>
          <w:rFonts w:ascii="Book Antiqua" w:hAnsi="Book Antiqua"/>
          <w:i/>
          <w:sz w:val="24"/>
          <w:szCs w:val="24"/>
        </w:rPr>
        <w:t>Cell Tissue Res</w:t>
      </w:r>
      <w:r w:rsidRPr="000E6819">
        <w:rPr>
          <w:rFonts w:ascii="Book Antiqua" w:hAnsi="Book Antiqua"/>
          <w:sz w:val="24"/>
          <w:szCs w:val="24"/>
        </w:rPr>
        <w:t xml:space="preserve"> 2012; </w:t>
      </w:r>
      <w:r w:rsidRPr="000E6819">
        <w:rPr>
          <w:rFonts w:ascii="Book Antiqua" w:hAnsi="Book Antiqua"/>
          <w:b/>
          <w:sz w:val="24"/>
          <w:szCs w:val="24"/>
        </w:rPr>
        <w:t>350</w:t>
      </w:r>
      <w:r w:rsidRPr="000E6819">
        <w:rPr>
          <w:rFonts w:ascii="Book Antiqua" w:hAnsi="Book Antiqua"/>
          <w:sz w:val="24"/>
          <w:szCs w:val="24"/>
        </w:rPr>
        <w:t>: 89-94 [PMID: 22684849 DOI: 10.1007/s00441-012-1449-x]</w:t>
      </w:r>
    </w:p>
    <w:p w14:paraId="2EA57E70"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27 </w:t>
      </w:r>
      <w:r w:rsidRPr="000E6819">
        <w:rPr>
          <w:rFonts w:ascii="Book Antiqua" w:hAnsi="Book Antiqua"/>
          <w:b/>
          <w:sz w:val="24"/>
          <w:szCs w:val="24"/>
        </w:rPr>
        <w:t>Sakai D</w:t>
      </w:r>
      <w:r w:rsidRPr="000E6819">
        <w:rPr>
          <w:rFonts w:ascii="Book Antiqua" w:hAnsi="Book Antiqua"/>
          <w:sz w:val="24"/>
          <w:szCs w:val="24"/>
        </w:rPr>
        <w:t xml:space="preserve">, Nakamura Y, Nakai T, Mishima T, Kato S, Grad S, Alini M, Risbud MV, Chan D, Cheah KS, Yamamura K, Masuda K, Okano H, Ando K, Mochida J. Exhaustion of nucleus pulposus progenitor cells with ageing and degeneration of the intervertebral disc. </w:t>
      </w:r>
      <w:r w:rsidRPr="000E6819">
        <w:rPr>
          <w:rFonts w:ascii="Book Antiqua" w:hAnsi="Book Antiqua"/>
          <w:i/>
          <w:sz w:val="24"/>
          <w:szCs w:val="24"/>
        </w:rPr>
        <w:t>Nat Commun</w:t>
      </w:r>
      <w:r w:rsidRPr="000E6819">
        <w:rPr>
          <w:rFonts w:ascii="Book Antiqua" w:hAnsi="Book Antiqua"/>
          <w:sz w:val="24"/>
          <w:szCs w:val="24"/>
        </w:rPr>
        <w:t xml:space="preserve"> 2012; </w:t>
      </w:r>
      <w:r w:rsidRPr="000E6819">
        <w:rPr>
          <w:rFonts w:ascii="Book Antiqua" w:hAnsi="Book Antiqua"/>
          <w:b/>
          <w:sz w:val="24"/>
          <w:szCs w:val="24"/>
        </w:rPr>
        <w:t>3</w:t>
      </w:r>
      <w:r w:rsidRPr="000E6819">
        <w:rPr>
          <w:rFonts w:ascii="Book Antiqua" w:hAnsi="Book Antiqua"/>
          <w:sz w:val="24"/>
          <w:szCs w:val="24"/>
        </w:rPr>
        <w:t>: 1264 [PMID: 23232394 DOI: 10.1038/ncomms2226]</w:t>
      </w:r>
    </w:p>
    <w:p w14:paraId="1DF06874"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28 </w:t>
      </w:r>
      <w:r w:rsidRPr="000E6819">
        <w:rPr>
          <w:rFonts w:ascii="Book Antiqua" w:hAnsi="Book Antiqua"/>
          <w:b/>
          <w:sz w:val="24"/>
          <w:szCs w:val="24"/>
        </w:rPr>
        <w:t>Risbud MV</w:t>
      </w:r>
      <w:r w:rsidRPr="000E6819">
        <w:rPr>
          <w:rFonts w:ascii="Book Antiqua" w:hAnsi="Book Antiqua"/>
          <w:sz w:val="24"/>
          <w:szCs w:val="24"/>
        </w:rPr>
        <w:t xml:space="preserve">, Guttapalli A, Tsai TT, Lee JY, Danielson KG, Vaccaro AR, Albert TJ, Gazit Z, Gazit D, Shapiro IM. Evidence for skeletal progenitor cells in the degenerate human intervertebral disc. </w:t>
      </w:r>
      <w:r w:rsidRPr="000E6819">
        <w:rPr>
          <w:rFonts w:ascii="Book Antiqua" w:hAnsi="Book Antiqua"/>
          <w:i/>
          <w:sz w:val="24"/>
          <w:szCs w:val="24"/>
        </w:rPr>
        <w:t xml:space="preserve">Spine </w:t>
      </w:r>
      <w:r w:rsidRPr="00851F8A">
        <w:rPr>
          <w:rFonts w:ascii="Book Antiqua" w:hAnsi="Book Antiqua"/>
          <w:sz w:val="24"/>
          <w:szCs w:val="24"/>
        </w:rPr>
        <w:t>(Phila Pa 1976)</w:t>
      </w:r>
      <w:r w:rsidRPr="000E6819">
        <w:rPr>
          <w:rFonts w:ascii="Book Antiqua" w:hAnsi="Book Antiqua"/>
          <w:sz w:val="24"/>
          <w:szCs w:val="24"/>
        </w:rPr>
        <w:t xml:space="preserve"> 2007; </w:t>
      </w:r>
      <w:r w:rsidRPr="000E6819">
        <w:rPr>
          <w:rFonts w:ascii="Book Antiqua" w:hAnsi="Book Antiqua"/>
          <w:b/>
          <w:sz w:val="24"/>
          <w:szCs w:val="24"/>
        </w:rPr>
        <w:t>32</w:t>
      </w:r>
      <w:r w:rsidRPr="000E6819">
        <w:rPr>
          <w:rFonts w:ascii="Book Antiqua" w:hAnsi="Book Antiqua"/>
          <w:sz w:val="24"/>
          <w:szCs w:val="24"/>
        </w:rPr>
        <w:t>: 2537-2544 [PMID: 17978651 DOI: 10.1097/BRS.0b013e318158dea6]</w:t>
      </w:r>
    </w:p>
    <w:p w14:paraId="2AE3F4D9"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29 </w:t>
      </w:r>
      <w:r w:rsidRPr="000E6819">
        <w:rPr>
          <w:rFonts w:ascii="Book Antiqua" w:hAnsi="Book Antiqua"/>
          <w:b/>
          <w:sz w:val="24"/>
          <w:szCs w:val="24"/>
        </w:rPr>
        <w:t>Henriksson H</w:t>
      </w:r>
      <w:r w:rsidRPr="000E6819">
        <w:rPr>
          <w:rFonts w:ascii="Book Antiqua" w:hAnsi="Book Antiqua"/>
          <w:sz w:val="24"/>
          <w:szCs w:val="24"/>
        </w:rPr>
        <w:t xml:space="preserve">, Thornemo M, Karlsson C, Hägg O, Junevik K, Lindahl A, Brisby H. Identification of cell proliferation zones, progenitor cells and a potential stem cell niche in the intervertebral disc region: a study in four species. </w:t>
      </w:r>
      <w:r w:rsidRPr="000E6819">
        <w:rPr>
          <w:rFonts w:ascii="Book Antiqua" w:hAnsi="Book Antiqua"/>
          <w:i/>
          <w:sz w:val="24"/>
          <w:szCs w:val="24"/>
        </w:rPr>
        <w:t xml:space="preserve">Spine </w:t>
      </w:r>
      <w:r w:rsidRPr="00851F8A">
        <w:rPr>
          <w:rFonts w:ascii="Book Antiqua" w:hAnsi="Book Antiqua"/>
          <w:sz w:val="24"/>
          <w:szCs w:val="24"/>
        </w:rPr>
        <w:t>(Phila Pa 1976)</w:t>
      </w:r>
      <w:r w:rsidRPr="000E6819">
        <w:rPr>
          <w:rFonts w:ascii="Book Antiqua" w:hAnsi="Book Antiqua"/>
          <w:sz w:val="24"/>
          <w:szCs w:val="24"/>
        </w:rPr>
        <w:t xml:space="preserve"> 2009; </w:t>
      </w:r>
      <w:r w:rsidRPr="000E6819">
        <w:rPr>
          <w:rFonts w:ascii="Book Antiqua" w:hAnsi="Book Antiqua"/>
          <w:b/>
          <w:sz w:val="24"/>
          <w:szCs w:val="24"/>
        </w:rPr>
        <w:t>34</w:t>
      </w:r>
      <w:r w:rsidRPr="000E6819">
        <w:rPr>
          <w:rFonts w:ascii="Book Antiqua" w:hAnsi="Book Antiqua"/>
          <w:sz w:val="24"/>
          <w:szCs w:val="24"/>
        </w:rPr>
        <w:t>: 2278-2287 [PMID: 19755937 DOI: 10.1097/BRS.0b013e3181a95ad2]</w:t>
      </w:r>
    </w:p>
    <w:p w14:paraId="0634DFFC"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30 </w:t>
      </w:r>
      <w:r w:rsidRPr="000E6819">
        <w:rPr>
          <w:rFonts w:ascii="Book Antiqua" w:hAnsi="Book Antiqua"/>
          <w:b/>
          <w:sz w:val="24"/>
          <w:szCs w:val="24"/>
        </w:rPr>
        <w:t>Tao YQ</w:t>
      </w:r>
      <w:r w:rsidRPr="000E6819">
        <w:rPr>
          <w:rFonts w:ascii="Book Antiqua" w:hAnsi="Book Antiqua"/>
          <w:sz w:val="24"/>
          <w:szCs w:val="24"/>
        </w:rPr>
        <w:t xml:space="preserve">, Liang CZ, Li H, Zhang YJ, Li FC, Chen G, Chen QX. Potential of co-culture of nucleus pulposus mesenchymal stem cells and nucleus pulposus cells in hyperosmotic microenvironment for intervertebral disc regeneration. </w:t>
      </w:r>
      <w:r w:rsidRPr="000E6819">
        <w:rPr>
          <w:rFonts w:ascii="Book Antiqua" w:hAnsi="Book Antiqua"/>
          <w:i/>
          <w:sz w:val="24"/>
          <w:szCs w:val="24"/>
        </w:rPr>
        <w:t>Cell Biol Int</w:t>
      </w:r>
      <w:r w:rsidRPr="000E6819">
        <w:rPr>
          <w:rFonts w:ascii="Book Antiqua" w:hAnsi="Book Antiqua"/>
          <w:sz w:val="24"/>
          <w:szCs w:val="24"/>
        </w:rPr>
        <w:t xml:space="preserve"> 2013; </w:t>
      </w:r>
      <w:r w:rsidRPr="000E6819">
        <w:rPr>
          <w:rFonts w:ascii="Book Antiqua" w:hAnsi="Book Antiqua"/>
          <w:b/>
          <w:sz w:val="24"/>
          <w:szCs w:val="24"/>
        </w:rPr>
        <w:t>37</w:t>
      </w:r>
      <w:r w:rsidRPr="000E6819">
        <w:rPr>
          <w:rFonts w:ascii="Book Antiqua" w:hAnsi="Book Antiqua"/>
          <w:sz w:val="24"/>
          <w:szCs w:val="24"/>
        </w:rPr>
        <w:t>: 826-834 [PMID: 23554141 DOI: 10.1002/cbin.10110]</w:t>
      </w:r>
    </w:p>
    <w:p w14:paraId="35816E09"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31 </w:t>
      </w:r>
      <w:r w:rsidRPr="000E6819">
        <w:rPr>
          <w:rFonts w:ascii="Book Antiqua" w:hAnsi="Book Antiqua"/>
          <w:b/>
          <w:sz w:val="24"/>
          <w:szCs w:val="24"/>
        </w:rPr>
        <w:t>Dominici M</w:t>
      </w:r>
      <w:r w:rsidRPr="000E6819">
        <w:rPr>
          <w:rFonts w:ascii="Book Antiqua" w:hAnsi="Book Antiqua"/>
          <w:sz w:val="24"/>
          <w:szCs w:val="24"/>
        </w:rPr>
        <w:t xml:space="preserve">, Le Blanc K, Mueller I, Slaper-Cortenbach I, Marini F, Krause D, Deans R, Keating A, Prockop Dj, Horwitz E. Minimal criteria for defining multipotent mesenchymal stromal cells. The International Society for Cellular Therapy position statement. </w:t>
      </w:r>
      <w:r w:rsidRPr="000E6819">
        <w:rPr>
          <w:rFonts w:ascii="Book Antiqua" w:hAnsi="Book Antiqua"/>
          <w:i/>
          <w:sz w:val="24"/>
          <w:szCs w:val="24"/>
        </w:rPr>
        <w:t>Cytotherapy</w:t>
      </w:r>
      <w:r w:rsidRPr="000E6819">
        <w:rPr>
          <w:rFonts w:ascii="Book Antiqua" w:hAnsi="Book Antiqua"/>
          <w:sz w:val="24"/>
          <w:szCs w:val="24"/>
        </w:rPr>
        <w:t xml:space="preserve"> 2006; </w:t>
      </w:r>
      <w:r w:rsidRPr="000E6819">
        <w:rPr>
          <w:rFonts w:ascii="Book Antiqua" w:hAnsi="Book Antiqua"/>
          <w:b/>
          <w:sz w:val="24"/>
          <w:szCs w:val="24"/>
        </w:rPr>
        <w:t>8</w:t>
      </w:r>
      <w:r w:rsidRPr="000E6819">
        <w:rPr>
          <w:rFonts w:ascii="Book Antiqua" w:hAnsi="Book Antiqua"/>
          <w:sz w:val="24"/>
          <w:szCs w:val="24"/>
        </w:rPr>
        <w:t>: 315-317 [PMID: 16923606 DOI: 10.1080/14653240600855905]</w:t>
      </w:r>
    </w:p>
    <w:p w14:paraId="41671E8B"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32 </w:t>
      </w:r>
      <w:r w:rsidRPr="000E6819">
        <w:rPr>
          <w:rFonts w:ascii="Book Antiqua" w:hAnsi="Book Antiqua"/>
          <w:b/>
          <w:sz w:val="24"/>
          <w:szCs w:val="24"/>
        </w:rPr>
        <w:t>Wehling N</w:t>
      </w:r>
      <w:r w:rsidRPr="000E6819">
        <w:rPr>
          <w:rFonts w:ascii="Book Antiqua" w:hAnsi="Book Antiqua"/>
          <w:sz w:val="24"/>
          <w:szCs w:val="24"/>
        </w:rPr>
        <w:t xml:space="preserve">, Palmer GD, Pilapil C, Liu F, Wells JW, Müller PE, Evans CH, Porter RM. Interleukin-1beta and tumor necrosis factor alpha inhibit chondrogenesis by human mesenchymal stem cells through NF-kappaB-dependent pathways. </w:t>
      </w:r>
      <w:r w:rsidRPr="000E6819">
        <w:rPr>
          <w:rFonts w:ascii="Book Antiqua" w:hAnsi="Book Antiqua"/>
          <w:i/>
          <w:sz w:val="24"/>
          <w:szCs w:val="24"/>
        </w:rPr>
        <w:t>Arthritis Rheum</w:t>
      </w:r>
      <w:r w:rsidRPr="000E6819">
        <w:rPr>
          <w:rFonts w:ascii="Book Antiqua" w:hAnsi="Book Antiqua"/>
          <w:sz w:val="24"/>
          <w:szCs w:val="24"/>
        </w:rPr>
        <w:t xml:space="preserve"> 2009; </w:t>
      </w:r>
      <w:r w:rsidRPr="000E6819">
        <w:rPr>
          <w:rFonts w:ascii="Book Antiqua" w:hAnsi="Book Antiqua"/>
          <w:b/>
          <w:sz w:val="24"/>
          <w:szCs w:val="24"/>
        </w:rPr>
        <w:t>60</w:t>
      </w:r>
      <w:r w:rsidRPr="000E6819">
        <w:rPr>
          <w:rFonts w:ascii="Book Antiqua" w:hAnsi="Book Antiqua"/>
          <w:sz w:val="24"/>
          <w:szCs w:val="24"/>
        </w:rPr>
        <w:t>: 801-812 [PMID: 19248089 DOI: 10.1002/art.24352]</w:t>
      </w:r>
    </w:p>
    <w:p w14:paraId="2C0B9B15"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lastRenderedPageBreak/>
        <w:t xml:space="preserve">33 </w:t>
      </w:r>
      <w:r w:rsidRPr="000E6819">
        <w:rPr>
          <w:rFonts w:ascii="Book Antiqua" w:hAnsi="Book Antiqua"/>
          <w:b/>
          <w:sz w:val="24"/>
          <w:szCs w:val="24"/>
        </w:rPr>
        <w:t>Kim GW</w:t>
      </w:r>
      <w:r w:rsidRPr="000E6819">
        <w:rPr>
          <w:rFonts w:ascii="Book Antiqua" w:hAnsi="Book Antiqua"/>
          <w:sz w:val="24"/>
          <w:szCs w:val="24"/>
        </w:rPr>
        <w:t xml:space="preserve">, Han MS, Park HR, Lee EJ, Jung YK, Usmani SE, Ulici V, Han SW, Beier F. CXC chemokine ligand 12a enhances chondrocyte proliferation and maturation during endochondral bone formation. </w:t>
      </w:r>
      <w:r w:rsidRPr="000E6819">
        <w:rPr>
          <w:rFonts w:ascii="Book Antiqua" w:hAnsi="Book Antiqua"/>
          <w:i/>
          <w:sz w:val="24"/>
          <w:szCs w:val="24"/>
        </w:rPr>
        <w:t>Osteoarthritis Cartilage</w:t>
      </w:r>
      <w:r w:rsidRPr="000E6819">
        <w:rPr>
          <w:rFonts w:ascii="Book Antiqua" w:hAnsi="Book Antiqua"/>
          <w:sz w:val="24"/>
          <w:szCs w:val="24"/>
        </w:rPr>
        <w:t xml:space="preserve"> 2015; </w:t>
      </w:r>
      <w:r w:rsidRPr="000E6819">
        <w:rPr>
          <w:rFonts w:ascii="Book Antiqua" w:hAnsi="Book Antiqua"/>
          <w:b/>
          <w:sz w:val="24"/>
          <w:szCs w:val="24"/>
        </w:rPr>
        <w:t>23</w:t>
      </w:r>
      <w:r w:rsidRPr="000E6819">
        <w:rPr>
          <w:rFonts w:ascii="Book Antiqua" w:hAnsi="Book Antiqua"/>
          <w:sz w:val="24"/>
          <w:szCs w:val="24"/>
        </w:rPr>
        <w:t>: 966-974 [PMID: 25659654 DOI: 10.1016/j.joca.2015.01.016]</w:t>
      </w:r>
    </w:p>
    <w:p w14:paraId="54492D46"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34 </w:t>
      </w:r>
      <w:r w:rsidRPr="000E6819">
        <w:rPr>
          <w:rFonts w:ascii="Book Antiqua" w:hAnsi="Book Antiqua"/>
          <w:b/>
          <w:sz w:val="24"/>
          <w:szCs w:val="24"/>
        </w:rPr>
        <w:t>Han B</w:t>
      </w:r>
      <w:r w:rsidRPr="000E6819">
        <w:rPr>
          <w:rFonts w:ascii="Book Antiqua" w:hAnsi="Book Antiqua"/>
          <w:sz w:val="24"/>
          <w:szCs w:val="24"/>
        </w:rPr>
        <w:t xml:space="preserve">, Zhu K, Li FC, Xiao YX, Feng J, Shi ZL, Lin M, Wang J, Chen QX. A simple disc degeneration model induced by percutaneous needle puncture in the rat tail. </w:t>
      </w:r>
      <w:r w:rsidRPr="000E6819">
        <w:rPr>
          <w:rFonts w:ascii="Book Antiqua" w:hAnsi="Book Antiqua"/>
          <w:i/>
          <w:sz w:val="24"/>
          <w:szCs w:val="24"/>
        </w:rPr>
        <w:t xml:space="preserve">Spine </w:t>
      </w:r>
      <w:r w:rsidRPr="00851F8A">
        <w:rPr>
          <w:rFonts w:ascii="Book Antiqua" w:hAnsi="Book Antiqua"/>
          <w:sz w:val="24"/>
          <w:szCs w:val="24"/>
        </w:rPr>
        <w:t>(Phila Pa 1976)</w:t>
      </w:r>
      <w:r w:rsidRPr="000E6819">
        <w:rPr>
          <w:rFonts w:ascii="Book Antiqua" w:hAnsi="Book Antiqua"/>
          <w:sz w:val="24"/>
          <w:szCs w:val="24"/>
        </w:rPr>
        <w:t xml:space="preserve"> 2008; </w:t>
      </w:r>
      <w:r w:rsidRPr="000E6819">
        <w:rPr>
          <w:rFonts w:ascii="Book Antiqua" w:hAnsi="Book Antiqua"/>
          <w:b/>
          <w:sz w:val="24"/>
          <w:szCs w:val="24"/>
        </w:rPr>
        <w:t>33</w:t>
      </w:r>
      <w:r w:rsidRPr="000E6819">
        <w:rPr>
          <w:rFonts w:ascii="Book Antiqua" w:hAnsi="Book Antiqua"/>
          <w:sz w:val="24"/>
          <w:szCs w:val="24"/>
        </w:rPr>
        <w:t>: 1925-1934 [PMID: 18708924 DOI: 10.1097/BRS.0b013e31817c64a9]</w:t>
      </w:r>
    </w:p>
    <w:p w14:paraId="165ABC8F"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35 </w:t>
      </w:r>
      <w:r w:rsidRPr="000E6819">
        <w:rPr>
          <w:rFonts w:ascii="Book Antiqua" w:hAnsi="Book Antiqua"/>
          <w:b/>
          <w:sz w:val="24"/>
          <w:szCs w:val="24"/>
        </w:rPr>
        <w:t>Hohaus C</w:t>
      </w:r>
      <w:r w:rsidRPr="000E6819">
        <w:rPr>
          <w:rFonts w:ascii="Book Antiqua" w:hAnsi="Book Antiqua"/>
          <w:sz w:val="24"/>
          <w:szCs w:val="24"/>
        </w:rPr>
        <w:t xml:space="preserve">, Ganey TM, Minkus Y, Meisel HJ. Cell transplantation in lumbar spine disc degeneration disease. </w:t>
      </w:r>
      <w:r w:rsidRPr="000E6819">
        <w:rPr>
          <w:rFonts w:ascii="Book Antiqua" w:hAnsi="Book Antiqua"/>
          <w:i/>
          <w:sz w:val="24"/>
          <w:szCs w:val="24"/>
        </w:rPr>
        <w:t>Eur Spine J</w:t>
      </w:r>
      <w:r w:rsidRPr="000E6819">
        <w:rPr>
          <w:rFonts w:ascii="Book Antiqua" w:hAnsi="Book Antiqua"/>
          <w:sz w:val="24"/>
          <w:szCs w:val="24"/>
        </w:rPr>
        <w:t xml:space="preserve"> 2008; </w:t>
      </w:r>
      <w:r w:rsidRPr="000E6819">
        <w:rPr>
          <w:rFonts w:ascii="Book Antiqua" w:hAnsi="Book Antiqua"/>
          <w:b/>
          <w:sz w:val="24"/>
          <w:szCs w:val="24"/>
        </w:rPr>
        <w:t xml:space="preserve">17 </w:t>
      </w:r>
      <w:r w:rsidRPr="00851F8A">
        <w:rPr>
          <w:rFonts w:ascii="Book Antiqua" w:hAnsi="Book Antiqua"/>
          <w:sz w:val="24"/>
          <w:szCs w:val="24"/>
        </w:rPr>
        <w:t>Suppl 4:</w:t>
      </w:r>
      <w:r w:rsidRPr="000E6819">
        <w:rPr>
          <w:rFonts w:ascii="Book Antiqua" w:hAnsi="Book Antiqua"/>
          <w:sz w:val="24"/>
          <w:szCs w:val="24"/>
        </w:rPr>
        <w:t xml:space="preserve"> 492-503 [PMID: 19005697 DOI: 10.1007/s00586-008-0750-6]</w:t>
      </w:r>
    </w:p>
    <w:p w14:paraId="32008388"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36 </w:t>
      </w:r>
      <w:r w:rsidRPr="000E6819">
        <w:rPr>
          <w:rFonts w:ascii="Book Antiqua" w:hAnsi="Book Antiqua"/>
          <w:b/>
          <w:sz w:val="24"/>
          <w:szCs w:val="24"/>
        </w:rPr>
        <w:t>Iwashina T</w:t>
      </w:r>
      <w:r w:rsidRPr="000E6819">
        <w:rPr>
          <w:rFonts w:ascii="Book Antiqua" w:hAnsi="Book Antiqua"/>
          <w:sz w:val="24"/>
          <w:szCs w:val="24"/>
        </w:rPr>
        <w:t xml:space="preserve">, Mochida J, Sakai D, Yamamoto Y, Miyazaki T, Ando K, Hotta T. Feasibility of using a human nucleus pulposus cell line as a cell source in cell transplantation therapy for intervertebral disc degeneration. </w:t>
      </w:r>
      <w:r w:rsidRPr="000E6819">
        <w:rPr>
          <w:rFonts w:ascii="Book Antiqua" w:hAnsi="Book Antiqua"/>
          <w:i/>
          <w:sz w:val="24"/>
          <w:szCs w:val="24"/>
        </w:rPr>
        <w:t>Spine</w:t>
      </w:r>
      <w:r w:rsidRPr="00851F8A">
        <w:rPr>
          <w:rFonts w:ascii="Book Antiqua" w:hAnsi="Book Antiqua"/>
          <w:sz w:val="24"/>
          <w:szCs w:val="24"/>
        </w:rPr>
        <w:t xml:space="preserve"> (Phila Pa 1976) </w:t>
      </w:r>
      <w:r w:rsidRPr="000E6819">
        <w:rPr>
          <w:rFonts w:ascii="Book Antiqua" w:hAnsi="Book Antiqua"/>
          <w:sz w:val="24"/>
          <w:szCs w:val="24"/>
        </w:rPr>
        <w:t xml:space="preserve">2006; </w:t>
      </w:r>
      <w:r w:rsidRPr="000E6819">
        <w:rPr>
          <w:rFonts w:ascii="Book Antiqua" w:hAnsi="Book Antiqua"/>
          <w:b/>
          <w:sz w:val="24"/>
          <w:szCs w:val="24"/>
        </w:rPr>
        <w:t>31</w:t>
      </w:r>
      <w:r w:rsidRPr="000E6819">
        <w:rPr>
          <w:rFonts w:ascii="Book Antiqua" w:hAnsi="Book Antiqua"/>
          <w:sz w:val="24"/>
          <w:szCs w:val="24"/>
        </w:rPr>
        <w:t>: 1177-1186 [PMID: 16688029 DOI: 10.1097/01.brs.0000217687.36874.c4]</w:t>
      </w:r>
    </w:p>
    <w:p w14:paraId="58C2BA1E"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37 </w:t>
      </w:r>
      <w:r w:rsidRPr="000E6819">
        <w:rPr>
          <w:rFonts w:ascii="Book Antiqua" w:hAnsi="Book Antiqua"/>
          <w:b/>
          <w:sz w:val="24"/>
          <w:szCs w:val="24"/>
        </w:rPr>
        <w:t>Kregar Velikonja N</w:t>
      </w:r>
      <w:r w:rsidRPr="000E6819">
        <w:rPr>
          <w:rFonts w:ascii="Book Antiqua" w:hAnsi="Book Antiqua"/>
          <w:sz w:val="24"/>
          <w:szCs w:val="24"/>
        </w:rPr>
        <w:t xml:space="preserve">, Urban J, Fröhlich M, Neidlinger-Wilke C, Kletsas D, Potocar U, Turner S, Roberts S. Cell sources for nucleus pulposus regeneration. </w:t>
      </w:r>
      <w:r w:rsidRPr="000E6819">
        <w:rPr>
          <w:rFonts w:ascii="Book Antiqua" w:hAnsi="Book Antiqua"/>
          <w:i/>
          <w:sz w:val="24"/>
          <w:szCs w:val="24"/>
        </w:rPr>
        <w:t>Eur Spine J</w:t>
      </w:r>
      <w:r w:rsidRPr="000E6819">
        <w:rPr>
          <w:rFonts w:ascii="Book Antiqua" w:hAnsi="Book Antiqua"/>
          <w:sz w:val="24"/>
          <w:szCs w:val="24"/>
        </w:rPr>
        <w:t xml:space="preserve"> 2014; </w:t>
      </w:r>
      <w:r w:rsidRPr="000E6819">
        <w:rPr>
          <w:rFonts w:ascii="Book Antiqua" w:hAnsi="Book Antiqua"/>
          <w:b/>
          <w:sz w:val="24"/>
          <w:szCs w:val="24"/>
        </w:rPr>
        <w:t xml:space="preserve">23 </w:t>
      </w:r>
      <w:r w:rsidRPr="00851F8A">
        <w:rPr>
          <w:rFonts w:ascii="Book Antiqua" w:hAnsi="Book Antiqua"/>
          <w:sz w:val="24"/>
          <w:szCs w:val="24"/>
        </w:rPr>
        <w:t>Suppl 3:</w:t>
      </w:r>
      <w:r w:rsidRPr="000E6819">
        <w:rPr>
          <w:rFonts w:ascii="Book Antiqua" w:hAnsi="Book Antiqua"/>
          <w:sz w:val="24"/>
          <w:szCs w:val="24"/>
        </w:rPr>
        <w:t xml:space="preserve"> S364-S374 [PMID: 24297331 DOI: 10.1007/s00586-013-3106-9]</w:t>
      </w:r>
    </w:p>
    <w:p w14:paraId="416AF634"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38 </w:t>
      </w:r>
      <w:r w:rsidRPr="000E6819">
        <w:rPr>
          <w:rFonts w:ascii="Book Antiqua" w:hAnsi="Book Antiqua"/>
          <w:b/>
          <w:sz w:val="24"/>
          <w:szCs w:val="24"/>
        </w:rPr>
        <w:t>Wuertz K</w:t>
      </w:r>
      <w:r w:rsidRPr="000E6819">
        <w:rPr>
          <w:rFonts w:ascii="Book Antiqua" w:hAnsi="Book Antiqua"/>
          <w:sz w:val="24"/>
          <w:szCs w:val="24"/>
        </w:rPr>
        <w:t xml:space="preserve">, Godburn K, Neidlinger-Wilke C, Urban J, Iatridis JC. Behavior of mesenchymal stem cells in the chemical microenvironment of the intervertebral disc. </w:t>
      </w:r>
      <w:r w:rsidRPr="000E6819">
        <w:rPr>
          <w:rFonts w:ascii="Book Antiqua" w:hAnsi="Book Antiqua"/>
          <w:i/>
          <w:sz w:val="24"/>
          <w:szCs w:val="24"/>
        </w:rPr>
        <w:t xml:space="preserve">Spine </w:t>
      </w:r>
      <w:r w:rsidRPr="00851F8A">
        <w:rPr>
          <w:rFonts w:ascii="Book Antiqua" w:hAnsi="Book Antiqua"/>
          <w:sz w:val="24"/>
          <w:szCs w:val="24"/>
        </w:rPr>
        <w:t>(Phila Pa 1976)</w:t>
      </w:r>
      <w:r w:rsidRPr="000E6819">
        <w:rPr>
          <w:rFonts w:ascii="Book Antiqua" w:hAnsi="Book Antiqua"/>
          <w:sz w:val="24"/>
          <w:szCs w:val="24"/>
        </w:rPr>
        <w:t xml:space="preserve"> 2008; </w:t>
      </w:r>
      <w:r w:rsidRPr="000E6819">
        <w:rPr>
          <w:rFonts w:ascii="Book Antiqua" w:hAnsi="Book Antiqua"/>
          <w:b/>
          <w:sz w:val="24"/>
          <w:szCs w:val="24"/>
        </w:rPr>
        <w:t>33</w:t>
      </w:r>
      <w:r w:rsidRPr="000E6819">
        <w:rPr>
          <w:rFonts w:ascii="Book Antiqua" w:hAnsi="Book Antiqua"/>
          <w:sz w:val="24"/>
          <w:szCs w:val="24"/>
        </w:rPr>
        <w:t>: 1843-1849 [PMID: 18670337 DOI: 10.1097/BRS.0b013e31817b8f53]</w:t>
      </w:r>
    </w:p>
    <w:p w14:paraId="3F73F28C"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39 </w:t>
      </w:r>
      <w:r w:rsidRPr="000E6819">
        <w:rPr>
          <w:rFonts w:ascii="Book Antiqua" w:hAnsi="Book Antiqua"/>
          <w:b/>
          <w:sz w:val="24"/>
          <w:szCs w:val="24"/>
        </w:rPr>
        <w:t>Henriksson HB</w:t>
      </w:r>
      <w:r w:rsidRPr="000E6819">
        <w:rPr>
          <w:rFonts w:ascii="Book Antiqua" w:hAnsi="Book Antiqua"/>
          <w:sz w:val="24"/>
          <w:szCs w:val="24"/>
        </w:rPr>
        <w:t xml:space="preserve">, Svala E, Skioldebrand E, Lindahl A, Brisby H. Support of concept that migrating progenitor cells from stem cell niches contribute to normal regeneration of the adult mammal intervertebral disc: a descriptive study in the New Zealand white rabbit. </w:t>
      </w:r>
      <w:r w:rsidRPr="000E6819">
        <w:rPr>
          <w:rFonts w:ascii="Book Antiqua" w:hAnsi="Book Antiqua"/>
          <w:i/>
          <w:sz w:val="24"/>
          <w:szCs w:val="24"/>
        </w:rPr>
        <w:t xml:space="preserve">Spine </w:t>
      </w:r>
      <w:r w:rsidRPr="00851F8A">
        <w:rPr>
          <w:rFonts w:ascii="Book Antiqua" w:hAnsi="Book Antiqua"/>
          <w:sz w:val="24"/>
          <w:szCs w:val="24"/>
        </w:rPr>
        <w:t>(Phila Pa 1976)</w:t>
      </w:r>
      <w:r w:rsidRPr="000E6819">
        <w:rPr>
          <w:rFonts w:ascii="Book Antiqua" w:hAnsi="Book Antiqua"/>
          <w:sz w:val="24"/>
          <w:szCs w:val="24"/>
        </w:rPr>
        <w:t xml:space="preserve"> 2012; </w:t>
      </w:r>
      <w:r w:rsidRPr="000E6819">
        <w:rPr>
          <w:rFonts w:ascii="Book Antiqua" w:hAnsi="Book Antiqua"/>
          <w:b/>
          <w:sz w:val="24"/>
          <w:szCs w:val="24"/>
        </w:rPr>
        <w:t>37</w:t>
      </w:r>
      <w:r w:rsidRPr="000E6819">
        <w:rPr>
          <w:rFonts w:ascii="Book Antiqua" w:hAnsi="Book Antiqua"/>
          <w:sz w:val="24"/>
          <w:szCs w:val="24"/>
        </w:rPr>
        <w:t>: 722-732 [PMID: 21897341 DOI: 10.1097/BRS.0b013e318231c2f7]</w:t>
      </w:r>
    </w:p>
    <w:p w14:paraId="5E2CAD8A"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40 </w:t>
      </w:r>
      <w:r w:rsidRPr="000E6819">
        <w:rPr>
          <w:rFonts w:ascii="Book Antiqua" w:hAnsi="Book Antiqua"/>
          <w:b/>
          <w:sz w:val="24"/>
          <w:szCs w:val="24"/>
        </w:rPr>
        <w:t>Vanden Berg-Foels WS</w:t>
      </w:r>
      <w:r w:rsidRPr="000E6819">
        <w:rPr>
          <w:rFonts w:ascii="Book Antiqua" w:hAnsi="Book Antiqua"/>
          <w:sz w:val="24"/>
          <w:szCs w:val="24"/>
        </w:rPr>
        <w:t xml:space="preserve">. In situ tissue regeneration: chemoattractants for endogenous stem cell recruitment. </w:t>
      </w:r>
      <w:r w:rsidRPr="000E6819">
        <w:rPr>
          <w:rFonts w:ascii="Book Antiqua" w:hAnsi="Book Antiqua"/>
          <w:i/>
          <w:sz w:val="24"/>
          <w:szCs w:val="24"/>
        </w:rPr>
        <w:t>Tissue Eng Part B Rev</w:t>
      </w:r>
      <w:r w:rsidRPr="000E6819">
        <w:rPr>
          <w:rFonts w:ascii="Book Antiqua" w:hAnsi="Book Antiqua"/>
          <w:sz w:val="24"/>
          <w:szCs w:val="24"/>
        </w:rPr>
        <w:t xml:space="preserve"> 2014; </w:t>
      </w:r>
      <w:r w:rsidRPr="000E6819">
        <w:rPr>
          <w:rFonts w:ascii="Book Antiqua" w:hAnsi="Book Antiqua"/>
          <w:b/>
          <w:sz w:val="24"/>
          <w:szCs w:val="24"/>
        </w:rPr>
        <w:t>20</w:t>
      </w:r>
      <w:r w:rsidRPr="000E6819">
        <w:rPr>
          <w:rFonts w:ascii="Book Antiqua" w:hAnsi="Book Antiqua"/>
          <w:sz w:val="24"/>
          <w:szCs w:val="24"/>
        </w:rPr>
        <w:t>: 28-39 [PMID: 23678952 DOI: 10.1089/ten.TEB.2013.0100]</w:t>
      </w:r>
    </w:p>
    <w:p w14:paraId="730A6850"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lastRenderedPageBreak/>
        <w:t xml:space="preserve">41 </w:t>
      </w:r>
      <w:r w:rsidRPr="000E6819">
        <w:rPr>
          <w:rFonts w:ascii="Book Antiqua" w:hAnsi="Book Antiqua"/>
          <w:b/>
          <w:sz w:val="24"/>
          <w:szCs w:val="24"/>
        </w:rPr>
        <w:t>Li Z</w:t>
      </w:r>
      <w:r w:rsidRPr="000E6819">
        <w:rPr>
          <w:rFonts w:ascii="Book Antiqua" w:hAnsi="Book Antiqua"/>
          <w:sz w:val="24"/>
          <w:szCs w:val="24"/>
        </w:rPr>
        <w:t xml:space="preserve">, Peroglio M, Alini M, Grad S. Potential and limitations of intervertebral disc endogenous repair. </w:t>
      </w:r>
      <w:r w:rsidRPr="000E6819">
        <w:rPr>
          <w:rFonts w:ascii="Book Antiqua" w:hAnsi="Book Antiqua"/>
          <w:i/>
          <w:sz w:val="24"/>
          <w:szCs w:val="24"/>
        </w:rPr>
        <w:t>Curr Stem Cell Res Ther</w:t>
      </w:r>
      <w:r w:rsidRPr="000E6819">
        <w:rPr>
          <w:rFonts w:ascii="Book Antiqua" w:hAnsi="Book Antiqua"/>
          <w:sz w:val="24"/>
          <w:szCs w:val="24"/>
        </w:rPr>
        <w:t xml:space="preserve"> 2015; </w:t>
      </w:r>
      <w:r w:rsidRPr="000E6819">
        <w:rPr>
          <w:rFonts w:ascii="Book Antiqua" w:hAnsi="Book Antiqua"/>
          <w:b/>
          <w:sz w:val="24"/>
          <w:szCs w:val="24"/>
        </w:rPr>
        <w:t>10</w:t>
      </w:r>
      <w:r w:rsidRPr="000E6819">
        <w:rPr>
          <w:rFonts w:ascii="Book Antiqua" w:hAnsi="Book Antiqua"/>
          <w:sz w:val="24"/>
          <w:szCs w:val="24"/>
        </w:rPr>
        <w:t>: 329-338 [PMID: 25741710 DOI: 10.2174/1574888X10666150305105114]</w:t>
      </w:r>
    </w:p>
    <w:p w14:paraId="7150B574"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42 </w:t>
      </w:r>
      <w:r w:rsidRPr="000E6819">
        <w:rPr>
          <w:rFonts w:ascii="Book Antiqua" w:hAnsi="Book Antiqua"/>
          <w:b/>
          <w:sz w:val="24"/>
          <w:szCs w:val="24"/>
        </w:rPr>
        <w:t>Jaerve A</w:t>
      </w:r>
      <w:r w:rsidRPr="000E6819">
        <w:rPr>
          <w:rFonts w:ascii="Book Antiqua" w:hAnsi="Book Antiqua"/>
          <w:sz w:val="24"/>
          <w:szCs w:val="24"/>
        </w:rPr>
        <w:t xml:space="preserve">, Schira J, Müller HW. Concise review: the potential of stromal cell-derived factor 1 and its receptors to promote stem cell functions in spinal cord repair. </w:t>
      </w:r>
      <w:r w:rsidRPr="000E6819">
        <w:rPr>
          <w:rFonts w:ascii="Book Antiqua" w:hAnsi="Book Antiqua"/>
          <w:i/>
          <w:sz w:val="24"/>
          <w:szCs w:val="24"/>
        </w:rPr>
        <w:t>Stem Cells Transl Med</w:t>
      </w:r>
      <w:r w:rsidRPr="000E6819">
        <w:rPr>
          <w:rFonts w:ascii="Book Antiqua" w:hAnsi="Book Antiqua"/>
          <w:sz w:val="24"/>
          <w:szCs w:val="24"/>
        </w:rPr>
        <w:t xml:space="preserve"> 2012; </w:t>
      </w:r>
      <w:r w:rsidRPr="000E6819">
        <w:rPr>
          <w:rFonts w:ascii="Book Antiqua" w:hAnsi="Book Antiqua"/>
          <w:b/>
          <w:sz w:val="24"/>
          <w:szCs w:val="24"/>
        </w:rPr>
        <w:t>1</w:t>
      </w:r>
      <w:r w:rsidRPr="000E6819">
        <w:rPr>
          <w:rFonts w:ascii="Book Antiqua" w:hAnsi="Book Antiqua"/>
          <w:sz w:val="24"/>
          <w:szCs w:val="24"/>
        </w:rPr>
        <w:t>: 732-739 [PMID: 23197665 DOI: 10.5966/sctm.2012-0068]</w:t>
      </w:r>
    </w:p>
    <w:p w14:paraId="404E0EAA"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43 </w:t>
      </w:r>
      <w:r w:rsidRPr="000E6819">
        <w:rPr>
          <w:rFonts w:ascii="Book Antiqua" w:hAnsi="Book Antiqua"/>
          <w:b/>
          <w:sz w:val="24"/>
          <w:szCs w:val="24"/>
        </w:rPr>
        <w:t>Stricker J</w:t>
      </w:r>
      <w:r w:rsidRPr="000E6819">
        <w:rPr>
          <w:rFonts w:ascii="Book Antiqua" w:hAnsi="Book Antiqua"/>
          <w:sz w:val="24"/>
          <w:szCs w:val="24"/>
        </w:rPr>
        <w:t xml:space="preserve">, Falzone T, Gardel ML. Mechanics of the F-actin cytoskeleton. </w:t>
      </w:r>
      <w:r w:rsidRPr="000E6819">
        <w:rPr>
          <w:rFonts w:ascii="Book Antiqua" w:hAnsi="Book Antiqua"/>
          <w:i/>
          <w:sz w:val="24"/>
          <w:szCs w:val="24"/>
        </w:rPr>
        <w:t>J Biomech</w:t>
      </w:r>
      <w:r w:rsidRPr="000E6819">
        <w:rPr>
          <w:rFonts w:ascii="Book Antiqua" w:hAnsi="Book Antiqua"/>
          <w:sz w:val="24"/>
          <w:szCs w:val="24"/>
        </w:rPr>
        <w:t xml:space="preserve"> 2010; </w:t>
      </w:r>
      <w:r w:rsidRPr="000E6819">
        <w:rPr>
          <w:rFonts w:ascii="Book Antiqua" w:hAnsi="Book Antiqua"/>
          <w:b/>
          <w:sz w:val="24"/>
          <w:szCs w:val="24"/>
        </w:rPr>
        <w:t>43</w:t>
      </w:r>
      <w:r w:rsidRPr="000E6819">
        <w:rPr>
          <w:rFonts w:ascii="Book Antiqua" w:hAnsi="Book Antiqua"/>
          <w:sz w:val="24"/>
          <w:szCs w:val="24"/>
        </w:rPr>
        <w:t>: 9-14 [PMID: 19913792 DOI: 10.1016/j.jbiomech.2009.09.003]</w:t>
      </w:r>
    </w:p>
    <w:p w14:paraId="0D955C6A"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44 </w:t>
      </w:r>
      <w:r w:rsidRPr="000E6819">
        <w:rPr>
          <w:rFonts w:ascii="Book Antiqua" w:hAnsi="Book Antiqua"/>
          <w:b/>
          <w:sz w:val="24"/>
          <w:szCs w:val="24"/>
        </w:rPr>
        <w:t>Li X</w:t>
      </w:r>
      <w:r w:rsidRPr="000E6819">
        <w:rPr>
          <w:rFonts w:ascii="Book Antiqua" w:hAnsi="Book Antiqua"/>
          <w:sz w:val="24"/>
          <w:szCs w:val="24"/>
        </w:rPr>
        <w:t xml:space="preserve">, Gao Z, Wang J. Single percutaneous injection of stromal cell-derived factor-1 induces bone repair in mouse closed tibial fracture model. </w:t>
      </w:r>
      <w:r w:rsidRPr="000E6819">
        <w:rPr>
          <w:rFonts w:ascii="Book Antiqua" w:hAnsi="Book Antiqua"/>
          <w:i/>
          <w:sz w:val="24"/>
          <w:szCs w:val="24"/>
        </w:rPr>
        <w:t>Orthopedics</w:t>
      </w:r>
      <w:r w:rsidRPr="000E6819">
        <w:rPr>
          <w:rFonts w:ascii="Book Antiqua" w:hAnsi="Book Antiqua"/>
          <w:sz w:val="24"/>
          <w:szCs w:val="24"/>
        </w:rPr>
        <w:t xml:space="preserve"> 2011; </w:t>
      </w:r>
      <w:r w:rsidRPr="000E6819">
        <w:rPr>
          <w:rFonts w:ascii="Book Antiqua" w:hAnsi="Book Antiqua"/>
          <w:b/>
          <w:sz w:val="24"/>
          <w:szCs w:val="24"/>
        </w:rPr>
        <w:t>34</w:t>
      </w:r>
      <w:r w:rsidRPr="000E6819">
        <w:rPr>
          <w:rFonts w:ascii="Book Antiqua" w:hAnsi="Book Antiqua"/>
          <w:sz w:val="24"/>
          <w:szCs w:val="24"/>
        </w:rPr>
        <w:t>: 450 [PMID: 21661676 DOI: 10.3928/01477447-20110427-19]</w:t>
      </w:r>
    </w:p>
    <w:p w14:paraId="3606FB04"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45 </w:t>
      </w:r>
      <w:r w:rsidRPr="000E6819">
        <w:rPr>
          <w:rFonts w:ascii="Book Antiqua" w:hAnsi="Book Antiqua"/>
          <w:b/>
          <w:sz w:val="24"/>
          <w:szCs w:val="24"/>
        </w:rPr>
        <w:t>Pelekanos RA</w:t>
      </w:r>
      <w:r w:rsidRPr="000E6819">
        <w:rPr>
          <w:rFonts w:ascii="Book Antiqua" w:hAnsi="Book Antiqua"/>
          <w:sz w:val="24"/>
          <w:szCs w:val="24"/>
        </w:rPr>
        <w:t xml:space="preserve">, Ting MJ, Sardesai VS, Ryan JM, Lim YC, Chan JK, Fisk NM. Intracellular trafficking and endocytosis of CXCR4 in fetal mesenchymal stem/stromal cells. </w:t>
      </w:r>
      <w:r w:rsidRPr="000E6819">
        <w:rPr>
          <w:rFonts w:ascii="Book Antiqua" w:hAnsi="Book Antiqua"/>
          <w:i/>
          <w:sz w:val="24"/>
          <w:szCs w:val="24"/>
        </w:rPr>
        <w:t>BMC Cell Biol</w:t>
      </w:r>
      <w:r w:rsidRPr="000E6819">
        <w:rPr>
          <w:rFonts w:ascii="Book Antiqua" w:hAnsi="Book Antiqua"/>
          <w:sz w:val="24"/>
          <w:szCs w:val="24"/>
        </w:rPr>
        <w:t xml:space="preserve"> 2014; </w:t>
      </w:r>
      <w:r w:rsidRPr="000E6819">
        <w:rPr>
          <w:rFonts w:ascii="Book Antiqua" w:hAnsi="Book Antiqua"/>
          <w:b/>
          <w:sz w:val="24"/>
          <w:szCs w:val="24"/>
        </w:rPr>
        <w:t>15</w:t>
      </w:r>
      <w:r w:rsidRPr="000E6819">
        <w:rPr>
          <w:rFonts w:ascii="Book Antiqua" w:hAnsi="Book Antiqua"/>
          <w:sz w:val="24"/>
          <w:szCs w:val="24"/>
        </w:rPr>
        <w:t>: 15 [PMID: 24885150 DOI: 10.1186/1471-2121-15-15]</w:t>
      </w:r>
    </w:p>
    <w:p w14:paraId="44D89E3F"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46 </w:t>
      </w:r>
      <w:r w:rsidRPr="000E6819">
        <w:rPr>
          <w:rFonts w:ascii="Book Antiqua" w:hAnsi="Book Antiqua"/>
          <w:b/>
          <w:sz w:val="24"/>
          <w:szCs w:val="24"/>
        </w:rPr>
        <w:t>Iannone M</w:t>
      </w:r>
      <w:r w:rsidRPr="000E6819">
        <w:rPr>
          <w:rFonts w:ascii="Book Antiqua" w:hAnsi="Book Antiqua"/>
          <w:sz w:val="24"/>
          <w:szCs w:val="24"/>
        </w:rPr>
        <w:t xml:space="preserve">, Ventre M, Pagano G, Giannoni P, Quarto R, Netti PA. Defining an optimal stromal derived factor-1 presentation for effective recruitment of mesenchymal stem cells in 3D. </w:t>
      </w:r>
      <w:r w:rsidRPr="000E6819">
        <w:rPr>
          <w:rFonts w:ascii="Book Antiqua" w:hAnsi="Book Antiqua"/>
          <w:i/>
          <w:sz w:val="24"/>
          <w:szCs w:val="24"/>
        </w:rPr>
        <w:t>Biotechnol Bioeng</w:t>
      </w:r>
      <w:r w:rsidRPr="000E6819">
        <w:rPr>
          <w:rFonts w:ascii="Book Antiqua" w:hAnsi="Book Antiqua"/>
          <w:sz w:val="24"/>
          <w:szCs w:val="24"/>
        </w:rPr>
        <w:t xml:space="preserve"> 2014; </w:t>
      </w:r>
      <w:r w:rsidRPr="000E6819">
        <w:rPr>
          <w:rFonts w:ascii="Book Antiqua" w:hAnsi="Book Antiqua"/>
          <w:b/>
          <w:sz w:val="24"/>
          <w:szCs w:val="24"/>
        </w:rPr>
        <w:t>111</w:t>
      </w:r>
      <w:r w:rsidRPr="000E6819">
        <w:rPr>
          <w:rFonts w:ascii="Book Antiqua" w:hAnsi="Book Antiqua"/>
          <w:sz w:val="24"/>
          <w:szCs w:val="24"/>
        </w:rPr>
        <w:t>: 2303-2316 [PMID: 24888215 DOI: 10.1002/bit.25283]</w:t>
      </w:r>
    </w:p>
    <w:p w14:paraId="453BAFE7" w14:textId="06937DA9"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47 </w:t>
      </w:r>
      <w:r w:rsidRPr="000E6819">
        <w:rPr>
          <w:rFonts w:ascii="Book Antiqua" w:hAnsi="Book Antiqua"/>
          <w:b/>
          <w:sz w:val="24"/>
          <w:szCs w:val="24"/>
        </w:rPr>
        <w:t>Wang Y</w:t>
      </w:r>
      <w:r w:rsidRPr="000E6819">
        <w:rPr>
          <w:rFonts w:ascii="Book Antiqua" w:hAnsi="Book Antiqua"/>
          <w:sz w:val="24"/>
          <w:szCs w:val="24"/>
        </w:rPr>
        <w:t xml:space="preserve">, Sun X, Lv J, Zeng L, Wei X, Wei L. Stromal Cell-Derived Factor-1 Accelerates Cartilage Defect Repairing by Recruiting Bone Marrow Mesenchymal Stem Cells and Promoting Chondrogenic Differentiation. </w:t>
      </w:r>
      <w:r w:rsidRPr="000E6819">
        <w:rPr>
          <w:rFonts w:ascii="Book Antiqua" w:hAnsi="Book Antiqua"/>
          <w:i/>
          <w:sz w:val="24"/>
          <w:szCs w:val="24"/>
        </w:rPr>
        <w:t>Tissue Eng Part A</w:t>
      </w:r>
      <w:r w:rsidRPr="000E6819">
        <w:rPr>
          <w:rFonts w:ascii="Book Antiqua" w:hAnsi="Book Antiqua"/>
          <w:sz w:val="24"/>
          <w:szCs w:val="24"/>
        </w:rPr>
        <w:t xml:space="preserve"> 2017; </w:t>
      </w:r>
      <w:r w:rsidRPr="000E6819">
        <w:rPr>
          <w:rFonts w:ascii="Book Antiqua" w:hAnsi="Book Antiqua"/>
          <w:b/>
          <w:sz w:val="24"/>
          <w:szCs w:val="24"/>
        </w:rPr>
        <w:t>23</w:t>
      </w:r>
      <w:r w:rsidRPr="000E6819">
        <w:rPr>
          <w:rFonts w:ascii="Book Antiqua" w:hAnsi="Book Antiqua"/>
          <w:sz w:val="24"/>
          <w:szCs w:val="24"/>
        </w:rPr>
        <w:t>: 1160-1168 [PMID: 28478702 DOI: 10.1089/ten.TEA.2017.0046]</w:t>
      </w:r>
    </w:p>
    <w:p w14:paraId="2D200802" w14:textId="77777777" w:rsidR="006C683D" w:rsidRPr="000E6819" w:rsidRDefault="006C683D" w:rsidP="000E6819">
      <w:pPr>
        <w:spacing w:after="0" w:line="360" w:lineRule="auto"/>
        <w:contextualSpacing/>
        <w:jc w:val="both"/>
        <w:rPr>
          <w:rFonts w:ascii="Book Antiqua" w:hAnsi="Book Antiqua" w:cs="Times New Roman"/>
          <w:b/>
          <w:sz w:val="24"/>
          <w:szCs w:val="24"/>
        </w:rPr>
      </w:pPr>
    </w:p>
    <w:p w14:paraId="6E14886C" w14:textId="49BE372C" w:rsidR="006C683D" w:rsidRPr="00851F8A" w:rsidRDefault="006C683D" w:rsidP="00A15081">
      <w:pPr>
        <w:pStyle w:val="ab"/>
        <w:wordWrap w:val="0"/>
        <w:spacing w:line="360" w:lineRule="auto"/>
        <w:jc w:val="right"/>
        <w:rPr>
          <w:rFonts w:ascii="Book Antiqua" w:hAnsi="Book Antiqua"/>
          <w:b/>
          <w:sz w:val="24"/>
          <w:szCs w:val="24"/>
        </w:rPr>
      </w:pPr>
      <w:r w:rsidRPr="00851F8A">
        <w:rPr>
          <w:rFonts w:ascii="Book Antiqua" w:hAnsi="Book Antiqua"/>
          <w:b/>
          <w:sz w:val="24"/>
          <w:szCs w:val="24"/>
        </w:rPr>
        <w:t xml:space="preserve">P-Reviewer: </w:t>
      </w:r>
      <w:r w:rsidR="00AD3A3C" w:rsidRPr="00851F8A">
        <w:rPr>
          <w:rFonts w:ascii="Book Antiqua" w:hAnsi="Book Antiqua"/>
          <w:sz w:val="24"/>
          <w:szCs w:val="24"/>
        </w:rPr>
        <w:t xml:space="preserve">Grawish ME, Saeki K, Tanabe S </w:t>
      </w:r>
      <w:r w:rsidRPr="00851F8A">
        <w:rPr>
          <w:rFonts w:ascii="Book Antiqua" w:hAnsi="Book Antiqua"/>
          <w:b/>
          <w:sz w:val="24"/>
          <w:szCs w:val="24"/>
        </w:rPr>
        <w:t xml:space="preserve">S-Editor: </w:t>
      </w:r>
      <w:r w:rsidRPr="00851F8A">
        <w:rPr>
          <w:rFonts w:ascii="Book Antiqua" w:hAnsi="Book Antiqua"/>
          <w:sz w:val="24"/>
          <w:szCs w:val="24"/>
        </w:rPr>
        <w:t>Ji FF</w:t>
      </w:r>
      <w:r w:rsidRPr="00851F8A">
        <w:rPr>
          <w:rFonts w:ascii="Book Antiqua" w:hAnsi="Book Antiqua"/>
          <w:b/>
          <w:sz w:val="24"/>
          <w:szCs w:val="24"/>
        </w:rPr>
        <w:t xml:space="preserve"> L-Editor: </w:t>
      </w:r>
      <w:r w:rsidR="00466805" w:rsidRPr="00A15081">
        <w:rPr>
          <w:rFonts w:ascii="Book Antiqua" w:hAnsi="Book Antiqua"/>
          <w:sz w:val="24"/>
          <w:szCs w:val="24"/>
        </w:rPr>
        <w:t>Wang TQ</w:t>
      </w:r>
      <w:r w:rsidR="00466805">
        <w:rPr>
          <w:rFonts w:ascii="Book Antiqua" w:hAnsi="Book Antiqua"/>
          <w:b/>
          <w:sz w:val="24"/>
          <w:szCs w:val="24"/>
        </w:rPr>
        <w:t xml:space="preserve"> </w:t>
      </w:r>
      <w:r w:rsidRPr="00851F8A">
        <w:rPr>
          <w:rFonts w:ascii="Book Antiqua" w:hAnsi="Book Antiqua"/>
          <w:b/>
          <w:sz w:val="24"/>
          <w:szCs w:val="24"/>
        </w:rPr>
        <w:t xml:space="preserve">E-Editor: </w:t>
      </w:r>
    </w:p>
    <w:p w14:paraId="24C298DD" w14:textId="77777777" w:rsidR="006C683D" w:rsidRPr="000E6819" w:rsidRDefault="006C683D" w:rsidP="000E6819">
      <w:pPr>
        <w:pStyle w:val="ab"/>
        <w:spacing w:line="360" w:lineRule="auto"/>
        <w:rPr>
          <w:rFonts w:ascii="Book Antiqua" w:hAnsi="Book Antiqua"/>
          <w:b/>
          <w:sz w:val="24"/>
          <w:szCs w:val="24"/>
        </w:rPr>
      </w:pPr>
      <w:r w:rsidRPr="000E6819">
        <w:rPr>
          <w:rFonts w:ascii="Book Antiqua" w:hAnsi="Book Antiqua"/>
          <w:b/>
          <w:sz w:val="24"/>
          <w:szCs w:val="24"/>
        </w:rPr>
        <w:t xml:space="preserve"> </w:t>
      </w:r>
    </w:p>
    <w:p w14:paraId="586F130D" w14:textId="2BB44D41" w:rsidR="006C683D" w:rsidRPr="000E6819" w:rsidRDefault="006C683D" w:rsidP="000E6819">
      <w:pPr>
        <w:snapToGrid w:val="0"/>
        <w:spacing w:after="0" w:line="360" w:lineRule="auto"/>
        <w:jc w:val="both"/>
        <w:rPr>
          <w:rFonts w:ascii="Book Antiqua" w:eastAsia="宋体" w:hAnsi="Book Antiqua" w:cs="Helvetica"/>
          <w:b/>
          <w:sz w:val="24"/>
          <w:szCs w:val="24"/>
        </w:rPr>
      </w:pPr>
      <w:r w:rsidRPr="000E6819">
        <w:rPr>
          <w:rFonts w:ascii="Book Antiqua" w:eastAsia="宋体" w:hAnsi="Book Antiqua" w:cs="Helvetica"/>
          <w:b/>
          <w:sz w:val="24"/>
          <w:szCs w:val="24"/>
        </w:rPr>
        <w:t xml:space="preserve">Specialty type: </w:t>
      </w:r>
      <w:r w:rsidR="00AD3A3C" w:rsidRPr="000E6819">
        <w:rPr>
          <w:rFonts w:ascii="Book Antiqua" w:eastAsia="微软雅黑" w:hAnsi="Book Antiqua" w:cs="宋体"/>
          <w:sz w:val="24"/>
          <w:szCs w:val="24"/>
        </w:rPr>
        <w:t>Cell and tissue engineering</w:t>
      </w:r>
    </w:p>
    <w:p w14:paraId="383ABF7A" w14:textId="559EA4BB" w:rsidR="006C683D" w:rsidRPr="000E6819" w:rsidRDefault="006C683D" w:rsidP="000E6819">
      <w:pPr>
        <w:snapToGrid w:val="0"/>
        <w:spacing w:after="0" w:line="360" w:lineRule="auto"/>
        <w:jc w:val="both"/>
        <w:rPr>
          <w:rFonts w:ascii="Book Antiqua" w:eastAsia="宋体" w:hAnsi="Book Antiqua" w:cs="Helvetica"/>
          <w:b/>
          <w:sz w:val="24"/>
          <w:szCs w:val="24"/>
        </w:rPr>
      </w:pPr>
      <w:r w:rsidRPr="000E6819">
        <w:rPr>
          <w:rFonts w:ascii="Book Antiqua" w:eastAsia="宋体" w:hAnsi="Book Antiqua" w:cs="Helvetica"/>
          <w:b/>
          <w:sz w:val="24"/>
          <w:szCs w:val="24"/>
        </w:rPr>
        <w:t xml:space="preserve">Country of origin: </w:t>
      </w:r>
      <w:r w:rsidR="00AD3A3C" w:rsidRPr="000E6819">
        <w:rPr>
          <w:rFonts w:ascii="Book Antiqua" w:eastAsia="宋体" w:hAnsi="Book Antiqua"/>
          <w:sz w:val="24"/>
          <w:szCs w:val="24"/>
        </w:rPr>
        <w:t>China</w:t>
      </w:r>
    </w:p>
    <w:p w14:paraId="40D0786C" w14:textId="77777777" w:rsidR="006C683D" w:rsidRPr="000E6819" w:rsidRDefault="006C683D" w:rsidP="000E6819">
      <w:pPr>
        <w:snapToGrid w:val="0"/>
        <w:spacing w:after="0" w:line="360" w:lineRule="auto"/>
        <w:jc w:val="both"/>
        <w:rPr>
          <w:rFonts w:ascii="Book Antiqua" w:eastAsia="宋体" w:hAnsi="Book Antiqua" w:cs="Helvetica"/>
          <w:b/>
          <w:sz w:val="24"/>
          <w:szCs w:val="24"/>
        </w:rPr>
      </w:pPr>
      <w:r w:rsidRPr="000E6819">
        <w:rPr>
          <w:rFonts w:ascii="Book Antiqua" w:eastAsia="宋体" w:hAnsi="Book Antiqua" w:cs="Helvetica"/>
          <w:b/>
          <w:sz w:val="24"/>
          <w:szCs w:val="24"/>
        </w:rPr>
        <w:t>Peer-review report classification</w:t>
      </w:r>
    </w:p>
    <w:p w14:paraId="18A89D8E" w14:textId="433E0615" w:rsidR="006C683D" w:rsidRPr="000E6819" w:rsidRDefault="006C683D" w:rsidP="000E6819">
      <w:pPr>
        <w:snapToGrid w:val="0"/>
        <w:spacing w:after="0" w:line="360" w:lineRule="auto"/>
        <w:jc w:val="both"/>
        <w:rPr>
          <w:rFonts w:ascii="Book Antiqua" w:eastAsia="宋体" w:hAnsi="Book Antiqua" w:cs="Helvetica"/>
          <w:sz w:val="24"/>
          <w:szCs w:val="24"/>
        </w:rPr>
      </w:pPr>
      <w:r w:rsidRPr="000E6819">
        <w:rPr>
          <w:rFonts w:ascii="Book Antiqua" w:eastAsia="宋体" w:hAnsi="Book Antiqua" w:cs="Helvetica"/>
          <w:sz w:val="24"/>
          <w:szCs w:val="24"/>
        </w:rPr>
        <w:t xml:space="preserve">Grade A (Excellent): </w:t>
      </w:r>
      <w:r w:rsidR="00AD3A3C" w:rsidRPr="000E6819">
        <w:rPr>
          <w:rFonts w:ascii="Book Antiqua" w:eastAsia="宋体" w:hAnsi="Book Antiqua" w:cs="Helvetica"/>
          <w:sz w:val="24"/>
          <w:szCs w:val="24"/>
        </w:rPr>
        <w:t>0</w:t>
      </w:r>
    </w:p>
    <w:p w14:paraId="17B10DA8" w14:textId="2065A86B" w:rsidR="006C683D" w:rsidRPr="000E6819" w:rsidRDefault="006C683D" w:rsidP="000E6819">
      <w:pPr>
        <w:snapToGrid w:val="0"/>
        <w:spacing w:after="0" w:line="360" w:lineRule="auto"/>
        <w:jc w:val="both"/>
        <w:rPr>
          <w:rFonts w:ascii="Book Antiqua" w:eastAsia="宋体" w:hAnsi="Book Antiqua" w:cs="Helvetica"/>
          <w:sz w:val="24"/>
          <w:szCs w:val="24"/>
        </w:rPr>
      </w:pPr>
      <w:r w:rsidRPr="000E6819">
        <w:rPr>
          <w:rFonts w:ascii="Book Antiqua" w:eastAsia="宋体" w:hAnsi="Book Antiqua" w:cs="Helvetica"/>
          <w:sz w:val="24"/>
          <w:szCs w:val="24"/>
        </w:rPr>
        <w:lastRenderedPageBreak/>
        <w:t>Grade B (Very good): B</w:t>
      </w:r>
      <w:r w:rsidR="00AD3A3C" w:rsidRPr="000E6819">
        <w:rPr>
          <w:rFonts w:ascii="Book Antiqua" w:eastAsia="宋体" w:hAnsi="Book Antiqua" w:cs="Helvetica"/>
          <w:sz w:val="24"/>
          <w:szCs w:val="24"/>
        </w:rPr>
        <w:t>, B, B</w:t>
      </w:r>
    </w:p>
    <w:p w14:paraId="7E659AED" w14:textId="5E709735" w:rsidR="006C683D" w:rsidRPr="000E6819" w:rsidRDefault="006C683D" w:rsidP="000E6819">
      <w:pPr>
        <w:snapToGrid w:val="0"/>
        <w:spacing w:after="0" w:line="360" w:lineRule="auto"/>
        <w:jc w:val="both"/>
        <w:rPr>
          <w:rFonts w:ascii="Book Antiqua" w:eastAsia="宋体" w:hAnsi="Book Antiqua" w:cs="Helvetica"/>
          <w:sz w:val="24"/>
          <w:szCs w:val="24"/>
        </w:rPr>
      </w:pPr>
      <w:r w:rsidRPr="000E6819">
        <w:rPr>
          <w:rFonts w:ascii="Book Antiqua" w:eastAsia="宋体" w:hAnsi="Book Antiqua" w:cs="Helvetica"/>
          <w:sz w:val="24"/>
          <w:szCs w:val="24"/>
        </w:rPr>
        <w:t xml:space="preserve">Grade C (Good): </w:t>
      </w:r>
      <w:r w:rsidR="00AD3A3C" w:rsidRPr="000E6819">
        <w:rPr>
          <w:rFonts w:ascii="Book Antiqua" w:eastAsia="宋体" w:hAnsi="Book Antiqua" w:cs="Helvetica"/>
          <w:sz w:val="24"/>
          <w:szCs w:val="24"/>
        </w:rPr>
        <w:t>0</w:t>
      </w:r>
    </w:p>
    <w:p w14:paraId="1AF57F72" w14:textId="77777777" w:rsidR="006C683D" w:rsidRPr="000E6819" w:rsidRDefault="006C683D" w:rsidP="000E6819">
      <w:pPr>
        <w:snapToGrid w:val="0"/>
        <w:spacing w:after="0" w:line="360" w:lineRule="auto"/>
        <w:jc w:val="both"/>
        <w:rPr>
          <w:rFonts w:ascii="Book Antiqua" w:eastAsia="宋体" w:hAnsi="Book Antiqua" w:cs="Helvetica"/>
          <w:sz w:val="24"/>
          <w:szCs w:val="24"/>
        </w:rPr>
      </w:pPr>
      <w:r w:rsidRPr="000E6819">
        <w:rPr>
          <w:rFonts w:ascii="Book Antiqua" w:eastAsia="宋体" w:hAnsi="Book Antiqua" w:cs="Helvetica"/>
          <w:sz w:val="24"/>
          <w:szCs w:val="24"/>
        </w:rPr>
        <w:t xml:space="preserve">Grade D (Fair): 0 </w:t>
      </w:r>
    </w:p>
    <w:p w14:paraId="40E00B0B" w14:textId="5726E9F1" w:rsidR="006C683D" w:rsidRPr="000E6819" w:rsidRDefault="006C683D" w:rsidP="000E6819">
      <w:pPr>
        <w:spacing w:after="0" w:line="360" w:lineRule="auto"/>
        <w:contextualSpacing/>
        <w:jc w:val="both"/>
        <w:rPr>
          <w:rFonts w:ascii="Book Antiqua" w:hAnsi="Book Antiqua" w:cs="Times New Roman"/>
          <w:b/>
          <w:sz w:val="24"/>
          <w:szCs w:val="24"/>
        </w:rPr>
      </w:pPr>
      <w:r w:rsidRPr="000E6819">
        <w:rPr>
          <w:rFonts w:ascii="Book Antiqua" w:eastAsia="宋体" w:hAnsi="Book Antiqua" w:cs="Helvetica"/>
          <w:sz w:val="24"/>
          <w:szCs w:val="24"/>
        </w:rPr>
        <w:t>Grade E (Poor): 0</w:t>
      </w:r>
    </w:p>
    <w:p w14:paraId="5E16CCD6" w14:textId="702F16C5" w:rsidR="006B0A36" w:rsidRPr="000E3BD6" w:rsidRDefault="006B0A36" w:rsidP="00F710B6">
      <w:pPr>
        <w:pStyle w:val="EndNoteBibliography"/>
        <w:spacing w:after="0" w:line="360" w:lineRule="auto"/>
        <w:jc w:val="both"/>
        <w:rPr>
          <w:rFonts w:ascii="Book Antiqua" w:hAnsi="Book Antiqua" w:cs="Times New Roman"/>
          <w:b/>
          <w:sz w:val="24"/>
          <w:szCs w:val="24"/>
        </w:rPr>
      </w:pPr>
      <w:r w:rsidRPr="000E3BD6">
        <w:rPr>
          <w:rFonts w:ascii="Book Antiqua" w:hAnsi="Book Antiqua" w:cs="Times New Roman"/>
          <w:b/>
          <w:sz w:val="24"/>
          <w:szCs w:val="24"/>
        </w:rPr>
        <w:br w:type="page"/>
      </w:r>
    </w:p>
    <w:p w14:paraId="2BBD1EE3" w14:textId="5EE420BD" w:rsidR="006B0A36" w:rsidRPr="000E3BD6" w:rsidRDefault="006B0A36" w:rsidP="00F710B6">
      <w:pPr>
        <w:autoSpaceDE w:val="0"/>
        <w:autoSpaceDN w:val="0"/>
        <w:adjustRightInd w:val="0"/>
        <w:spacing w:after="0" w:line="360" w:lineRule="auto"/>
        <w:contextualSpacing/>
        <w:jc w:val="both"/>
        <w:rPr>
          <w:rFonts w:ascii="Book Antiqua" w:hAnsi="Book Antiqua" w:cs="Times New Roman"/>
          <w:sz w:val="24"/>
          <w:szCs w:val="24"/>
        </w:rPr>
      </w:pPr>
      <w:r w:rsidRPr="000E3BD6">
        <w:rPr>
          <w:rFonts w:ascii="Book Antiqua" w:hAnsi="Book Antiqua"/>
          <w:noProof/>
          <w:sz w:val="24"/>
          <w:szCs w:val="24"/>
        </w:rPr>
        <w:lastRenderedPageBreak/>
        <w:drawing>
          <wp:inline distT="0" distB="0" distL="0" distR="0" wp14:anchorId="11275DE5" wp14:editId="2E49CF64">
            <wp:extent cx="5777306" cy="49930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1877" cy="5014266"/>
                    </a:xfrm>
                    <a:prstGeom prst="rect">
                      <a:avLst/>
                    </a:prstGeom>
                    <a:noFill/>
                    <a:ln>
                      <a:noFill/>
                    </a:ln>
                  </pic:spPr>
                </pic:pic>
              </a:graphicData>
            </a:graphic>
          </wp:inline>
        </w:drawing>
      </w:r>
      <w:r w:rsidRPr="000E3BD6">
        <w:rPr>
          <w:rFonts w:ascii="Book Antiqua" w:hAnsi="Book Antiqua" w:cs="Times New Roman"/>
          <w:b/>
          <w:sz w:val="24"/>
          <w:szCs w:val="24"/>
        </w:rPr>
        <w:t>Figure 1</w:t>
      </w:r>
      <w:r w:rsidRPr="000E3BD6">
        <w:rPr>
          <w:rFonts w:ascii="Book Antiqua" w:hAnsi="Book Antiqua" w:cs="Times New Roman"/>
          <w:sz w:val="24"/>
          <w:szCs w:val="24"/>
        </w:rPr>
        <w:t xml:space="preserve"> </w:t>
      </w:r>
      <w:r w:rsidRPr="000E3BD6">
        <w:rPr>
          <w:rFonts w:ascii="Book Antiqua" w:hAnsi="Book Antiqua" w:cs="Times New Roman"/>
          <w:b/>
          <w:sz w:val="24"/>
          <w:szCs w:val="24"/>
        </w:rPr>
        <w:t xml:space="preserve">Characterization of isolated </w:t>
      </w:r>
      <w:r w:rsidR="00987ED1" w:rsidRPr="000E3BD6">
        <w:rPr>
          <w:rFonts w:ascii="Book Antiqua" w:hAnsi="Book Antiqua" w:cs="Times New Roman"/>
          <w:b/>
          <w:sz w:val="24"/>
          <w:szCs w:val="24"/>
        </w:rPr>
        <w:t>nucleus pulposus-derived stem cells</w:t>
      </w:r>
      <w:r w:rsidRPr="000E3BD6">
        <w:rPr>
          <w:rFonts w:ascii="Book Antiqua" w:hAnsi="Book Antiqua" w:cs="Times New Roman"/>
          <w:b/>
          <w:sz w:val="24"/>
          <w:szCs w:val="24"/>
        </w:rPr>
        <w:t>.</w:t>
      </w:r>
      <w:r w:rsidRPr="000E3BD6">
        <w:rPr>
          <w:rFonts w:ascii="Book Antiqua" w:hAnsi="Book Antiqua" w:cs="Times New Roman"/>
          <w:sz w:val="24"/>
          <w:szCs w:val="24"/>
        </w:rPr>
        <w:t xml:space="preserve"> </w:t>
      </w:r>
      <w:r w:rsidR="00987ED1" w:rsidRPr="000E3BD6">
        <w:rPr>
          <w:rFonts w:ascii="Book Antiqua" w:hAnsi="Book Antiqua" w:cs="Times New Roman" w:hint="eastAsia"/>
          <w:sz w:val="24"/>
          <w:szCs w:val="24"/>
        </w:rPr>
        <w:t>A:</w:t>
      </w:r>
      <w:r w:rsidRPr="000E3BD6">
        <w:rPr>
          <w:rFonts w:ascii="Book Antiqua" w:hAnsi="Book Antiqua" w:cs="Times New Roman"/>
          <w:sz w:val="24"/>
          <w:szCs w:val="24"/>
        </w:rPr>
        <w:t xml:space="preserve"> </w:t>
      </w:r>
      <w:r w:rsidR="002543E6">
        <w:rPr>
          <w:rFonts w:ascii="Book Antiqua" w:hAnsi="Book Antiqua" w:cs="Times New Roman"/>
          <w:sz w:val="24"/>
          <w:szCs w:val="24"/>
        </w:rPr>
        <w:t>N</w:t>
      </w:r>
      <w:r w:rsidR="00987ED1" w:rsidRPr="000E3BD6">
        <w:rPr>
          <w:rFonts w:ascii="Book Antiqua" w:hAnsi="Book Antiqua" w:cs="Times New Roman"/>
          <w:sz w:val="24"/>
          <w:szCs w:val="24"/>
        </w:rPr>
        <w:t xml:space="preserve">ucleus pulposus-derived stem cells </w:t>
      </w:r>
      <w:r w:rsidR="00987ED1" w:rsidRPr="000E3BD6">
        <w:rPr>
          <w:rFonts w:ascii="Book Antiqua" w:hAnsi="Book Antiqua" w:cs="Times New Roman" w:hint="eastAsia"/>
          <w:sz w:val="24"/>
          <w:szCs w:val="24"/>
        </w:rPr>
        <w:t>(</w:t>
      </w:r>
      <w:r w:rsidRPr="000E3BD6">
        <w:rPr>
          <w:rFonts w:ascii="Book Antiqua" w:hAnsi="Book Antiqua" w:cs="Times New Roman"/>
          <w:sz w:val="24"/>
          <w:szCs w:val="24"/>
        </w:rPr>
        <w:t>NPSCs</w:t>
      </w:r>
      <w:r w:rsidR="00987ED1" w:rsidRPr="000E3BD6">
        <w:rPr>
          <w:rFonts w:ascii="Book Antiqua" w:hAnsi="Book Antiqua" w:cs="Times New Roman" w:hint="eastAsia"/>
          <w:sz w:val="24"/>
          <w:szCs w:val="24"/>
        </w:rPr>
        <w:t>)</w:t>
      </w:r>
      <w:r w:rsidRPr="000E3BD6">
        <w:rPr>
          <w:rFonts w:ascii="Book Antiqua" w:hAnsi="Book Antiqua" w:cs="Times New Roman"/>
          <w:sz w:val="24"/>
          <w:szCs w:val="24"/>
        </w:rPr>
        <w:t xml:space="preserve"> at P0 and P3 showing </w:t>
      </w:r>
      <w:r w:rsidR="002543E6">
        <w:rPr>
          <w:rFonts w:ascii="Book Antiqua" w:hAnsi="Book Antiqua" w:cs="Times New Roman"/>
          <w:sz w:val="24"/>
          <w:szCs w:val="24"/>
        </w:rPr>
        <w:t xml:space="preserve">a </w:t>
      </w:r>
      <w:r w:rsidRPr="000E3BD6">
        <w:rPr>
          <w:rFonts w:ascii="Book Antiqua" w:hAnsi="Book Antiqua" w:cs="Times New Roman"/>
          <w:sz w:val="24"/>
          <w:szCs w:val="24"/>
        </w:rPr>
        <w:t>homogeneous fibroblast-like morphology and vortex performance</w:t>
      </w:r>
      <w:r w:rsidR="00987ED1" w:rsidRPr="000E3BD6">
        <w:rPr>
          <w:rFonts w:ascii="Book Antiqua" w:hAnsi="Book Antiqua" w:cs="Times New Roman" w:hint="eastAsia"/>
          <w:sz w:val="24"/>
          <w:szCs w:val="24"/>
        </w:rPr>
        <w:t>; B:</w:t>
      </w:r>
      <w:r w:rsidRPr="000E3BD6">
        <w:rPr>
          <w:rFonts w:ascii="Book Antiqua" w:hAnsi="Book Antiqua" w:cs="Times New Roman"/>
          <w:sz w:val="24"/>
          <w:szCs w:val="24"/>
        </w:rPr>
        <w:t xml:space="preserve"> NPSCs at P3 showing colony-like growth ability at a density of 1000 cells/well</w:t>
      </w:r>
      <w:r w:rsidR="00987ED1" w:rsidRPr="000E3BD6">
        <w:rPr>
          <w:rFonts w:ascii="Book Antiqua" w:hAnsi="Book Antiqua" w:cs="Times New Roman" w:hint="eastAsia"/>
          <w:sz w:val="24"/>
          <w:szCs w:val="24"/>
        </w:rPr>
        <w:t>; C:</w:t>
      </w:r>
      <w:r w:rsidRPr="000E3BD6">
        <w:rPr>
          <w:rFonts w:ascii="Book Antiqua" w:hAnsi="Book Antiqua" w:cs="Times New Roman"/>
          <w:sz w:val="24"/>
          <w:szCs w:val="24"/>
        </w:rPr>
        <w:t xml:space="preserve"> Multilineage differentiation capacities of NPSCs </w:t>
      </w:r>
      <w:r w:rsidRPr="000E3BD6">
        <w:rPr>
          <w:rFonts w:ascii="Book Antiqua" w:hAnsi="Book Antiqua" w:cs="Times New Roman"/>
          <w:i/>
          <w:sz w:val="24"/>
          <w:szCs w:val="24"/>
        </w:rPr>
        <w:t>in vitro</w:t>
      </w:r>
      <w:r w:rsidRPr="000E3BD6">
        <w:rPr>
          <w:rFonts w:ascii="Book Antiqua" w:hAnsi="Book Antiqua" w:cs="Times New Roman"/>
          <w:sz w:val="24"/>
          <w:szCs w:val="24"/>
        </w:rPr>
        <w:t>. Alizarin Red staining for osteogenic differentiation, Oil Red O staining for adipogenic differentiation, and Alcian Blue staining for chondrogenic differentiation</w:t>
      </w:r>
      <w:r w:rsidR="00987ED1" w:rsidRPr="000E3BD6">
        <w:rPr>
          <w:rFonts w:ascii="Book Antiqua" w:hAnsi="Book Antiqua" w:cs="Times New Roman" w:hint="eastAsia"/>
          <w:sz w:val="24"/>
          <w:szCs w:val="24"/>
        </w:rPr>
        <w:t>; D:</w:t>
      </w:r>
      <w:r w:rsidRPr="000E3BD6">
        <w:rPr>
          <w:rFonts w:ascii="Book Antiqua" w:hAnsi="Book Antiqua" w:cs="Times New Roman"/>
          <w:sz w:val="24"/>
          <w:szCs w:val="24"/>
        </w:rPr>
        <w:t xml:space="preserve"> Flow cytometric analysis of NPSCs surface markers revealing high expression of </w:t>
      </w:r>
      <w:bookmarkStart w:id="28" w:name="OLE_LINK13"/>
      <w:bookmarkStart w:id="29" w:name="OLE_LINK14"/>
      <w:r w:rsidRPr="000E3BD6">
        <w:rPr>
          <w:rFonts w:ascii="Book Antiqua" w:hAnsi="Book Antiqua" w:cs="Times New Roman"/>
          <w:sz w:val="24"/>
          <w:szCs w:val="24"/>
        </w:rPr>
        <w:t xml:space="preserve">the </w:t>
      </w:r>
      <w:bookmarkEnd w:id="28"/>
      <w:bookmarkEnd w:id="29"/>
      <w:r w:rsidR="00222EFA" w:rsidRPr="000E3BD6">
        <w:rPr>
          <w:rFonts w:ascii="Book Antiqua" w:hAnsi="Book Antiqua" w:cs="Times New Roman"/>
          <w:sz w:val="24"/>
          <w:szCs w:val="24"/>
        </w:rPr>
        <w:t>mesenchymal stem cells</w:t>
      </w:r>
      <w:r w:rsidRPr="000E3BD6">
        <w:rPr>
          <w:rFonts w:ascii="Book Antiqua" w:hAnsi="Book Antiqua" w:cs="Times New Roman"/>
          <w:sz w:val="24"/>
          <w:szCs w:val="24"/>
        </w:rPr>
        <w:t xml:space="preserve"> markers CD73, CD90, and CD105, and low expression of the hematopoietic markers CD34 and CD45. </w:t>
      </w:r>
      <w:r w:rsidR="00222EFA" w:rsidRPr="000E3BD6">
        <w:rPr>
          <w:rFonts w:ascii="Book Antiqua" w:hAnsi="Book Antiqua" w:cs="Times New Roman"/>
          <w:sz w:val="24"/>
          <w:szCs w:val="24"/>
        </w:rPr>
        <w:t>FITC</w:t>
      </w:r>
      <w:r w:rsidR="00222EFA" w:rsidRPr="000E3BD6">
        <w:rPr>
          <w:rFonts w:ascii="Book Antiqua" w:hAnsi="Book Antiqua" w:cs="Times New Roman" w:hint="eastAsia"/>
          <w:sz w:val="24"/>
          <w:szCs w:val="24"/>
        </w:rPr>
        <w:t>:</w:t>
      </w:r>
      <w:r w:rsidR="00222EFA" w:rsidRPr="000E3BD6">
        <w:rPr>
          <w:rFonts w:ascii="Book Antiqua" w:hAnsi="Book Antiqua" w:cs="Times New Roman"/>
          <w:sz w:val="24"/>
          <w:szCs w:val="24"/>
        </w:rPr>
        <w:t xml:space="preserve"> Fluorescein isothiocyanate</w:t>
      </w:r>
      <w:r w:rsidR="00222EFA" w:rsidRPr="000E3BD6">
        <w:rPr>
          <w:rFonts w:ascii="Book Antiqua" w:hAnsi="Book Antiqua" w:cs="Times New Roman" w:hint="eastAsia"/>
          <w:sz w:val="24"/>
          <w:szCs w:val="24"/>
        </w:rPr>
        <w:t xml:space="preserve">; </w:t>
      </w:r>
      <w:r w:rsidR="00222EFA" w:rsidRPr="000E3BD6">
        <w:rPr>
          <w:rFonts w:ascii="Book Antiqua" w:hAnsi="Book Antiqua" w:cs="Times New Roman"/>
          <w:sz w:val="24"/>
          <w:szCs w:val="24"/>
        </w:rPr>
        <w:t>PE</w:t>
      </w:r>
      <w:r w:rsidR="00222EFA" w:rsidRPr="000E3BD6">
        <w:rPr>
          <w:rFonts w:ascii="Book Antiqua" w:hAnsi="Book Antiqua" w:cs="Times New Roman" w:hint="eastAsia"/>
          <w:sz w:val="24"/>
          <w:szCs w:val="24"/>
        </w:rPr>
        <w:t>:</w:t>
      </w:r>
      <w:r w:rsidR="00222EFA" w:rsidRPr="000E3BD6">
        <w:rPr>
          <w:rFonts w:ascii="Book Antiqua" w:hAnsi="Book Antiqua" w:cs="Times New Roman"/>
          <w:sz w:val="24"/>
          <w:szCs w:val="24"/>
        </w:rPr>
        <w:t xml:space="preserve"> Phycoerythrin</w:t>
      </w:r>
      <w:r w:rsidR="00222EFA" w:rsidRPr="000E3BD6">
        <w:rPr>
          <w:rFonts w:ascii="Book Antiqua" w:hAnsi="Book Antiqua" w:cs="Times New Roman" w:hint="eastAsia"/>
          <w:sz w:val="24"/>
          <w:szCs w:val="24"/>
        </w:rPr>
        <w:t>.</w:t>
      </w:r>
    </w:p>
    <w:p w14:paraId="1156A895"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p>
    <w:p w14:paraId="448E25DC"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p>
    <w:p w14:paraId="1C4F3893" w14:textId="5232BEFA" w:rsidR="006B0A36" w:rsidRPr="000E3BD6" w:rsidRDefault="00A716AA" w:rsidP="00F710B6">
      <w:pPr>
        <w:autoSpaceDE w:val="0"/>
        <w:autoSpaceDN w:val="0"/>
        <w:adjustRightInd w:val="0"/>
        <w:spacing w:after="0" w:line="360" w:lineRule="auto"/>
        <w:contextualSpacing/>
        <w:jc w:val="both"/>
        <w:rPr>
          <w:rFonts w:ascii="Book Antiqua" w:hAnsi="Book Antiqua" w:cs="Times New Roman"/>
          <w:b/>
          <w:sz w:val="24"/>
          <w:szCs w:val="24"/>
        </w:rPr>
      </w:pPr>
      <w:r w:rsidRPr="000E3BD6">
        <w:rPr>
          <w:rFonts w:ascii="Book Antiqua" w:hAnsi="Book Antiqua" w:cs="Times New Roman"/>
          <w:b/>
          <w:noProof/>
          <w:sz w:val="24"/>
          <w:szCs w:val="24"/>
        </w:rPr>
        <mc:AlternateContent>
          <mc:Choice Requires="wps">
            <w:drawing>
              <wp:anchor distT="0" distB="0" distL="114300" distR="114300" simplePos="0" relativeHeight="251667456" behindDoc="0" locked="0" layoutInCell="1" allowOverlap="1" wp14:anchorId="2B73738C" wp14:editId="55953638">
                <wp:simplePos x="0" y="0"/>
                <wp:positionH relativeFrom="column">
                  <wp:posOffset>4365353</wp:posOffset>
                </wp:positionH>
                <wp:positionV relativeFrom="paragraph">
                  <wp:posOffset>259962</wp:posOffset>
                </wp:positionV>
                <wp:extent cx="213360" cy="255270"/>
                <wp:effectExtent l="0" t="0" r="15240" b="11430"/>
                <wp:wrapNone/>
                <wp:docPr id="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55270"/>
                        </a:xfrm>
                        <a:prstGeom prst="rect">
                          <a:avLst/>
                        </a:prstGeom>
                        <a:solidFill>
                          <a:srgbClr val="FFFFFF"/>
                        </a:solidFill>
                        <a:ln w="9525">
                          <a:solidFill>
                            <a:srgbClr val="000000"/>
                          </a:solidFill>
                          <a:miter lim="800000"/>
                          <a:headEnd/>
                          <a:tailEnd/>
                        </a:ln>
                      </wps:spPr>
                      <wps:txbx>
                        <w:txbxContent>
                          <w:p w14:paraId="5D3FC7F1" w14:textId="77777777" w:rsidR="000C3D8B" w:rsidRDefault="000C3D8B" w:rsidP="00A716AA">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73738C" id="_x0000_t202" coordsize="21600,21600" o:spt="202" path="m,l,21600r21600,l21600,xe">
                <v:stroke joinstyle="miter"/>
                <v:path gradientshapeok="t" o:connecttype="rect"/>
              </v:shapetype>
              <v:shape id="文本框 2" o:spid="_x0000_s1026" type="#_x0000_t202" style="position:absolute;left:0;text-align:left;margin-left:343.75pt;margin-top:20.45pt;width:16.8pt;height:20.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">
                <v:textbox>
                  <w:txbxContent>
                    <w:p w14:paraId="5D3FC7F1" w14:textId="77777777" w:rsidR="000C3D8B" w:rsidRDefault="000C3D8B" w:rsidP="00A716AA">
                      <w:r>
                        <w:t>a</w:t>
                      </w:r>
                    </w:p>
                  </w:txbxContent>
                </v:textbox>
              </v:shape>
            </w:pict>
          </mc:Fallback>
        </mc:AlternateContent>
      </w:r>
      <w:r w:rsidRPr="000E3BD6">
        <w:rPr>
          <w:rFonts w:ascii="Book Antiqua" w:hAnsi="Book Antiqua" w:cs="Times New Roman"/>
          <w:b/>
          <w:noProof/>
          <w:sz w:val="24"/>
          <w:szCs w:val="24"/>
        </w:rPr>
        <mc:AlternateContent>
          <mc:Choice Requires="wps">
            <w:drawing>
              <wp:anchor distT="0" distB="0" distL="114300" distR="114300" simplePos="0" relativeHeight="251659264" behindDoc="0" locked="0" layoutInCell="1" allowOverlap="1" wp14:anchorId="46FF3D3D" wp14:editId="6FCE6D30">
                <wp:simplePos x="0" y="0"/>
                <wp:positionH relativeFrom="column">
                  <wp:posOffset>3765657</wp:posOffset>
                </wp:positionH>
                <wp:positionV relativeFrom="paragraph">
                  <wp:posOffset>514721</wp:posOffset>
                </wp:positionV>
                <wp:extent cx="213360" cy="255270"/>
                <wp:effectExtent l="0" t="0" r="15240" b="1143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55270"/>
                        </a:xfrm>
                        <a:prstGeom prst="rect">
                          <a:avLst/>
                        </a:prstGeom>
                        <a:solidFill>
                          <a:srgbClr val="FFFFFF"/>
                        </a:solidFill>
                        <a:ln w="9525">
                          <a:solidFill>
                            <a:srgbClr val="000000"/>
                          </a:solidFill>
                          <a:miter lim="800000"/>
                          <a:headEnd/>
                          <a:tailEnd/>
                        </a:ln>
                      </wps:spPr>
                      <wps:txbx>
                        <w:txbxContent>
                          <w:p w14:paraId="0142D979" w14:textId="77777777" w:rsidR="000C3D8B" w:rsidRDefault="000C3D8B" w:rsidP="00A716AA">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FF3D3D" id="_x0000_s1027" type="#_x0000_t202" style="position:absolute;left:0;text-align:left;margin-left:296.5pt;margin-top:40.55pt;width:16.8pt;height:2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">
                <v:textbox>
                  <w:txbxContent>
                    <w:p w14:paraId="0142D979" w14:textId="77777777" w:rsidR="000C3D8B" w:rsidRDefault="000C3D8B" w:rsidP="00A716AA">
                      <w:r>
                        <w:t>a</w:t>
                      </w:r>
                    </w:p>
                  </w:txbxContent>
                </v:textbox>
              </v:shape>
            </w:pict>
          </mc:Fallback>
        </mc:AlternateContent>
      </w:r>
      <w:r w:rsidRPr="000E3BD6">
        <w:rPr>
          <w:rFonts w:ascii="Book Antiqua" w:hAnsi="Book Antiqua" w:cs="Times New Roman"/>
          <w:b/>
          <w:noProof/>
          <w:sz w:val="24"/>
          <w:szCs w:val="24"/>
        </w:rPr>
        <mc:AlternateContent>
          <mc:Choice Requires="wps">
            <w:drawing>
              <wp:anchor distT="0" distB="0" distL="114300" distR="114300" simplePos="0" relativeHeight="251661312" behindDoc="0" locked="0" layoutInCell="1" allowOverlap="1" wp14:anchorId="5B0DD568" wp14:editId="614F38D8">
                <wp:simplePos x="0" y="0"/>
                <wp:positionH relativeFrom="column">
                  <wp:posOffset>1454150</wp:posOffset>
                </wp:positionH>
                <wp:positionV relativeFrom="paragraph">
                  <wp:posOffset>596265</wp:posOffset>
                </wp:positionV>
                <wp:extent cx="213360" cy="273050"/>
                <wp:effectExtent l="0" t="0" r="15240" b="12700"/>
                <wp:wrapNone/>
                <wp:docPr id="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73050"/>
                        </a:xfrm>
                        <a:prstGeom prst="rect">
                          <a:avLst/>
                        </a:prstGeom>
                        <a:solidFill>
                          <a:srgbClr val="FFFFFF"/>
                        </a:solidFill>
                        <a:ln w="9525">
                          <a:solidFill>
                            <a:srgbClr val="000000"/>
                          </a:solidFill>
                          <a:miter lim="800000"/>
                          <a:headEnd/>
                          <a:tailEnd/>
                        </a:ln>
                      </wps:spPr>
                      <wps:txbx>
                        <w:txbxContent>
                          <w:p w14:paraId="1D2BB2D2" w14:textId="77777777" w:rsidR="000C3D8B" w:rsidRDefault="000C3D8B" w:rsidP="00A716AA">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0DD568" id="_x0000_s1028" type="#_x0000_t202" style="position:absolute;left:0;text-align:left;margin-left:114.5pt;margin-top:46.95pt;width:16.8pt;height: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">
                <v:textbox>
                  <w:txbxContent>
                    <w:p w14:paraId="1D2BB2D2" w14:textId="77777777" w:rsidR="000C3D8B" w:rsidRDefault="000C3D8B" w:rsidP="00A716AA">
                      <w:r>
                        <w:t>a</w:t>
                      </w:r>
                    </w:p>
                  </w:txbxContent>
                </v:textbox>
              </v:shape>
            </w:pict>
          </mc:Fallback>
        </mc:AlternateContent>
      </w:r>
      <w:r w:rsidRPr="000E3BD6">
        <w:rPr>
          <w:rFonts w:ascii="Book Antiqua" w:hAnsi="Book Antiqua" w:cs="Times New Roman"/>
          <w:b/>
          <w:noProof/>
          <w:sz w:val="24"/>
          <w:szCs w:val="24"/>
        </w:rPr>
        <mc:AlternateContent>
          <mc:Choice Requires="wps">
            <w:drawing>
              <wp:anchor distT="0" distB="0" distL="114300" distR="114300" simplePos="0" relativeHeight="251663360" behindDoc="0" locked="0" layoutInCell="1" allowOverlap="1" wp14:anchorId="15784D47" wp14:editId="03EE9688">
                <wp:simplePos x="0" y="0"/>
                <wp:positionH relativeFrom="column">
                  <wp:posOffset>2018252</wp:posOffset>
                </wp:positionH>
                <wp:positionV relativeFrom="paragraph">
                  <wp:posOffset>121731</wp:posOffset>
                </wp:positionV>
                <wp:extent cx="213360" cy="255270"/>
                <wp:effectExtent l="0" t="0" r="15240" b="11430"/>
                <wp:wrapNone/>
                <wp:docPr id="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55270"/>
                        </a:xfrm>
                        <a:prstGeom prst="rect">
                          <a:avLst/>
                        </a:prstGeom>
                        <a:solidFill>
                          <a:srgbClr val="FFFFFF"/>
                        </a:solidFill>
                        <a:ln w="9525">
                          <a:solidFill>
                            <a:srgbClr val="000000"/>
                          </a:solidFill>
                          <a:miter lim="800000"/>
                          <a:headEnd/>
                          <a:tailEnd/>
                        </a:ln>
                      </wps:spPr>
                      <wps:txbx>
                        <w:txbxContent>
                          <w:p w14:paraId="71A0A9CE" w14:textId="77777777" w:rsidR="000C3D8B" w:rsidRDefault="000C3D8B" w:rsidP="00A716AA">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784D47" id="_x0000_s1029" type="#_x0000_t202" style="position:absolute;left:0;text-align:left;margin-left:158.9pt;margin-top:9.6pt;width:16.8pt;height:2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">
                <v:textbox>
                  <w:txbxContent>
                    <w:p w14:paraId="71A0A9CE" w14:textId="77777777" w:rsidR="000C3D8B" w:rsidRDefault="000C3D8B" w:rsidP="00A716AA">
                      <w:r>
                        <w:t>a</w:t>
                      </w:r>
                    </w:p>
                  </w:txbxContent>
                </v:textbox>
              </v:shape>
            </w:pict>
          </mc:Fallback>
        </mc:AlternateContent>
      </w:r>
      <w:r w:rsidRPr="000E3BD6">
        <w:rPr>
          <w:rFonts w:ascii="Book Antiqua" w:hAnsi="Book Antiqua" w:cs="Times New Roman"/>
          <w:b/>
          <w:noProof/>
          <w:sz w:val="24"/>
          <w:szCs w:val="24"/>
        </w:rPr>
        <mc:AlternateContent>
          <mc:Choice Requires="wps">
            <w:drawing>
              <wp:anchor distT="0" distB="0" distL="114300" distR="114300" simplePos="0" relativeHeight="251665408" behindDoc="0" locked="0" layoutInCell="1" allowOverlap="1" wp14:anchorId="3E9BA4F7" wp14:editId="6BD80BD7">
                <wp:simplePos x="0" y="0"/>
                <wp:positionH relativeFrom="column">
                  <wp:posOffset>3979545</wp:posOffset>
                </wp:positionH>
                <wp:positionV relativeFrom="paragraph">
                  <wp:posOffset>2997200</wp:posOffset>
                </wp:positionV>
                <wp:extent cx="213360" cy="255270"/>
                <wp:effectExtent l="0" t="0" r="15240" b="11430"/>
                <wp:wrapNone/>
                <wp:docPr id="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55270"/>
                        </a:xfrm>
                        <a:prstGeom prst="rect">
                          <a:avLst/>
                        </a:prstGeom>
                        <a:solidFill>
                          <a:srgbClr val="FFFFFF"/>
                        </a:solidFill>
                        <a:ln w="9525">
                          <a:solidFill>
                            <a:srgbClr val="000000"/>
                          </a:solidFill>
                          <a:miter lim="800000"/>
                          <a:headEnd/>
                          <a:tailEnd/>
                        </a:ln>
                      </wps:spPr>
                      <wps:txbx>
                        <w:txbxContent>
                          <w:p w14:paraId="53BA5C76" w14:textId="77777777" w:rsidR="000C3D8B" w:rsidRDefault="000C3D8B" w:rsidP="00A716AA">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9BA4F7" id="_x0000_s1030" type="#_x0000_t202" style="position:absolute;left:0;text-align:left;margin-left:313.35pt;margin-top:236pt;width:16.8pt;height:2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">
                <v:textbox>
                  <w:txbxContent>
                    <w:p w14:paraId="53BA5C76" w14:textId="77777777" w:rsidR="000C3D8B" w:rsidRDefault="000C3D8B" w:rsidP="00A716AA">
                      <w:r>
                        <w:t>a</w:t>
                      </w:r>
                    </w:p>
                  </w:txbxContent>
                </v:textbox>
              </v:shape>
            </w:pict>
          </mc:Fallback>
        </mc:AlternateContent>
      </w:r>
      <w:r w:rsidRPr="000E3BD6">
        <w:rPr>
          <w:rFonts w:ascii="Book Antiqua" w:hAnsi="Book Antiqua"/>
          <w:noProof/>
          <w:sz w:val="24"/>
          <w:szCs w:val="24"/>
        </w:rPr>
        <w:t xml:space="preserve">   </w:t>
      </w:r>
      <w:r w:rsidR="006B0A36" w:rsidRPr="000E3BD6">
        <w:rPr>
          <w:rFonts w:ascii="Book Antiqua" w:hAnsi="Book Antiqua"/>
          <w:noProof/>
          <w:sz w:val="24"/>
          <w:szCs w:val="24"/>
        </w:rPr>
        <w:drawing>
          <wp:inline distT="0" distB="0" distL="0" distR="0" wp14:anchorId="60A607D1" wp14:editId="5C86CA9F">
            <wp:extent cx="4781550" cy="53294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88890" cy="5337601"/>
                    </a:xfrm>
                    <a:prstGeom prst="rect">
                      <a:avLst/>
                    </a:prstGeom>
                    <a:noFill/>
                    <a:ln>
                      <a:noFill/>
                    </a:ln>
                  </pic:spPr>
                </pic:pic>
              </a:graphicData>
            </a:graphic>
          </wp:inline>
        </w:drawing>
      </w:r>
      <w:r w:rsidRPr="000E3BD6">
        <w:rPr>
          <w:rFonts w:ascii="Book Antiqua" w:hAnsi="Book Antiqua" w:cs="Times New Roman"/>
          <w:b/>
          <w:noProof/>
          <w:sz w:val="24"/>
          <w:szCs w:val="24"/>
        </w:rPr>
        <w:t xml:space="preserve">  </w:t>
      </w:r>
    </w:p>
    <w:p w14:paraId="263A161A" w14:textId="70C8EEBD" w:rsidR="004541C1" w:rsidRPr="000E3BD6" w:rsidRDefault="006B0A36" w:rsidP="00F710B6">
      <w:pPr>
        <w:autoSpaceDE w:val="0"/>
        <w:autoSpaceDN w:val="0"/>
        <w:adjustRightInd w:val="0"/>
        <w:spacing w:after="0" w:line="360" w:lineRule="auto"/>
        <w:contextualSpacing/>
        <w:jc w:val="both"/>
        <w:rPr>
          <w:rFonts w:ascii="Book Antiqua" w:hAnsi="Book Antiqua" w:cs="Times New Roman"/>
          <w:sz w:val="24"/>
          <w:szCs w:val="24"/>
        </w:rPr>
      </w:pPr>
      <w:r w:rsidRPr="000E3BD6">
        <w:rPr>
          <w:rFonts w:ascii="Book Antiqua" w:hAnsi="Book Antiqua" w:cs="Times New Roman"/>
          <w:b/>
          <w:sz w:val="24"/>
          <w:szCs w:val="24"/>
        </w:rPr>
        <w:t xml:space="preserve">Figure 2 Expression of </w:t>
      </w:r>
      <w:r w:rsidR="008F2A5D" w:rsidRPr="000E3BD6">
        <w:rPr>
          <w:rFonts w:ascii="Book Antiqua" w:eastAsia="Times New Roman" w:hAnsi="Book Antiqua" w:cs="Times New Roman"/>
          <w:b/>
          <w:sz w:val="24"/>
          <w:szCs w:val="24"/>
        </w:rPr>
        <w:t>stromal cell-derived factor-1α</w:t>
      </w:r>
      <w:r w:rsidR="000C3D8B">
        <w:rPr>
          <w:rFonts w:ascii="Book Antiqua" w:eastAsia="Times New Roman" w:hAnsi="Book Antiqua" w:cs="Times New Roman"/>
          <w:b/>
          <w:sz w:val="24"/>
          <w:szCs w:val="24"/>
        </w:rPr>
        <w:t xml:space="preserve"> </w:t>
      </w:r>
      <w:r w:rsidRPr="000E3BD6">
        <w:rPr>
          <w:rFonts w:ascii="Book Antiqua" w:hAnsi="Book Antiqua" w:cs="Times New Roman"/>
          <w:b/>
          <w:sz w:val="24"/>
          <w:szCs w:val="24"/>
        </w:rPr>
        <w:t xml:space="preserve">and the condition of the degenerative disc. </w:t>
      </w:r>
      <w:r w:rsidR="008F2A5D" w:rsidRPr="000E3BD6">
        <w:rPr>
          <w:rFonts w:ascii="Book Antiqua" w:hAnsi="Book Antiqua" w:cs="Times New Roman" w:hint="eastAsia"/>
          <w:b/>
          <w:sz w:val="24"/>
          <w:szCs w:val="24"/>
        </w:rPr>
        <w:t>A</w:t>
      </w:r>
      <w:r w:rsidR="000C3D8B">
        <w:rPr>
          <w:rFonts w:ascii="Book Antiqua" w:hAnsi="Book Antiqua" w:cs="Times New Roman"/>
          <w:b/>
          <w:sz w:val="24"/>
          <w:szCs w:val="24"/>
        </w:rPr>
        <w:t xml:space="preserve"> and</w:t>
      </w:r>
      <w:r w:rsidR="000C3D8B" w:rsidRPr="000E3BD6">
        <w:rPr>
          <w:rFonts w:ascii="Book Antiqua" w:hAnsi="Book Antiqua" w:cs="Times New Roman" w:hint="eastAsia"/>
          <w:b/>
          <w:sz w:val="24"/>
          <w:szCs w:val="24"/>
        </w:rPr>
        <w:t xml:space="preserve"> </w:t>
      </w:r>
      <w:r w:rsidR="008F2A5D" w:rsidRPr="000E3BD6">
        <w:rPr>
          <w:rFonts w:ascii="Book Antiqua" w:hAnsi="Book Antiqua" w:cs="Times New Roman" w:hint="eastAsia"/>
          <w:b/>
          <w:sz w:val="24"/>
          <w:szCs w:val="24"/>
        </w:rPr>
        <w:t xml:space="preserve">B: </w:t>
      </w:r>
      <w:r w:rsidRPr="000E3BD6">
        <w:rPr>
          <w:rFonts w:ascii="Book Antiqua" w:hAnsi="Book Antiqua" w:cs="Times New Roman"/>
          <w:sz w:val="24"/>
          <w:szCs w:val="24"/>
        </w:rPr>
        <w:t>The mRNA (</w:t>
      </w:r>
      <w:r w:rsidR="008F2A5D" w:rsidRPr="000E3BD6">
        <w:rPr>
          <w:rFonts w:ascii="Book Antiqua" w:hAnsi="Book Antiqua" w:cs="Times New Roman"/>
          <w:sz w:val="24"/>
          <w:szCs w:val="24"/>
        </w:rPr>
        <w:t>A</w:t>
      </w:r>
      <w:r w:rsidRPr="000E3BD6">
        <w:rPr>
          <w:rFonts w:ascii="Book Antiqua" w:hAnsi="Book Antiqua" w:cs="Times New Roman"/>
          <w:sz w:val="24"/>
          <w:szCs w:val="24"/>
        </w:rPr>
        <w:t>) and protein (</w:t>
      </w:r>
      <w:r w:rsidR="008F2A5D" w:rsidRPr="000E3BD6">
        <w:rPr>
          <w:rFonts w:ascii="Book Antiqua" w:hAnsi="Book Antiqua" w:cs="Times New Roman"/>
          <w:sz w:val="24"/>
          <w:szCs w:val="24"/>
        </w:rPr>
        <w:t>B</w:t>
      </w:r>
      <w:r w:rsidRPr="000E3BD6">
        <w:rPr>
          <w:rFonts w:ascii="Book Antiqua" w:hAnsi="Book Antiqua" w:cs="Times New Roman"/>
          <w:sz w:val="24"/>
          <w:szCs w:val="24"/>
        </w:rPr>
        <w:t xml:space="preserve">) levels of </w:t>
      </w:r>
      <w:r w:rsidR="00F139F0" w:rsidRPr="000E3BD6">
        <w:rPr>
          <w:rFonts w:ascii="Book Antiqua" w:eastAsia="Times New Roman" w:hAnsi="Book Antiqua" w:cs="Times New Roman"/>
          <w:sz w:val="24"/>
          <w:szCs w:val="24"/>
        </w:rPr>
        <w:t>stromal cell-derived factor-1α</w:t>
      </w:r>
      <w:r w:rsidR="00F139F0" w:rsidRPr="000E3BD6">
        <w:rPr>
          <w:rFonts w:ascii="Book Antiqua" w:hAnsi="Book Antiqua" w:cs="Times New Roman" w:hint="eastAsia"/>
          <w:sz w:val="24"/>
          <w:szCs w:val="24"/>
        </w:rPr>
        <w:t xml:space="preserve"> (</w:t>
      </w:r>
      <w:r w:rsidRPr="000E3BD6">
        <w:rPr>
          <w:rFonts w:ascii="Book Antiqua" w:hAnsi="Book Antiqua" w:cs="Times New Roman"/>
          <w:sz w:val="24"/>
          <w:szCs w:val="24"/>
        </w:rPr>
        <w:t>SDF-1α</w:t>
      </w:r>
      <w:r w:rsidR="00F139F0" w:rsidRPr="000E3BD6">
        <w:rPr>
          <w:rFonts w:ascii="Book Antiqua" w:hAnsi="Book Antiqua" w:cs="Times New Roman" w:hint="eastAsia"/>
          <w:sz w:val="24"/>
          <w:szCs w:val="24"/>
        </w:rPr>
        <w:t>)</w:t>
      </w:r>
      <w:r w:rsidRPr="000E3BD6">
        <w:rPr>
          <w:rFonts w:ascii="Book Antiqua" w:hAnsi="Book Antiqua" w:cs="Times New Roman"/>
          <w:sz w:val="24"/>
          <w:szCs w:val="24"/>
        </w:rPr>
        <w:t xml:space="preserve"> expressed in </w:t>
      </w:r>
      <w:r w:rsidR="00F139F0" w:rsidRPr="000E3BD6">
        <w:rPr>
          <w:rFonts w:ascii="Book Antiqua" w:hAnsi="Book Antiqua" w:cs="Times New Roman"/>
          <w:sz w:val="24"/>
          <w:szCs w:val="24"/>
        </w:rPr>
        <w:t>nucleus pulposus cells</w:t>
      </w:r>
      <w:r w:rsidRPr="000E3BD6">
        <w:rPr>
          <w:rFonts w:ascii="Book Antiqua" w:hAnsi="Book Antiqua" w:cs="Times New Roman"/>
          <w:sz w:val="24"/>
          <w:szCs w:val="24"/>
        </w:rPr>
        <w:t xml:space="preserve"> with pro-inflammatory cytokines were markedly increased compared with those in normal condition, based on real-time </w:t>
      </w:r>
      <w:r w:rsidR="00D536BF" w:rsidRPr="000E3BD6">
        <w:rPr>
          <w:rFonts w:ascii="Book Antiqua" w:eastAsia="Times New Roman" w:hAnsi="Book Antiqua" w:cs="Times New Roman"/>
          <w:sz w:val="24"/>
          <w:szCs w:val="24"/>
        </w:rPr>
        <w:t>reverse transcription-polymerase chain reaction</w:t>
      </w:r>
      <w:r w:rsidRPr="000E3BD6">
        <w:rPr>
          <w:rFonts w:ascii="Book Antiqua" w:hAnsi="Book Antiqua" w:cs="Times New Roman"/>
          <w:sz w:val="24"/>
          <w:szCs w:val="24"/>
        </w:rPr>
        <w:t xml:space="preserve"> and </w:t>
      </w:r>
      <w:r w:rsidR="00D536BF" w:rsidRPr="000E3BD6">
        <w:rPr>
          <w:rFonts w:ascii="Book Antiqua" w:hAnsi="Book Antiqua" w:cs="Times New Roman"/>
          <w:sz w:val="24"/>
          <w:szCs w:val="24"/>
        </w:rPr>
        <w:t>enzyme-linked immunosorbent assay</w:t>
      </w:r>
      <w:r w:rsidR="008F2A5D" w:rsidRPr="000E3BD6">
        <w:rPr>
          <w:rFonts w:ascii="Book Antiqua" w:hAnsi="Book Antiqua" w:cs="Times New Roman" w:hint="eastAsia"/>
          <w:sz w:val="24"/>
          <w:szCs w:val="24"/>
        </w:rPr>
        <w:t>;</w:t>
      </w:r>
      <w:r w:rsidRPr="000E3BD6">
        <w:rPr>
          <w:rFonts w:ascii="Book Antiqua" w:hAnsi="Book Antiqua" w:cs="Times New Roman"/>
          <w:sz w:val="24"/>
          <w:szCs w:val="24"/>
        </w:rPr>
        <w:t xml:space="preserve"> </w:t>
      </w:r>
      <w:r w:rsidR="008F2A5D" w:rsidRPr="000E3BD6">
        <w:rPr>
          <w:rFonts w:ascii="Book Antiqua" w:hAnsi="Book Antiqua" w:cs="Times New Roman" w:hint="eastAsia"/>
          <w:sz w:val="24"/>
          <w:szCs w:val="24"/>
        </w:rPr>
        <w:t xml:space="preserve">C: </w:t>
      </w:r>
      <w:r w:rsidRPr="000E3BD6">
        <w:rPr>
          <w:rFonts w:ascii="Book Antiqua" w:hAnsi="Book Antiqua" w:cs="Times New Roman"/>
          <w:sz w:val="24"/>
          <w:szCs w:val="24"/>
        </w:rPr>
        <w:t xml:space="preserve">Immunohistochemical analysis showing the significant upregulation of SDF-1α in the degenerative disc. </w:t>
      </w:r>
      <w:r w:rsidR="004541C1" w:rsidRPr="000E3BD6">
        <w:rPr>
          <w:rFonts w:ascii="Book Antiqua" w:hAnsi="Book Antiqua" w:cs="Times New Roman"/>
          <w:sz w:val="24"/>
          <w:szCs w:val="24"/>
        </w:rPr>
        <w:t xml:space="preserve">Data are expressed as </w:t>
      </w:r>
      <w:r w:rsidR="000C3D8B">
        <w:rPr>
          <w:rFonts w:ascii="Book Antiqua" w:hAnsi="Book Antiqua" w:cs="Times New Roman"/>
          <w:sz w:val="24"/>
          <w:szCs w:val="24"/>
        </w:rPr>
        <w:t xml:space="preserve">the </w:t>
      </w:r>
      <w:r w:rsidR="004541C1" w:rsidRPr="000E3BD6">
        <w:rPr>
          <w:rFonts w:ascii="Book Antiqua" w:hAnsi="Book Antiqua" w:cs="Times New Roman"/>
          <w:sz w:val="24"/>
          <w:szCs w:val="24"/>
        </w:rPr>
        <w:t xml:space="preserve">mean ± SD, </w:t>
      </w:r>
      <w:r w:rsidR="004541C1" w:rsidRPr="000E3BD6">
        <w:rPr>
          <w:rFonts w:ascii="Book Antiqua" w:hAnsi="Book Antiqua" w:cs="Times New Roman"/>
          <w:i/>
          <w:sz w:val="24"/>
          <w:szCs w:val="24"/>
        </w:rPr>
        <w:t>n</w:t>
      </w:r>
      <w:r w:rsidR="004541C1" w:rsidRPr="000E3BD6">
        <w:rPr>
          <w:rFonts w:ascii="Book Antiqua" w:hAnsi="Book Antiqua" w:cs="Times New Roman"/>
          <w:sz w:val="24"/>
          <w:szCs w:val="24"/>
        </w:rPr>
        <w:t xml:space="preserve"> = 3, </w:t>
      </w:r>
      <w:r w:rsidR="008B276F" w:rsidRPr="000E3BD6">
        <w:rPr>
          <w:rFonts w:ascii="Book Antiqua" w:hAnsi="Book Antiqua" w:cs="Times New Roman" w:hint="eastAsia"/>
          <w:sz w:val="24"/>
          <w:szCs w:val="24"/>
          <w:vertAlign w:val="superscript"/>
        </w:rPr>
        <w:t>a</w:t>
      </w:r>
      <w:r w:rsidR="004541C1" w:rsidRPr="000E3BD6">
        <w:rPr>
          <w:rFonts w:ascii="Book Antiqua" w:hAnsi="Book Antiqua" w:cs="Times New Roman"/>
          <w:i/>
          <w:sz w:val="24"/>
          <w:szCs w:val="24"/>
        </w:rPr>
        <w:t>P</w:t>
      </w:r>
      <w:r w:rsidR="004541C1" w:rsidRPr="000E3BD6">
        <w:rPr>
          <w:rFonts w:ascii="Book Antiqua" w:hAnsi="Book Antiqua" w:cs="Times New Roman"/>
          <w:sz w:val="24"/>
          <w:szCs w:val="24"/>
        </w:rPr>
        <w:t xml:space="preserve"> &lt; 0.05. SDF-1α: </w:t>
      </w:r>
      <w:r w:rsidR="008F1A23" w:rsidRPr="000E3BD6">
        <w:rPr>
          <w:rFonts w:ascii="Book Antiqua" w:eastAsia="Times New Roman" w:hAnsi="Book Antiqua" w:cs="Times New Roman"/>
          <w:sz w:val="24"/>
          <w:szCs w:val="24"/>
        </w:rPr>
        <w:t xml:space="preserve">Stromal </w:t>
      </w:r>
      <w:r w:rsidR="004541C1" w:rsidRPr="000E3BD6">
        <w:rPr>
          <w:rFonts w:ascii="Book Antiqua" w:eastAsia="Times New Roman" w:hAnsi="Book Antiqua" w:cs="Times New Roman"/>
          <w:sz w:val="24"/>
          <w:szCs w:val="24"/>
        </w:rPr>
        <w:t>cell-derived factor-1α</w:t>
      </w:r>
      <w:r w:rsidR="004541C1" w:rsidRPr="000E3BD6">
        <w:rPr>
          <w:rFonts w:ascii="Book Antiqua" w:hAnsi="Book Antiqua" w:cs="Times New Roman"/>
          <w:sz w:val="24"/>
          <w:szCs w:val="24"/>
        </w:rPr>
        <w:t xml:space="preserve">; NP: </w:t>
      </w:r>
      <w:r w:rsidR="00F139F0" w:rsidRPr="000E3BD6">
        <w:rPr>
          <w:rFonts w:ascii="Book Antiqua" w:hAnsi="Book Antiqua" w:cs="Times New Roman"/>
          <w:sz w:val="24"/>
          <w:szCs w:val="24"/>
        </w:rPr>
        <w:t xml:space="preserve">Nucleus </w:t>
      </w:r>
      <w:r w:rsidR="004541C1" w:rsidRPr="000E3BD6">
        <w:rPr>
          <w:rFonts w:ascii="Book Antiqua" w:hAnsi="Book Antiqua" w:cs="Times New Roman"/>
          <w:sz w:val="24"/>
          <w:szCs w:val="24"/>
        </w:rPr>
        <w:t xml:space="preserve">pulposus; IOD: </w:t>
      </w:r>
      <w:r w:rsidR="008F1A23" w:rsidRPr="000E3BD6">
        <w:rPr>
          <w:rFonts w:ascii="Book Antiqua" w:hAnsi="Book Antiqua" w:cs="Times New Roman"/>
          <w:sz w:val="24"/>
          <w:szCs w:val="24"/>
        </w:rPr>
        <w:t xml:space="preserve">Integrated </w:t>
      </w:r>
      <w:r w:rsidR="004541C1" w:rsidRPr="000E3BD6">
        <w:rPr>
          <w:rFonts w:ascii="Book Antiqua" w:hAnsi="Book Antiqua" w:cs="Times New Roman"/>
          <w:sz w:val="24"/>
          <w:szCs w:val="24"/>
        </w:rPr>
        <w:t>optical density</w:t>
      </w:r>
      <w:r w:rsidR="008F1A23" w:rsidRPr="000E3BD6">
        <w:rPr>
          <w:rFonts w:ascii="Book Antiqua" w:hAnsi="Book Antiqua" w:cs="Times New Roman" w:hint="eastAsia"/>
          <w:sz w:val="24"/>
          <w:szCs w:val="24"/>
        </w:rPr>
        <w:t>;</w:t>
      </w:r>
      <w:r w:rsidR="0028339C" w:rsidRPr="000E3BD6">
        <w:rPr>
          <w:rFonts w:ascii="Book Antiqua" w:hAnsi="Book Antiqua" w:cs="Times New Roman"/>
          <w:sz w:val="24"/>
          <w:szCs w:val="24"/>
        </w:rPr>
        <w:t xml:space="preserve"> TNF-α</w:t>
      </w:r>
      <w:r w:rsidR="0028339C" w:rsidRPr="000E3BD6">
        <w:rPr>
          <w:rFonts w:ascii="Book Antiqua" w:hAnsi="Book Antiqua" w:cs="Times New Roman" w:hint="eastAsia"/>
          <w:sz w:val="24"/>
          <w:szCs w:val="24"/>
        </w:rPr>
        <w:t>:</w:t>
      </w:r>
      <w:r w:rsidR="0028339C" w:rsidRPr="000E3BD6">
        <w:rPr>
          <w:rFonts w:ascii="Book Antiqua" w:hAnsi="Book Antiqua" w:cs="Times New Roman"/>
          <w:sz w:val="24"/>
          <w:szCs w:val="24"/>
        </w:rPr>
        <w:t xml:space="preserve"> Tumor necrosis factor-α</w:t>
      </w:r>
      <w:r w:rsidR="0028339C" w:rsidRPr="000E3BD6">
        <w:rPr>
          <w:rFonts w:ascii="Book Antiqua" w:hAnsi="Book Antiqua" w:cs="Times New Roman" w:hint="eastAsia"/>
          <w:sz w:val="24"/>
          <w:szCs w:val="24"/>
        </w:rPr>
        <w:t xml:space="preserve">; </w:t>
      </w:r>
      <w:r w:rsidR="0028339C" w:rsidRPr="000E3BD6">
        <w:rPr>
          <w:rFonts w:ascii="Book Antiqua" w:hAnsi="Book Antiqua" w:cs="Times New Roman"/>
          <w:sz w:val="24"/>
          <w:szCs w:val="24"/>
        </w:rPr>
        <w:t>IL</w:t>
      </w:r>
      <w:r w:rsidR="0028339C" w:rsidRPr="000E3BD6">
        <w:rPr>
          <w:rFonts w:ascii="Book Antiqua" w:hAnsi="Book Antiqua" w:cs="Times New Roman" w:hint="eastAsia"/>
          <w:sz w:val="24"/>
          <w:szCs w:val="24"/>
        </w:rPr>
        <w:t>:</w:t>
      </w:r>
      <w:r w:rsidR="0028339C" w:rsidRPr="000E3BD6">
        <w:rPr>
          <w:rFonts w:ascii="Book Antiqua" w:hAnsi="Book Antiqua" w:cs="Times New Roman"/>
          <w:sz w:val="24"/>
          <w:szCs w:val="24"/>
        </w:rPr>
        <w:t xml:space="preserve"> Interleukin</w:t>
      </w:r>
      <w:r w:rsidR="0028339C" w:rsidRPr="000E3BD6">
        <w:rPr>
          <w:rFonts w:ascii="Book Antiqua" w:hAnsi="Book Antiqua" w:cs="Times New Roman" w:hint="eastAsia"/>
          <w:sz w:val="24"/>
          <w:szCs w:val="24"/>
        </w:rPr>
        <w:t>.</w:t>
      </w:r>
    </w:p>
    <w:p w14:paraId="3A1045D5"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p>
    <w:p w14:paraId="1D53DAB7" w14:textId="11AAA57C" w:rsidR="006B0A36" w:rsidRPr="000E3BD6" w:rsidRDefault="00AB0E6D" w:rsidP="00F710B6">
      <w:pPr>
        <w:autoSpaceDE w:val="0"/>
        <w:autoSpaceDN w:val="0"/>
        <w:adjustRightInd w:val="0"/>
        <w:spacing w:after="0" w:line="360" w:lineRule="auto"/>
        <w:contextualSpacing/>
        <w:jc w:val="both"/>
        <w:rPr>
          <w:rFonts w:ascii="Book Antiqua" w:eastAsia="Times New Roman" w:hAnsi="Book Antiqua" w:cs="Times New Roman"/>
          <w:sz w:val="24"/>
          <w:szCs w:val="24"/>
        </w:rPr>
      </w:pPr>
      <w:r w:rsidRPr="000E3BD6">
        <w:rPr>
          <w:rFonts w:ascii="Book Antiqua" w:hAnsi="Book Antiqua" w:cs="Times New Roman"/>
          <w:b/>
          <w:noProof/>
          <w:sz w:val="24"/>
          <w:szCs w:val="24"/>
        </w:rPr>
        <mc:AlternateContent>
          <mc:Choice Requires="wps">
            <w:drawing>
              <wp:anchor distT="0" distB="0" distL="114300" distR="114300" simplePos="0" relativeHeight="251673600" behindDoc="0" locked="0" layoutInCell="1" allowOverlap="1" wp14:anchorId="48C4EB02" wp14:editId="69D68DC0">
                <wp:simplePos x="0" y="0"/>
                <wp:positionH relativeFrom="column">
                  <wp:posOffset>6258156</wp:posOffset>
                </wp:positionH>
                <wp:positionV relativeFrom="paragraph">
                  <wp:posOffset>2615829</wp:posOffset>
                </wp:positionV>
                <wp:extent cx="243205" cy="207645"/>
                <wp:effectExtent l="0" t="0" r="23495" b="20955"/>
                <wp:wrapNone/>
                <wp:docPr id="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7C7FC1CA" w14:textId="77777777" w:rsidR="000C3D8B" w:rsidRPr="00AB0E6D" w:rsidRDefault="000C3D8B" w:rsidP="00AB0E6D">
                            <w:pPr>
                              <w:rPr>
                                <w:sz w:val="16"/>
                                <w:szCs w:val="16"/>
                              </w:rPr>
                            </w:pPr>
                            <w:r>
                              <w:rPr>
                                <w:rFonts w:hint="eastAsia"/>
                                <w:sz w:val="16"/>
                                <w:szCs w:val="1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C4EB02" id="_x0000_s1031" type="#_x0000_t202" style="position:absolute;left:0;text-align:left;margin-left:492.75pt;margin-top:205.95pt;width:19.15pt;height:16.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">
                <v:textbox>
                  <w:txbxContent>
                    <w:p w14:paraId="7C7FC1CA" w14:textId="77777777" w:rsidR="000C3D8B" w:rsidRPr="00AB0E6D" w:rsidRDefault="000C3D8B" w:rsidP="00AB0E6D">
                      <w:pPr>
                        <w:rPr>
                          <w:sz w:val="16"/>
                          <w:szCs w:val="16"/>
                        </w:rPr>
                      </w:pPr>
                      <w:r>
                        <w:rPr>
                          <w:rFonts w:hint="eastAsia"/>
                          <w:sz w:val="16"/>
                          <w:szCs w:val="16"/>
                        </w:rPr>
                        <w:t>b</w:t>
                      </w:r>
                    </w:p>
                  </w:txbxContent>
                </v:textbox>
              </v:shape>
            </w:pict>
          </mc:Fallback>
        </mc:AlternateContent>
      </w:r>
      <w:r w:rsidRPr="000E3BD6">
        <w:rPr>
          <w:rFonts w:ascii="Book Antiqua" w:hAnsi="Book Antiqua" w:cs="Times New Roman"/>
          <w:b/>
          <w:noProof/>
          <w:sz w:val="24"/>
          <w:szCs w:val="24"/>
        </w:rPr>
        <mc:AlternateContent>
          <mc:Choice Requires="wps">
            <w:drawing>
              <wp:anchor distT="0" distB="0" distL="114300" distR="114300" simplePos="0" relativeHeight="251675648" behindDoc="0" locked="0" layoutInCell="1" allowOverlap="1" wp14:anchorId="4AC5ADD4" wp14:editId="18407C2E">
                <wp:simplePos x="0" y="0"/>
                <wp:positionH relativeFrom="column">
                  <wp:posOffset>2860675</wp:posOffset>
                </wp:positionH>
                <wp:positionV relativeFrom="paragraph">
                  <wp:posOffset>2778125</wp:posOffset>
                </wp:positionV>
                <wp:extent cx="243205" cy="207645"/>
                <wp:effectExtent l="0" t="0" r="23495" b="20955"/>
                <wp:wrapNone/>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3DFEC273" w14:textId="77777777" w:rsidR="000C3D8B" w:rsidRPr="00AB0E6D" w:rsidRDefault="000C3D8B" w:rsidP="00AB0E6D">
                            <w:pPr>
                              <w:rPr>
                                <w:sz w:val="16"/>
                                <w:szCs w:val="16"/>
                              </w:rPr>
                            </w:pPr>
                            <w:r>
                              <w:rPr>
                                <w:rFonts w:hint="eastAsia"/>
                                <w:sz w:val="16"/>
                                <w:szCs w:val="1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C5ADD4" id="_x0000_s1032" type="#_x0000_t202" style="position:absolute;left:0;text-align:left;margin-left:225.25pt;margin-top:218.75pt;width:19.15pt;height:16.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">
                <v:textbox>
                  <w:txbxContent>
                    <w:p w14:paraId="3DFEC273" w14:textId="77777777" w:rsidR="000C3D8B" w:rsidRPr="00AB0E6D" w:rsidRDefault="000C3D8B" w:rsidP="00AB0E6D">
                      <w:pPr>
                        <w:rPr>
                          <w:sz w:val="16"/>
                          <w:szCs w:val="16"/>
                        </w:rPr>
                      </w:pPr>
                      <w:r>
                        <w:rPr>
                          <w:rFonts w:hint="eastAsia"/>
                          <w:sz w:val="16"/>
                          <w:szCs w:val="16"/>
                        </w:rPr>
                        <w:t>b</w:t>
                      </w:r>
                    </w:p>
                  </w:txbxContent>
                </v:textbox>
              </v:shape>
            </w:pict>
          </mc:Fallback>
        </mc:AlternateContent>
      </w:r>
      <w:r w:rsidRPr="000E3BD6">
        <w:rPr>
          <w:rFonts w:ascii="Book Antiqua" w:hAnsi="Book Antiqua" w:cs="Times New Roman"/>
          <w:b/>
          <w:noProof/>
          <w:sz w:val="24"/>
          <w:szCs w:val="24"/>
        </w:rPr>
        <mc:AlternateContent>
          <mc:Choice Requires="wps">
            <w:drawing>
              <wp:anchor distT="0" distB="0" distL="114300" distR="114300" simplePos="0" relativeHeight="251677696" behindDoc="0" locked="0" layoutInCell="1" allowOverlap="1" wp14:anchorId="7ED6C75C" wp14:editId="26E0EE37">
                <wp:simplePos x="0" y="0"/>
                <wp:positionH relativeFrom="column">
                  <wp:posOffset>2615565</wp:posOffset>
                </wp:positionH>
                <wp:positionV relativeFrom="paragraph">
                  <wp:posOffset>2930525</wp:posOffset>
                </wp:positionV>
                <wp:extent cx="243205" cy="207645"/>
                <wp:effectExtent l="0" t="0" r="23495" b="20955"/>
                <wp:wrapNone/>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524F0388" w14:textId="77777777" w:rsidR="000C3D8B" w:rsidRPr="00AB0E6D" w:rsidRDefault="000C3D8B" w:rsidP="00AB0E6D">
                            <w:pPr>
                              <w:rPr>
                                <w:sz w:val="16"/>
                                <w:szCs w:val="16"/>
                              </w:rPr>
                            </w:pPr>
                            <w:r>
                              <w:rPr>
                                <w:rFonts w:hint="eastAsia"/>
                                <w:sz w:val="16"/>
                                <w:szCs w:val="1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D6C75C" id="_x0000_s1033" type="#_x0000_t202" style="position:absolute;left:0;text-align:left;margin-left:205.95pt;margin-top:230.75pt;width:19.15pt;height:16.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">
                <v:textbox>
                  <w:txbxContent>
                    <w:p w14:paraId="524F0388" w14:textId="77777777" w:rsidR="000C3D8B" w:rsidRPr="00AB0E6D" w:rsidRDefault="000C3D8B" w:rsidP="00AB0E6D">
                      <w:pPr>
                        <w:rPr>
                          <w:sz w:val="16"/>
                          <w:szCs w:val="16"/>
                        </w:rPr>
                      </w:pPr>
                      <w:r>
                        <w:rPr>
                          <w:rFonts w:hint="eastAsia"/>
                          <w:sz w:val="16"/>
                          <w:szCs w:val="16"/>
                        </w:rPr>
                        <w:t>b</w:t>
                      </w:r>
                    </w:p>
                  </w:txbxContent>
                </v:textbox>
              </v:shape>
            </w:pict>
          </mc:Fallback>
        </mc:AlternateContent>
      </w:r>
      <w:r w:rsidRPr="000E3BD6">
        <w:rPr>
          <w:rFonts w:ascii="Book Antiqua" w:hAnsi="Book Antiqua" w:cs="Times New Roman"/>
          <w:b/>
          <w:noProof/>
          <w:sz w:val="24"/>
          <w:szCs w:val="24"/>
        </w:rPr>
        <mc:AlternateContent>
          <mc:Choice Requires="wps">
            <w:drawing>
              <wp:anchor distT="0" distB="0" distL="114300" distR="114300" simplePos="0" relativeHeight="251679744" behindDoc="0" locked="0" layoutInCell="1" allowOverlap="1" wp14:anchorId="77467351" wp14:editId="65F601FD">
                <wp:simplePos x="0" y="0"/>
                <wp:positionH relativeFrom="column">
                  <wp:posOffset>2423160</wp:posOffset>
                </wp:positionH>
                <wp:positionV relativeFrom="paragraph">
                  <wp:posOffset>2975610</wp:posOffset>
                </wp:positionV>
                <wp:extent cx="243205" cy="207645"/>
                <wp:effectExtent l="0" t="0" r="23495" b="20955"/>
                <wp:wrapNone/>
                <wp:docPr id="1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0C4EE661" w14:textId="77777777" w:rsidR="000C3D8B" w:rsidRPr="00AB0E6D" w:rsidRDefault="000C3D8B" w:rsidP="00AB0E6D">
                            <w:pPr>
                              <w:rPr>
                                <w:sz w:val="16"/>
                                <w:szCs w:val="16"/>
                              </w:rPr>
                            </w:pPr>
                            <w:r>
                              <w:rPr>
                                <w:rFonts w:hint="eastAsia"/>
                                <w:sz w:val="16"/>
                                <w:szCs w:val="1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467351" id="_x0000_s1034" type="#_x0000_t202" style="position:absolute;left:0;text-align:left;margin-left:190.8pt;margin-top:234.3pt;width:19.15pt;height:16.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">
                <v:textbox>
                  <w:txbxContent>
                    <w:p w14:paraId="0C4EE661" w14:textId="77777777" w:rsidR="000C3D8B" w:rsidRPr="00AB0E6D" w:rsidRDefault="000C3D8B" w:rsidP="00AB0E6D">
                      <w:pPr>
                        <w:rPr>
                          <w:sz w:val="16"/>
                          <w:szCs w:val="16"/>
                        </w:rPr>
                      </w:pPr>
                      <w:r>
                        <w:rPr>
                          <w:rFonts w:hint="eastAsia"/>
                          <w:sz w:val="16"/>
                          <w:szCs w:val="16"/>
                        </w:rPr>
                        <w:t>b</w:t>
                      </w:r>
                    </w:p>
                  </w:txbxContent>
                </v:textbox>
              </v:shape>
            </w:pict>
          </mc:Fallback>
        </mc:AlternateContent>
      </w:r>
      <w:r w:rsidRPr="000E3BD6">
        <w:rPr>
          <w:rFonts w:ascii="Book Antiqua" w:hAnsi="Book Antiqua" w:cs="Times New Roman"/>
          <w:b/>
          <w:noProof/>
          <w:sz w:val="24"/>
          <w:szCs w:val="24"/>
        </w:rPr>
        <mc:AlternateContent>
          <mc:Choice Requires="wps">
            <w:drawing>
              <wp:anchor distT="0" distB="0" distL="114300" distR="114300" simplePos="0" relativeHeight="251671552" behindDoc="0" locked="0" layoutInCell="1" allowOverlap="1" wp14:anchorId="3B3183A5" wp14:editId="07F3E905">
                <wp:simplePos x="0" y="0"/>
                <wp:positionH relativeFrom="column">
                  <wp:posOffset>5982335</wp:posOffset>
                </wp:positionH>
                <wp:positionV relativeFrom="paragraph">
                  <wp:posOffset>2776220</wp:posOffset>
                </wp:positionV>
                <wp:extent cx="243205" cy="207645"/>
                <wp:effectExtent l="0" t="0" r="23495" b="20955"/>
                <wp:wrapNone/>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7FDB6E6F" w14:textId="26C5088F" w:rsidR="000C3D8B" w:rsidRPr="00AB0E6D" w:rsidRDefault="000C3D8B" w:rsidP="00AB0E6D">
                            <w:pPr>
                              <w:rPr>
                                <w:sz w:val="16"/>
                                <w:szCs w:val="16"/>
                              </w:rPr>
                            </w:pPr>
                            <w:r>
                              <w:rPr>
                                <w:rFonts w:hint="eastAsia"/>
                                <w:sz w:val="16"/>
                                <w:szCs w:val="1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3183A5" id="_x0000_s1035" type="#_x0000_t202" style="position:absolute;left:0;text-align:left;margin-left:471.05pt;margin-top:218.6pt;width:19.15pt;height:1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">
                <v:textbox>
                  <w:txbxContent>
                    <w:p w14:paraId="7FDB6E6F" w14:textId="26C5088F" w:rsidR="000C3D8B" w:rsidRPr="00AB0E6D" w:rsidRDefault="000C3D8B" w:rsidP="00AB0E6D">
                      <w:pPr>
                        <w:rPr>
                          <w:sz w:val="16"/>
                          <w:szCs w:val="16"/>
                        </w:rPr>
                      </w:pPr>
                      <w:r>
                        <w:rPr>
                          <w:rFonts w:hint="eastAsia"/>
                          <w:sz w:val="16"/>
                          <w:szCs w:val="16"/>
                        </w:rPr>
                        <w:t>b</w:t>
                      </w:r>
                    </w:p>
                  </w:txbxContent>
                </v:textbox>
              </v:shape>
            </w:pict>
          </mc:Fallback>
        </mc:AlternateContent>
      </w:r>
      <w:r w:rsidRPr="000E3BD6">
        <w:rPr>
          <w:rFonts w:ascii="Book Antiqua" w:hAnsi="Book Antiqua" w:cs="Times New Roman"/>
          <w:b/>
          <w:noProof/>
          <w:sz w:val="24"/>
          <w:szCs w:val="24"/>
        </w:rPr>
        <mc:AlternateContent>
          <mc:Choice Requires="wps">
            <w:drawing>
              <wp:anchor distT="0" distB="0" distL="114300" distR="114300" simplePos="0" relativeHeight="251669504" behindDoc="0" locked="0" layoutInCell="1" allowOverlap="1" wp14:anchorId="1269BB02" wp14:editId="4CDE2501">
                <wp:simplePos x="0" y="0"/>
                <wp:positionH relativeFrom="column">
                  <wp:posOffset>5741967</wp:posOffset>
                </wp:positionH>
                <wp:positionV relativeFrom="paragraph">
                  <wp:posOffset>3087585</wp:posOffset>
                </wp:positionV>
                <wp:extent cx="243444" cy="207819"/>
                <wp:effectExtent l="0" t="0" r="23495" b="20955"/>
                <wp:wrapNone/>
                <wp:docPr id="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44" cy="207819"/>
                        </a:xfrm>
                        <a:prstGeom prst="rect">
                          <a:avLst/>
                        </a:prstGeom>
                        <a:solidFill>
                          <a:srgbClr val="FFFFFF"/>
                        </a:solidFill>
                        <a:ln w="9525">
                          <a:solidFill>
                            <a:srgbClr val="000000"/>
                          </a:solidFill>
                          <a:miter lim="800000"/>
                          <a:headEnd/>
                          <a:tailEnd/>
                        </a:ln>
                      </wps:spPr>
                      <wps:txbx>
                        <w:txbxContent>
                          <w:p w14:paraId="60E42E01" w14:textId="21151086" w:rsidR="000C3D8B" w:rsidRPr="00AB0E6D" w:rsidRDefault="000C3D8B">
                            <w:pPr>
                              <w:rPr>
                                <w:sz w:val="16"/>
                                <w:szCs w:val="16"/>
                              </w:rPr>
                            </w:pPr>
                            <w:r w:rsidRPr="00AB0E6D">
                              <w:rPr>
                                <w:rFonts w:hint="eastAsia"/>
                                <w:sz w:val="16"/>
                                <w:szCs w:val="1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69BB02" id="_x0000_s1036" type="#_x0000_t202" style="position:absolute;left:0;text-align:left;margin-left:452.1pt;margin-top:243.1pt;width:19.15pt;height:16.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">
                <v:textbox>
                  <w:txbxContent>
                    <w:p w14:paraId="60E42E01" w14:textId="21151086" w:rsidR="000C3D8B" w:rsidRPr="00AB0E6D" w:rsidRDefault="000C3D8B">
                      <w:pPr>
                        <w:rPr>
                          <w:sz w:val="16"/>
                          <w:szCs w:val="16"/>
                        </w:rPr>
                      </w:pPr>
                      <w:r w:rsidRPr="00AB0E6D">
                        <w:rPr>
                          <w:rFonts w:hint="eastAsia"/>
                          <w:sz w:val="16"/>
                          <w:szCs w:val="16"/>
                        </w:rPr>
                        <w:t>a</w:t>
                      </w:r>
                    </w:p>
                  </w:txbxContent>
                </v:textbox>
              </v:shape>
            </w:pict>
          </mc:Fallback>
        </mc:AlternateContent>
      </w:r>
      <w:r w:rsidR="006B0A36" w:rsidRPr="000E3BD6">
        <w:rPr>
          <w:rFonts w:ascii="Book Antiqua" w:hAnsi="Book Antiqua"/>
          <w:noProof/>
          <w:sz w:val="24"/>
          <w:szCs w:val="24"/>
        </w:rPr>
        <w:drawing>
          <wp:inline distT="0" distB="0" distL="0" distR="0" wp14:anchorId="3A180C9B" wp14:editId="47855394">
            <wp:extent cx="6767939" cy="39485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18207" cy="3977873"/>
                    </a:xfrm>
                    <a:prstGeom prst="rect">
                      <a:avLst/>
                    </a:prstGeom>
                    <a:noFill/>
                    <a:ln>
                      <a:noFill/>
                    </a:ln>
                  </pic:spPr>
                </pic:pic>
              </a:graphicData>
            </a:graphic>
          </wp:inline>
        </w:drawing>
      </w:r>
      <w:r w:rsidR="006B0A36" w:rsidRPr="000E3BD6">
        <w:rPr>
          <w:rFonts w:ascii="Book Antiqua" w:hAnsi="Book Antiqua" w:cs="Times New Roman"/>
          <w:b/>
          <w:sz w:val="24"/>
          <w:szCs w:val="24"/>
        </w:rPr>
        <w:t xml:space="preserve">Figure 3 Migration capacity of </w:t>
      </w:r>
      <w:r w:rsidR="0028339C" w:rsidRPr="000E3BD6">
        <w:rPr>
          <w:rFonts w:ascii="Book Antiqua" w:hAnsi="Book Antiqua" w:cs="Times New Roman"/>
          <w:b/>
          <w:sz w:val="24"/>
          <w:szCs w:val="24"/>
        </w:rPr>
        <w:t xml:space="preserve">nucleus pulposus-derived stem cells </w:t>
      </w:r>
      <w:r w:rsidR="000C3D8B">
        <w:rPr>
          <w:rFonts w:ascii="Book Antiqua" w:hAnsi="Book Antiqua" w:cs="Times New Roman"/>
          <w:b/>
          <w:sz w:val="24"/>
          <w:szCs w:val="24"/>
        </w:rPr>
        <w:t>treated with</w:t>
      </w:r>
      <w:r w:rsidR="000C3D8B" w:rsidRPr="000E3BD6">
        <w:rPr>
          <w:rFonts w:ascii="Book Antiqua" w:hAnsi="Book Antiqua" w:cs="Times New Roman"/>
          <w:b/>
          <w:sz w:val="24"/>
          <w:szCs w:val="24"/>
        </w:rPr>
        <w:t xml:space="preserve"> </w:t>
      </w:r>
      <w:r w:rsidR="0028339C" w:rsidRPr="000E3BD6">
        <w:rPr>
          <w:rFonts w:ascii="Book Antiqua" w:eastAsia="Times New Roman" w:hAnsi="Book Antiqua" w:cs="Times New Roman"/>
          <w:b/>
          <w:sz w:val="24"/>
          <w:szCs w:val="24"/>
        </w:rPr>
        <w:t>stromal cell-derived factor-1α</w:t>
      </w:r>
      <w:r w:rsidR="000C3D8B">
        <w:rPr>
          <w:rFonts w:ascii="Book Antiqua" w:eastAsia="Times New Roman" w:hAnsi="Book Antiqua" w:cs="Times New Roman"/>
          <w:b/>
          <w:sz w:val="24"/>
          <w:szCs w:val="24"/>
        </w:rPr>
        <w:t xml:space="preserve"> </w:t>
      </w:r>
      <w:r w:rsidR="006B0A36" w:rsidRPr="000E3BD6">
        <w:rPr>
          <w:rFonts w:ascii="Book Antiqua" w:hAnsi="Book Antiqua" w:cs="Times New Roman"/>
          <w:b/>
          <w:i/>
          <w:sz w:val="24"/>
          <w:szCs w:val="24"/>
        </w:rPr>
        <w:t>in vitro</w:t>
      </w:r>
      <w:r w:rsidR="006B0A36" w:rsidRPr="000E3BD6">
        <w:rPr>
          <w:rFonts w:ascii="Book Antiqua" w:hAnsi="Book Antiqua" w:cs="Times New Roman"/>
          <w:b/>
          <w:sz w:val="24"/>
          <w:szCs w:val="24"/>
        </w:rPr>
        <w:t xml:space="preserve">. </w:t>
      </w:r>
      <w:r w:rsidR="0028339C" w:rsidRPr="000E3BD6">
        <w:rPr>
          <w:rFonts w:ascii="Book Antiqua" w:hAnsi="Book Antiqua" w:cs="Times New Roman" w:hint="eastAsia"/>
          <w:b/>
          <w:sz w:val="24"/>
          <w:szCs w:val="24"/>
        </w:rPr>
        <w:t>A</w:t>
      </w:r>
      <w:r w:rsidR="000C3D8B">
        <w:rPr>
          <w:rFonts w:ascii="Book Antiqua" w:hAnsi="Book Antiqua" w:cs="Times New Roman"/>
          <w:b/>
          <w:sz w:val="24"/>
          <w:szCs w:val="24"/>
        </w:rPr>
        <w:t xml:space="preserve"> and</w:t>
      </w:r>
      <w:r w:rsidR="000C3D8B" w:rsidRPr="000E3BD6">
        <w:rPr>
          <w:rFonts w:ascii="Book Antiqua" w:hAnsi="Book Antiqua" w:cs="Times New Roman" w:hint="eastAsia"/>
          <w:b/>
          <w:sz w:val="24"/>
          <w:szCs w:val="24"/>
        </w:rPr>
        <w:t xml:space="preserve"> </w:t>
      </w:r>
      <w:r w:rsidR="0028339C" w:rsidRPr="000E3BD6">
        <w:rPr>
          <w:rFonts w:ascii="Book Antiqua" w:hAnsi="Book Antiqua" w:cs="Times New Roman" w:hint="eastAsia"/>
          <w:b/>
          <w:sz w:val="24"/>
          <w:szCs w:val="24"/>
        </w:rPr>
        <w:t xml:space="preserve">B: </w:t>
      </w:r>
      <w:r w:rsidR="006B0A36" w:rsidRPr="000E3BD6">
        <w:rPr>
          <w:rFonts w:ascii="Book Antiqua" w:hAnsi="Book Antiqua" w:cs="Times New Roman"/>
          <w:sz w:val="24"/>
          <w:szCs w:val="24"/>
        </w:rPr>
        <w:t>Wound-healing (</w:t>
      </w:r>
      <w:r w:rsidR="0028339C" w:rsidRPr="000E3BD6">
        <w:rPr>
          <w:rFonts w:ascii="Book Antiqua" w:hAnsi="Book Antiqua" w:cs="Times New Roman"/>
          <w:sz w:val="24"/>
          <w:szCs w:val="24"/>
        </w:rPr>
        <w:t>A</w:t>
      </w:r>
      <w:r w:rsidR="006B0A36" w:rsidRPr="000E3BD6">
        <w:rPr>
          <w:rFonts w:ascii="Book Antiqua" w:hAnsi="Book Antiqua" w:cs="Times New Roman"/>
          <w:sz w:val="24"/>
          <w:szCs w:val="24"/>
        </w:rPr>
        <w:t>) and transwell migration (</w:t>
      </w:r>
      <w:r w:rsidR="0028339C" w:rsidRPr="000E3BD6">
        <w:rPr>
          <w:rFonts w:ascii="Book Antiqua" w:hAnsi="Book Antiqua" w:cs="Times New Roman"/>
          <w:sz w:val="24"/>
          <w:szCs w:val="24"/>
        </w:rPr>
        <w:t>B</w:t>
      </w:r>
      <w:r w:rsidR="006B0A36" w:rsidRPr="000E3BD6">
        <w:rPr>
          <w:rFonts w:ascii="Book Antiqua" w:hAnsi="Book Antiqua" w:cs="Times New Roman"/>
          <w:sz w:val="24"/>
          <w:szCs w:val="24"/>
        </w:rPr>
        <w:t xml:space="preserve">) assays showed that </w:t>
      </w:r>
      <w:r w:rsidR="0028339C" w:rsidRPr="000E3BD6">
        <w:rPr>
          <w:rFonts w:ascii="Book Antiqua" w:hAnsi="Book Antiqua" w:cs="Times New Roman"/>
          <w:sz w:val="24"/>
          <w:szCs w:val="24"/>
        </w:rPr>
        <w:t>nucleus pulposus-derived stem cells</w:t>
      </w:r>
      <w:r w:rsidR="006B0A36" w:rsidRPr="000E3BD6">
        <w:rPr>
          <w:rFonts w:ascii="Book Antiqua" w:hAnsi="Book Antiqua" w:cs="Times New Roman"/>
          <w:sz w:val="24"/>
          <w:szCs w:val="24"/>
        </w:rPr>
        <w:t xml:space="preserve"> migration was enhanced by </w:t>
      </w:r>
      <w:r w:rsidR="0028339C" w:rsidRPr="000E3BD6">
        <w:rPr>
          <w:rFonts w:ascii="Book Antiqua" w:eastAsia="Times New Roman" w:hAnsi="Book Antiqua" w:cs="Times New Roman"/>
          <w:sz w:val="24"/>
          <w:szCs w:val="24"/>
        </w:rPr>
        <w:t>stromal cell-derived factor-1α</w:t>
      </w:r>
      <w:r w:rsidR="000C3D8B">
        <w:rPr>
          <w:rFonts w:ascii="Book Antiqua" w:eastAsia="Times New Roman" w:hAnsi="Book Antiqua" w:cs="Times New Roman"/>
          <w:sz w:val="24"/>
          <w:szCs w:val="24"/>
        </w:rPr>
        <w:t xml:space="preserve"> </w:t>
      </w:r>
      <w:r w:rsidR="006B0A36" w:rsidRPr="000E3BD6">
        <w:rPr>
          <w:rFonts w:ascii="Book Antiqua" w:hAnsi="Book Antiqua" w:cs="Times New Roman"/>
          <w:sz w:val="24"/>
          <w:szCs w:val="24"/>
        </w:rPr>
        <w:t xml:space="preserve">in a dose-dependent manner but abolished by AMD3100. </w:t>
      </w:r>
      <w:r w:rsidR="004541C1" w:rsidRPr="000E3BD6">
        <w:rPr>
          <w:rFonts w:ascii="Book Antiqua" w:hAnsi="Book Antiqua" w:cs="Times New Roman"/>
          <w:sz w:val="24"/>
          <w:szCs w:val="24"/>
        </w:rPr>
        <w:t xml:space="preserve">Data are presented as </w:t>
      </w:r>
      <w:r w:rsidR="000C3D8B">
        <w:rPr>
          <w:rFonts w:ascii="Book Antiqua" w:hAnsi="Book Antiqua" w:cs="Times New Roman"/>
          <w:sz w:val="24"/>
          <w:szCs w:val="24"/>
        </w:rPr>
        <w:t xml:space="preserve">the </w:t>
      </w:r>
      <w:r w:rsidR="004541C1" w:rsidRPr="000E3BD6">
        <w:rPr>
          <w:rFonts w:ascii="Book Antiqua" w:hAnsi="Book Antiqua" w:cs="Times New Roman"/>
          <w:sz w:val="24"/>
          <w:szCs w:val="24"/>
        </w:rPr>
        <w:t xml:space="preserve">mean ± SD, </w:t>
      </w:r>
      <w:r w:rsidR="004541C1" w:rsidRPr="000E3BD6">
        <w:rPr>
          <w:rFonts w:ascii="Book Antiqua" w:hAnsi="Book Antiqua" w:cs="Times New Roman"/>
          <w:i/>
          <w:sz w:val="24"/>
          <w:szCs w:val="24"/>
        </w:rPr>
        <w:t xml:space="preserve">n </w:t>
      </w:r>
      <w:r w:rsidR="004541C1" w:rsidRPr="000E3BD6">
        <w:rPr>
          <w:rFonts w:ascii="Book Antiqua" w:hAnsi="Book Antiqua" w:cs="Times New Roman"/>
          <w:sz w:val="24"/>
          <w:szCs w:val="24"/>
        </w:rPr>
        <w:t xml:space="preserve">= 3, </w:t>
      </w:r>
      <w:r w:rsidR="00D42BD9" w:rsidRPr="000E3BD6">
        <w:rPr>
          <w:rFonts w:ascii="Book Antiqua" w:hAnsi="Book Antiqua" w:cs="Times New Roman" w:hint="eastAsia"/>
          <w:sz w:val="24"/>
          <w:szCs w:val="24"/>
          <w:vertAlign w:val="superscript"/>
        </w:rPr>
        <w:t>a</w:t>
      </w:r>
      <w:r w:rsidR="004541C1" w:rsidRPr="000E3BD6">
        <w:rPr>
          <w:rFonts w:ascii="Book Antiqua" w:hAnsi="Book Antiqua" w:cs="Times New Roman"/>
          <w:i/>
          <w:sz w:val="24"/>
          <w:szCs w:val="24"/>
        </w:rPr>
        <w:t>P</w:t>
      </w:r>
      <w:r w:rsidR="004541C1" w:rsidRPr="000E3BD6">
        <w:rPr>
          <w:rFonts w:ascii="Book Antiqua" w:hAnsi="Book Antiqua" w:cs="Times New Roman"/>
          <w:sz w:val="24"/>
          <w:szCs w:val="24"/>
        </w:rPr>
        <w:t xml:space="preserve"> &lt; 0.05, </w:t>
      </w:r>
      <w:r w:rsidR="00D42BD9" w:rsidRPr="000E3BD6">
        <w:rPr>
          <w:rFonts w:ascii="Book Antiqua" w:hAnsi="Book Antiqua" w:cs="Times New Roman" w:hint="eastAsia"/>
          <w:sz w:val="24"/>
          <w:szCs w:val="24"/>
          <w:vertAlign w:val="superscript"/>
        </w:rPr>
        <w:t>b</w:t>
      </w:r>
      <w:r w:rsidR="004541C1" w:rsidRPr="000E3BD6">
        <w:rPr>
          <w:rFonts w:ascii="Book Antiqua" w:hAnsi="Book Antiqua" w:cs="Times New Roman"/>
          <w:i/>
          <w:sz w:val="24"/>
          <w:szCs w:val="24"/>
        </w:rPr>
        <w:t>P</w:t>
      </w:r>
      <w:r w:rsidR="004541C1" w:rsidRPr="000E3BD6">
        <w:rPr>
          <w:rFonts w:ascii="Book Antiqua" w:hAnsi="Book Antiqua" w:cs="Times New Roman"/>
          <w:sz w:val="24"/>
          <w:szCs w:val="24"/>
        </w:rPr>
        <w:t xml:space="preserve"> &lt; 0.01. SDF-1α: </w:t>
      </w:r>
      <w:r w:rsidR="0028339C" w:rsidRPr="000E3BD6">
        <w:rPr>
          <w:rFonts w:ascii="Book Antiqua" w:eastAsia="Times New Roman" w:hAnsi="Book Antiqua" w:cs="Times New Roman"/>
          <w:sz w:val="24"/>
          <w:szCs w:val="24"/>
        </w:rPr>
        <w:t xml:space="preserve">Stromal </w:t>
      </w:r>
      <w:r w:rsidR="004541C1" w:rsidRPr="000E3BD6">
        <w:rPr>
          <w:rFonts w:ascii="Book Antiqua" w:eastAsia="Times New Roman" w:hAnsi="Book Antiqua" w:cs="Times New Roman"/>
          <w:sz w:val="24"/>
          <w:szCs w:val="24"/>
        </w:rPr>
        <w:t>cell-derived factor-1α.</w:t>
      </w:r>
    </w:p>
    <w:p w14:paraId="34FA6C42"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p>
    <w:p w14:paraId="0617E849"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p>
    <w:p w14:paraId="5E36F6DC"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p>
    <w:p w14:paraId="7DA9348E"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p>
    <w:p w14:paraId="5F52153C"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p>
    <w:p w14:paraId="6B057D21"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p>
    <w:p w14:paraId="4C9E4F20"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p>
    <w:p w14:paraId="64BACBF3"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p>
    <w:p w14:paraId="6D2F0D61" w14:textId="5A9B46A2" w:rsidR="006B0A36" w:rsidRPr="006C0434" w:rsidRDefault="00612DAE" w:rsidP="00F710B6">
      <w:pPr>
        <w:autoSpaceDE w:val="0"/>
        <w:autoSpaceDN w:val="0"/>
        <w:adjustRightInd w:val="0"/>
        <w:spacing w:after="0" w:line="360" w:lineRule="auto"/>
        <w:contextualSpacing/>
        <w:jc w:val="both"/>
        <w:rPr>
          <w:rFonts w:ascii="Book Antiqua" w:hAnsi="Book Antiqua" w:cs="Times New Roman"/>
          <w:sz w:val="24"/>
          <w:szCs w:val="24"/>
        </w:rPr>
      </w:pPr>
      <w:r w:rsidRPr="000E3BD6">
        <w:rPr>
          <w:rFonts w:ascii="Book Antiqua" w:hAnsi="Book Antiqua" w:cs="Times New Roman"/>
          <w:b/>
          <w:noProof/>
          <w:sz w:val="24"/>
          <w:szCs w:val="24"/>
        </w:rPr>
        <w:lastRenderedPageBreak/>
        <mc:AlternateContent>
          <mc:Choice Requires="wps">
            <w:drawing>
              <wp:anchor distT="0" distB="0" distL="114300" distR="114300" simplePos="0" relativeHeight="251681792" behindDoc="0" locked="0" layoutInCell="1" allowOverlap="1" wp14:anchorId="0FED4329" wp14:editId="6206774B">
                <wp:simplePos x="0" y="0"/>
                <wp:positionH relativeFrom="column">
                  <wp:posOffset>1404620</wp:posOffset>
                </wp:positionH>
                <wp:positionV relativeFrom="paragraph">
                  <wp:posOffset>38735</wp:posOffset>
                </wp:positionV>
                <wp:extent cx="243205" cy="207645"/>
                <wp:effectExtent l="0" t="0" r="23495" b="20955"/>
                <wp:wrapNone/>
                <wp:docPr id="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5134F48A" w14:textId="77777777" w:rsidR="000C3D8B" w:rsidRPr="00AB0E6D" w:rsidRDefault="000C3D8B" w:rsidP="00612DAE">
                            <w:pPr>
                              <w:rPr>
                                <w:sz w:val="16"/>
                                <w:szCs w:val="16"/>
                              </w:rPr>
                            </w:pPr>
                            <w:r>
                              <w:rPr>
                                <w:rFonts w:hint="eastAsia"/>
                                <w:sz w:val="16"/>
                                <w:szCs w:val="1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ED4329" id="_x0000_s1037" type="#_x0000_t202" style="position:absolute;left:0;text-align:left;margin-left:110.6pt;margin-top:3.05pt;width:19.15pt;height:16.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">
                <v:textbox>
                  <w:txbxContent>
                    <w:p w14:paraId="5134F48A" w14:textId="77777777" w:rsidR="000C3D8B" w:rsidRPr="00AB0E6D" w:rsidRDefault="000C3D8B" w:rsidP="00612DAE">
                      <w:pPr>
                        <w:rPr>
                          <w:sz w:val="16"/>
                          <w:szCs w:val="16"/>
                        </w:rPr>
                      </w:pPr>
                      <w:r>
                        <w:rPr>
                          <w:rFonts w:hint="eastAsia"/>
                          <w:sz w:val="16"/>
                          <w:szCs w:val="16"/>
                        </w:rPr>
                        <w:t>b</w:t>
                      </w:r>
                    </w:p>
                  </w:txbxContent>
                </v:textbox>
              </v:shape>
            </w:pict>
          </mc:Fallback>
        </mc:AlternateContent>
      </w:r>
      <w:r w:rsidRPr="000E3BD6">
        <w:rPr>
          <w:rFonts w:ascii="Book Antiqua" w:hAnsi="Book Antiqua" w:cs="Times New Roman"/>
          <w:b/>
          <w:noProof/>
          <w:sz w:val="24"/>
          <w:szCs w:val="24"/>
        </w:rPr>
        <mc:AlternateContent>
          <mc:Choice Requires="wps">
            <w:drawing>
              <wp:anchor distT="0" distB="0" distL="114300" distR="114300" simplePos="0" relativeHeight="251683840" behindDoc="0" locked="0" layoutInCell="1" allowOverlap="1" wp14:anchorId="3087BEAD" wp14:editId="2F5451F8">
                <wp:simplePos x="0" y="0"/>
                <wp:positionH relativeFrom="column">
                  <wp:posOffset>5042593</wp:posOffset>
                </wp:positionH>
                <wp:positionV relativeFrom="paragraph">
                  <wp:posOffset>114275</wp:posOffset>
                </wp:positionV>
                <wp:extent cx="243205" cy="207645"/>
                <wp:effectExtent l="0" t="0" r="23495" b="20955"/>
                <wp:wrapNone/>
                <wp:docPr id="1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664B3B1A" w14:textId="35C9AB50" w:rsidR="000C3D8B" w:rsidRPr="00AB0E6D" w:rsidRDefault="000C3D8B" w:rsidP="00612DAE">
                            <w:pPr>
                              <w:rPr>
                                <w:sz w:val="16"/>
                                <w:szCs w:val="16"/>
                              </w:rPr>
                            </w:pPr>
                            <w:r>
                              <w:rPr>
                                <w:sz w:val="16"/>
                                <w:szCs w:val="1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87BEAD" id="_x0000_s1038" type="#_x0000_t202" style="position:absolute;left:0;text-align:left;margin-left:397.05pt;margin-top:9pt;width:19.15pt;height:16.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">
                <v:textbox>
                  <w:txbxContent>
                    <w:p w14:paraId="664B3B1A" w14:textId="35C9AB50" w:rsidR="000C3D8B" w:rsidRPr="00AB0E6D" w:rsidRDefault="000C3D8B" w:rsidP="00612DAE">
                      <w:pPr>
                        <w:rPr>
                          <w:sz w:val="16"/>
                          <w:szCs w:val="16"/>
                        </w:rPr>
                      </w:pPr>
                      <w:r>
                        <w:rPr>
                          <w:sz w:val="16"/>
                          <w:szCs w:val="16"/>
                        </w:rPr>
                        <w:t>a</w:t>
                      </w:r>
                    </w:p>
                  </w:txbxContent>
                </v:textbox>
              </v:shape>
            </w:pict>
          </mc:Fallback>
        </mc:AlternateContent>
      </w:r>
      <w:r w:rsidR="006B0A36" w:rsidRPr="000E3BD6">
        <w:rPr>
          <w:rFonts w:ascii="Book Antiqua" w:hAnsi="Book Antiqua"/>
          <w:noProof/>
          <w:sz w:val="24"/>
          <w:szCs w:val="24"/>
        </w:rPr>
        <w:drawing>
          <wp:inline distT="0" distB="0" distL="0" distR="0" wp14:anchorId="2122F32A" wp14:editId="54D7517F">
            <wp:extent cx="5901276" cy="3021496"/>
            <wp:effectExtent l="0" t="0" r="444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2411" cy="3027197"/>
                    </a:xfrm>
                    <a:prstGeom prst="rect">
                      <a:avLst/>
                    </a:prstGeom>
                    <a:noFill/>
                    <a:ln>
                      <a:noFill/>
                    </a:ln>
                  </pic:spPr>
                </pic:pic>
              </a:graphicData>
            </a:graphic>
          </wp:inline>
        </w:drawing>
      </w:r>
      <w:r w:rsidR="006B0A36" w:rsidRPr="000E3BD6">
        <w:rPr>
          <w:rFonts w:ascii="Book Antiqua" w:hAnsi="Book Antiqua" w:cs="Times New Roman"/>
          <w:b/>
          <w:sz w:val="24"/>
          <w:szCs w:val="24"/>
        </w:rPr>
        <w:t xml:space="preserve">Figure 4 </w:t>
      </w:r>
      <w:r w:rsidR="00084AB8" w:rsidRPr="000E3BD6">
        <w:rPr>
          <w:rFonts w:ascii="Book Antiqua" w:hAnsi="Book Antiqua" w:cs="Times New Roman"/>
          <w:b/>
          <w:sz w:val="24"/>
          <w:szCs w:val="24"/>
          <w:lang w:val="en-GB"/>
        </w:rPr>
        <w:t>C-X-C chemokine receptor type 4</w:t>
      </w:r>
      <w:r w:rsidR="006B0A36" w:rsidRPr="000E3BD6">
        <w:rPr>
          <w:rFonts w:ascii="Book Antiqua" w:hAnsi="Book Antiqua" w:cs="Times New Roman"/>
          <w:b/>
          <w:sz w:val="24"/>
          <w:szCs w:val="24"/>
        </w:rPr>
        <w:t xml:space="preserve"> expression in </w:t>
      </w:r>
      <w:r w:rsidR="00084AB8" w:rsidRPr="000E3BD6">
        <w:rPr>
          <w:rFonts w:ascii="Book Antiqua" w:hAnsi="Book Antiqua" w:cs="Times New Roman"/>
          <w:b/>
          <w:sz w:val="24"/>
          <w:szCs w:val="24"/>
        </w:rPr>
        <w:t>nucleus pulposus-derived stem cells</w:t>
      </w:r>
      <w:r w:rsidR="006B0A36" w:rsidRPr="000E3BD6">
        <w:rPr>
          <w:rFonts w:ascii="Book Antiqua" w:hAnsi="Book Antiqua" w:cs="Times New Roman"/>
          <w:b/>
          <w:sz w:val="24"/>
          <w:szCs w:val="24"/>
        </w:rPr>
        <w:t>.</w:t>
      </w:r>
      <w:r w:rsidR="006B0A36" w:rsidRPr="000E3BD6">
        <w:rPr>
          <w:rFonts w:ascii="Book Antiqua" w:hAnsi="Book Antiqua" w:cs="Times New Roman"/>
          <w:sz w:val="24"/>
          <w:szCs w:val="24"/>
        </w:rPr>
        <w:t xml:space="preserve"> </w:t>
      </w:r>
      <w:r w:rsidR="000E3BD6" w:rsidRPr="006C0434">
        <w:rPr>
          <w:rFonts w:ascii="Book Antiqua" w:hAnsi="Book Antiqua" w:cs="Times New Roman" w:hint="eastAsia"/>
          <w:sz w:val="24"/>
          <w:szCs w:val="24"/>
        </w:rPr>
        <w:t>A</w:t>
      </w:r>
      <w:r w:rsidR="000C3D8B">
        <w:rPr>
          <w:rFonts w:ascii="Book Antiqua" w:hAnsi="Book Antiqua" w:cs="Times New Roman"/>
          <w:sz w:val="24"/>
          <w:szCs w:val="24"/>
        </w:rPr>
        <w:t xml:space="preserve"> and</w:t>
      </w:r>
      <w:r w:rsidR="000C3D8B" w:rsidRPr="006C0434">
        <w:rPr>
          <w:rFonts w:ascii="Book Antiqua" w:hAnsi="Book Antiqua" w:cs="Times New Roman" w:hint="eastAsia"/>
          <w:sz w:val="24"/>
          <w:szCs w:val="24"/>
        </w:rPr>
        <w:t xml:space="preserve"> </w:t>
      </w:r>
      <w:r w:rsidR="000E3BD6" w:rsidRPr="006C0434">
        <w:rPr>
          <w:rFonts w:ascii="Book Antiqua" w:hAnsi="Book Antiqua" w:cs="Times New Roman" w:hint="eastAsia"/>
          <w:sz w:val="24"/>
          <w:szCs w:val="24"/>
        </w:rPr>
        <w:t xml:space="preserve">B: </w:t>
      </w:r>
      <w:r w:rsidR="006B0A36" w:rsidRPr="006C0434">
        <w:rPr>
          <w:rFonts w:ascii="Book Antiqua" w:hAnsi="Book Antiqua" w:cs="Times New Roman"/>
          <w:sz w:val="24"/>
          <w:szCs w:val="24"/>
        </w:rPr>
        <w:t xml:space="preserve">Real-time </w:t>
      </w:r>
      <w:r w:rsidR="000E3BD6" w:rsidRPr="006C0434">
        <w:rPr>
          <w:rFonts w:ascii="Book Antiqua" w:eastAsia="Times New Roman" w:hAnsi="Book Antiqua" w:cs="Times New Roman"/>
          <w:sz w:val="24"/>
          <w:szCs w:val="24"/>
        </w:rPr>
        <w:t>reverse transcription-polymerase chain reaction</w:t>
      </w:r>
      <w:r w:rsidR="006B0A36" w:rsidRPr="006C0434">
        <w:rPr>
          <w:rFonts w:ascii="Book Antiqua" w:hAnsi="Book Antiqua" w:cs="Times New Roman"/>
          <w:sz w:val="24"/>
          <w:szCs w:val="24"/>
        </w:rPr>
        <w:t xml:space="preserve"> (</w:t>
      </w:r>
      <w:r w:rsidR="000E3BD6" w:rsidRPr="006C0434">
        <w:rPr>
          <w:rFonts w:ascii="Book Antiqua" w:hAnsi="Book Antiqua" w:cs="Times New Roman"/>
          <w:sz w:val="24"/>
          <w:szCs w:val="24"/>
        </w:rPr>
        <w:t>A</w:t>
      </w:r>
      <w:r w:rsidR="006B0A36" w:rsidRPr="006C0434">
        <w:rPr>
          <w:rFonts w:ascii="Book Antiqua" w:hAnsi="Book Antiqua" w:cs="Times New Roman"/>
          <w:sz w:val="24"/>
          <w:szCs w:val="24"/>
        </w:rPr>
        <w:t>) and immunoblotting (</w:t>
      </w:r>
      <w:r w:rsidR="000E3BD6" w:rsidRPr="006C0434">
        <w:rPr>
          <w:rFonts w:ascii="Book Antiqua" w:hAnsi="Book Antiqua" w:cs="Times New Roman"/>
          <w:sz w:val="24"/>
          <w:szCs w:val="24"/>
        </w:rPr>
        <w:t>B</w:t>
      </w:r>
      <w:r w:rsidR="006B0A36" w:rsidRPr="006C0434">
        <w:rPr>
          <w:rFonts w:ascii="Book Antiqua" w:hAnsi="Book Antiqua" w:cs="Times New Roman"/>
          <w:sz w:val="24"/>
          <w:szCs w:val="24"/>
        </w:rPr>
        <w:t xml:space="preserve">) analyses of the expression of </w:t>
      </w:r>
      <w:r w:rsidR="00084AB8" w:rsidRPr="006C0434">
        <w:rPr>
          <w:rFonts w:ascii="Book Antiqua" w:hAnsi="Book Antiqua" w:cs="Times New Roman"/>
          <w:sz w:val="24"/>
          <w:szCs w:val="24"/>
          <w:lang w:val="en-GB"/>
        </w:rPr>
        <w:t>C-X-C chemokine receptor type 4 (CXCR4)</w:t>
      </w:r>
      <w:r w:rsidR="006B0A36" w:rsidRPr="006C0434">
        <w:rPr>
          <w:rFonts w:ascii="Book Antiqua" w:hAnsi="Book Antiqua" w:cs="Times New Roman"/>
          <w:sz w:val="24"/>
          <w:szCs w:val="24"/>
        </w:rPr>
        <w:t xml:space="preserve"> in </w:t>
      </w:r>
      <w:r w:rsidR="00084AB8" w:rsidRPr="006C0434">
        <w:rPr>
          <w:rFonts w:ascii="Book Antiqua" w:hAnsi="Book Antiqua" w:cs="Times New Roman"/>
          <w:sz w:val="24"/>
          <w:szCs w:val="24"/>
        </w:rPr>
        <w:t xml:space="preserve">nucleus pulposus-derived stem cells </w:t>
      </w:r>
      <w:r w:rsidR="00084AB8" w:rsidRPr="006C0434">
        <w:rPr>
          <w:rFonts w:ascii="Book Antiqua" w:hAnsi="Book Antiqua" w:cs="Times New Roman" w:hint="eastAsia"/>
          <w:sz w:val="24"/>
          <w:szCs w:val="24"/>
        </w:rPr>
        <w:t>(</w:t>
      </w:r>
      <w:r w:rsidR="006B0A36" w:rsidRPr="006C0434">
        <w:rPr>
          <w:rFonts w:ascii="Book Antiqua" w:hAnsi="Book Antiqua" w:cs="Times New Roman"/>
          <w:sz w:val="24"/>
          <w:szCs w:val="24"/>
        </w:rPr>
        <w:t>NPSCs</w:t>
      </w:r>
      <w:r w:rsidR="00084AB8" w:rsidRPr="006C0434">
        <w:rPr>
          <w:rFonts w:ascii="Book Antiqua" w:hAnsi="Book Antiqua" w:cs="Times New Roman" w:hint="eastAsia"/>
          <w:sz w:val="24"/>
          <w:szCs w:val="24"/>
        </w:rPr>
        <w:t>)</w:t>
      </w:r>
      <w:r w:rsidR="006B0A36" w:rsidRPr="006C0434">
        <w:rPr>
          <w:rFonts w:ascii="Book Antiqua" w:hAnsi="Book Antiqua" w:cs="Times New Roman"/>
          <w:sz w:val="24"/>
          <w:szCs w:val="24"/>
        </w:rPr>
        <w:t xml:space="preserve"> treated with </w:t>
      </w:r>
      <w:r w:rsidR="00084AB8" w:rsidRPr="006C0434">
        <w:rPr>
          <w:rFonts w:ascii="Book Antiqua" w:eastAsia="Times New Roman" w:hAnsi="Book Antiqua" w:cs="Times New Roman"/>
          <w:sz w:val="24"/>
          <w:szCs w:val="24"/>
        </w:rPr>
        <w:t>stromal cell-derived factor-1α</w:t>
      </w:r>
      <w:r w:rsidR="00084AB8" w:rsidRPr="006C0434">
        <w:rPr>
          <w:rFonts w:ascii="Book Antiqua" w:hAnsi="Book Antiqua" w:cs="Times New Roman" w:hint="eastAsia"/>
          <w:sz w:val="24"/>
          <w:szCs w:val="24"/>
        </w:rPr>
        <w:t xml:space="preserve"> (</w:t>
      </w:r>
      <w:r w:rsidR="006B0A36" w:rsidRPr="006C0434">
        <w:rPr>
          <w:rFonts w:ascii="Book Antiqua" w:hAnsi="Book Antiqua" w:cs="Times New Roman"/>
          <w:sz w:val="24"/>
          <w:szCs w:val="24"/>
        </w:rPr>
        <w:t>SDF-1α</w:t>
      </w:r>
      <w:r w:rsidR="00084AB8" w:rsidRPr="006C0434">
        <w:rPr>
          <w:rFonts w:ascii="Book Antiqua" w:hAnsi="Book Antiqua" w:cs="Times New Roman" w:hint="eastAsia"/>
          <w:sz w:val="24"/>
          <w:szCs w:val="24"/>
        </w:rPr>
        <w:t>)</w:t>
      </w:r>
      <w:r w:rsidR="000E3BD6" w:rsidRPr="006C0434">
        <w:rPr>
          <w:rFonts w:ascii="Book Antiqua" w:hAnsi="Book Antiqua" w:cs="Times New Roman" w:hint="eastAsia"/>
          <w:sz w:val="24"/>
          <w:szCs w:val="24"/>
        </w:rPr>
        <w:t>; C:</w:t>
      </w:r>
      <w:r w:rsidR="006B0A36" w:rsidRPr="006C0434">
        <w:rPr>
          <w:rFonts w:ascii="Book Antiqua" w:hAnsi="Book Antiqua" w:cs="Times New Roman"/>
          <w:sz w:val="24"/>
          <w:szCs w:val="24"/>
        </w:rPr>
        <w:t xml:space="preserve"> Immunofluorescence analysis of CXCR4 (green) and F-actin (red) in NPSCs. CXCR4 in NPSCs was not only upregulated but also transferred from </w:t>
      </w:r>
      <w:r w:rsidR="000C3D8B">
        <w:rPr>
          <w:rFonts w:ascii="Book Antiqua" w:hAnsi="Book Antiqua" w:cs="Times New Roman"/>
          <w:sz w:val="24"/>
          <w:szCs w:val="24"/>
        </w:rPr>
        <w:t xml:space="preserve">the </w:t>
      </w:r>
      <w:r w:rsidR="006B0A36" w:rsidRPr="006C0434">
        <w:rPr>
          <w:rFonts w:ascii="Book Antiqua" w:hAnsi="Book Antiqua" w:cs="Times New Roman"/>
          <w:sz w:val="24"/>
          <w:szCs w:val="24"/>
        </w:rPr>
        <w:t xml:space="preserve">cytoplasm to membrane after treatment with SDF-1α. In addition, SDF-1α enhanced remodeling of the cytoskeleton and the formation of lamellipodia in NPSCs. These effects were inhibited by AMD3100. </w:t>
      </w:r>
      <w:r w:rsidR="004541C1" w:rsidRPr="006C0434">
        <w:rPr>
          <w:rFonts w:ascii="Book Antiqua" w:hAnsi="Book Antiqua" w:cs="Times New Roman"/>
          <w:sz w:val="24"/>
          <w:szCs w:val="24"/>
        </w:rPr>
        <w:t xml:space="preserve">Data are presented as </w:t>
      </w:r>
      <w:r w:rsidR="000C3D8B">
        <w:rPr>
          <w:rFonts w:ascii="Book Antiqua" w:hAnsi="Book Antiqua" w:cs="Times New Roman"/>
          <w:sz w:val="24"/>
          <w:szCs w:val="24"/>
        </w:rPr>
        <w:t xml:space="preserve">the </w:t>
      </w:r>
      <w:r w:rsidR="004541C1" w:rsidRPr="006C0434">
        <w:rPr>
          <w:rFonts w:ascii="Book Antiqua" w:hAnsi="Book Antiqua" w:cs="Times New Roman"/>
          <w:sz w:val="24"/>
          <w:szCs w:val="24"/>
        </w:rPr>
        <w:t xml:space="preserve">mean ± SD, </w:t>
      </w:r>
      <w:r w:rsidR="004541C1" w:rsidRPr="005D30CB">
        <w:rPr>
          <w:rFonts w:ascii="Book Antiqua" w:hAnsi="Book Antiqua" w:cs="Times New Roman"/>
          <w:i/>
          <w:sz w:val="24"/>
          <w:szCs w:val="24"/>
        </w:rPr>
        <w:t>n</w:t>
      </w:r>
      <w:r w:rsidR="004541C1" w:rsidRPr="006C0434">
        <w:rPr>
          <w:rFonts w:ascii="Book Antiqua" w:hAnsi="Book Antiqua" w:cs="Times New Roman"/>
          <w:sz w:val="24"/>
          <w:szCs w:val="24"/>
        </w:rPr>
        <w:t xml:space="preserve"> = 3, </w:t>
      </w:r>
      <w:r>
        <w:rPr>
          <w:rFonts w:ascii="Book Antiqua" w:hAnsi="Book Antiqua" w:cs="Times New Roman"/>
          <w:sz w:val="24"/>
          <w:szCs w:val="24"/>
          <w:vertAlign w:val="superscript"/>
        </w:rPr>
        <w:t>a</w:t>
      </w:r>
      <w:r w:rsidR="004541C1" w:rsidRPr="006C0434">
        <w:rPr>
          <w:rFonts w:ascii="Book Antiqua" w:hAnsi="Book Antiqua" w:cs="Times New Roman"/>
          <w:i/>
          <w:sz w:val="24"/>
          <w:szCs w:val="24"/>
        </w:rPr>
        <w:t>P</w:t>
      </w:r>
      <w:r w:rsidR="004541C1" w:rsidRPr="006C0434">
        <w:rPr>
          <w:rFonts w:ascii="Book Antiqua" w:hAnsi="Book Antiqua" w:cs="Times New Roman"/>
          <w:sz w:val="24"/>
          <w:szCs w:val="24"/>
        </w:rPr>
        <w:t xml:space="preserve"> &lt; 0.05, </w:t>
      </w:r>
      <w:r>
        <w:rPr>
          <w:rFonts w:ascii="Book Antiqua" w:hAnsi="Book Antiqua" w:cs="Times New Roman" w:hint="eastAsia"/>
          <w:sz w:val="24"/>
          <w:szCs w:val="24"/>
          <w:vertAlign w:val="superscript"/>
        </w:rPr>
        <w:t>b</w:t>
      </w:r>
      <w:r w:rsidR="004541C1" w:rsidRPr="006C0434">
        <w:rPr>
          <w:rFonts w:ascii="Book Antiqua" w:hAnsi="Book Antiqua" w:cs="Times New Roman"/>
          <w:i/>
          <w:sz w:val="24"/>
          <w:szCs w:val="24"/>
        </w:rPr>
        <w:t>P</w:t>
      </w:r>
      <w:r w:rsidR="004541C1" w:rsidRPr="006C0434">
        <w:rPr>
          <w:rFonts w:ascii="Book Antiqua" w:hAnsi="Book Antiqua" w:cs="Times New Roman"/>
          <w:sz w:val="24"/>
          <w:szCs w:val="24"/>
        </w:rPr>
        <w:t xml:space="preserve"> &lt; 0.01. </w:t>
      </w:r>
      <w:r w:rsidR="004541C1" w:rsidRPr="006C0434">
        <w:rPr>
          <w:rFonts w:ascii="Book Antiqua" w:eastAsia="Times New Roman" w:hAnsi="Book Antiqua" w:cs="Times New Roman"/>
          <w:sz w:val="24"/>
          <w:szCs w:val="24"/>
        </w:rPr>
        <w:t xml:space="preserve">CXCR4: C-X-C chemokine receptor type 4; </w:t>
      </w:r>
      <w:r w:rsidR="004541C1" w:rsidRPr="006C0434">
        <w:rPr>
          <w:rFonts w:ascii="Book Antiqua" w:hAnsi="Book Antiqua" w:cs="Times New Roman"/>
          <w:sz w:val="24"/>
          <w:szCs w:val="24"/>
        </w:rPr>
        <w:t xml:space="preserve">SDF-1α: </w:t>
      </w:r>
      <w:r w:rsidR="000E3BD6" w:rsidRPr="006C0434">
        <w:rPr>
          <w:rFonts w:ascii="Book Antiqua" w:eastAsia="Times New Roman" w:hAnsi="Book Antiqua" w:cs="Times New Roman"/>
          <w:sz w:val="24"/>
          <w:szCs w:val="24"/>
        </w:rPr>
        <w:t xml:space="preserve">Stromal </w:t>
      </w:r>
      <w:r w:rsidR="004541C1" w:rsidRPr="006C0434">
        <w:rPr>
          <w:rFonts w:ascii="Book Antiqua" w:eastAsia="Times New Roman" w:hAnsi="Book Antiqua" w:cs="Times New Roman"/>
          <w:sz w:val="24"/>
          <w:szCs w:val="24"/>
        </w:rPr>
        <w:t>cell-derived factor-1α.</w:t>
      </w:r>
    </w:p>
    <w:p w14:paraId="412135DA"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p>
    <w:p w14:paraId="321BD087"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p>
    <w:p w14:paraId="701B86D5"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p>
    <w:p w14:paraId="6B1097A1"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p>
    <w:p w14:paraId="7695FE3C"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p>
    <w:p w14:paraId="734742A6"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p>
    <w:p w14:paraId="0FD4C814"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p>
    <w:p w14:paraId="710C5EC9"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p>
    <w:p w14:paraId="029D35B7" w14:textId="7006FAD8" w:rsidR="006B0A36" w:rsidRPr="000E3BD6" w:rsidRDefault="00A861AC" w:rsidP="00F710B6">
      <w:pPr>
        <w:autoSpaceDE w:val="0"/>
        <w:autoSpaceDN w:val="0"/>
        <w:adjustRightInd w:val="0"/>
        <w:spacing w:after="0" w:line="360" w:lineRule="auto"/>
        <w:contextualSpacing/>
        <w:jc w:val="both"/>
        <w:rPr>
          <w:rFonts w:ascii="Book Antiqua" w:hAnsi="Book Antiqua" w:cs="Times New Roman"/>
          <w:sz w:val="24"/>
          <w:szCs w:val="24"/>
        </w:rPr>
      </w:pPr>
      <w:r w:rsidRPr="000E3BD6">
        <w:rPr>
          <w:rFonts w:ascii="Book Antiqua" w:hAnsi="Book Antiqua" w:cs="Times New Roman"/>
          <w:b/>
          <w:noProof/>
          <w:sz w:val="24"/>
          <w:szCs w:val="24"/>
        </w:rPr>
        <mc:AlternateContent>
          <mc:Choice Requires="wps">
            <w:drawing>
              <wp:anchor distT="0" distB="0" distL="114300" distR="114300" simplePos="0" relativeHeight="251724800" behindDoc="0" locked="0" layoutInCell="1" allowOverlap="1" wp14:anchorId="56D22A4D" wp14:editId="1675B15C">
                <wp:simplePos x="0" y="0"/>
                <wp:positionH relativeFrom="column">
                  <wp:posOffset>1604328</wp:posOffset>
                </wp:positionH>
                <wp:positionV relativeFrom="paragraph">
                  <wp:posOffset>3953510</wp:posOffset>
                </wp:positionV>
                <wp:extent cx="243205" cy="207645"/>
                <wp:effectExtent l="0" t="0" r="23495" b="20955"/>
                <wp:wrapNone/>
                <wp:docPr id="29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44BA3505" w14:textId="77777777" w:rsidR="00A861AC" w:rsidRPr="00AB0E6D" w:rsidRDefault="00A861AC" w:rsidP="00A861AC">
                            <w:pPr>
                              <w:rPr>
                                <w:sz w:val="16"/>
                                <w:szCs w:val="16"/>
                              </w:rPr>
                            </w:pPr>
                            <w:r>
                              <w:rPr>
                                <w:sz w:val="16"/>
                                <w:szCs w:val="1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D22A4D" id="_x0000_s1039" type="#_x0000_t202" style="position:absolute;left:0;text-align:left;margin-left:126.35pt;margin-top:311.3pt;width:19.15pt;height:16.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">
                <v:textbox>
                  <w:txbxContent>
                    <w:p w14:paraId="44BA3505" w14:textId="77777777" w:rsidR="00A861AC" w:rsidRPr="00AB0E6D" w:rsidRDefault="00A861AC" w:rsidP="00A861AC">
                      <w:pPr>
                        <w:rPr>
                          <w:sz w:val="16"/>
                          <w:szCs w:val="16"/>
                        </w:rPr>
                      </w:pPr>
                      <w:r>
                        <w:rPr>
                          <w:sz w:val="16"/>
                          <w:szCs w:val="16"/>
                        </w:rPr>
                        <w:t>a</w:t>
                      </w:r>
                    </w:p>
                  </w:txbxContent>
                </v:textbox>
              </v:shape>
            </w:pict>
          </mc:Fallback>
        </mc:AlternateContent>
      </w:r>
      <w:r w:rsidRPr="000E3BD6">
        <w:rPr>
          <w:rFonts w:ascii="Book Antiqua" w:hAnsi="Book Antiqua" w:cs="Times New Roman"/>
          <w:b/>
          <w:noProof/>
          <w:sz w:val="24"/>
          <w:szCs w:val="24"/>
        </w:rPr>
        <mc:AlternateContent>
          <mc:Choice Requires="wps">
            <w:drawing>
              <wp:anchor distT="0" distB="0" distL="114300" distR="114300" simplePos="0" relativeHeight="251722752" behindDoc="0" locked="0" layoutInCell="1" allowOverlap="1" wp14:anchorId="52524756" wp14:editId="1A506824">
                <wp:simplePos x="0" y="0"/>
                <wp:positionH relativeFrom="column">
                  <wp:posOffset>1327785</wp:posOffset>
                </wp:positionH>
                <wp:positionV relativeFrom="paragraph">
                  <wp:posOffset>3528695</wp:posOffset>
                </wp:positionV>
                <wp:extent cx="243205" cy="207645"/>
                <wp:effectExtent l="0" t="0" r="23495" b="20955"/>
                <wp:wrapNone/>
                <wp:docPr id="29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3D7158D5" w14:textId="77777777" w:rsidR="00A861AC" w:rsidRPr="00AB0E6D" w:rsidRDefault="00A861AC" w:rsidP="00A861AC">
                            <w:pPr>
                              <w:rPr>
                                <w:sz w:val="16"/>
                                <w:szCs w:val="16"/>
                              </w:rPr>
                            </w:pPr>
                            <w:r>
                              <w:rPr>
                                <w:rFonts w:hint="eastAsia"/>
                                <w:sz w:val="16"/>
                                <w:szCs w:val="1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524756" id="_x0000_s1040" type="#_x0000_t202" style="position:absolute;left:0;text-align:left;margin-left:104.55pt;margin-top:277.85pt;width:19.15pt;height:16.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">
                <v:textbox>
                  <w:txbxContent>
                    <w:p w14:paraId="3D7158D5" w14:textId="77777777" w:rsidR="00A861AC" w:rsidRPr="00AB0E6D" w:rsidRDefault="00A861AC" w:rsidP="00A861AC">
                      <w:pPr>
                        <w:rPr>
                          <w:sz w:val="16"/>
                          <w:szCs w:val="16"/>
                        </w:rPr>
                      </w:pPr>
                      <w:r>
                        <w:rPr>
                          <w:rFonts w:hint="eastAsia"/>
                          <w:sz w:val="16"/>
                          <w:szCs w:val="16"/>
                        </w:rPr>
                        <w:t>b</w:t>
                      </w:r>
                    </w:p>
                  </w:txbxContent>
                </v:textbox>
              </v:shape>
            </w:pict>
          </mc:Fallback>
        </mc:AlternateContent>
      </w:r>
      <w:r w:rsidRPr="000E3BD6">
        <w:rPr>
          <w:rFonts w:ascii="Book Antiqua" w:hAnsi="Book Antiqua" w:cs="Times New Roman"/>
          <w:b/>
          <w:noProof/>
          <w:sz w:val="24"/>
          <w:szCs w:val="24"/>
        </w:rPr>
        <mc:AlternateContent>
          <mc:Choice Requires="wps">
            <w:drawing>
              <wp:anchor distT="0" distB="0" distL="114300" distR="114300" simplePos="0" relativeHeight="251720704" behindDoc="0" locked="0" layoutInCell="1" allowOverlap="1" wp14:anchorId="790DF753" wp14:editId="281A8575">
                <wp:simplePos x="0" y="0"/>
                <wp:positionH relativeFrom="column">
                  <wp:posOffset>1042035</wp:posOffset>
                </wp:positionH>
                <wp:positionV relativeFrom="paragraph">
                  <wp:posOffset>4143057</wp:posOffset>
                </wp:positionV>
                <wp:extent cx="243205" cy="207645"/>
                <wp:effectExtent l="0" t="0" r="23495" b="20955"/>
                <wp:wrapNone/>
                <wp:docPr id="2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026FF1B0" w14:textId="77777777" w:rsidR="00A861AC" w:rsidRPr="00AB0E6D" w:rsidRDefault="00A861AC" w:rsidP="00A861AC">
                            <w:pPr>
                              <w:rPr>
                                <w:sz w:val="16"/>
                                <w:szCs w:val="16"/>
                              </w:rPr>
                            </w:pPr>
                            <w:r>
                              <w:rPr>
                                <w:sz w:val="16"/>
                                <w:szCs w:val="1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0DF753" id="_x0000_s1041" type="#_x0000_t202" style="position:absolute;left:0;text-align:left;margin-left:82.05pt;margin-top:326.2pt;width:19.15pt;height:16.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">
                <v:textbox>
                  <w:txbxContent>
                    <w:p w14:paraId="026FF1B0" w14:textId="77777777" w:rsidR="00A861AC" w:rsidRPr="00AB0E6D" w:rsidRDefault="00A861AC" w:rsidP="00A861AC">
                      <w:pPr>
                        <w:rPr>
                          <w:sz w:val="16"/>
                          <w:szCs w:val="16"/>
                        </w:rPr>
                      </w:pPr>
                      <w:r>
                        <w:rPr>
                          <w:sz w:val="16"/>
                          <w:szCs w:val="16"/>
                        </w:rPr>
                        <w:t>a</w:t>
                      </w:r>
                    </w:p>
                  </w:txbxContent>
                </v:textbox>
              </v:shape>
            </w:pict>
          </mc:Fallback>
        </mc:AlternateContent>
      </w:r>
      <w:r w:rsidR="001E548D" w:rsidRPr="000E3BD6">
        <w:rPr>
          <w:rFonts w:ascii="Book Antiqua" w:hAnsi="Book Antiqua" w:cs="Times New Roman"/>
          <w:b/>
          <w:noProof/>
          <w:sz w:val="24"/>
          <w:szCs w:val="24"/>
        </w:rPr>
        <mc:AlternateContent>
          <mc:Choice Requires="wps">
            <w:drawing>
              <wp:anchor distT="0" distB="0" distL="114300" distR="114300" simplePos="0" relativeHeight="251702272" behindDoc="0" locked="0" layoutInCell="1" allowOverlap="1" wp14:anchorId="63E93A9D" wp14:editId="3673BB71">
                <wp:simplePos x="0" y="0"/>
                <wp:positionH relativeFrom="column">
                  <wp:posOffset>3114675</wp:posOffset>
                </wp:positionH>
                <wp:positionV relativeFrom="paragraph">
                  <wp:posOffset>2392680</wp:posOffset>
                </wp:positionV>
                <wp:extent cx="243205" cy="207645"/>
                <wp:effectExtent l="0" t="0" r="23495" b="20955"/>
                <wp:wrapNone/>
                <wp:docPr id="2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064BD9FD" w14:textId="77777777" w:rsidR="000C3D8B" w:rsidRPr="00AB0E6D" w:rsidRDefault="000C3D8B" w:rsidP="001E548D">
                            <w:pPr>
                              <w:rPr>
                                <w:sz w:val="16"/>
                                <w:szCs w:val="16"/>
                              </w:rPr>
                            </w:pPr>
                            <w:r>
                              <w:rPr>
                                <w:sz w:val="16"/>
                                <w:szCs w:val="1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E93A9D" id="_x0000_s1042" type="#_x0000_t202" style="position:absolute;left:0;text-align:left;margin-left:245.25pt;margin-top:188.4pt;width:19.15pt;height:16.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">
                <v:textbox>
                  <w:txbxContent>
                    <w:p w14:paraId="064BD9FD" w14:textId="77777777" w:rsidR="000C3D8B" w:rsidRPr="00AB0E6D" w:rsidRDefault="000C3D8B" w:rsidP="001E548D">
                      <w:pPr>
                        <w:rPr>
                          <w:sz w:val="16"/>
                          <w:szCs w:val="16"/>
                        </w:rPr>
                      </w:pPr>
                      <w:r>
                        <w:rPr>
                          <w:sz w:val="16"/>
                          <w:szCs w:val="16"/>
                        </w:rPr>
                        <w:t>a</w:t>
                      </w:r>
                    </w:p>
                  </w:txbxContent>
                </v:textbox>
              </v:shape>
            </w:pict>
          </mc:Fallback>
        </mc:AlternateContent>
      </w:r>
      <w:r w:rsidR="001E548D" w:rsidRPr="000E3BD6">
        <w:rPr>
          <w:rFonts w:ascii="Book Antiqua" w:hAnsi="Book Antiqua" w:cs="Times New Roman"/>
          <w:b/>
          <w:noProof/>
          <w:sz w:val="24"/>
          <w:szCs w:val="24"/>
        </w:rPr>
        <mc:AlternateContent>
          <mc:Choice Requires="wps">
            <w:drawing>
              <wp:anchor distT="0" distB="0" distL="114300" distR="114300" simplePos="0" relativeHeight="251704320" behindDoc="0" locked="0" layoutInCell="1" allowOverlap="1" wp14:anchorId="41AABAAE" wp14:editId="4D72621F">
                <wp:simplePos x="0" y="0"/>
                <wp:positionH relativeFrom="column">
                  <wp:posOffset>2815590</wp:posOffset>
                </wp:positionH>
                <wp:positionV relativeFrom="paragraph">
                  <wp:posOffset>2503805</wp:posOffset>
                </wp:positionV>
                <wp:extent cx="243205" cy="207645"/>
                <wp:effectExtent l="0" t="0" r="23495" b="20955"/>
                <wp:wrapNone/>
                <wp:docPr id="2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48A9699D" w14:textId="77777777" w:rsidR="000C3D8B" w:rsidRPr="00AB0E6D" w:rsidRDefault="000C3D8B" w:rsidP="001E548D">
                            <w:pPr>
                              <w:rPr>
                                <w:sz w:val="16"/>
                                <w:szCs w:val="16"/>
                              </w:rPr>
                            </w:pPr>
                            <w:r>
                              <w:rPr>
                                <w:sz w:val="16"/>
                                <w:szCs w:val="1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AABAAE" id="_x0000_s1043" type="#_x0000_t202" style="position:absolute;left:0;text-align:left;margin-left:221.7pt;margin-top:197.15pt;width:19.15pt;height:16.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">
                <v:textbox>
                  <w:txbxContent>
                    <w:p w14:paraId="48A9699D" w14:textId="77777777" w:rsidR="000C3D8B" w:rsidRPr="00AB0E6D" w:rsidRDefault="000C3D8B" w:rsidP="001E548D">
                      <w:pPr>
                        <w:rPr>
                          <w:sz w:val="16"/>
                          <w:szCs w:val="16"/>
                        </w:rPr>
                      </w:pPr>
                      <w:r>
                        <w:rPr>
                          <w:sz w:val="16"/>
                          <w:szCs w:val="16"/>
                        </w:rPr>
                        <w:t>a</w:t>
                      </w:r>
                    </w:p>
                  </w:txbxContent>
                </v:textbox>
              </v:shape>
            </w:pict>
          </mc:Fallback>
        </mc:AlternateContent>
      </w:r>
      <w:r w:rsidR="001E548D" w:rsidRPr="000E3BD6">
        <w:rPr>
          <w:rFonts w:ascii="Book Antiqua" w:hAnsi="Book Antiqua" w:cs="Times New Roman"/>
          <w:b/>
          <w:noProof/>
          <w:sz w:val="24"/>
          <w:szCs w:val="24"/>
        </w:rPr>
        <mc:AlternateContent>
          <mc:Choice Requires="wps">
            <w:drawing>
              <wp:anchor distT="0" distB="0" distL="114300" distR="114300" simplePos="0" relativeHeight="251696128" behindDoc="0" locked="0" layoutInCell="1" allowOverlap="1" wp14:anchorId="0D46EE6A" wp14:editId="59D8B97F">
                <wp:simplePos x="0" y="0"/>
                <wp:positionH relativeFrom="column">
                  <wp:posOffset>1369060</wp:posOffset>
                </wp:positionH>
                <wp:positionV relativeFrom="paragraph">
                  <wp:posOffset>2262505</wp:posOffset>
                </wp:positionV>
                <wp:extent cx="243205" cy="207645"/>
                <wp:effectExtent l="0" t="0" r="23495" b="20955"/>
                <wp:wrapNone/>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7DFEB556" w14:textId="464CAB13" w:rsidR="000C3D8B" w:rsidRPr="00AB0E6D" w:rsidRDefault="000C3D8B" w:rsidP="001E548D">
                            <w:pPr>
                              <w:rPr>
                                <w:sz w:val="16"/>
                                <w:szCs w:val="16"/>
                              </w:rPr>
                            </w:pPr>
                            <w:r>
                              <w:rPr>
                                <w:rFonts w:hint="eastAsia"/>
                                <w:sz w:val="16"/>
                                <w:szCs w:val="1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46EE6A" id="_x0000_s1044" type="#_x0000_t202" style="position:absolute;left:0;text-align:left;margin-left:107.8pt;margin-top:178.15pt;width:19.15pt;height:16.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">
                <v:textbox>
                  <w:txbxContent>
                    <w:p w14:paraId="7DFEB556" w14:textId="464CAB13" w:rsidR="000C3D8B" w:rsidRPr="00AB0E6D" w:rsidRDefault="000C3D8B" w:rsidP="001E548D">
                      <w:pPr>
                        <w:rPr>
                          <w:sz w:val="16"/>
                          <w:szCs w:val="16"/>
                        </w:rPr>
                      </w:pPr>
                      <w:r>
                        <w:rPr>
                          <w:rFonts w:hint="eastAsia"/>
                          <w:sz w:val="16"/>
                          <w:szCs w:val="16"/>
                        </w:rPr>
                        <w:t>b</w:t>
                      </w:r>
                    </w:p>
                  </w:txbxContent>
                </v:textbox>
              </v:shape>
            </w:pict>
          </mc:Fallback>
        </mc:AlternateContent>
      </w:r>
      <w:r w:rsidR="001E548D" w:rsidRPr="000E3BD6">
        <w:rPr>
          <w:rFonts w:ascii="Book Antiqua" w:hAnsi="Book Antiqua" w:cs="Times New Roman"/>
          <w:b/>
          <w:noProof/>
          <w:sz w:val="24"/>
          <w:szCs w:val="24"/>
        </w:rPr>
        <mc:AlternateContent>
          <mc:Choice Requires="wps">
            <w:drawing>
              <wp:anchor distT="0" distB="0" distL="114300" distR="114300" simplePos="0" relativeHeight="251698176" behindDoc="0" locked="0" layoutInCell="1" allowOverlap="1" wp14:anchorId="594C37C5" wp14:editId="7901AC00">
                <wp:simplePos x="0" y="0"/>
                <wp:positionH relativeFrom="column">
                  <wp:posOffset>1052195</wp:posOffset>
                </wp:positionH>
                <wp:positionV relativeFrom="paragraph">
                  <wp:posOffset>2836545</wp:posOffset>
                </wp:positionV>
                <wp:extent cx="243205" cy="207645"/>
                <wp:effectExtent l="0" t="0" r="23495" b="20955"/>
                <wp:wrapNone/>
                <wp:docPr id="2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11CB752F" w14:textId="77777777" w:rsidR="000C3D8B" w:rsidRPr="00AB0E6D" w:rsidRDefault="000C3D8B" w:rsidP="001E548D">
                            <w:pPr>
                              <w:rPr>
                                <w:sz w:val="16"/>
                                <w:szCs w:val="16"/>
                              </w:rPr>
                            </w:pPr>
                            <w:r>
                              <w:rPr>
                                <w:sz w:val="16"/>
                                <w:szCs w:val="1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4C37C5" id="_x0000_s1045" type="#_x0000_t202" style="position:absolute;left:0;text-align:left;margin-left:82.85pt;margin-top:223.35pt;width:19.15pt;height:16.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">
                <v:textbox>
                  <w:txbxContent>
                    <w:p w14:paraId="11CB752F" w14:textId="77777777" w:rsidR="000C3D8B" w:rsidRPr="00AB0E6D" w:rsidRDefault="000C3D8B" w:rsidP="001E548D">
                      <w:pPr>
                        <w:rPr>
                          <w:sz w:val="16"/>
                          <w:szCs w:val="16"/>
                        </w:rPr>
                      </w:pPr>
                      <w:r>
                        <w:rPr>
                          <w:sz w:val="16"/>
                          <w:szCs w:val="16"/>
                        </w:rPr>
                        <w:t>a</w:t>
                      </w:r>
                    </w:p>
                  </w:txbxContent>
                </v:textbox>
              </v:shape>
            </w:pict>
          </mc:Fallback>
        </mc:AlternateContent>
      </w:r>
      <w:r w:rsidR="001E548D" w:rsidRPr="000E3BD6">
        <w:rPr>
          <w:rFonts w:ascii="Book Antiqua" w:hAnsi="Book Antiqua" w:cs="Times New Roman"/>
          <w:b/>
          <w:noProof/>
          <w:sz w:val="24"/>
          <w:szCs w:val="24"/>
        </w:rPr>
        <mc:AlternateContent>
          <mc:Choice Requires="wps">
            <w:drawing>
              <wp:anchor distT="0" distB="0" distL="114300" distR="114300" simplePos="0" relativeHeight="251700224" behindDoc="0" locked="0" layoutInCell="1" allowOverlap="1" wp14:anchorId="3925DAAB" wp14:editId="1E3D5E98">
                <wp:simplePos x="0" y="0"/>
                <wp:positionH relativeFrom="column">
                  <wp:posOffset>3597275</wp:posOffset>
                </wp:positionH>
                <wp:positionV relativeFrom="paragraph">
                  <wp:posOffset>1088390</wp:posOffset>
                </wp:positionV>
                <wp:extent cx="243205" cy="207645"/>
                <wp:effectExtent l="0" t="0" r="23495" b="20955"/>
                <wp:wrapNone/>
                <wp:docPr id="2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325FC7AA" w14:textId="69F51BBF" w:rsidR="000C3D8B" w:rsidRPr="00AB0E6D" w:rsidRDefault="000C3D8B" w:rsidP="001E548D">
                            <w:pPr>
                              <w:rPr>
                                <w:sz w:val="16"/>
                                <w:szCs w:val="16"/>
                              </w:rPr>
                            </w:pPr>
                            <w:r>
                              <w:rPr>
                                <w:rFonts w:hint="eastAsia"/>
                                <w:sz w:val="16"/>
                                <w:szCs w:val="1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25DAAB" id="_x0000_s1046" type="#_x0000_t202" style="position:absolute;left:0;text-align:left;margin-left:283.25pt;margin-top:85.7pt;width:19.15pt;height:16.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">
                <v:textbox>
                  <w:txbxContent>
                    <w:p w14:paraId="325FC7AA" w14:textId="69F51BBF" w:rsidR="000C3D8B" w:rsidRPr="00AB0E6D" w:rsidRDefault="000C3D8B" w:rsidP="001E548D">
                      <w:pPr>
                        <w:rPr>
                          <w:sz w:val="16"/>
                          <w:szCs w:val="16"/>
                        </w:rPr>
                      </w:pPr>
                      <w:r>
                        <w:rPr>
                          <w:rFonts w:hint="eastAsia"/>
                          <w:sz w:val="16"/>
                          <w:szCs w:val="16"/>
                        </w:rPr>
                        <w:t>b</w:t>
                      </w:r>
                    </w:p>
                  </w:txbxContent>
                </v:textbox>
              </v:shape>
            </w:pict>
          </mc:Fallback>
        </mc:AlternateContent>
      </w:r>
      <w:r w:rsidR="001E548D" w:rsidRPr="000E3BD6">
        <w:rPr>
          <w:rFonts w:ascii="Book Antiqua" w:hAnsi="Book Antiqua" w:cs="Times New Roman"/>
          <w:b/>
          <w:noProof/>
          <w:sz w:val="24"/>
          <w:szCs w:val="24"/>
        </w:rPr>
        <mc:AlternateContent>
          <mc:Choice Requires="wps">
            <w:drawing>
              <wp:anchor distT="0" distB="0" distL="114300" distR="114300" simplePos="0" relativeHeight="251687936" behindDoc="0" locked="0" layoutInCell="1" allowOverlap="1" wp14:anchorId="4403B758" wp14:editId="3D0EDB45">
                <wp:simplePos x="0" y="0"/>
                <wp:positionH relativeFrom="column">
                  <wp:posOffset>3898265</wp:posOffset>
                </wp:positionH>
                <wp:positionV relativeFrom="paragraph">
                  <wp:posOffset>1205230</wp:posOffset>
                </wp:positionV>
                <wp:extent cx="243205" cy="207645"/>
                <wp:effectExtent l="0" t="0" r="23495" b="20955"/>
                <wp:wrapNone/>
                <wp:docPr id="2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75A68D96" w14:textId="77777777" w:rsidR="000C3D8B" w:rsidRPr="00AB0E6D" w:rsidRDefault="000C3D8B" w:rsidP="001E548D">
                            <w:pPr>
                              <w:rPr>
                                <w:sz w:val="16"/>
                                <w:szCs w:val="16"/>
                              </w:rPr>
                            </w:pPr>
                            <w:r>
                              <w:rPr>
                                <w:sz w:val="16"/>
                                <w:szCs w:val="1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03B758" id="_x0000_s1047" type="#_x0000_t202" style="position:absolute;left:0;text-align:left;margin-left:306.95pt;margin-top:94.9pt;width:19.15pt;height:16.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">
                <v:textbox>
                  <w:txbxContent>
                    <w:p w14:paraId="75A68D96" w14:textId="77777777" w:rsidR="000C3D8B" w:rsidRPr="00AB0E6D" w:rsidRDefault="000C3D8B" w:rsidP="001E548D">
                      <w:pPr>
                        <w:rPr>
                          <w:sz w:val="16"/>
                          <w:szCs w:val="16"/>
                        </w:rPr>
                      </w:pPr>
                      <w:r>
                        <w:rPr>
                          <w:sz w:val="16"/>
                          <w:szCs w:val="16"/>
                        </w:rPr>
                        <w:t>a</w:t>
                      </w:r>
                    </w:p>
                  </w:txbxContent>
                </v:textbox>
              </v:shape>
            </w:pict>
          </mc:Fallback>
        </mc:AlternateContent>
      </w:r>
      <w:r w:rsidR="001E548D" w:rsidRPr="000E3BD6">
        <w:rPr>
          <w:rFonts w:ascii="Book Antiqua" w:hAnsi="Book Antiqua" w:cs="Times New Roman"/>
          <w:b/>
          <w:noProof/>
          <w:sz w:val="24"/>
          <w:szCs w:val="24"/>
        </w:rPr>
        <mc:AlternateContent>
          <mc:Choice Requires="wps">
            <w:drawing>
              <wp:anchor distT="0" distB="0" distL="114300" distR="114300" simplePos="0" relativeHeight="251689984" behindDoc="0" locked="0" layoutInCell="1" allowOverlap="1" wp14:anchorId="6A71291D" wp14:editId="7301EFEF">
                <wp:simplePos x="0" y="0"/>
                <wp:positionH relativeFrom="column">
                  <wp:posOffset>3355975</wp:posOffset>
                </wp:positionH>
                <wp:positionV relativeFrom="paragraph">
                  <wp:posOffset>1245235</wp:posOffset>
                </wp:positionV>
                <wp:extent cx="243205" cy="207645"/>
                <wp:effectExtent l="0" t="0" r="23495" b="20955"/>
                <wp:wrapNone/>
                <wp:docPr id="2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00897907" w14:textId="77777777" w:rsidR="000C3D8B" w:rsidRPr="00AB0E6D" w:rsidRDefault="000C3D8B" w:rsidP="001E548D">
                            <w:pPr>
                              <w:rPr>
                                <w:sz w:val="16"/>
                                <w:szCs w:val="16"/>
                              </w:rPr>
                            </w:pPr>
                            <w:r>
                              <w:rPr>
                                <w:sz w:val="16"/>
                                <w:szCs w:val="1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71291D" id="_x0000_s1048" type="#_x0000_t202" style="position:absolute;left:0;text-align:left;margin-left:264.25pt;margin-top:98.05pt;width:19.15pt;height:16.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">
                <v:textbox>
                  <w:txbxContent>
                    <w:p w14:paraId="00897907" w14:textId="77777777" w:rsidR="000C3D8B" w:rsidRPr="00AB0E6D" w:rsidRDefault="000C3D8B" w:rsidP="001E548D">
                      <w:pPr>
                        <w:rPr>
                          <w:sz w:val="16"/>
                          <w:szCs w:val="16"/>
                        </w:rPr>
                      </w:pPr>
                      <w:r>
                        <w:rPr>
                          <w:sz w:val="16"/>
                          <w:szCs w:val="16"/>
                        </w:rPr>
                        <w:t>a</w:t>
                      </w:r>
                    </w:p>
                  </w:txbxContent>
                </v:textbox>
              </v:shape>
            </w:pict>
          </mc:Fallback>
        </mc:AlternateContent>
      </w:r>
      <w:r w:rsidR="001E548D" w:rsidRPr="000E3BD6">
        <w:rPr>
          <w:rFonts w:ascii="Book Antiqua" w:hAnsi="Book Antiqua" w:cs="Times New Roman"/>
          <w:b/>
          <w:noProof/>
          <w:sz w:val="24"/>
          <w:szCs w:val="24"/>
        </w:rPr>
        <mc:AlternateContent>
          <mc:Choice Requires="wps">
            <w:drawing>
              <wp:anchor distT="0" distB="0" distL="114300" distR="114300" simplePos="0" relativeHeight="251692032" behindDoc="0" locked="0" layoutInCell="1" allowOverlap="1" wp14:anchorId="4E2F4565" wp14:editId="57BD47A0">
                <wp:simplePos x="0" y="0"/>
                <wp:positionH relativeFrom="column">
                  <wp:posOffset>3656965</wp:posOffset>
                </wp:positionH>
                <wp:positionV relativeFrom="paragraph">
                  <wp:posOffset>26035</wp:posOffset>
                </wp:positionV>
                <wp:extent cx="243205" cy="207645"/>
                <wp:effectExtent l="0" t="0" r="23495" b="20955"/>
                <wp:wrapNone/>
                <wp:docPr id="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381043F5" w14:textId="0AF763DE" w:rsidR="000C3D8B" w:rsidRPr="00AB0E6D" w:rsidRDefault="000C3D8B" w:rsidP="001E548D">
                            <w:pPr>
                              <w:rPr>
                                <w:sz w:val="16"/>
                                <w:szCs w:val="16"/>
                              </w:rPr>
                            </w:pPr>
                            <w:r>
                              <w:rPr>
                                <w:rFonts w:hint="eastAsia"/>
                                <w:sz w:val="16"/>
                                <w:szCs w:val="1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2F4565" id="_x0000_s1049" type="#_x0000_t202" style="position:absolute;left:0;text-align:left;margin-left:287.95pt;margin-top:2.05pt;width:19.15pt;height:16.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">
                <v:textbox>
                  <w:txbxContent>
                    <w:p w14:paraId="381043F5" w14:textId="0AF763DE" w:rsidR="000C3D8B" w:rsidRPr="00AB0E6D" w:rsidRDefault="000C3D8B" w:rsidP="001E548D">
                      <w:pPr>
                        <w:rPr>
                          <w:sz w:val="16"/>
                          <w:szCs w:val="16"/>
                        </w:rPr>
                      </w:pPr>
                      <w:r>
                        <w:rPr>
                          <w:rFonts w:hint="eastAsia"/>
                          <w:sz w:val="16"/>
                          <w:szCs w:val="16"/>
                        </w:rPr>
                        <w:t>b</w:t>
                      </w:r>
                    </w:p>
                  </w:txbxContent>
                </v:textbox>
              </v:shape>
            </w:pict>
          </mc:Fallback>
        </mc:AlternateContent>
      </w:r>
      <w:r w:rsidR="001E548D" w:rsidRPr="000E3BD6">
        <w:rPr>
          <w:rFonts w:ascii="Book Antiqua" w:hAnsi="Book Antiqua" w:cs="Times New Roman"/>
          <w:b/>
          <w:noProof/>
          <w:sz w:val="24"/>
          <w:szCs w:val="24"/>
        </w:rPr>
        <mc:AlternateContent>
          <mc:Choice Requires="wps">
            <w:drawing>
              <wp:anchor distT="0" distB="0" distL="114300" distR="114300" simplePos="0" relativeHeight="251694080" behindDoc="0" locked="0" layoutInCell="1" allowOverlap="1" wp14:anchorId="0C949C95" wp14:editId="17E01A3D">
                <wp:simplePos x="0" y="0"/>
                <wp:positionH relativeFrom="column">
                  <wp:posOffset>3352165</wp:posOffset>
                </wp:positionH>
                <wp:positionV relativeFrom="paragraph">
                  <wp:posOffset>142875</wp:posOffset>
                </wp:positionV>
                <wp:extent cx="243205" cy="207645"/>
                <wp:effectExtent l="0" t="0" r="23495" b="20955"/>
                <wp:wrapNone/>
                <wp:docPr id="2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5EDED64B" w14:textId="77777777" w:rsidR="000C3D8B" w:rsidRPr="00AB0E6D" w:rsidRDefault="000C3D8B" w:rsidP="001E548D">
                            <w:pPr>
                              <w:rPr>
                                <w:sz w:val="16"/>
                                <w:szCs w:val="16"/>
                              </w:rPr>
                            </w:pPr>
                            <w:r>
                              <w:rPr>
                                <w:sz w:val="16"/>
                                <w:szCs w:val="1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949C95" id="_x0000_s1050" type="#_x0000_t202" style="position:absolute;left:0;text-align:left;margin-left:263.95pt;margin-top:11.25pt;width:19.15pt;height:16.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">
                <v:textbox>
                  <w:txbxContent>
                    <w:p w14:paraId="5EDED64B" w14:textId="77777777" w:rsidR="000C3D8B" w:rsidRPr="00AB0E6D" w:rsidRDefault="000C3D8B" w:rsidP="001E548D">
                      <w:pPr>
                        <w:rPr>
                          <w:sz w:val="16"/>
                          <w:szCs w:val="16"/>
                        </w:rPr>
                      </w:pPr>
                      <w:r>
                        <w:rPr>
                          <w:sz w:val="16"/>
                          <w:szCs w:val="16"/>
                        </w:rPr>
                        <w:t>a</w:t>
                      </w:r>
                    </w:p>
                  </w:txbxContent>
                </v:textbox>
              </v:shape>
            </w:pict>
          </mc:Fallback>
        </mc:AlternateContent>
      </w:r>
      <w:r w:rsidR="001E548D" w:rsidRPr="000E3BD6">
        <w:rPr>
          <w:rFonts w:ascii="Book Antiqua" w:hAnsi="Book Antiqua" w:cs="Times New Roman"/>
          <w:b/>
          <w:noProof/>
          <w:sz w:val="24"/>
          <w:szCs w:val="24"/>
        </w:rPr>
        <mc:AlternateContent>
          <mc:Choice Requires="wps">
            <w:drawing>
              <wp:anchor distT="0" distB="0" distL="114300" distR="114300" simplePos="0" relativeHeight="251685888" behindDoc="0" locked="0" layoutInCell="1" allowOverlap="1" wp14:anchorId="00E888C6" wp14:editId="26160969">
                <wp:simplePos x="0" y="0"/>
                <wp:positionH relativeFrom="column">
                  <wp:posOffset>5194935</wp:posOffset>
                </wp:positionH>
                <wp:positionV relativeFrom="paragraph">
                  <wp:posOffset>-2540</wp:posOffset>
                </wp:positionV>
                <wp:extent cx="243205" cy="201295"/>
                <wp:effectExtent l="0" t="0" r="23495" b="27305"/>
                <wp:wrapNone/>
                <wp:docPr id="1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1295"/>
                        </a:xfrm>
                        <a:prstGeom prst="rect">
                          <a:avLst/>
                        </a:prstGeom>
                        <a:solidFill>
                          <a:srgbClr val="FFFFFF"/>
                        </a:solidFill>
                        <a:ln w="9525">
                          <a:solidFill>
                            <a:srgbClr val="000000"/>
                          </a:solidFill>
                          <a:miter lim="800000"/>
                          <a:headEnd/>
                          <a:tailEnd/>
                        </a:ln>
                      </wps:spPr>
                      <wps:txbx>
                        <w:txbxContent>
                          <w:p w14:paraId="017A4FF1" w14:textId="77777777" w:rsidR="000C3D8B" w:rsidRPr="00AB0E6D" w:rsidRDefault="000C3D8B" w:rsidP="001E548D">
                            <w:pPr>
                              <w:rPr>
                                <w:sz w:val="16"/>
                                <w:szCs w:val="16"/>
                              </w:rPr>
                            </w:pPr>
                            <w:r>
                              <w:rPr>
                                <w:sz w:val="16"/>
                                <w:szCs w:val="1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E888C6" id="_x0000_s1051" type="#_x0000_t202" style="position:absolute;left:0;text-align:left;margin-left:409.05pt;margin-top:-.2pt;width:19.15pt;height:15.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">
                <v:textbox>
                  <w:txbxContent>
                    <w:p w14:paraId="017A4FF1" w14:textId="77777777" w:rsidR="000C3D8B" w:rsidRPr="00AB0E6D" w:rsidRDefault="000C3D8B" w:rsidP="001E548D">
                      <w:pPr>
                        <w:rPr>
                          <w:sz w:val="16"/>
                          <w:szCs w:val="16"/>
                        </w:rPr>
                      </w:pPr>
                      <w:r>
                        <w:rPr>
                          <w:sz w:val="16"/>
                          <w:szCs w:val="16"/>
                        </w:rPr>
                        <w:t>a</w:t>
                      </w:r>
                    </w:p>
                  </w:txbxContent>
                </v:textbox>
              </v:shape>
            </w:pict>
          </mc:Fallback>
        </mc:AlternateContent>
      </w:r>
      <w:r w:rsidR="006B0A36" w:rsidRPr="000E3BD6">
        <w:rPr>
          <w:rFonts w:ascii="Book Antiqua" w:hAnsi="Book Antiqua"/>
          <w:noProof/>
          <w:sz w:val="24"/>
          <w:szCs w:val="24"/>
        </w:rPr>
        <w:drawing>
          <wp:inline distT="0" distB="0" distL="0" distR="0" wp14:anchorId="635E5AAA" wp14:editId="35C90A51">
            <wp:extent cx="5744344" cy="4814515"/>
            <wp:effectExtent l="0" t="0" r="889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1536" cy="4946263"/>
                    </a:xfrm>
                    <a:prstGeom prst="rect">
                      <a:avLst/>
                    </a:prstGeom>
                    <a:noFill/>
                    <a:ln>
                      <a:noFill/>
                    </a:ln>
                  </pic:spPr>
                </pic:pic>
              </a:graphicData>
            </a:graphic>
          </wp:inline>
        </w:drawing>
      </w:r>
      <w:r w:rsidR="006B0A36" w:rsidRPr="008A6B63">
        <w:rPr>
          <w:rFonts w:ascii="Book Antiqua" w:hAnsi="Book Antiqua" w:cs="Times New Roman"/>
          <w:b/>
          <w:sz w:val="24"/>
          <w:szCs w:val="24"/>
        </w:rPr>
        <w:t xml:space="preserve">Figure 5 Effects of </w:t>
      </w:r>
      <w:r w:rsidR="008A6B63" w:rsidRPr="008A6B63">
        <w:rPr>
          <w:rFonts w:ascii="Book Antiqua" w:eastAsia="Times New Roman" w:hAnsi="Book Antiqua" w:cs="Times New Roman"/>
          <w:b/>
          <w:sz w:val="24"/>
          <w:szCs w:val="24"/>
        </w:rPr>
        <w:t>stromal cell-derived factor-1</w:t>
      </w:r>
      <w:r w:rsidR="006B0A36" w:rsidRPr="008A6B63">
        <w:rPr>
          <w:rFonts w:ascii="Book Antiqua" w:hAnsi="Book Antiqua" w:cs="Times New Roman"/>
          <w:b/>
          <w:sz w:val="24"/>
          <w:szCs w:val="24"/>
        </w:rPr>
        <w:t>/</w:t>
      </w:r>
      <w:r w:rsidR="008A6B63" w:rsidRPr="008A6B63">
        <w:rPr>
          <w:rFonts w:ascii="Book Antiqua" w:eastAsia="Times New Roman" w:hAnsi="Book Antiqua" w:cs="Times New Roman"/>
          <w:b/>
          <w:sz w:val="24"/>
          <w:szCs w:val="24"/>
        </w:rPr>
        <w:t>C-X-C chemokine receptor type 4</w:t>
      </w:r>
      <w:r w:rsidR="006B0A36" w:rsidRPr="008A6B63">
        <w:rPr>
          <w:rFonts w:ascii="Book Antiqua" w:hAnsi="Book Antiqua" w:cs="Times New Roman"/>
          <w:b/>
          <w:sz w:val="24"/>
          <w:szCs w:val="24"/>
        </w:rPr>
        <w:t xml:space="preserve"> axis on chondrogenesis differentiation of </w:t>
      </w:r>
      <w:r w:rsidR="008A6B63" w:rsidRPr="008A6B63">
        <w:rPr>
          <w:rFonts w:ascii="Book Antiqua" w:hAnsi="Book Antiqua" w:cs="Times New Roman"/>
          <w:b/>
          <w:sz w:val="24"/>
          <w:szCs w:val="24"/>
        </w:rPr>
        <w:t>nucleus pulposus-derived stem cells</w:t>
      </w:r>
      <w:r w:rsidR="006B0A36" w:rsidRPr="008A6B63">
        <w:rPr>
          <w:rFonts w:ascii="Book Antiqua" w:hAnsi="Book Antiqua" w:cs="Times New Roman"/>
          <w:b/>
          <w:sz w:val="24"/>
          <w:szCs w:val="24"/>
        </w:rPr>
        <w:t xml:space="preserve"> </w:t>
      </w:r>
      <w:r w:rsidR="006B0A36" w:rsidRPr="008A6B63">
        <w:rPr>
          <w:rFonts w:ascii="Book Antiqua" w:hAnsi="Book Antiqua" w:cs="Times New Roman"/>
          <w:b/>
          <w:i/>
          <w:sz w:val="24"/>
          <w:szCs w:val="24"/>
        </w:rPr>
        <w:t>in vitro</w:t>
      </w:r>
      <w:r w:rsidR="006B0A36" w:rsidRPr="008A6B63">
        <w:rPr>
          <w:rFonts w:ascii="Book Antiqua" w:hAnsi="Book Antiqua" w:cs="Times New Roman"/>
          <w:b/>
          <w:sz w:val="24"/>
          <w:szCs w:val="24"/>
        </w:rPr>
        <w:t xml:space="preserve">. </w:t>
      </w:r>
      <w:r w:rsidR="008A6B63">
        <w:rPr>
          <w:rFonts w:ascii="Book Antiqua" w:hAnsi="Book Antiqua" w:cs="Times New Roman" w:hint="eastAsia"/>
          <w:b/>
          <w:sz w:val="24"/>
          <w:szCs w:val="24"/>
        </w:rPr>
        <w:t>A</w:t>
      </w:r>
      <w:r w:rsidR="000C3D8B">
        <w:rPr>
          <w:rFonts w:ascii="Book Antiqua" w:hAnsi="Book Antiqua" w:cs="Times New Roman"/>
          <w:b/>
          <w:sz w:val="24"/>
          <w:szCs w:val="24"/>
        </w:rPr>
        <w:t xml:space="preserve"> and</w:t>
      </w:r>
      <w:r w:rsidR="000C3D8B">
        <w:rPr>
          <w:rFonts w:ascii="Book Antiqua" w:hAnsi="Book Antiqua" w:cs="Times New Roman" w:hint="eastAsia"/>
          <w:b/>
          <w:sz w:val="24"/>
          <w:szCs w:val="24"/>
        </w:rPr>
        <w:t xml:space="preserve"> </w:t>
      </w:r>
      <w:r w:rsidR="008A6B63">
        <w:rPr>
          <w:rFonts w:ascii="Book Antiqua" w:hAnsi="Book Antiqua" w:cs="Times New Roman" w:hint="eastAsia"/>
          <w:b/>
          <w:sz w:val="24"/>
          <w:szCs w:val="24"/>
        </w:rPr>
        <w:t xml:space="preserve">B: </w:t>
      </w:r>
      <w:r w:rsidR="006B0A36" w:rsidRPr="000E3BD6">
        <w:rPr>
          <w:rFonts w:ascii="Book Antiqua" w:hAnsi="Book Antiqua" w:cs="Times New Roman"/>
          <w:sz w:val="24"/>
          <w:szCs w:val="24"/>
        </w:rPr>
        <w:t xml:space="preserve">Western </w:t>
      </w:r>
      <w:r w:rsidR="000C3D8B" w:rsidRPr="000E3BD6">
        <w:rPr>
          <w:rFonts w:ascii="Book Antiqua" w:hAnsi="Book Antiqua" w:cs="Times New Roman"/>
          <w:sz w:val="24"/>
          <w:szCs w:val="24"/>
        </w:rPr>
        <w:t>blot</w:t>
      </w:r>
      <w:r w:rsidR="000C3D8B">
        <w:rPr>
          <w:rFonts w:ascii="Book Antiqua" w:hAnsi="Book Antiqua" w:cs="Times New Roman"/>
          <w:sz w:val="24"/>
          <w:szCs w:val="24"/>
        </w:rPr>
        <w:t xml:space="preserve"> </w:t>
      </w:r>
      <w:r w:rsidR="006B0A36" w:rsidRPr="000E3BD6">
        <w:rPr>
          <w:rFonts w:ascii="Book Antiqua" w:hAnsi="Book Antiqua" w:cs="Times New Roman"/>
          <w:sz w:val="24"/>
          <w:szCs w:val="24"/>
        </w:rPr>
        <w:t>(</w:t>
      </w:r>
      <w:r w:rsidR="008A6B63" w:rsidRPr="000E3BD6">
        <w:rPr>
          <w:rFonts w:ascii="Book Antiqua" w:hAnsi="Book Antiqua" w:cs="Times New Roman"/>
          <w:sz w:val="24"/>
          <w:szCs w:val="24"/>
        </w:rPr>
        <w:t>A</w:t>
      </w:r>
      <w:r w:rsidR="006B0A36" w:rsidRPr="000E3BD6">
        <w:rPr>
          <w:rFonts w:ascii="Book Antiqua" w:hAnsi="Book Antiqua" w:cs="Times New Roman"/>
          <w:sz w:val="24"/>
          <w:szCs w:val="24"/>
        </w:rPr>
        <w:t>) and real-time RT-PCR (</w:t>
      </w:r>
      <w:r w:rsidR="008A6B63" w:rsidRPr="000E3BD6">
        <w:rPr>
          <w:rFonts w:ascii="Book Antiqua" w:hAnsi="Book Antiqua" w:cs="Times New Roman"/>
          <w:sz w:val="24"/>
          <w:szCs w:val="24"/>
        </w:rPr>
        <w:t>B</w:t>
      </w:r>
      <w:r w:rsidR="006B0A36" w:rsidRPr="000E3BD6">
        <w:rPr>
          <w:rFonts w:ascii="Book Antiqua" w:hAnsi="Book Antiqua" w:cs="Times New Roman"/>
          <w:sz w:val="24"/>
          <w:szCs w:val="24"/>
        </w:rPr>
        <w:t xml:space="preserve">) showed that </w:t>
      </w:r>
      <w:r w:rsidR="007436BB" w:rsidRPr="006C0434">
        <w:rPr>
          <w:rFonts w:ascii="Book Antiqua" w:eastAsia="Times New Roman" w:hAnsi="Book Antiqua" w:cs="Times New Roman"/>
          <w:sz w:val="24"/>
          <w:szCs w:val="24"/>
        </w:rPr>
        <w:t>stromal cell-derived factor-1α</w:t>
      </w:r>
      <w:r w:rsidR="007436BB">
        <w:rPr>
          <w:rFonts w:ascii="Book Antiqua" w:hAnsi="Book Antiqua" w:cs="Times New Roman" w:hint="eastAsia"/>
          <w:sz w:val="24"/>
          <w:szCs w:val="24"/>
        </w:rPr>
        <w:t xml:space="preserve"> </w:t>
      </w:r>
      <w:r w:rsidR="006B0A36" w:rsidRPr="000E3BD6">
        <w:rPr>
          <w:rFonts w:ascii="Book Antiqua" w:hAnsi="Book Antiqua" w:cs="Times New Roman"/>
          <w:sz w:val="24"/>
          <w:szCs w:val="24"/>
        </w:rPr>
        <w:t xml:space="preserve">upregulated the expression of chondrocyte phenotypes such as aggrecan, collagen II, and Sox-9 in a dose-dependent manner. However, the upregulated expression of aggrecan and collagen II was suppressed by AMD3100. </w:t>
      </w:r>
      <w:r w:rsidR="004541C1" w:rsidRPr="000E3BD6">
        <w:rPr>
          <w:rFonts w:ascii="Book Antiqua" w:hAnsi="Book Antiqua" w:cs="Times New Roman"/>
          <w:sz w:val="24"/>
          <w:szCs w:val="24"/>
        </w:rPr>
        <w:t>Data are presented as</w:t>
      </w:r>
      <w:r w:rsidR="000C3D8B">
        <w:rPr>
          <w:rFonts w:ascii="Book Antiqua" w:hAnsi="Book Antiqua" w:cs="Times New Roman"/>
          <w:sz w:val="24"/>
          <w:szCs w:val="24"/>
        </w:rPr>
        <w:t xml:space="preserve"> the</w:t>
      </w:r>
      <w:r w:rsidR="004541C1" w:rsidRPr="000E3BD6">
        <w:rPr>
          <w:rFonts w:ascii="Book Antiqua" w:hAnsi="Book Antiqua" w:cs="Times New Roman"/>
          <w:sz w:val="24"/>
          <w:szCs w:val="24"/>
        </w:rPr>
        <w:t xml:space="preserve"> mean ± SD,</w:t>
      </w:r>
      <w:r w:rsidR="004541C1" w:rsidRPr="007D54BC">
        <w:rPr>
          <w:rFonts w:ascii="Book Antiqua" w:hAnsi="Book Antiqua" w:cs="Times New Roman"/>
          <w:i/>
          <w:sz w:val="24"/>
          <w:szCs w:val="24"/>
        </w:rPr>
        <w:t xml:space="preserve"> n</w:t>
      </w:r>
      <w:r w:rsidR="004541C1" w:rsidRPr="000E3BD6">
        <w:rPr>
          <w:rFonts w:ascii="Book Antiqua" w:hAnsi="Book Antiqua" w:cs="Times New Roman"/>
          <w:sz w:val="24"/>
          <w:szCs w:val="24"/>
        </w:rPr>
        <w:t xml:space="preserve"> = 3, </w:t>
      </w:r>
      <w:r w:rsidR="007D54BC">
        <w:rPr>
          <w:rFonts w:ascii="Book Antiqua" w:hAnsi="Book Antiqua" w:cs="Times New Roman" w:hint="eastAsia"/>
          <w:sz w:val="24"/>
          <w:szCs w:val="24"/>
          <w:vertAlign w:val="superscript"/>
        </w:rPr>
        <w:t>a</w:t>
      </w:r>
      <w:r w:rsidR="004541C1" w:rsidRPr="000E3BD6">
        <w:rPr>
          <w:rFonts w:ascii="Book Antiqua" w:hAnsi="Book Antiqua" w:cs="Times New Roman"/>
          <w:i/>
          <w:sz w:val="24"/>
          <w:szCs w:val="24"/>
        </w:rPr>
        <w:t xml:space="preserve">P </w:t>
      </w:r>
      <w:r w:rsidR="004541C1" w:rsidRPr="000E3BD6">
        <w:rPr>
          <w:rFonts w:ascii="Book Antiqua" w:hAnsi="Book Antiqua" w:cs="Times New Roman"/>
          <w:sz w:val="24"/>
          <w:szCs w:val="24"/>
        </w:rPr>
        <w:t>&lt; 0.05,</w:t>
      </w:r>
      <w:r w:rsidR="00EA7E62">
        <w:rPr>
          <w:rFonts w:ascii="Book Antiqua" w:hAnsi="Book Antiqua" w:cs="Times New Roman" w:hint="eastAsia"/>
          <w:sz w:val="24"/>
          <w:szCs w:val="24"/>
        </w:rPr>
        <w:t xml:space="preserve"> </w:t>
      </w:r>
      <w:r w:rsidR="007D54BC">
        <w:rPr>
          <w:rFonts w:ascii="Book Antiqua" w:hAnsi="Book Antiqua" w:cs="Times New Roman" w:hint="eastAsia"/>
          <w:sz w:val="24"/>
          <w:szCs w:val="24"/>
          <w:vertAlign w:val="superscript"/>
        </w:rPr>
        <w:t>b</w:t>
      </w:r>
      <w:r w:rsidR="004541C1" w:rsidRPr="000E3BD6">
        <w:rPr>
          <w:rFonts w:ascii="Book Antiqua" w:hAnsi="Book Antiqua" w:cs="Times New Roman"/>
          <w:i/>
          <w:sz w:val="24"/>
          <w:szCs w:val="24"/>
        </w:rPr>
        <w:t>P</w:t>
      </w:r>
      <w:r w:rsidR="004541C1" w:rsidRPr="000E3BD6">
        <w:rPr>
          <w:rFonts w:ascii="Book Antiqua" w:hAnsi="Book Antiqua" w:cs="Times New Roman"/>
          <w:sz w:val="24"/>
          <w:szCs w:val="24"/>
        </w:rPr>
        <w:t xml:space="preserve"> &lt; 0.01. SDF-1: </w:t>
      </w:r>
      <w:r w:rsidR="007D54BC" w:rsidRPr="000E3BD6">
        <w:rPr>
          <w:rFonts w:ascii="Book Antiqua" w:eastAsia="Times New Roman" w:hAnsi="Book Antiqua" w:cs="Times New Roman"/>
          <w:sz w:val="24"/>
          <w:szCs w:val="24"/>
        </w:rPr>
        <w:t xml:space="preserve">Stromal </w:t>
      </w:r>
      <w:r w:rsidR="004541C1" w:rsidRPr="000E3BD6">
        <w:rPr>
          <w:rFonts w:ascii="Book Antiqua" w:eastAsia="Times New Roman" w:hAnsi="Book Antiqua" w:cs="Times New Roman"/>
          <w:sz w:val="24"/>
          <w:szCs w:val="24"/>
        </w:rPr>
        <w:t>cell-derived factor-1; Sox-9: SRY-related high mobility group box gene 9.</w:t>
      </w:r>
    </w:p>
    <w:p w14:paraId="64226826"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p>
    <w:p w14:paraId="17025C44" w14:textId="3EB8AC12" w:rsidR="004541C1" w:rsidRPr="000E3BD6" w:rsidRDefault="00E5467B" w:rsidP="00F710B6">
      <w:pPr>
        <w:autoSpaceDE w:val="0"/>
        <w:autoSpaceDN w:val="0"/>
        <w:adjustRightInd w:val="0"/>
        <w:spacing w:after="0" w:line="360" w:lineRule="auto"/>
        <w:contextualSpacing/>
        <w:jc w:val="both"/>
        <w:rPr>
          <w:rFonts w:ascii="Book Antiqua" w:hAnsi="Book Antiqua" w:cs="Times New Roman"/>
          <w:sz w:val="24"/>
          <w:szCs w:val="24"/>
        </w:rPr>
      </w:pPr>
      <w:r w:rsidRPr="000E3BD6">
        <w:rPr>
          <w:rFonts w:ascii="Book Antiqua" w:hAnsi="Book Antiqua" w:cs="Times New Roman"/>
          <w:b/>
          <w:noProof/>
          <w:sz w:val="24"/>
          <w:szCs w:val="24"/>
        </w:rPr>
        <w:lastRenderedPageBreak/>
        <mc:AlternateContent>
          <mc:Choice Requires="wps">
            <w:drawing>
              <wp:anchor distT="0" distB="0" distL="114300" distR="114300" simplePos="0" relativeHeight="251708416" behindDoc="0" locked="0" layoutInCell="1" allowOverlap="1" wp14:anchorId="4DE2EC3D" wp14:editId="1432AFF0">
                <wp:simplePos x="0" y="0"/>
                <wp:positionH relativeFrom="column">
                  <wp:posOffset>5229860</wp:posOffset>
                </wp:positionH>
                <wp:positionV relativeFrom="paragraph">
                  <wp:posOffset>3228340</wp:posOffset>
                </wp:positionV>
                <wp:extent cx="243205" cy="207645"/>
                <wp:effectExtent l="0" t="0" r="23495" b="20955"/>
                <wp:wrapNone/>
                <wp:docPr id="3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0D33882B" w14:textId="77777777" w:rsidR="000C3D8B" w:rsidRPr="00AB0E6D" w:rsidRDefault="000C3D8B" w:rsidP="00E5467B">
                            <w:pPr>
                              <w:rPr>
                                <w:sz w:val="16"/>
                                <w:szCs w:val="16"/>
                              </w:rPr>
                            </w:pPr>
                            <w:r>
                              <w:rPr>
                                <w:sz w:val="16"/>
                                <w:szCs w:val="1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E2EC3D" id="_x0000_s1052" type="#_x0000_t202" style="position:absolute;left:0;text-align:left;margin-left:411.8pt;margin-top:254.2pt;width:19.15pt;height:16.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">
                <v:textbox>
                  <w:txbxContent>
                    <w:p w14:paraId="0D33882B" w14:textId="77777777" w:rsidR="000C3D8B" w:rsidRPr="00AB0E6D" w:rsidRDefault="000C3D8B" w:rsidP="00E5467B">
                      <w:pPr>
                        <w:rPr>
                          <w:sz w:val="16"/>
                          <w:szCs w:val="16"/>
                        </w:rPr>
                      </w:pPr>
                      <w:r>
                        <w:rPr>
                          <w:sz w:val="16"/>
                          <w:szCs w:val="16"/>
                        </w:rPr>
                        <w:t>a</w:t>
                      </w:r>
                    </w:p>
                  </w:txbxContent>
                </v:textbox>
              </v:shape>
            </w:pict>
          </mc:Fallback>
        </mc:AlternateContent>
      </w:r>
      <w:r w:rsidRPr="000E3BD6">
        <w:rPr>
          <w:rFonts w:ascii="Book Antiqua" w:hAnsi="Book Antiqua" w:cs="Times New Roman"/>
          <w:b/>
          <w:noProof/>
          <w:sz w:val="24"/>
          <w:szCs w:val="24"/>
        </w:rPr>
        <mc:AlternateContent>
          <mc:Choice Requires="wps">
            <w:drawing>
              <wp:anchor distT="0" distB="0" distL="114300" distR="114300" simplePos="0" relativeHeight="251710464" behindDoc="0" locked="0" layoutInCell="1" allowOverlap="1" wp14:anchorId="0803AF55" wp14:editId="7CD6A8DC">
                <wp:simplePos x="0" y="0"/>
                <wp:positionH relativeFrom="column">
                  <wp:posOffset>5287645</wp:posOffset>
                </wp:positionH>
                <wp:positionV relativeFrom="paragraph">
                  <wp:posOffset>2157095</wp:posOffset>
                </wp:positionV>
                <wp:extent cx="243205" cy="207645"/>
                <wp:effectExtent l="0" t="0" r="23495" b="20955"/>
                <wp:wrapNone/>
                <wp:docPr id="3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79985E7F" w14:textId="77777777" w:rsidR="000C3D8B" w:rsidRPr="00AB0E6D" w:rsidRDefault="000C3D8B" w:rsidP="00E5467B">
                            <w:pPr>
                              <w:rPr>
                                <w:sz w:val="16"/>
                                <w:szCs w:val="16"/>
                              </w:rPr>
                            </w:pPr>
                            <w:r>
                              <w:rPr>
                                <w:sz w:val="16"/>
                                <w:szCs w:val="1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03AF55" id="_x0000_s1053" type="#_x0000_t202" style="position:absolute;left:0;text-align:left;margin-left:416.35pt;margin-top:169.85pt;width:19.15pt;height:16.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">
                <v:textbox>
                  <w:txbxContent>
                    <w:p w14:paraId="79985E7F" w14:textId="77777777" w:rsidR="000C3D8B" w:rsidRPr="00AB0E6D" w:rsidRDefault="000C3D8B" w:rsidP="00E5467B">
                      <w:pPr>
                        <w:rPr>
                          <w:sz w:val="16"/>
                          <w:szCs w:val="16"/>
                        </w:rPr>
                      </w:pPr>
                      <w:r>
                        <w:rPr>
                          <w:sz w:val="16"/>
                          <w:szCs w:val="16"/>
                        </w:rPr>
                        <w:t>a</w:t>
                      </w:r>
                    </w:p>
                  </w:txbxContent>
                </v:textbox>
              </v:shape>
            </w:pict>
          </mc:Fallback>
        </mc:AlternateContent>
      </w:r>
      <w:r w:rsidRPr="000E3BD6">
        <w:rPr>
          <w:rFonts w:ascii="Book Antiqua" w:hAnsi="Book Antiqua" w:cs="Times New Roman"/>
          <w:b/>
          <w:noProof/>
          <w:sz w:val="24"/>
          <w:szCs w:val="24"/>
        </w:rPr>
        <mc:AlternateContent>
          <mc:Choice Requires="wps">
            <w:drawing>
              <wp:anchor distT="0" distB="0" distL="114300" distR="114300" simplePos="0" relativeHeight="251712512" behindDoc="0" locked="0" layoutInCell="1" allowOverlap="1" wp14:anchorId="6E2ED9D8" wp14:editId="6F3E3764">
                <wp:simplePos x="0" y="0"/>
                <wp:positionH relativeFrom="column">
                  <wp:posOffset>5291455</wp:posOffset>
                </wp:positionH>
                <wp:positionV relativeFrom="paragraph">
                  <wp:posOffset>65405</wp:posOffset>
                </wp:positionV>
                <wp:extent cx="243205" cy="207645"/>
                <wp:effectExtent l="0" t="0" r="23495" b="20955"/>
                <wp:wrapNone/>
                <wp:docPr id="28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4E5488A0" w14:textId="77777777" w:rsidR="000C3D8B" w:rsidRPr="00AB0E6D" w:rsidRDefault="000C3D8B" w:rsidP="00E5467B">
                            <w:pPr>
                              <w:rPr>
                                <w:sz w:val="16"/>
                                <w:szCs w:val="16"/>
                              </w:rPr>
                            </w:pPr>
                            <w:r>
                              <w:rPr>
                                <w:sz w:val="16"/>
                                <w:szCs w:val="1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2ED9D8" id="_x0000_s1054" type="#_x0000_t202" style="position:absolute;left:0;text-align:left;margin-left:416.65pt;margin-top:5.15pt;width:19.15pt;height:16.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">
                <v:textbox>
                  <w:txbxContent>
                    <w:p w14:paraId="4E5488A0" w14:textId="77777777" w:rsidR="000C3D8B" w:rsidRPr="00AB0E6D" w:rsidRDefault="000C3D8B" w:rsidP="00E5467B">
                      <w:pPr>
                        <w:rPr>
                          <w:sz w:val="16"/>
                          <w:szCs w:val="16"/>
                        </w:rPr>
                      </w:pPr>
                      <w:r>
                        <w:rPr>
                          <w:sz w:val="16"/>
                          <w:szCs w:val="16"/>
                        </w:rPr>
                        <w:t>a</w:t>
                      </w:r>
                    </w:p>
                  </w:txbxContent>
                </v:textbox>
              </v:shape>
            </w:pict>
          </mc:Fallback>
        </mc:AlternateContent>
      </w:r>
      <w:r w:rsidRPr="000E3BD6">
        <w:rPr>
          <w:rFonts w:ascii="Book Antiqua" w:hAnsi="Book Antiqua" w:cs="Times New Roman"/>
          <w:b/>
          <w:noProof/>
          <w:sz w:val="24"/>
          <w:szCs w:val="24"/>
        </w:rPr>
        <mc:AlternateContent>
          <mc:Choice Requires="wps">
            <w:drawing>
              <wp:anchor distT="0" distB="0" distL="114300" distR="114300" simplePos="0" relativeHeight="251714560" behindDoc="0" locked="0" layoutInCell="1" allowOverlap="1" wp14:anchorId="733CCBEC" wp14:editId="1016AB15">
                <wp:simplePos x="0" y="0"/>
                <wp:positionH relativeFrom="column">
                  <wp:posOffset>4987545</wp:posOffset>
                </wp:positionH>
                <wp:positionV relativeFrom="paragraph">
                  <wp:posOffset>130208</wp:posOffset>
                </wp:positionV>
                <wp:extent cx="243205" cy="207645"/>
                <wp:effectExtent l="0" t="0" r="23495" b="20955"/>
                <wp:wrapNone/>
                <wp:docPr id="28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35204FFD" w14:textId="77777777" w:rsidR="000C3D8B" w:rsidRPr="00AB0E6D" w:rsidRDefault="000C3D8B" w:rsidP="00E5467B">
                            <w:pPr>
                              <w:rPr>
                                <w:sz w:val="16"/>
                                <w:szCs w:val="16"/>
                              </w:rPr>
                            </w:pPr>
                            <w:r>
                              <w:rPr>
                                <w:sz w:val="16"/>
                                <w:szCs w:val="1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3CCBEC" id="_x0000_s1055" type="#_x0000_t202" style="position:absolute;left:0;text-align:left;margin-left:392.7pt;margin-top:10.25pt;width:19.15pt;height:16.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">
                <v:textbox>
                  <w:txbxContent>
                    <w:p w14:paraId="35204FFD" w14:textId="77777777" w:rsidR="000C3D8B" w:rsidRPr="00AB0E6D" w:rsidRDefault="000C3D8B" w:rsidP="00E5467B">
                      <w:pPr>
                        <w:rPr>
                          <w:sz w:val="16"/>
                          <w:szCs w:val="16"/>
                        </w:rPr>
                      </w:pPr>
                      <w:r>
                        <w:rPr>
                          <w:sz w:val="16"/>
                          <w:szCs w:val="16"/>
                        </w:rPr>
                        <w:t>a</w:t>
                      </w:r>
                    </w:p>
                  </w:txbxContent>
                </v:textbox>
              </v:shape>
            </w:pict>
          </mc:Fallback>
        </mc:AlternateContent>
      </w:r>
      <w:r w:rsidRPr="000E3BD6">
        <w:rPr>
          <w:rFonts w:ascii="Book Antiqua" w:hAnsi="Book Antiqua" w:cs="Times New Roman"/>
          <w:b/>
          <w:noProof/>
          <w:sz w:val="24"/>
          <w:szCs w:val="24"/>
        </w:rPr>
        <mc:AlternateContent>
          <mc:Choice Requires="wps">
            <w:drawing>
              <wp:anchor distT="0" distB="0" distL="114300" distR="114300" simplePos="0" relativeHeight="251716608" behindDoc="0" locked="0" layoutInCell="1" allowOverlap="1" wp14:anchorId="539F0BE4" wp14:editId="2A749282">
                <wp:simplePos x="0" y="0"/>
                <wp:positionH relativeFrom="column">
                  <wp:posOffset>5275580</wp:posOffset>
                </wp:positionH>
                <wp:positionV relativeFrom="paragraph">
                  <wp:posOffset>1118235</wp:posOffset>
                </wp:positionV>
                <wp:extent cx="243205" cy="207645"/>
                <wp:effectExtent l="0" t="0" r="23495" b="20955"/>
                <wp:wrapNone/>
                <wp:docPr id="29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79AF8601" w14:textId="113F1495" w:rsidR="000C3D8B" w:rsidRPr="00AB0E6D" w:rsidRDefault="000C3D8B" w:rsidP="00E5467B">
                            <w:pPr>
                              <w:rPr>
                                <w:sz w:val="16"/>
                                <w:szCs w:val="16"/>
                              </w:rPr>
                            </w:pPr>
                            <w:r>
                              <w:rPr>
                                <w:rFonts w:hint="eastAsia"/>
                                <w:sz w:val="16"/>
                                <w:szCs w:val="1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9F0BE4" id="_x0000_s1056" type="#_x0000_t202" style="position:absolute;left:0;text-align:left;margin-left:415.4pt;margin-top:88.05pt;width:19.15pt;height:16.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">
                <v:textbox>
                  <w:txbxContent>
                    <w:p w14:paraId="79AF8601" w14:textId="113F1495" w:rsidR="000C3D8B" w:rsidRPr="00AB0E6D" w:rsidRDefault="000C3D8B" w:rsidP="00E5467B">
                      <w:pPr>
                        <w:rPr>
                          <w:sz w:val="16"/>
                          <w:szCs w:val="16"/>
                        </w:rPr>
                      </w:pPr>
                      <w:r>
                        <w:rPr>
                          <w:rFonts w:hint="eastAsia"/>
                          <w:sz w:val="16"/>
                          <w:szCs w:val="16"/>
                        </w:rPr>
                        <w:t>b</w:t>
                      </w:r>
                    </w:p>
                  </w:txbxContent>
                </v:textbox>
              </v:shape>
            </w:pict>
          </mc:Fallback>
        </mc:AlternateContent>
      </w:r>
      <w:r w:rsidRPr="000E3BD6">
        <w:rPr>
          <w:rFonts w:ascii="Book Antiqua" w:hAnsi="Book Antiqua" w:cs="Times New Roman"/>
          <w:b/>
          <w:noProof/>
          <w:sz w:val="24"/>
          <w:szCs w:val="24"/>
        </w:rPr>
        <mc:AlternateContent>
          <mc:Choice Requires="wps">
            <w:drawing>
              <wp:anchor distT="0" distB="0" distL="114300" distR="114300" simplePos="0" relativeHeight="251718656" behindDoc="0" locked="0" layoutInCell="1" allowOverlap="1" wp14:anchorId="08E088BA" wp14:editId="62E9438D">
                <wp:simplePos x="0" y="0"/>
                <wp:positionH relativeFrom="column">
                  <wp:posOffset>4988560</wp:posOffset>
                </wp:positionH>
                <wp:positionV relativeFrom="paragraph">
                  <wp:posOffset>1210945</wp:posOffset>
                </wp:positionV>
                <wp:extent cx="243205" cy="207645"/>
                <wp:effectExtent l="0" t="0" r="23495" b="20955"/>
                <wp:wrapNone/>
                <wp:docPr id="29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3FD6F184" w14:textId="77777777" w:rsidR="000C3D8B" w:rsidRPr="00AB0E6D" w:rsidRDefault="000C3D8B" w:rsidP="00E5467B">
                            <w:pPr>
                              <w:rPr>
                                <w:sz w:val="16"/>
                                <w:szCs w:val="16"/>
                              </w:rPr>
                            </w:pPr>
                            <w:r>
                              <w:rPr>
                                <w:sz w:val="16"/>
                                <w:szCs w:val="1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E088BA" id="_x0000_s1057" type="#_x0000_t202" style="position:absolute;left:0;text-align:left;margin-left:392.8pt;margin-top:95.35pt;width:19.15pt;height:16.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">
                <v:textbox>
                  <w:txbxContent>
                    <w:p w14:paraId="3FD6F184" w14:textId="77777777" w:rsidR="000C3D8B" w:rsidRPr="00AB0E6D" w:rsidRDefault="000C3D8B" w:rsidP="00E5467B">
                      <w:pPr>
                        <w:rPr>
                          <w:sz w:val="16"/>
                          <w:szCs w:val="16"/>
                        </w:rPr>
                      </w:pPr>
                      <w:r>
                        <w:rPr>
                          <w:sz w:val="16"/>
                          <w:szCs w:val="16"/>
                        </w:rPr>
                        <w:t>a</w:t>
                      </w:r>
                    </w:p>
                  </w:txbxContent>
                </v:textbox>
              </v:shape>
            </w:pict>
          </mc:Fallback>
        </mc:AlternateContent>
      </w:r>
      <w:r w:rsidR="006B0A36" w:rsidRPr="000E3BD6">
        <w:rPr>
          <w:rFonts w:ascii="Book Antiqua" w:hAnsi="Book Antiqua"/>
          <w:noProof/>
          <w:sz w:val="24"/>
          <w:szCs w:val="24"/>
        </w:rPr>
        <w:drawing>
          <wp:inline distT="0" distB="0" distL="0" distR="0" wp14:anchorId="7C9DA81A" wp14:editId="4746F61D">
            <wp:extent cx="5793322" cy="420409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3197" cy="4225773"/>
                    </a:xfrm>
                    <a:prstGeom prst="rect">
                      <a:avLst/>
                    </a:prstGeom>
                    <a:noFill/>
                    <a:ln>
                      <a:noFill/>
                    </a:ln>
                  </pic:spPr>
                </pic:pic>
              </a:graphicData>
            </a:graphic>
          </wp:inline>
        </w:drawing>
      </w:r>
      <w:r w:rsidR="006B0A36" w:rsidRPr="001812BD">
        <w:rPr>
          <w:rFonts w:ascii="Book Antiqua" w:hAnsi="Book Antiqua" w:cs="Times New Roman"/>
          <w:b/>
          <w:sz w:val="24"/>
          <w:szCs w:val="24"/>
        </w:rPr>
        <w:t xml:space="preserve">Figure 6 Effects of </w:t>
      </w:r>
      <w:r w:rsidR="001812BD" w:rsidRPr="001812BD">
        <w:rPr>
          <w:rFonts w:ascii="Book Antiqua" w:eastAsia="Times New Roman" w:hAnsi="Book Antiqua" w:cs="Times New Roman"/>
          <w:b/>
          <w:sz w:val="24"/>
          <w:szCs w:val="24"/>
        </w:rPr>
        <w:t>stromal cell-derived factor-1</w:t>
      </w:r>
      <w:r w:rsidR="006B0A36" w:rsidRPr="001812BD">
        <w:rPr>
          <w:rFonts w:ascii="Book Antiqua" w:hAnsi="Book Antiqua" w:cs="Times New Roman"/>
          <w:b/>
          <w:sz w:val="24"/>
          <w:szCs w:val="24"/>
        </w:rPr>
        <w:t>/</w:t>
      </w:r>
      <w:r w:rsidR="001812BD" w:rsidRPr="001812BD">
        <w:rPr>
          <w:rFonts w:ascii="Book Antiqua" w:eastAsia="Times New Roman" w:hAnsi="Book Antiqua" w:cs="Times New Roman"/>
          <w:b/>
          <w:sz w:val="24"/>
          <w:szCs w:val="24"/>
        </w:rPr>
        <w:t>C-X-C chemokine receptor type 4</w:t>
      </w:r>
      <w:r w:rsidR="006B0A36" w:rsidRPr="001812BD">
        <w:rPr>
          <w:rFonts w:ascii="Book Antiqua" w:hAnsi="Book Antiqua" w:cs="Times New Roman"/>
          <w:b/>
          <w:sz w:val="24"/>
          <w:szCs w:val="24"/>
        </w:rPr>
        <w:t xml:space="preserve"> axis on chondrogenesis differentiation of </w:t>
      </w:r>
      <w:r w:rsidR="001812BD" w:rsidRPr="001812BD">
        <w:rPr>
          <w:rFonts w:ascii="Book Antiqua" w:hAnsi="Book Antiqua" w:cs="Times New Roman"/>
          <w:b/>
          <w:sz w:val="24"/>
          <w:szCs w:val="24"/>
        </w:rPr>
        <w:t>nucleus pulposus-derived stem cells</w:t>
      </w:r>
      <w:r w:rsidR="006B0A36" w:rsidRPr="001812BD">
        <w:rPr>
          <w:rFonts w:ascii="Book Antiqua" w:hAnsi="Book Antiqua" w:cs="Times New Roman"/>
          <w:b/>
          <w:sz w:val="24"/>
          <w:szCs w:val="24"/>
        </w:rPr>
        <w:t xml:space="preserve"> using cell micromass culture.</w:t>
      </w:r>
      <w:r w:rsidR="006B0A36" w:rsidRPr="000E3BD6">
        <w:rPr>
          <w:rFonts w:ascii="Book Antiqua" w:hAnsi="Book Antiqua" w:cs="Times New Roman"/>
          <w:sz w:val="24"/>
          <w:szCs w:val="24"/>
        </w:rPr>
        <w:t xml:space="preserve"> </w:t>
      </w:r>
      <w:r w:rsidR="001812BD">
        <w:rPr>
          <w:rFonts w:ascii="Book Antiqua" w:hAnsi="Book Antiqua" w:cs="Times New Roman" w:hint="eastAsia"/>
          <w:sz w:val="24"/>
          <w:szCs w:val="24"/>
        </w:rPr>
        <w:t>A:</w:t>
      </w:r>
      <w:r w:rsidR="006B0A36" w:rsidRPr="000E3BD6">
        <w:rPr>
          <w:rFonts w:ascii="Book Antiqua" w:hAnsi="Book Antiqua" w:cs="Times New Roman"/>
          <w:sz w:val="24"/>
          <w:szCs w:val="24"/>
        </w:rPr>
        <w:t xml:space="preserve"> Representative images of the gross cell aggregates and comparison of the weight of the aggregates among</w:t>
      </w:r>
      <w:r w:rsidR="000C3D8B">
        <w:rPr>
          <w:rFonts w:ascii="Book Antiqua" w:hAnsi="Book Antiqua" w:cs="Times New Roman"/>
          <w:sz w:val="24"/>
          <w:szCs w:val="24"/>
        </w:rPr>
        <w:t xml:space="preserve"> </w:t>
      </w:r>
      <w:r w:rsidR="006B0A36" w:rsidRPr="000E3BD6">
        <w:rPr>
          <w:rFonts w:ascii="Book Antiqua" w:hAnsi="Book Antiqua" w:cs="Times New Roman"/>
          <w:sz w:val="24"/>
          <w:szCs w:val="24"/>
        </w:rPr>
        <w:t>various groups</w:t>
      </w:r>
      <w:r w:rsidR="001812BD">
        <w:rPr>
          <w:rFonts w:ascii="Book Antiqua" w:hAnsi="Book Antiqua" w:cs="Times New Roman" w:hint="eastAsia"/>
          <w:sz w:val="24"/>
          <w:szCs w:val="24"/>
        </w:rPr>
        <w:t>; B:</w:t>
      </w:r>
      <w:r w:rsidR="006B0A36" w:rsidRPr="000E3BD6">
        <w:rPr>
          <w:rFonts w:ascii="Book Antiqua" w:hAnsi="Book Antiqua" w:cs="Times New Roman"/>
          <w:sz w:val="24"/>
          <w:szCs w:val="24"/>
        </w:rPr>
        <w:t xml:space="preserve"> Histological analysis of proteoglycan content in the aggregates using Alcian Blue staining</w:t>
      </w:r>
      <w:r w:rsidR="001812BD">
        <w:rPr>
          <w:rFonts w:ascii="Book Antiqua" w:hAnsi="Book Antiqua" w:cs="Times New Roman" w:hint="eastAsia"/>
          <w:sz w:val="24"/>
          <w:szCs w:val="24"/>
        </w:rPr>
        <w:t>; C:</w:t>
      </w:r>
      <w:r w:rsidR="006B0A36" w:rsidRPr="000E3BD6">
        <w:rPr>
          <w:rFonts w:ascii="Book Antiqua" w:hAnsi="Book Antiqua" w:cs="Times New Roman"/>
          <w:sz w:val="24"/>
          <w:szCs w:val="24"/>
        </w:rPr>
        <w:t xml:space="preserve"> Immunohistochemical analysis of the synthesis of aggrecan and collagen II after different treatments. The results suggest that </w:t>
      </w:r>
      <w:r w:rsidR="00542859" w:rsidRPr="000E3BD6">
        <w:rPr>
          <w:rFonts w:ascii="Book Antiqua" w:eastAsia="Times New Roman" w:hAnsi="Book Antiqua" w:cs="Times New Roman"/>
          <w:sz w:val="24"/>
          <w:szCs w:val="24"/>
        </w:rPr>
        <w:t>stromal cell-derived factor-1</w:t>
      </w:r>
      <w:r w:rsidR="006B0A36" w:rsidRPr="000E3BD6">
        <w:rPr>
          <w:rFonts w:ascii="Book Antiqua" w:hAnsi="Book Antiqua" w:cs="Times New Roman"/>
          <w:sz w:val="24"/>
          <w:szCs w:val="24"/>
        </w:rPr>
        <w:t xml:space="preserve"> enhanced </w:t>
      </w:r>
      <w:r w:rsidR="00542859" w:rsidRPr="000E3BD6">
        <w:rPr>
          <w:rFonts w:ascii="Book Antiqua" w:hAnsi="Book Antiqua" w:cs="Times New Roman"/>
          <w:sz w:val="24"/>
          <w:szCs w:val="24"/>
        </w:rPr>
        <w:t>nucleus pulposus-derived stem cells</w:t>
      </w:r>
      <w:r w:rsidR="006B0A36" w:rsidRPr="000E3BD6">
        <w:rPr>
          <w:rFonts w:ascii="Book Antiqua" w:hAnsi="Book Antiqua" w:cs="Times New Roman"/>
          <w:sz w:val="24"/>
          <w:szCs w:val="24"/>
        </w:rPr>
        <w:t xml:space="preserve"> differentiation toward chondrocytes, but this effect was significantly suppressed by AMD3100. </w:t>
      </w:r>
      <w:r w:rsidR="004541C1" w:rsidRPr="000E3BD6">
        <w:rPr>
          <w:rFonts w:ascii="Book Antiqua" w:hAnsi="Book Antiqua" w:cs="Times New Roman"/>
          <w:sz w:val="24"/>
          <w:szCs w:val="24"/>
        </w:rPr>
        <w:t xml:space="preserve">Values are the mean ± SD of </w:t>
      </w:r>
      <w:r w:rsidR="009B7BD7">
        <w:rPr>
          <w:rFonts w:ascii="Book Antiqua" w:hAnsi="Book Antiqua" w:cs="Times New Roman"/>
          <w:sz w:val="24"/>
          <w:szCs w:val="24"/>
        </w:rPr>
        <w:t>three</w:t>
      </w:r>
      <w:r w:rsidR="009B7BD7" w:rsidRPr="000E3BD6">
        <w:rPr>
          <w:rFonts w:ascii="Book Antiqua" w:hAnsi="Book Antiqua" w:cs="Times New Roman"/>
          <w:sz w:val="24"/>
          <w:szCs w:val="24"/>
        </w:rPr>
        <w:t xml:space="preserve"> </w:t>
      </w:r>
      <w:r w:rsidR="004541C1" w:rsidRPr="000E3BD6">
        <w:rPr>
          <w:rFonts w:ascii="Book Antiqua" w:hAnsi="Book Antiqua" w:cs="Times New Roman"/>
          <w:sz w:val="24"/>
          <w:szCs w:val="24"/>
        </w:rPr>
        <w:t xml:space="preserve">pellets per group, </w:t>
      </w:r>
      <w:r w:rsidR="001812BD">
        <w:rPr>
          <w:rFonts w:ascii="Book Antiqua" w:hAnsi="Book Antiqua" w:cs="Times New Roman" w:hint="eastAsia"/>
          <w:sz w:val="24"/>
          <w:szCs w:val="24"/>
          <w:vertAlign w:val="superscript"/>
        </w:rPr>
        <w:t>a</w:t>
      </w:r>
      <w:r w:rsidR="004541C1" w:rsidRPr="000E3BD6">
        <w:rPr>
          <w:rFonts w:ascii="Book Antiqua" w:hAnsi="Book Antiqua" w:cs="Times New Roman"/>
          <w:i/>
          <w:sz w:val="24"/>
          <w:szCs w:val="24"/>
        </w:rPr>
        <w:t>P</w:t>
      </w:r>
      <w:r w:rsidR="004541C1" w:rsidRPr="000E3BD6">
        <w:rPr>
          <w:rFonts w:ascii="Book Antiqua" w:hAnsi="Book Antiqua" w:cs="Times New Roman"/>
          <w:sz w:val="24"/>
          <w:szCs w:val="24"/>
        </w:rPr>
        <w:t xml:space="preserve"> &lt; 0.05, </w:t>
      </w:r>
      <w:r w:rsidR="001812BD">
        <w:rPr>
          <w:rFonts w:ascii="Book Antiqua" w:hAnsi="Book Antiqua" w:cs="Times New Roman" w:hint="eastAsia"/>
          <w:sz w:val="24"/>
          <w:szCs w:val="24"/>
          <w:vertAlign w:val="superscript"/>
        </w:rPr>
        <w:t>b</w:t>
      </w:r>
      <w:r w:rsidR="004541C1" w:rsidRPr="000E3BD6">
        <w:rPr>
          <w:rFonts w:ascii="Book Antiqua" w:hAnsi="Book Antiqua" w:cs="Times New Roman"/>
          <w:i/>
          <w:sz w:val="24"/>
          <w:szCs w:val="24"/>
        </w:rPr>
        <w:t>P</w:t>
      </w:r>
      <w:r w:rsidR="004541C1" w:rsidRPr="000E3BD6">
        <w:rPr>
          <w:rFonts w:ascii="Book Antiqua" w:hAnsi="Book Antiqua" w:cs="Times New Roman"/>
          <w:sz w:val="24"/>
          <w:szCs w:val="24"/>
        </w:rPr>
        <w:t xml:space="preserve"> &lt; 0.01. SDF-1: </w:t>
      </w:r>
      <w:r w:rsidR="00EC4AF4" w:rsidRPr="000E3BD6">
        <w:rPr>
          <w:rFonts w:ascii="Book Antiqua" w:eastAsia="Times New Roman" w:hAnsi="Book Antiqua" w:cs="Times New Roman"/>
          <w:sz w:val="24"/>
          <w:szCs w:val="24"/>
        </w:rPr>
        <w:t xml:space="preserve">Stromal </w:t>
      </w:r>
      <w:r w:rsidR="004541C1" w:rsidRPr="000E3BD6">
        <w:rPr>
          <w:rFonts w:ascii="Book Antiqua" w:eastAsia="Times New Roman" w:hAnsi="Book Antiqua" w:cs="Times New Roman"/>
          <w:sz w:val="24"/>
          <w:szCs w:val="24"/>
        </w:rPr>
        <w:t xml:space="preserve">cell-derived factor-1; </w:t>
      </w:r>
      <w:r w:rsidR="004541C1" w:rsidRPr="000E3BD6">
        <w:rPr>
          <w:rFonts w:ascii="Book Antiqua" w:hAnsi="Book Antiqua" w:cs="Times New Roman"/>
          <w:sz w:val="24"/>
          <w:szCs w:val="24"/>
        </w:rPr>
        <w:t xml:space="preserve">IOD: </w:t>
      </w:r>
      <w:r w:rsidR="00EC4AF4" w:rsidRPr="000E3BD6">
        <w:rPr>
          <w:rFonts w:ascii="Book Antiqua" w:hAnsi="Book Antiqua" w:cs="Times New Roman"/>
          <w:sz w:val="24"/>
          <w:szCs w:val="24"/>
        </w:rPr>
        <w:t xml:space="preserve">Integrated </w:t>
      </w:r>
      <w:r w:rsidR="004541C1" w:rsidRPr="000E3BD6">
        <w:rPr>
          <w:rFonts w:ascii="Book Antiqua" w:hAnsi="Book Antiqua" w:cs="Times New Roman"/>
          <w:sz w:val="24"/>
          <w:szCs w:val="24"/>
        </w:rPr>
        <w:t>optical density.</w:t>
      </w:r>
    </w:p>
    <w:p w14:paraId="509A5ABE" w14:textId="77777777" w:rsidR="004541C1" w:rsidRPr="000E3BD6" w:rsidRDefault="004541C1" w:rsidP="00F710B6">
      <w:pPr>
        <w:autoSpaceDE w:val="0"/>
        <w:autoSpaceDN w:val="0"/>
        <w:adjustRightInd w:val="0"/>
        <w:spacing w:after="0" w:line="360" w:lineRule="auto"/>
        <w:contextualSpacing/>
        <w:jc w:val="both"/>
        <w:rPr>
          <w:rFonts w:ascii="Book Antiqua" w:hAnsi="Book Antiqua" w:cs="Times New Roman"/>
          <w:sz w:val="24"/>
          <w:szCs w:val="24"/>
        </w:rPr>
      </w:pPr>
    </w:p>
    <w:p w14:paraId="4C981426" w14:textId="77777777" w:rsidR="004541C1" w:rsidRPr="000E3BD6" w:rsidRDefault="004541C1" w:rsidP="00F710B6">
      <w:pPr>
        <w:autoSpaceDE w:val="0"/>
        <w:autoSpaceDN w:val="0"/>
        <w:adjustRightInd w:val="0"/>
        <w:spacing w:after="0" w:line="360" w:lineRule="auto"/>
        <w:contextualSpacing/>
        <w:jc w:val="both"/>
        <w:rPr>
          <w:rFonts w:ascii="Book Antiqua" w:hAnsi="Book Antiqua" w:cs="Times New Roman"/>
          <w:sz w:val="24"/>
          <w:szCs w:val="24"/>
        </w:rPr>
      </w:pPr>
    </w:p>
    <w:p w14:paraId="0149C994" w14:textId="77777777" w:rsidR="004541C1" w:rsidRPr="000E3BD6" w:rsidRDefault="004541C1" w:rsidP="00F710B6">
      <w:pPr>
        <w:autoSpaceDE w:val="0"/>
        <w:autoSpaceDN w:val="0"/>
        <w:adjustRightInd w:val="0"/>
        <w:spacing w:after="0" w:line="360" w:lineRule="auto"/>
        <w:contextualSpacing/>
        <w:jc w:val="both"/>
        <w:rPr>
          <w:rFonts w:ascii="Book Antiqua" w:hAnsi="Book Antiqua" w:cs="Times New Roman"/>
          <w:sz w:val="24"/>
          <w:szCs w:val="24"/>
        </w:rPr>
      </w:pPr>
    </w:p>
    <w:bookmarkEnd w:id="5"/>
    <w:p w14:paraId="17E8E549" w14:textId="57DB867E" w:rsidR="006B0A36" w:rsidRPr="00F60508" w:rsidRDefault="006B0A36" w:rsidP="00F710B6">
      <w:pPr>
        <w:spacing w:after="0" w:line="360" w:lineRule="auto"/>
        <w:contextualSpacing/>
        <w:jc w:val="both"/>
        <w:rPr>
          <w:rFonts w:ascii="Book Antiqua" w:hAnsi="Book Antiqua" w:cs="Times New Roman"/>
          <w:b/>
          <w:sz w:val="24"/>
          <w:szCs w:val="24"/>
        </w:rPr>
      </w:pPr>
      <w:r w:rsidRPr="00F60508">
        <w:rPr>
          <w:rFonts w:ascii="Book Antiqua" w:hAnsi="Book Antiqua" w:cs="Times New Roman"/>
          <w:b/>
          <w:sz w:val="24"/>
          <w:szCs w:val="24"/>
        </w:rPr>
        <w:lastRenderedPageBreak/>
        <w:t xml:space="preserve">Table 1 </w:t>
      </w:r>
      <w:r w:rsidRPr="00F60508">
        <w:rPr>
          <w:rFonts w:ascii="Book Antiqua" w:eastAsia="Times New Roman" w:hAnsi="Book Antiqua" w:cs="Times New Roman"/>
          <w:b/>
          <w:sz w:val="24"/>
          <w:szCs w:val="24"/>
        </w:rPr>
        <w:t xml:space="preserve">Sequences of primers used in real-time </w:t>
      </w:r>
      <w:r w:rsidR="00F60508" w:rsidRPr="00F60508">
        <w:rPr>
          <w:rFonts w:ascii="Book Antiqua" w:eastAsia="Times New Roman" w:hAnsi="Book Antiqua" w:cs="Times New Roman"/>
          <w:b/>
          <w:sz w:val="24"/>
          <w:szCs w:val="24"/>
        </w:rPr>
        <w:t>reverse transcription-polymerase chain reaction</w:t>
      </w:r>
    </w:p>
    <w:tbl>
      <w:tblPr>
        <w:tblW w:w="10065" w:type="dxa"/>
        <w:tblInd w:w="-284" w:type="dxa"/>
        <w:tblLayout w:type="fixed"/>
        <w:tblLook w:val="04A0" w:firstRow="1" w:lastRow="0" w:firstColumn="1" w:lastColumn="0" w:noHBand="0" w:noVBand="1"/>
      </w:tblPr>
      <w:tblGrid>
        <w:gridCol w:w="1560"/>
        <w:gridCol w:w="4253"/>
        <w:gridCol w:w="4252"/>
      </w:tblGrid>
      <w:tr w:rsidR="000E3BD6" w:rsidRPr="000E3BD6" w14:paraId="6A273A09" w14:textId="77777777" w:rsidTr="000A118D">
        <w:trPr>
          <w:trHeight w:val="400"/>
        </w:trPr>
        <w:tc>
          <w:tcPr>
            <w:tcW w:w="1560" w:type="dxa"/>
            <w:tcBorders>
              <w:top w:val="single" w:sz="4" w:space="0" w:color="auto"/>
              <w:left w:val="nil"/>
              <w:bottom w:val="single" w:sz="8" w:space="0" w:color="auto"/>
              <w:right w:val="nil"/>
            </w:tcBorders>
            <w:shd w:val="clear" w:color="auto" w:fill="auto"/>
            <w:vAlign w:val="center"/>
            <w:hideMark/>
          </w:tcPr>
          <w:p w14:paraId="5CB0DCE6" w14:textId="77777777" w:rsidR="006B0A36" w:rsidRPr="006F1020" w:rsidRDefault="006B0A36" w:rsidP="00F710B6">
            <w:pPr>
              <w:spacing w:after="0" w:line="360" w:lineRule="auto"/>
              <w:contextualSpacing/>
              <w:jc w:val="both"/>
              <w:rPr>
                <w:rFonts w:ascii="Book Antiqua" w:eastAsia="Times New Roman" w:hAnsi="Book Antiqua" w:cs="Times New Roman"/>
                <w:b/>
                <w:sz w:val="24"/>
                <w:szCs w:val="24"/>
              </w:rPr>
            </w:pPr>
            <w:r w:rsidRPr="006F1020">
              <w:rPr>
                <w:rFonts w:ascii="Book Antiqua" w:eastAsia="Times New Roman" w:hAnsi="Book Antiqua" w:cs="Times New Roman"/>
                <w:b/>
                <w:sz w:val="24"/>
                <w:szCs w:val="24"/>
              </w:rPr>
              <w:t>Gene name</w:t>
            </w:r>
          </w:p>
        </w:tc>
        <w:tc>
          <w:tcPr>
            <w:tcW w:w="4253" w:type="dxa"/>
            <w:tcBorders>
              <w:top w:val="single" w:sz="4" w:space="0" w:color="auto"/>
              <w:left w:val="nil"/>
              <w:bottom w:val="single" w:sz="8" w:space="0" w:color="auto"/>
              <w:right w:val="nil"/>
            </w:tcBorders>
            <w:shd w:val="clear" w:color="auto" w:fill="auto"/>
            <w:vAlign w:val="center"/>
            <w:hideMark/>
          </w:tcPr>
          <w:p w14:paraId="08174EAB" w14:textId="69EB8042" w:rsidR="006B0A36" w:rsidRPr="006F1020" w:rsidRDefault="006B0A36" w:rsidP="00F60508">
            <w:pPr>
              <w:spacing w:after="0" w:line="360" w:lineRule="auto"/>
              <w:contextualSpacing/>
              <w:jc w:val="both"/>
              <w:rPr>
                <w:rFonts w:ascii="Book Antiqua" w:eastAsia="Times New Roman" w:hAnsi="Book Antiqua" w:cs="Times New Roman"/>
                <w:b/>
                <w:sz w:val="24"/>
                <w:szCs w:val="24"/>
              </w:rPr>
            </w:pPr>
            <w:r w:rsidRPr="006F1020">
              <w:rPr>
                <w:rFonts w:ascii="Book Antiqua" w:eastAsia="Times New Roman" w:hAnsi="Book Antiqua" w:cs="Times New Roman"/>
                <w:b/>
                <w:sz w:val="24"/>
                <w:szCs w:val="24"/>
              </w:rPr>
              <w:t>Forward sequence (5</w:t>
            </w:r>
            <w:r w:rsidR="00F60508" w:rsidRPr="006F1020">
              <w:rPr>
                <w:rFonts w:ascii="Book Antiqua" w:hAnsi="Book Antiqua" w:cs="Times New Roman"/>
                <w:b/>
                <w:sz w:val="24"/>
                <w:szCs w:val="24"/>
              </w:rPr>
              <w:t>’</w:t>
            </w:r>
            <w:r w:rsidRPr="006F1020">
              <w:rPr>
                <w:rFonts w:ascii="Book Antiqua" w:eastAsia="Times New Roman" w:hAnsi="Book Antiqua" w:cs="Times New Roman"/>
                <w:b/>
                <w:sz w:val="24"/>
                <w:szCs w:val="24"/>
              </w:rPr>
              <w:t>-3</w:t>
            </w:r>
            <w:r w:rsidR="00F60508" w:rsidRPr="006F1020">
              <w:rPr>
                <w:rFonts w:ascii="Book Antiqua" w:hAnsi="Book Antiqua" w:cs="Times New Roman"/>
                <w:b/>
                <w:sz w:val="24"/>
                <w:szCs w:val="24"/>
              </w:rPr>
              <w:t>’</w:t>
            </w:r>
            <w:r w:rsidRPr="006F1020">
              <w:rPr>
                <w:rFonts w:ascii="Book Antiqua" w:eastAsia="Times New Roman" w:hAnsi="Book Antiqua" w:cs="Times New Roman"/>
                <w:b/>
                <w:sz w:val="24"/>
                <w:szCs w:val="24"/>
              </w:rPr>
              <w:t>)</w:t>
            </w:r>
          </w:p>
        </w:tc>
        <w:tc>
          <w:tcPr>
            <w:tcW w:w="4252" w:type="dxa"/>
            <w:tcBorders>
              <w:top w:val="single" w:sz="4" w:space="0" w:color="auto"/>
              <w:left w:val="nil"/>
              <w:bottom w:val="single" w:sz="8" w:space="0" w:color="auto"/>
              <w:right w:val="nil"/>
            </w:tcBorders>
            <w:shd w:val="clear" w:color="auto" w:fill="auto"/>
            <w:vAlign w:val="center"/>
            <w:hideMark/>
          </w:tcPr>
          <w:p w14:paraId="0131AF85" w14:textId="6A5AE552" w:rsidR="006B0A36" w:rsidRPr="006F1020" w:rsidRDefault="006B0A36" w:rsidP="00F60508">
            <w:pPr>
              <w:spacing w:after="0" w:line="360" w:lineRule="auto"/>
              <w:contextualSpacing/>
              <w:jc w:val="both"/>
              <w:rPr>
                <w:rFonts w:ascii="Book Antiqua" w:eastAsia="Times New Roman" w:hAnsi="Book Antiqua" w:cs="Times New Roman"/>
                <w:b/>
                <w:sz w:val="24"/>
                <w:szCs w:val="24"/>
              </w:rPr>
            </w:pPr>
            <w:r w:rsidRPr="006F1020">
              <w:rPr>
                <w:rFonts w:ascii="Book Antiqua" w:eastAsia="Times New Roman" w:hAnsi="Book Antiqua" w:cs="Times New Roman"/>
                <w:b/>
                <w:sz w:val="24"/>
                <w:szCs w:val="24"/>
              </w:rPr>
              <w:t>Reverse sequence (5</w:t>
            </w:r>
            <w:r w:rsidR="00F60508" w:rsidRPr="006F1020">
              <w:rPr>
                <w:rFonts w:ascii="Book Antiqua" w:hAnsi="Book Antiqua" w:cs="Times New Roman"/>
                <w:b/>
                <w:sz w:val="24"/>
                <w:szCs w:val="24"/>
              </w:rPr>
              <w:t>’</w:t>
            </w:r>
            <w:r w:rsidRPr="006F1020">
              <w:rPr>
                <w:rFonts w:ascii="Book Antiqua" w:eastAsia="Times New Roman" w:hAnsi="Book Antiqua" w:cs="Times New Roman"/>
                <w:b/>
                <w:sz w:val="24"/>
                <w:szCs w:val="24"/>
              </w:rPr>
              <w:t>-3</w:t>
            </w:r>
            <w:r w:rsidR="00F60508" w:rsidRPr="006F1020">
              <w:rPr>
                <w:rFonts w:ascii="Book Antiqua" w:hAnsi="Book Antiqua" w:cs="Times New Roman"/>
                <w:b/>
                <w:sz w:val="24"/>
                <w:szCs w:val="24"/>
              </w:rPr>
              <w:t>’</w:t>
            </w:r>
            <w:r w:rsidRPr="006F1020">
              <w:rPr>
                <w:rFonts w:ascii="Book Antiqua" w:eastAsia="Times New Roman" w:hAnsi="Book Antiqua" w:cs="Times New Roman"/>
                <w:b/>
                <w:sz w:val="24"/>
                <w:szCs w:val="24"/>
              </w:rPr>
              <w:t>)</w:t>
            </w:r>
          </w:p>
        </w:tc>
      </w:tr>
      <w:tr w:rsidR="000E3BD6" w:rsidRPr="000E3BD6" w14:paraId="4F844287" w14:textId="77777777" w:rsidTr="000A118D">
        <w:trPr>
          <w:trHeight w:val="400"/>
        </w:trPr>
        <w:tc>
          <w:tcPr>
            <w:tcW w:w="1560" w:type="dxa"/>
            <w:tcBorders>
              <w:top w:val="nil"/>
              <w:left w:val="nil"/>
              <w:bottom w:val="nil"/>
              <w:right w:val="nil"/>
            </w:tcBorders>
            <w:shd w:val="clear" w:color="auto" w:fill="auto"/>
            <w:vAlign w:val="center"/>
            <w:hideMark/>
          </w:tcPr>
          <w:p w14:paraId="7DEA585D" w14:textId="77777777" w:rsidR="006B0A36" w:rsidRPr="00F60508" w:rsidRDefault="006B0A36" w:rsidP="00F710B6">
            <w:pPr>
              <w:spacing w:after="0" w:line="360" w:lineRule="auto"/>
              <w:contextualSpacing/>
              <w:jc w:val="both"/>
              <w:rPr>
                <w:rFonts w:ascii="Book Antiqua" w:eastAsia="Times New Roman" w:hAnsi="Book Antiqua" w:cs="Times New Roman"/>
                <w:i/>
                <w:sz w:val="24"/>
                <w:szCs w:val="24"/>
              </w:rPr>
            </w:pPr>
            <w:r w:rsidRPr="00F60508">
              <w:rPr>
                <w:rFonts w:ascii="Book Antiqua" w:eastAsia="Times New Roman" w:hAnsi="Book Antiqua" w:cs="Times New Roman"/>
                <w:i/>
                <w:sz w:val="24"/>
                <w:szCs w:val="24"/>
              </w:rPr>
              <w:t>SDF-1α</w:t>
            </w:r>
          </w:p>
        </w:tc>
        <w:tc>
          <w:tcPr>
            <w:tcW w:w="4253" w:type="dxa"/>
            <w:tcBorders>
              <w:top w:val="nil"/>
              <w:left w:val="nil"/>
              <w:bottom w:val="nil"/>
              <w:right w:val="nil"/>
            </w:tcBorders>
            <w:shd w:val="clear" w:color="auto" w:fill="auto"/>
            <w:vAlign w:val="center"/>
            <w:hideMark/>
          </w:tcPr>
          <w:p w14:paraId="224CDF13" w14:textId="77777777" w:rsidR="006B0A36" w:rsidRPr="000E3BD6" w:rsidRDefault="006B0A36" w:rsidP="00F710B6">
            <w:pPr>
              <w:spacing w:after="0" w:line="360" w:lineRule="auto"/>
              <w:contextualSpacing/>
              <w:jc w:val="both"/>
              <w:rPr>
                <w:rFonts w:ascii="Book Antiqua" w:eastAsia="Times New Roman" w:hAnsi="Book Antiqua" w:cs="Times New Roman"/>
                <w:sz w:val="24"/>
                <w:szCs w:val="24"/>
              </w:rPr>
            </w:pPr>
            <w:r w:rsidRPr="000E3BD6">
              <w:rPr>
                <w:rFonts w:ascii="Book Antiqua" w:eastAsia="Times New Roman" w:hAnsi="Book Antiqua" w:cs="Times New Roman"/>
                <w:sz w:val="24"/>
                <w:szCs w:val="24"/>
              </w:rPr>
              <w:t>TTCTATTGAGGACTAGCACGTC</w:t>
            </w:r>
          </w:p>
        </w:tc>
        <w:tc>
          <w:tcPr>
            <w:tcW w:w="4252" w:type="dxa"/>
            <w:tcBorders>
              <w:top w:val="nil"/>
              <w:left w:val="nil"/>
              <w:bottom w:val="nil"/>
              <w:right w:val="nil"/>
            </w:tcBorders>
            <w:shd w:val="clear" w:color="auto" w:fill="auto"/>
            <w:vAlign w:val="center"/>
            <w:hideMark/>
          </w:tcPr>
          <w:p w14:paraId="7A1695F8" w14:textId="77777777" w:rsidR="006B0A36" w:rsidRPr="000E3BD6" w:rsidRDefault="006B0A36" w:rsidP="00F710B6">
            <w:pPr>
              <w:spacing w:after="0" w:line="360" w:lineRule="auto"/>
              <w:contextualSpacing/>
              <w:jc w:val="both"/>
              <w:rPr>
                <w:rFonts w:ascii="Book Antiqua" w:eastAsia="Times New Roman" w:hAnsi="Book Antiqua" w:cs="Times New Roman"/>
                <w:sz w:val="24"/>
                <w:szCs w:val="24"/>
              </w:rPr>
            </w:pPr>
            <w:r w:rsidRPr="000E3BD6">
              <w:rPr>
                <w:rFonts w:ascii="Book Antiqua" w:eastAsia="Times New Roman" w:hAnsi="Book Antiqua" w:cs="Times New Roman"/>
                <w:sz w:val="24"/>
                <w:szCs w:val="24"/>
              </w:rPr>
              <w:t>CTGTCCTAAGGAAAGGTAGGTG</w:t>
            </w:r>
          </w:p>
        </w:tc>
      </w:tr>
      <w:tr w:rsidR="000E3BD6" w:rsidRPr="000E3BD6" w14:paraId="74378DFA" w14:textId="77777777" w:rsidTr="000A118D">
        <w:trPr>
          <w:trHeight w:val="400"/>
        </w:trPr>
        <w:tc>
          <w:tcPr>
            <w:tcW w:w="1560" w:type="dxa"/>
            <w:tcBorders>
              <w:top w:val="nil"/>
              <w:left w:val="nil"/>
              <w:bottom w:val="nil"/>
              <w:right w:val="nil"/>
            </w:tcBorders>
            <w:shd w:val="clear" w:color="auto" w:fill="auto"/>
            <w:vAlign w:val="center"/>
            <w:hideMark/>
          </w:tcPr>
          <w:p w14:paraId="1FF92391" w14:textId="77777777" w:rsidR="006B0A36" w:rsidRPr="00F60508" w:rsidRDefault="006B0A36" w:rsidP="00F710B6">
            <w:pPr>
              <w:spacing w:after="0" w:line="360" w:lineRule="auto"/>
              <w:contextualSpacing/>
              <w:jc w:val="both"/>
              <w:rPr>
                <w:rFonts w:ascii="Book Antiqua" w:eastAsia="Times New Roman" w:hAnsi="Book Antiqua" w:cs="Times New Roman"/>
                <w:i/>
                <w:sz w:val="24"/>
                <w:szCs w:val="24"/>
              </w:rPr>
            </w:pPr>
            <w:r w:rsidRPr="00F60508">
              <w:rPr>
                <w:rFonts w:ascii="Book Antiqua" w:eastAsia="Times New Roman" w:hAnsi="Book Antiqua" w:cs="Times New Roman"/>
                <w:i/>
                <w:sz w:val="24"/>
                <w:szCs w:val="24"/>
              </w:rPr>
              <w:t>CXCR4</w:t>
            </w:r>
          </w:p>
        </w:tc>
        <w:tc>
          <w:tcPr>
            <w:tcW w:w="4253" w:type="dxa"/>
            <w:tcBorders>
              <w:top w:val="nil"/>
              <w:left w:val="nil"/>
              <w:bottom w:val="nil"/>
              <w:right w:val="nil"/>
            </w:tcBorders>
            <w:shd w:val="clear" w:color="auto" w:fill="auto"/>
            <w:vAlign w:val="center"/>
            <w:hideMark/>
          </w:tcPr>
          <w:p w14:paraId="33D62215" w14:textId="77777777" w:rsidR="006B0A36" w:rsidRPr="000E3BD6" w:rsidRDefault="006B0A36" w:rsidP="00F710B6">
            <w:pPr>
              <w:spacing w:after="0" w:line="360" w:lineRule="auto"/>
              <w:contextualSpacing/>
              <w:jc w:val="both"/>
              <w:rPr>
                <w:rFonts w:ascii="Book Antiqua" w:eastAsia="Times New Roman" w:hAnsi="Book Antiqua" w:cs="Times New Roman"/>
                <w:sz w:val="24"/>
                <w:szCs w:val="24"/>
              </w:rPr>
            </w:pPr>
            <w:r w:rsidRPr="000E3BD6">
              <w:rPr>
                <w:rFonts w:ascii="Book Antiqua" w:eastAsia="Times New Roman" w:hAnsi="Book Antiqua" w:cs="Times New Roman"/>
                <w:sz w:val="24"/>
                <w:szCs w:val="24"/>
              </w:rPr>
              <w:t>GCTCCAGAATGTGTGGTAAATC</w:t>
            </w:r>
          </w:p>
        </w:tc>
        <w:tc>
          <w:tcPr>
            <w:tcW w:w="4252" w:type="dxa"/>
            <w:tcBorders>
              <w:top w:val="nil"/>
              <w:left w:val="nil"/>
              <w:bottom w:val="nil"/>
              <w:right w:val="nil"/>
            </w:tcBorders>
            <w:shd w:val="clear" w:color="auto" w:fill="auto"/>
            <w:vAlign w:val="center"/>
            <w:hideMark/>
          </w:tcPr>
          <w:p w14:paraId="38E64025" w14:textId="77777777" w:rsidR="006B0A36" w:rsidRPr="000E3BD6" w:rsidRDefault="006B0A36" w:rsidP="00F710B6">
            <w:pPr>
              <w:spacing w:after="0" w:line="360" w:lineRule="auto"/>
              <w:contextualSpacing/>
              <w:jc w:val="both"/>
              <w:rPr>
                <w:rFonts w:ascii="Book Antiqua" w:eastAsia="Times New Roman" w:hAnsi="Book Antiqua" w:cs="Times New Roman"/>
                <w:sz w:val="24"/>
                <w:szCs w:val="24"/>
              </w:rPr>
            </w:pPr>
            <w:r w:rsidRPr="000E3BD6">
              <w:rPr>
                <w:rFonts w:ascii="Book Antiqua" w:eastAsia="Times New Roman" w:hAnsi="Book Antiqua" w:cs="Times New Roman"/>
                <w:sz w:val="24"/>
                <w:szCs w:val="24"/>
              </w:rPr>
              <w:t>CACCAAGCAAGTTTACCATTGA</w:t>
            </w:r>
          </w:p>
        </w:tc>
      </w:tr>
      <w:tr w:rsidR="000E3BD6" w:rsidRPr="000E3BD6" w14:paraId="5322FCC3" w14:textId="77777777" w:rsidTr="000A118D">
        <w:trPr>
          <w:trHeight w:val="400"/>
        </w:trPr>
        <w:tc>
          <w:tcPr>
            <w:tcW w:w="1560" w:type="dxa"/>
            <w:tcBorders>
              <w:top w:val="nil"/>
              <w:left w:val="nil"/>
              <w:bottom w:val="nil"/>
              <w:right w:val="nil"/>
            </w:tcBorders>
            <w:shd w:val="clear" w:color="auto" w:fill="auto"/>
            <w:vAlign w:val="center"/>
            <w:hideMark/>
          </w:tcPr>
          <w:p w14:paraId="124E950D" w14:textId="77777777" w:rsidR="006B0A36" w:rsidRPr="00F60508" w:rsidRDefault="006B0A36" w:rsidP="00F710B6">
            <w:pPr>
              <w:spacing w:after="0" w:line="360" w:lineRule="auto"/>
              <w:contextualSpacing/>
              <w:jc w:val="both"/>
              <w:rPr>
                <w:rFonts w:ascii="Book Antiqua" w:eastAsia="Times New Roman" w:hAnsi="Book Antiqua" w:cs="Times New Roman"/>
                <w:i/>
                <w:sz w:val="24"/>
                <w:szCs w:val="24"/>
              </w:rPr>
            </w:pPr>
            <w:r w:rsidRPr="00F60508">
              <w:rPr>
                <w:rFonts w:ascii="Book Antiqua" w:eastAsia="Times New Roman" w:hAnsi="Book Antiqua" w:cs="Times New Roman"/>
                <w:i/>
                <w:sz w:val="24"/>
                <w:szCs w:val="24"/>
              </w:rPr>
              <w:t>Aggrecan</w:t>
            </w:r>
          </w:p>
        </w:tc>
        <w:tc>
          <w:tcPr>
            <w:tcW w:w="4253" w:type="dxa"/>
            <w:tcBorders>
              <w:top w:val="nil"/>
              <w:left w:val="nil"/>
              <w:bottom w:val="nil"/>
              <w:right w:val="nil"/>
            </w:tcBorders>
            <w:shd w:val="clear" w:color="auto" w:fill="auto"/>
            <w:vAlign w:val="center"/>
            <w:hideMark/>
          </w:tcPr>
          <w:p w14:paraId="6BB8D67B" w14:textId="77777777" w:rsidR="006B0A36" w:rsidRPr="000E3BD6" w:rsidRDefault="006B0A36" w:rsidP="00F710B6">
            <w:pPr>
              <w:spacing w:after="0" w:line="360" w:lineRule="auto"/>
              <w:contextualSpacing/>
              <w:jc w:val="both"/>
              <w:rPr>
                <w:rFonts w:ascii="Book Antiqua" w:eastAsia="Times New Roman" w:hAnsi="Book Antiqua" w:cs="Times New Roman"/>
                <w:sz w:val="24"/>
                <w:szCs w:val="24"/>
              </w:rPr>
            </w:pPr>
            <w:r w:rsidRPr="000E3BD6">
              <w:rPr>
                <w:rFonts w:ascii="Book Antiqua" w:eastAsia="Times New Roman" w:hAnsi="Book Antiqua" w:cs="Times New Roman"/>
                <w:sz w:val="24"/>
                <w:szCs w:val="24"/>
              </w:rPr>
              <w:t>TATGATGTCTACTGCTACGTGG</w:t>
            </w:r>
          </w:p>
        </w:tc>
        <w:tc>
          <w:tcPr>
            <w:tcW w:w="4252" w:type="dxa"/>
            <w:tcBorders>
              <w:top w:val="nil"/>
              <w:left w:val="nil"/>
              <w:bottom w:val="nil"/>
              <w:right w:val="nil"/>
            </w:tcBorders>
            <w:shd w:val="clear" w:color="auto" w:fill="auto"/>
            <w:vAlign w:val="center"/>
            <w:hideMark/>
          </w:tcPr>
          <w:p w14:paraId="2D0926D1" w14:textId="77777777" w:rsidR="006B0A36" w:rsidRPr="000E3BD6" w:rsidRDefault="006B0A36" w:rsidP="00F710B6">
            <w:pPr>
              <w:spacing w:after="0" w:line="360" w:lineRule="auto"/>
              <w:contextualSpacing/>
              <w:jc w:val="both"/>
              <w:rPr>
                <w:rFonts w:ascii="Book Antiqua" w:eastAsia="Times New Roman" w:hAnsi="Book Antiqua" w:cs="Times New Roman"/>
                <w:sz w:val="24"/>
                <w:szCs w:val="24"/>
              </w:rPr>
            </w:pPr>
            <w:r w:rsidRPr="000E3BD6">
              <w:rPr>
                <w:rFonts w:ascii="Book Antiqua" w:eastAsia="Times New Roman" w:hAnsi="Book Antiqua" w:cs="Times New Roman"/>
                <w:sz w:val="24"/>
                <w:szCs w:val="24"/>
              </w:rPr>
              <w:t>GTAGAGGTAGACAGTTCTCACG</w:t>
            </w:r>
          </w:p>
        </w:tc>
      </w:tr>
      <w:tr w:rsidR="000E3BD6" w:rsidRPr="000E3BD6" w14:paraId="1601C8DD" w14:textId="77777777" w:rsidTr="000A118D">
        <w:trPr>
          <w:trHeight w:val="400"/>
        </w:trPr>
        <w:tc>
          <w:tcPr>
            <w:tcW w:w="1560" w:type="dxa"/>
            <w:tcBorders>
              <w:top w:val="nil"/>
              <w:left w:val="nil"/>
              <w:bottom w:val="nil"/>
              <w:right w:val="nil"/>
            </w:tcBorders>
            <w:shd w:val="clear" w:color="auto" w:fill="auto"/>
            <w:vAlign w:val="center"/>
            <w:hideMark/>
          </w:tcPr>
          <w:p w14:paraId="0047A0B5" w14:textId="77777777" w:rsidR="006B0A36" w:rsidRPr="00F60508" w:rsidRDefault="006B0A36" w:rsidP="00F710B6">
            <w:pPr>
              <w:spacing w:after="0" w:line="360" w:lineRule="auto"/>
              <w:contextualSpacing/>
              <w:jc w:val="both"/>
              <w:rPr>
                <w:rFonts w:ascii="Book Antiqua" w:eastAsia="Times New Roman" w:hAnsi="Book Antiqua" w:cs="Times New Roman"/>
                <w:i/>
                <w:sz w:val="24"/>
                <w:szCs w:val="24"/>
              </w:rPr>
            </w:pPr>
            <w:r w:rsidRPr="00F60508">
              <w:rPr>
                <w:rFonts w:ascii="Book Antiqua" w:eastAsia="Times New Roman" w:hAnsi="Book Antiqua" w:cs="Times New Roman"/>
                <w:i/>
                <w:sz w:val="24"/>
                <w:szCs w:val="24"/>
              </w:rPr>
              <w:t xml:space="preserve">Collagen </w:t>
            </w:r>
            <w:r w:rsidRPr="00F60508">
              <w:rPr>
                <w:rFonts w:ascii="宋体" w:eastAsia="宋体" w:hAnsi="宋体" w:cs="宋体" w:hint="eastAsia"/>
                <w:i/>
                <w:sz w:val="24"/>
                <w:szCs w:val="24"/>
              </w:rPr>
              <w:t>Ⅱ</w:t>
            </w:r>
          </w:p>
        </w:tc>
        <w:tc>
          <w:tcPr>
            <w:tcW w:w="4253" w:type="dxa"/>
            <w:tcBorders>
              <w:top w:val="nil"/>
              <w:left w:val="nil"/>
              <w:bottom w:val="nil"/>
              <w:right w:val="nil"/>
            </w:tcBorders>
            <w:shd w:val="clear" w:color="auto" w:fill="auto"/>
            <w:vAlign w:val="center"/>
            <w:hideMark/>
          </w:tcPr>
          <w:p w14:paraId="56ECE764" w14:textId="77777777" w:rsidR="006B0A36" w:rsidRPr="000E3BD6" w:rsidRDefault="006B0A36" w:rsidP="00F710B6">
            <w:pPr>
              <w:spacing w:after="0" w:line="360" w:lineRule="auto"/>
              <w:contextualSpacing/>
              <w:jc w:val="both"/>
              <w:rPr>
                <w:rFonts w:ascii="Book Antiqua" w:eastAsia="Times New Roman" w:hAnsi="Book Antiqua" w:cs="Times New Roman"/>
                <w:sz w:val="24"/>
                <w:szCs w:val="24"/>
              </w:rPr>
            </w:pPr>
            <w:r w:rsidRPr="000E3BD6">
              <w:rPr>
                <w:rFonts w:ascii="Book Antiqua" w:eastAsia="Times New Roman" w:hAnsi="Book Antiqua" w:cs="Times New Roman"/>
                <w:sz w:val="24"/>
                <w:szCs w:val="24"/>
              </w:rPr>
              <w:t>CTGGAGTCAAGGGTGATCG</w:t>
            </w:r>
          </w:p>
        </w:tc>
        <w:tc>
          <w:tcPr>
            <w:tcW w:w="4252" w:type="dxa"/>
            <w:tcBorders>
              <w:top w:val="nil"/>
              <w:left w:val="nil"/>
              <w:bottom w:val="nil"/>
              <w:right w:val="nil"/>
            </w:tcBorders>
            <w:shd w:val="clear" w:color="auto" w:fill="auto"/>
            <w:vAlign w:val="center"/>
            <w:hideMark/>
          </w:tcPr>
          <w:p w14:paraId="5975C48A" w14:textId="77777777" w:rsidR="006B0A36" w:rsidRPr="000E3BD6" w:rsidRDefault="006B0A36" w:rsidP="00F710B6">
            <w:pPr>
              <w:spacing w:after="0" w:line="360" w:lineRule="auto"/>
              <w:contextualSpacing/>
              <w:jc w:val="both"/>
              <w:rPr>
                <w:rFonts w:ascii="Book Antiqua" w:eastAsia="Times New Roman" w:hAnsi="Book Antiqua" w:cs="Times New Roman"/>
                <w:sz w:val="24"/>
                <w:szCs w:val="24"/>
              </w:rPr>
            </w:pPr>
            <w:r w:rsidRPr="000E3BD6">
              <w:rPr>
                <w:rFonts w:ascii="Book Antiqua" w:eastAsia="Times New Roman" w:hAnsi="Book Antiqua" w:cs="Times New Roman"/>
                <w:sz w:val="24"/>
                <w:szCs w:val="24"/>
              </w:rPr>
              <w:t>CTCTCCTCTGTCTCCTTGTTTG</w:t>
            </w:r>
          </w:p>
        </w:tc>
      </w:tr>
      <w:tr w:rsidR="000E3BD6" w:rsidRPr="000E3BD6" w14:paraId="1210A774" w14:textId="77777777" w:rsidTr="000A118D">
        <w:trPr>
          <w:trHeight w:val="400"/>
        </w:trPr>
        <w:tc>
          <w:tcPr>
            <w:tcW w:w="1560" w:type="dxa"/>
            <w:tcBorders>
              <w:top w:val="nil"/>
              <w:left w:val="nil"/>
              <w:bottom w:val="nil"/>
              <w:right w:val="nil"/>
            </w:tcBorders>
            <w:shd w:val="clear" w:color="auto" w:fill="auto"/>
            <w:vAlign w:val="center"/>
            <w:hideMark/>
          </w:tcPr>
          <w:p w14:paraId="5D837AE2" w14:textId="77777777" w:rsidR="006B0A36" w:rsidRPr="00F60508" w:rsidRDefault="006B0A36" w:rsidP="00F710B6">
            <w:pPr>
              <w:spacing w:after="0" w:line="360" w:lineRule="auto"/>
              <w:contextualSpacing/>
              <w:jc w:val="both"/>
              <w:rPr>
                <w:rFonts w:ascii="Book Antiqua" w:eastAsia="Times New Roman" w:hAnsi="Book Antiqua" w:cs="Times New Roman"/>
                <w:i/>
                <w:sz w:val="24"/>
                <w:szCs w:val="24"/>
              </w:rPr>
            </w:pPr>
            <w:r w:rsidRPr="00F60508">
              <w:rPr>
                <w:rFonts w:ascii="Book Antiqua" w:eastAsia="Times New Roman" w:hAnsi="Book Antiqua" w:cs="Times New Roman"/>
                <w:i/>
                <w:sz w:val="24"/>
                <w:szCs w:val="24"/>
              </w:rPr>
              <w:t>Sox-9</w:t>
            </w:r>
          </w:p>
        </w:tc>
        <w:tc>
          <w:tcPr>
            <w:tcW w:w="4253" w:type="dxa"/>
            <w:tcBorders>
              <w:top w:val="nil"/>
              <w:left w:val="nil"/>
              <w:bottom w:val="nil"/>
              <w:right w:val="nil"/>
            </w:tcBorders>
            <w:shd w:val="clear" w:color="auto" w:fill="auto"/>
            <w:vAlign w:val="center"/>
            <w:hideMark/>
          </w:tcPr>
          <w:p w14:paraId="180E1D93" w14:textId="77777777" w:rsidR="006B0A36" w:rsidRPr="000E3BD6" w:rsidRDefault="006B0A36" w:rsidP="00F710B6">
            <w:pPr>
              <w:spacing w:after="0" w:line="360" w:lineRule="auto"/>
              <w:contextualSpacing/>
              <w:jc w:val="both"/>
              <w:rPr>
                <w:rFonts w:ascii="Book Antiqua" w:eastAsia="Times New Roman" w:hAnsi="Book Antiqua" w:cs="Times New Roman"/>
                <w:sz w:val="24"/>
                <w:szCs w:val="24"/>
              </w:rPr>
            </w:pPr>
            <w:r w:rsidRPr="000E3BD6">
              <w:rPr>
                <w:rFonts w:ascii="Book Antiqua" w:eastAsia="Times New Roman" w:hAnsi="Book Antiqua" w:cs="Times New Roman"/>
                <w:sz w:val="24"/>
                <w:szCs w:val="24"/>
              </w:rPr>
              <w:t>GACAACTTTACCAGTTTCGGTC</w:t>
            </w:r>
          </w:p>
        </w:tc>
        <w:tc>
          <w:tcPr>
            <w:tcW w:w="4252" w:type="dxa"/>
            <w:tcBorders>
              <w:top w:val="nil"/>
              <w:left w:val="nil"/>
              <w:bottom w:val="nil"/>
              <w:right w:val="nil"/>
            </w:tcBorders>
            <w:shd w:val="clear" w:color="auto" w:fill="auto"/>
            <w:vAlign w:val="center"/>
            <w:hideMark/>
          </w:tcPr>
          <w:p w14:paraId="70915256" w14:textId="77777777" w:rsidR="006B0A36" w:rsidRPr="000E3BD6" w:rsidRDefault="006B0A36" w:rsidP="00F710B6">
            <w:pPr>
              <w:spacing w:after="0" w:line="360" w:lineRule="auto"/>
              <w:contextualSpacing/>
              <w:jc w:val="both"/>
              <w:rPr>
                <w:rFonts w:ascii="Book Antiqua" w:eastAsia="Times New Roman" w:hAnsi="Book Antiqua" w:cs="Times New Roman"/>
                <w:sz w:val="24"/>
                <w:szCs w:val="24"/>
              </w:rPr>
            </w:pPr>
            <w:r w:rsidRPr="000E3BD6">
              <w:rPr>
                <w:rFonts w:ascii="Book Antiqua" w:eastAsia="Times New Roman" w:hAnsi="Book Antiqua" w:cs="Times New Roman"/>
                <w:sz w:val="24"/>
                <w:szCs w:val="24"/>
              </w:rPr>
              <w:t>GAGGGAAAACAGAGAACGAAAC</w:t>
            </w:r>
          </w:p>
        </w:tc>
      </w:tr>
      <w:tr w:rsidR="000E3BD6" w:rsidRPr="000E3BD6" w14:paraId="1E03C974" w14:textId="77777777" w:rsidTr="000A118D">
        <w:trPr>
          <w:trHeight w:val="400"/>
        </w:trPr>
        <w:tc>
          <w:tcPr>
            <w:tcW w:w="1560" w:type="dxa"/>
            <w:tcBorders>
              <w:top w:val="nil"/>
              <w:left w:val="nil"/>
              <w:bottom w:val="single" w:sz="4" w:space="0" w:color="auto"/>
              <w:right w:val="nil"/>
            </w:tcBorders>
            <w:shd w:val="clear" w:color="auto" w:fill="auto"/>
            <w:vAlign w:val="center"/>
            <w:hideMark/>
          </w:tcPr>
          <w:p w14:paraId="23F4CA82" w14:textId="77777777" w:rsidR="006B0A36" w:rsidRPr="00F60508" w:rsidRDefault="006B0A36" w:rsidP="00F710B6">
            <w:pPr>
              <w:spacing w:after="0" w:line="360" w:lineRule="auto"/>
              <w:contextualSpacing/>
              <w:jc w:val="both"/>
              <w:rPr>
                <w:rFonts w:ascii="Book Antiqua" w:eastAsia="Times New Roman" w:hAnsi="Book Antiqua" w:cs="Times New Roman"/>
                <w:i/>
                <w:sz w:val="24"/>
                <w:szCs w:val="24"/>
              </w:rPr>
            </w:pPr>
            <w:r w:rsidRPr="00F60508">
              <w:rPr>
                <w:rFonts w:ascii="Book Antiqua" w:eastAsia="Times New Roman" w:hAnsi="Book Antiqua" w:cs="Times New Roman"/>
                <w:i/>
                <w:sz w:val="24"/>
                <w:szCs w:val="24"/>
              </w:rPr>
              <w:t>β-actin</w:t>
            </w:r>
          </w:p>
        </w:tc>
        <w:tc>
          <w:tcPr>
            <w:tcW w:w="4253" w:type="dxa"/>
            <w:tcBorders>
              <w:top w:val="nil"/>
              <w:left w:val="nil"/>
              <w:bottom w:val="single" w:sz="4" w:space="0" w:color="auto"/>
              <w:right w:val="nil"/>
            </w:tcBorders>
            <w:shd w:val="clear" w:color="auto" w:fill="auto"/>
            <w:vAlign w:val="center"/>
            <w:hideMark/>
          </w:tcPr>
          <w:p w14:paraId="0109AE01" w14:textId="77777777" w:rsidR="006B0A36" w:rsidRPr="000E3BD6" w:rsidRDefault="006B0A36" w:rsidP="00F710B6">
            <w:pPr>
              <w:spacing w:after="0" w:line="360" w:lineRule="auto"/>
              <w:contextualSpacing/>
              <w:jc w:val="both"/>
              <w:rPr>
                <w:rFonts w:ascii="Book Antiqua" w:eastAsia="Times New Roman" w:hAnsi="Book Antiqua" w:cs="Times New Roman"/>
                <w:sz w:val="24"/>
                <w:szCs w:val="24"/>
              </w:rPr>
            </w:pPr>
            <w:r w:rsidRPr="000E3BD6">
              <w:rPr>
                <w:rFonts w:ascii="Book Antiqua" w:eastAsia="Times New Roman" w:hAnsi="Book Antiqua" w:cs="Times New Roman"/>
                <w:sz w:val="24"/>
                <w:szCs w:val="24"/>
              </w:rPr>
              <w:t>GGAGATTACTGCCCTGGCTCCTA</w:t>
            </w:r>
          </w:p>
        </w:tc>
        <w:tc>
          <w:tcPr>
            <w:tcW w:w="4252" w:type="dxa"/>
            <w:tcBorders>
              <w:top w:val="nil"/>
              <w:left w:val="nil"/>
              <w:bottom w:val="single" w:sz="4" w:space="0" w:color="auto"/>
              <w:right w:val="nil"/>
            </w:tcBorders>
            <w:shd w:val="clear" w:color="auto" w:fill="auto"/>
            <w:vAlign w:val="center"/>
            <w:hideMark/>
          </w:tcPr>
          <w:p w14:paraId="6B65087E" w14:textId="77777777" w:rsidR="006B0A36" w:rsidRPr="000E3BD6" w:rsidRDefault="006B0A36" w:rsidP="00F710B6">
            <w:pPr>
              <w:spacing w:after="0" w:line="360" w:lineRule="auto"/>
              <w:contextualSpacing/>
              <w:jc w:val="both"/>
              <w:rPr>
                <w:rFonts w:ascii="Book Antiqua" w:eastAsia="Times New Roman" w:hAnsi="Book Antiqua" w:cs="Times New Roman"/>
                <w:sz w:val="24"/>
                <w:szCs w:val="24"/>
              </w:rPr>
            </w:pPr>
            <w:r w:rsidRPr="000E3BD6">
              <w:rPr>
                <w:rFonts w:ascii="Book Antiqua" w:eastAsia="Times New Roman" w:hAnsi="Book Antiqua" w:cs="Times New Roman"/>
                <w:sz w:val="24"/>
                <w:szCs w:val="24"/>
              </w:rPr>
              <w:t>GGAGATTACTGCCCTGGCTCCTA</w:t>
            </w:r>
          </w:p>
        </w:tc>
      </w:tr>
    </w:tbl>
    <w:p w14:paraId="125439F1" w14:textId="7FB26AA3" w:rsidR="006B0A36" w:rsidRPr="000E3BD6" w:rsidRDefault="006B0A36" w:rsidP="00F710B6">
      <w:pPr>
        <w:spacing w:after="0" w:line="360" w:lineRule="auto"/>
        <w:contextualSpacing/>
        <w:jc w:val="both"/>
        <w:rPr>
          <w:rFonts w:ascii="Book Antiqua" w:hAnsi="Book Antiqua" w:cs="Times New Roman"/>
          <w:sz w:val="24"/>
          <w:szCs w:val="24"/>
        </w:rPr>
      </w:pPr>
      <w:r w:rsidRPr="000E3BD6">
        <w:rPr>
          <w:rFonts w:ascii="Book Antiqua" w:eastAsia="Times New Roman" w:hAnsi="Book Antiqua" w:cs="Times New Roman"/>
          <w:sz w:val="24"/>
          <w:szCs w:val="24"/>
        </w:rPr>
        <w:t xml:space="preserve">SDF-1α: </w:t>
      </w:r>
      <w:r w:rsidR="00F60508" w:rsidRPr="000E3BD6">
        <w:rPr>
          <w:rFonts w:ascii="Book Antiqua" w:eastAsia="Times New Roman" w:hAnsi="Book Antiqua" w:cs="Times New Roman"/>
          <w:sz w:val="24"/>
          <w:szCs w:val="24"/>
        </w:rPr>
        <w:t xml:space="preserve">Stromal </w:t>
      </w:r>
      <w:r w:rsidRPr="000E3BD6">
        <w:rPr>
          <w:rFonts w:ascii="Book Antiqua" w:eastAsia="Times New Roman" w:hAnsi="Book Antiqua" w:cs="Times New Roman"/>
          <w:sz w:val="24"/>
          <w:szCs w:val="24"/>
        </w:rPr>
        <w:t>cell-derived factor-1α; CXCR4</w:t>
      </w:r>
      <w:r w:rsidR="00F60508">
        <w:rPr>
          <w:rFonts w:ascii="Book Antiqua" w:hAnsi="Book Antiqua" w:cs="Times New Roman" w:hint="eastAsia"/>
          <w:sz w:val="24"/>
          <w:szCs w:val="24"/>
        </w:rPr>
        <w:t>:</w:t>
      </w:r>
      <w:r w:rsidRPr="000E3BD6">
        <w:rPr>
          <w:rFonts w:ascii="Book Antiqua" w:eastAsia="Times New Roman" w:hAnsi="Book Antiqua" w:cs="Times New Roman"/>
          <w:sz w:val="24"/>
          <w:szCs w:val="24"/>
        </w:rPr>
        <w:t xml:space="preserve"> C-X-C chemokine receptor type 4; Sox-9</w:t>
      </w:r>
      <w:r w:rsidR="00F60508">
        <w:rPr>
          <w:rFonts w:ascii="Book Antiqua" w:hAnsi="Book Antiqua" w:cs="Times New Roman" w:hint="eastAsia"/>
          <w:sz w:val="24"/>
          <w:szCs w:val="24"/>
        </w:rPr>
        <w:t>:</w:t>
      </w:r>
      <w:r w:rsidRPr="000E3BD6">
        <w:rPr>
          <w:rFonts w:ascii="Book Antiqua" w:eastAsia="Times New Roman" w:hAnsi="Book Antiqua" w:cs="Times New Roman"/>
          <w:sz w:val="24"/>
          <w:szCs w:val="24"/>
        </w:rPr>
        <w:t xml:space="preserve"> SRY-related high mobility group box gene 9. </w:t>
      </w:r>
    </w:p>
    <w:p w14:paraId="536CD4AA" w14:textId="77777777" w:rsidR="006B0A36" w:rsidRPr="000E3BD6" w:rsidRDefault="006B0A36" w:rsidP="00F710B6">
      <w:pPr>
        <w:spacing w:after="0" w:line="360" w:lineRule="auto"/>
        <w:jc w:val="both"/>
        <w:rPr>
          <w:rFonts w:ascii="Book Antiqua" w:hAnsi="Book Antiqua"/>
          <w:sz w:val="24"/>
          <w:szCs w:val="24"/>
        </w:rPr>
      </w:pPr>
    </w:p>
    <w:sectPr w:rsidR="006B0A36" w:rsidRPr="000E3BD6" w:rsidSect="000C3D8B">
      <w:footerReference w:type="default" r:id="rId15"/>
      <w:pgSz w:w="12240" w:h="15840"/>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03A4C10" w16cid:durableId="2001748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57F486" w14:textId="77777777" w:rsidR="00C1681E" w:rsidRDefault="00C1681E">
      <w:pPr>
        <w:spacing w:after="0" w:line="240" w:lineRule="auto"/>
      </w:pPr>
      <w:r>
        <w:separator/>
      </w:r>
    </w:p>
  </w:endnote>
  <w:endnote w:type="continuationSeparator" w:id="0">
    <w:p w14:paraId="25E0AC0F" w14:textId="77777777" w:rsidR="00C1681E" w:rsidRDefault="00C16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EFF" w:usb1="C0007843" w:usb2="00000009" w:usb3="00000000" w:csb0="000001FF" w:csb1="00000000"/>
  </w:font>
  <w:font w:name="OfficinaSansStd-Book">
    <w:altName w:val="Segoe Print"/>
    <w:charset w:val="00"/>
    <w:family w:val="auto"/>
    <w:pitch w:val="default"/>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roman"/>
    <w:pitch w:val="variable"/>
    <w:sig w:usb0="E0000AFF" w:usb1="00007843" w:usb2="00000001" w:usb3="00000000" w:csb0="000001B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A0000287" w:usb1="28CF3C52" w:usb2="00000016" w:usb3="00000000" w:csb0="0004001F"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等线 Light">
    <w:altName w:val="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0860530"/>
      <w:docPartObj>
        <w:docPartGallery w:val="Page Numbers (Bottom of Page)"/>
        <w:docPartUnique/>
      </w:docPartObj>
    </w:sdtPr>
    <w:sdtEndPr>
      <w:rPr>
        <w:noProof/>
      </w:rPr>
    </w:sdtEndPr>
    <w:sdtContent>
      <w:p w14:paraId="077B3344" w14:textId="77777777" w:rsidR="000C3D8B" w:rsidRDefault="000C3D8B">
        <w:pPr>
          <w:pStyle w:val="aa"/>
          <w:jc w:val="right"/>
        </w:pPr>
        <w:r>
          <w:fldChar w:fldCharType="begin"/>
        </w:r>
        <w:r>
          <w:instrText xml:space="preserve"> PAGE   \* MERGEFORMAT </w:instrText>
        </w:r>
        <w:r>
          <w:fldChar w:fldCharType="separate"/>
        </w:r>
        <w:r w:rsidR="00B808ED">
          <w:rPr>
            <w:noProof/>
          </w:rPr>
          <w:t>3</w:t>
        </w:r>
        <w:r>
          <w:rPr>
            <w:noProof/>
          </w:rPr>
          <w:fldChar w:fldCharType="end"/>
        </w:r>
      </w:p>
    </w:sdtContent>
  </w:sdt>
  <w:p w14:paraId="1C6A7CF0" w14:textId="77777777" w:rsidR="000C3D8B" w:rsidRDefault="000C3D8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588AEB" w14:textId="77777777" w:rsidR="00C1681E" w:rsidRDefault="00C1681E">
      <w:pPr>
        <w:spacing w:after="0" w:line="240" w:lineRule="auto"/>
      </w:pPr>
      <w:r>
        <w:separator/>
      </w:r>
    </w:p>
  </w:footnote>
  <w:footnote w:type="continuationSeparator" w:id="0">
    <w:p w14:paraId="674CA93F" w14:textId="77777777" w:rsidR="00C1681E" w:rsidRDefault="00C1681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6B0A36"/>
    <w:rsid w:val="000116FE"/>
    <w:rsid w:val="00017BA3"/>
    <w:rsid w:val="00026993"/>
    <w:rsid w:val="000634F8"/>
    <w:rsid w:val="00067DDB"/>
    <w:rsid w:val="00076150"/>
    <w:rsid w:val="00084AB8"/>
    <w:rsid w:val="000A118D"/>
    <w:rsid w:val="000A44E5"/>
    <w:rsid w:val="000B3A6E"/>
    <w:rsid w:val="000B41AA"/>
    <w:rsid w:val="000C3D8B"/>
    <w:rsid w:val="000D60BC"/>
    <w:rsid w:val="000E1B3C"/>
    <w:rsid w:val="000E3BD6"/>
    <w:rsid w:val="000E6819"/>
    <w:rsid w:val="001114F6"/>
    <w:rsid w:val="00130C95"/>
    <w:rsid w:val="001812BD"/>
    <w:rsid w:val="0019263B"/>
    <w:rsid w:val="00196D21"/>
    <w:rsid w:val="001A579C"/>
    <w:rsid w:val="001E309D"/>
    <w:rsid w:val="001E548D"/>
    <w:rsid w:val="001F58AB"/>
    <w:rsid w:val="001F62DC"/>
    <w:rsid w:val="00203F4D"/>
    <w:rsid w:val="00212F5A"/>
    <w:rsid w:val="00222EFA"/>
    <w:rsid w:val="002235F1"/>
    <w:rsid w:val="002353F1"/>
    <w:rsid w:val="00246604"/>
    <w:rsid w:val="002543E6"/>
    <w:rsid w:val="00274F4C"/>
    <w:rsid w:val="0027786C"/>
    <w:rsid w:val="00280B96"/>
    <w:rsid w:val="0028339C"/>
    <w:rsid w:val="002846DA"/>
    <w:rsid w:val="002925B8"/>
    <w:rsid w:val="002E1333"/>
    <w:rsid w:val="002F76D5"/>
    <w:rsid w:val="00335E46"/>
    <w:rsid w:val="00364289"/>
    <w:rsid w:val="00372328"/>
    <w:rsid w:val="00380854"/>
    <w:rsid w:val="00394B9F"/>
    <w:rsid w:val="0039703A"/>
    <w:rsid w:val="003B13F2"/>
    <w:rsid w:val="003B57D7"/>
    <w:rsid w:val="003C5A51"/>
    <w:rsid w:val="003C5E62"/>
    <w:rsid w:val="003C6860"/>
    <w:rsid w:val="003D0603"/>
    <w:rsid w:val="003E0251"/>
    <w:rsid w:val="003F2403"/>
    <w:rsid w:val="003F74ED"/>
    <w:rsid w:val="004039A2"/>
    <w:rsid w:val="00407A64"/>
    <w:rsid w:val="004510DD"/>
    <w:rsid w:val="004541C1"/>
    <w:rsid w:val="004546AA"/>
    <w:rsid w:val="00463418"/>
    <w:rsid w:val="00465353"/>
    <w:rsid w:val="00466805"/>
    <w:rsid w:val="00471703"/>
    <w:rsid w:val="00474D95"/>
    <w:rsid w:val="004855F5"/>
    <w:rsid w:val="00494D87"/>
    <w:rsid w:val="004C0256"/>
    <w:rsid w:val="004E071D"/>
    <w:rsid w:val="004E1705"/>
    <w:rsid w:val="004F4708"/>
    <w:rsid w:val="004F6E06"/>
    <w:rsid w:val="0053026B"/>
    <w:rsid w:val="00541838"/>
    <w:rsid w:val="00542859"/>
    <w:rsid w:val="00547495"/>
    <w:rsid w:val="00551569"/>
    <w:rsid w:val="005537FF"/>
    <w:rsid w:val="00561EA2"/>
    <w:rsid w:val="00595FC3"/>
    <w:rsid w:val="005A64F5"/>
    <w:rsid w:val="005D30CB"/>
    <w:rsid w:val="00611E21"/>
    <w:rsid w:val="00612DAE"/>
    <w:rsid w:val="00613D0C"/>
    <w:rsid w:val="0063017C"/>
    <w:rsid w:val="00640B3C"/>
    <w:rsid w:val="0064309A"/>
    <w:rsid w:val="00655EC1"/>
    <w:rsid w:val="006602D2"/>
    <w:rsid w:val="00662A83"/>
    <w:rsid w:val="0066586F"/>
    <w:rsid w:val="0066753F"/>
    <w:rsid w:val="00674F1F"/>
    <w:rsid w:val="0068285F"/>
    <w:rsid w:val="006A2137"/>
    <w:rsid w:val="006B0A36"/>
    <w:rsid w:val="006C0434"/>
    <w:rsid w:val="006C683D"/>
    <w:rsid w:val="006F1020"/>
    <w:rsid w:val="00714260"/>
    <w:rsid w:val="00714963"/>
    <w:rsid w:val="00720F5D"/>
    <w:rsid w:val="00725667"/>
    <w:rsid w:val="00735147"/>
    <w:rsid w:val="007373E9"/>
    <w:rsid w:val="0074321D"/>
    <w:rsid w:val="007436BB"/>
    <w:rsid w:val="00763EED"/>
    <w:rsid w:val="00770923"/>
    <w:rsid w:val="00772D6B"/>
    <w:rsid w:val="00780434"/>
    <w:rsid w:val="00781414"/>
    <w:rsid w:val="00791FB2"/>
    <w:rsid w:val="007B30D4"/>
    <w:rsid w:val="007D13B3"/>
    <w:rsid w:val="007D54BC"/>
    <w:rsid w:val="007D6A7F"/>
    <w:rsid w:val="007E7807"/>
    <w:rsid w:val="00804D2E"/>
    <w:rsid w:val="00822B28"/>
    <w:rsid w:val="00843784"/>
    <w:rsid w:val="00851F8A"/>
    <w:rsid w:val="00852FCD"/>
    <w:rsid w:val="00870320"/>
    <w:rsid w:val="00871EF3"/>
    <w:rsid w:val="008A6B63"/>
    <w:rsid w:val="008B276F"/>
    <w:rsid w:val="008B705B"/>
    <w:rsid w:val="008C1266"/>
    <w:rsid w:val="008D28EA"/>
    <w:rsid w:val="008D727A"/>
    <w:rsid w:val="008F164C"/>
    <w:rsid w:val="008F1A23"/>
    <w:rsid w:val="008F2A5D"/>
    <w:rsid w:val="00915629"/>
    <w:rsid w:val="009341A1"/>
    <w:rsid w:val="00967283"/>
    <w:rsid w:val="00987404"/>
    <w:rsid w:val="00987D63"/>
    <w:rsid w:val="00987ED1"/>
    <w:rsid w:val="009949CC"/>
    <w:rsid w:val="009A4E26"/>
    <w:rsid w:val="009A6BCB"/>
    <w:rsid w:val="009B7BD7"/>
    <w:rsid w:val="009C4A62"/>
    <w:rsid w:val="009C5B98"/>
    <w:rsid w:val="009F0902"/>
    <w:rsid w:val="009F6921"/>
    <w:rsid w:val="00A10FAB"/>
    <w:rsid w:val="00A14CF3"/>
    <w:rsid w:val="00A15081"/>
    <w:rsid w:val="00A330E0"/>
    <w:rsid w:val="00A336C9"/>
    <w:rsid w:val="00A400C0"/>
    <w:rsid w:val="00A5419A"/>
    <w:rsid w:val="00A700CE"/>
    <w:rsid w:val="00A716AA"/>
    <w:rsid w:val="00A861AC"/>
    <w:rsid w:val="00AA18CC"/>
    <w:rsid w:val="00AB0E6D"/>
    <w:rsid w:val="00AB421D"/>
    <w:rsid w:val="00AD3A3C"/>
    <w:rsid w:val="00AE3067"/>
    <w:rsid w:val="00B113BB"/>
    <w:rsid w:val="00B16EB3"/>
    <w:rsid w:val="00B21CD5"/>
    <w:rsid w:val="00B25ADC"/>
    <w:rsid w:val="00B37E05"/>
    <w:rsid w:val="00B37EBD"/>
    <w:rsid w:val="00B54AA7"/>
    <w:rsid w:val="00B55CB5"/>
    <w:rsid w:val="00B55ED9"/>
    <w:rsid w:val="00B808ED"/>
    <w:rsid w:val="00B83BCF"/>
    <w:rsid w:val="00B92921"/>
    <w:rsid w:val="00BA252E"/>
    <w:rsid w:val="00BA4741"/>
    <w:rsid w:val="00BC6DAF"/>
    <w:rsid w:val="00BD1D19"/>
    <w:rsid w:val="00BD2F62"/>
    <w:rsid w:val="00BD3B39"/>
    <w:rsid w:val="00BE077B"/>
    <w:rsid w:val="00C0586F"/>
    <w:rsid w:val="00C1681E"/>
    <w:rsid w:val="00C57C64"/>
    <w:rsid w:val="00C57F59"/>
    <w:rsid w:val="00C62E4C"/>
    <w:rsid w:val="00C9223E"/>
    <w:rsid w:val="00CA7290"/>
    <w:rsid w:val="00CD0F8F"/>
    <w:rsid w:val="00CD47CD"/>
    <w:rsid w:val="00CD7B32"/>
    <w:rsid w:val="00CE3950"/>
    <w:rsid w:val="00D040DC"/>
    <w:rsid w:val="00D221B5"/>
    <w:rsid w:val="00D24E84"/>
    <w:rsid w:val="00D423D9"/>
    <w:rsid w:val="00D42BD9"/>
    <w:rsid w:val="00D536BF"/>
    <w:rsid w:val="00D56DEC"/>
    <w:rsid w:val="00D63DED"/>
    <w:rsid w:val="00D77ADB"/>
    <w:rsid w:val="00DA4A01"/>
    <w:rsid w:val="00DB15D2"/>
    <w:rsid w:val="00DC1655"/>
    <w:rsid w:val="00DF0230"/>
    <w:rsid w:val="00E07F75"/>
    <w:rsid w:val="00E10552"/>
    <w:rsid w:val="00E13AD9"/>
    <w:rsid w:val="00E402C1"/>
    <w:rsid w:val="00E5467B"/>
    <w:rsid w:val="00E748B2"/>
    <w:rsid w:val="00EA7E62"/>
    <w:rsid w:val="00EC4AF4"/>
    <w:rsid w:val="00ED1AF5"/>
    <w:rsid w:val="00ED346D"/>
    <w:rsid w:val="00EF42AC"/>
    <w:rsid w:val="00F139F0"/>
    <w:rsid w:val="00F35F62"/>
    <w:rsid w:val="00F43E50"/>
    <w:rsid w:val="00F60508"/>
    <w:rsid w:val="00F710B6"/>
    <w:rsid w:val="00F82B35"/>
    <w:rsid w:val="00F94670"/>
    <w:rsid w:val="00FB0DDA"/>
    <w:rsid w:val="00FC257E"/>
    <w:rsid w:val="00FE03D8"/>
    <w:rsid w:val="00FF42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CB3B5"/>
  <w15:docId w15:val="{49D1AA06-7E7D-432F-8C23-113E98728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0A3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qFormat/>
    <w:rsid w:val="006B0A36"/>
    <w:rPr>
      <w:rFonts w:ascii="OfficinaSansStd-Book" w:eastAsia="OfficinaSansStd-Book" w:hAnsi="OfficinaSansStd-Book" w:cs="OfficinaSansStd-Book"/>
      <w:b w:val="0"/>
      <w:i w:val="0"/>
      <w:color w:val="231F20"/>
      <w:sz w:val="20"/>
      <w:szCs w:val="20"/>
    </w:rPr>
  </w:style>
  <w:style w:type="character" w:customStyle="1" w:styleId="highlight">
    <w:name w:val="highlight"/>
    <w:rsid w:val="006B0A36"/>
  </w:style>
  <w:style w:type="paragraph" w:customStyle="1" w:styleId="EndNoteBibliographyTitle">
    <w:name w:val="EndNote Bibliography Title"/>
    <w:basedOn w:val="a"/>
    <w:link w:val="EndNoteBibliographyTitleChar"/>
    <w:rsid w:val="006B0A36"/>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6B0A36"/>
    <w:rPr>
      <w:rFonts w:ascii="Calibri" w:hAnsi="Calibri" w:cs="Calibri"/>
      <w:noProof/>
    </w:rPr>
  </w:style>
  <w:style w:type="paragraph" w:customStyle="1" w:styleId="EndNoteBibliography">
    <w:name w:val="EndNote Bibliography"/>
    <w:basedOn w:val="a"/>
    <w:link w:val="EndNoteBibliographyChar"/>
    <w:rsid w:val="006B0A36"/>
    <w:pPr>
      <w:spacing w:line="240" w:lineRule="auto"/>
    </w:pPr>
    <w:rPr>
      <w:rFonts w:ascii="Calibri" w:hAnsi="Calibri" w:cs="Calibri"/>
      <w:noProof/>
    </w:rPr>
  </w:style>
  <w:style w:type="character" w:customStyle="1" w:styleId="EndNoteBibliographyChar">
    <w:name w:val="EndNote Bibliography Char"/>
    <w:basedOn w:val="a0"/>
    <w:link w:val="EndNoteBibliography"/>
    <w:rsid w:val="006B0A36"/>
    <w:rPr>
      <w:rFonts w:ascii="Calibri" w:hAnsi="Calibri" w:cs="Calibri"/>
      <w:noProof/>
    </w:rPr>
  </w:style>
  <w:style w:type="character" w:styleId="a3">
    <w:name w:val="annotation reference"/>
    <w:basedOn w:val="a0"/>
    <w:uiPriority w:val="99"/>
    <w:semiHidden/>
    <w:unhideWhenUsed/>
    <w:rsid w:val="006B0A36"/>
    <w:rPr>
      <w:sz w:val="16"/>
      <w:szCs w:val="16"/>
    </w:rPr>
  </w:style>
  <w:style w:type="paragraph" w:styleId="a4">
    <w:name w:val="annotation text"/>
    <w:basedOn w:val="a"/>
    <w:link w:val="Char"/>
    <w:uiPriority w:val="99"/>
    <w:unhideWhenUsed/>
    <w:rsid w:val="006B0A36"/>
    <w:pPr>
      <w:spacing w:line="240" w:lineRule="auto"/>
    </w:pPr>
    <w:rPr>
      <w:sz w:val="20"/>
      <w:szCs w:val="20"/>
    </w:rPr>
  </w:style>
  <w:style w:type="character" w:customStyle="1" w:styleId="Char">
    <w:name w:val="批注文字 Char"/>
    <w:basedOn w:val="a0"/>
    <w:link w:val="a4"/>
    <w:uiPriority w:val="99"/>
    <w:rsid w:val="006B0A36"/>
    <w:rPr>
      <w:sz w:val="20"/>
      <w:szCs w:val="20"/>
    </w:rPr>
  </w:style>
  <w:style w:type="paragraph" w:styleId="a5">
    <w:name w:val="annotation subject"/>
    <w:basedOn w:val="a4"/>
    <w:next w:val="a4"/>
    <w:link w:val="Char0"/>
    <w:uiPriority w:val="99"/>
    <w:semiHidden/>
    <w:unhideWhenUsed/>
    <w:rsid w:val="006B0A36"/>
    <w:rPr>
      <w:b/>
      <w:bCs/>
    </w:rPr>
  </w:style>
  <w:style w:type="character" w:customStyle="1" w:styleId="Char0">
    <w:name w:val="批注主题 Char"/>
    <w:basedOn w:val="Char"/>
    <w:link w:val="a5"/>
    <w:uiPriority w:val="99"/>
    <w:semiHidden/>
    <w:rsid w:val="006B0A36"/>
    <w:rPr>
      <w:b/>
      <w:bCs/>
      <w:sz w:val="20"/>
      <w:szCs w:val="20"/>
    </w:rPr>
  </w:style>
  <w:style w:type="paragraph" w:styleId="a6">
    <w:name w:val="Revision"/>
    <w:hidden/>
    <w:uiPriority w:val="99"/>
    <w:semiHidden/>
    <w:rsid w:val="006B0A36"/>
    <w:pPr>
      <w:spacing w:after="0" w:line="240" w:lineRule="auto"/>
    </w:pPr>
  </w:style>
  <w:style w:type="paragraph" w:styleId="a7">
    <w:name w:val="Balloon Text"/>
    <w:basedOn w:val="a"/>
    <w:link w:val="Char1"/>
    <w:uiPriority w:val="99"/>
    <w:semiHidden/>
    <w:unhideWhenUsed/>
    <w:rsid w:val="006B0A36"/>
    <w:pPr>
      <w:spacing w:after="0" w:line="240" w:lineRule="auto"/>
    </w:pPr>
    <w:rPr>
      <w:rFonts w:ascii="Tahoma" w:hAnsi="Tahoma" w:cs="Tahoma"/>
      <w:sz w:val="16"/>
      <w:szCs w:val="16"/>
    </w:rPr>
  </w:style>
  <w:style w:type="character" w:customStyle="1" w:styleId="Char1">
    <w:name w:val="批注框文本 Char"/>
    <w:basedOn w:val="a0"/>
    <w:link w:val="a7"/>
    <w:uiPriority w:val="99"/>
    <w:semiHidden/>
    <w:rsid w:val="006B0A36"/>
    <w:rPr>
      <w:rFonts w:ascii="Tahoma" w:hAnsi="Tahoma" w:cs="Tahoma"/>
      <w:sz w:val="16"/>
      <w:szCs w:val="16"/>
    </w:rPr>
  </w:style>
  <w:style w:type="character" w:styleId="a8">
    <w:name w:val="Hyperlink"/>
    <w:basedOn w:val="a0"/>
    <w:uiPriority w:val="99"/>
    <w:unhideWhenUsed/>
    <w:rsid w:val="006B0A36"/>
    <w:rPr>
      <w:color w:val="0563C1" w:themeColor="hyperlink"/>
      <w:u w:val="single"/>
    </w:rPr>
  </w:style>
  <w:style w:type="paragraph" w:styleId="a9">
    <w:name w:val="header"/>
    <w:basedOn w:val="a"/>
    <w:link w:val="Char2"/>
    <w:uiPriority w:val="99"/>
    <w:unhideWhenUsed/>
    <w:rsid w:val="006B0A36"/>
    <w:pPr>
      <w:tabs>
        <w:tab w:val="center" w:pos="4320"/>
        <w:tab w:val="right" w:pos="8640"/>
      </w:tabs>
      <w:spacing w:after="0" w:line="240" w:lineRule="auto"/>
    </w:pPr>
  </w:style>
  <w:style w:type="character" w:customStyle="1" w:styleId="Char2">
    <w:name w:val="页眉 Char"/>
    <w:basedOn w:val="a0"/>
    <w:link w:val="a9"/>
    <w:uiPriority w:val="99"/>
    <w:rsid w:val="006B0A36"/>
  </w:style>
  <w:style w:type="paragraph" w:styleId="aa">
    <w:name w:val="footer"/>
    <w:basedOn w:val="a"/>
    <w:link w:val="Char3"/>
    <w:uiPriority w:val="99"/>
    <w:unhideWhenUsed/>
    <w:rsid w:val="006B0A36"/>
    <w:pPr>
      <w:tabs>
        <w:tab w:val="center" w:pos="4320"/>
        <w:tab w:val="right" w:pos="8640"/>
      </w:tabs>
      <w:spacing w:after="0" w:line="240" w:lineRule="auto"/>
    </w:pPr>
  </w:style>
  <w:style w:type="character" w:customStyle="1" w:styleId="Char3">
    <w:name w:val="页脚 Char"/>
    <w:basedOn w:val="a0"/>
    <w:link w:val="aa"/>
    <w:uiPriority w:val="99"/>
    <w:rsid w:val="006B0A36"/>
  </w:style>
  <w:style w:type="paragraph" w:styleId="ab">
    <w:name w:val="Plain Text"/>
    <w:basedOn w:val="a"/>
    <w:link w:val="Char4"/>
    <w:rsid w:val="006C683D"/>
    <w:pPr>
      <w:widowControl w:val="0"/>
      <w:spacing w:after="0" w:line="240" w:lineRule="auto"/>
      <w:jc w:val="both"/>
    </w:pPr>
    <w:rPr>
      <w:rFonts w:ascii="宋体" w:eastAsia="宋体" w:hAnsi="Courier New" w:cs="Courier New"/>
      <w:kern w:val="2"/>
      <w:sz w:val="21"/>
      <w:szCs w:val="21"/>
    </w:rPr>
  </w:style>
  <w:style w:type="character" w:customStyle="1" w:styleId="Char4">
    <w:name w:val="纯文本 Char"/>
    <w:basedOn w:val="a0"/>
    <w:link w:val="ab"/>
    <w:rsid w:val="006C683D"/>
    <w:rPr>
      <w:rFonts w:ascii="宋体" w:eastAsia="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101824">
      <w:bodyDiv w:val="1"/>
      <w:marLeft w:val="0"/>
      <w:marRight w:val="0"/>
      <w:marTop w:val="0"/>
      <w:marBottom w:val="0"/>
      <w:divBdr>
        <w:top w:val="none" w:sz="0" w:space="0" w:color="auto"/>
        <w:left w:val="none" w:sz="0" w:space="0" w:color="auto"/>
        <w:bottom w:val="none" w:sz="0" w:space="0" w:color="auto"/>
        <w:right w:val="none" w:sz="0" w:space="0" w:color="auto"/>
      </w:divBdr>
    </w:div>
    <w:div w:id="458574554">
      <w:bodyDiv w:val="1"/>
      <w:marLeft w:val="0"/>
      <w:marRight w:val="0"/>
      <w:marTop w:val="0"/>
      <w:marBottom w:val="0"/>
      <w:divBdr>
        <w:top w:val="none" w:sz="0" w:space="0" w:color="auto"/>
        <w:left w:val="none" w:sz="0" w:space="0" w:color="auto"/>
        <w:bottom w:val="none" w:sz="0" w:space="0" w:color="auto"/>
        <w:right w:val="none" w:sz="0" w:space="0" w:color="auto"/>
      </w:divBdr>
    </w:div>
    <w:div w:id="1299142356">
      <w:bodyDiv w:val="1"/>
      <w:marLeft w:val="0"/>
      <w:marRight w:val="0"/>
      <w:marTop w:val="0"/>
      <w:marBottom w:val="0"/>
      <w:divBdr>
        <w:top w:val="none" w:sz="0" w:space="0" w:color="auto"/>
        <w:left w:val="none" w:sz="0" w:space="0" w:color="auto"/>
        <w:bottom w:val="none" w:sz="0" w:space="0" w:color="auto"/>
        <w:right w:val="none" w:sz="0" w:space="0" w:color="auto"/>
      </w:divBdr>
    </w:div>
    <w:div w:id="184354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tiff"/><Relationship Id="rId18" Type="http://schemas.microsoft.com/office/2016/09/relationships/commentsIds" Target="commentsIds.xml"/><Relationship Id="rId3" Type="http://schemas.openxmlformats.org/officeDocument/2006/relationships/settings" Target="settings.xml"/><Relationship Id="rId7" Type="http://schemas.openxmlformats.org/officeDocument/2006/relationships/hyperlink" Target="http://orcid.org/0000-0002-9642-3096" TargetMode="Externa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9866EB-F51E-4C22-A962-5638360E7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8448</Words>
  <Characters>48155</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Liansheng Ma</dc:creator>
  <cp:keywords/>
  <dc:description/>
  <cp:lastModifiedBy>Wang Tianqi</cp:lastModifiedBy>
  <cp:revision>3</cp:revision>
  <dcterms:created xsi:type="dcterms:W3CDTF">2019-02-03T08:34:00Z</dcterms:created>
  <dcterms:modified xsi:type="dcterms:W3CDTF">2019-02-03T08:36:00Z</dcterms:modified>
</cp:coreProperties>
</file>