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EE02" w14:textId="0B56C9FD" w:rsidR="009326CA" w:rsidRPr="00644ED5" w:rsidRDefault="009326CA" w:rsidP="00667231">
      <w:pPr>
        <w:pStyle w:val="a4"/>
        <w:jc w:val="both"/>
        <w:rPr>
          <w:rFonts w:ascii="Book Antiqua" w:hAnsi="Book Antiqua"/>
          <w:szCs w:val="24"/>
        </w:rPr>
      </w:pPr>
      <w:r w:rsidRPr="00644ED5">
        <w:rPr>
          <w:rFonts w:ascii="Book Antiqua" w:hAnsi="Book Antiqua" w:cs="Arial"/>
          <w:szCs w:val="24"/>
        </w:rPr>
        <w:t xml:space="preserve">Name of Journal: </w:t>
      </w:r>
      <w:r w:rsidRPr="00644ED5">
        <w:rPr>
          <w:rFonts w:ascii="Book Antiqua" w:hAnsi="Book Antiqua" w:cs="Arial"/>
          <w:i/>
          <w:szCs w:val="24"/>
        </w:rPr>
        <w:t>World Journal of Gastroenterology</w:t>
      </w:r>
    </w:p>
    <w:p w14:paraId="45BD7149" w14:textId="66BDA36A" w:rsidR="00EB54D5" w:rsidRPr="00644ED5" w:rsidRDefault="00EB54D5" w:rsidP="00667231">
      <w:pPr>
        <w:spacing w:line="360" w:lineRule="auto"/>
        <w:rPr>
          <w:rFonts w:ascii="Book Antiqua" w:hAnsi="Book Antiqua"/>
          <w:b/>
          <w:lang w:eastAsia="zh-CN"/>
        </w:rPr>
      </w:pPr>
      <w:r w:rsidRPr="00644ED5">
        <w:rPr>
          <w:rFonts w:ascii="Book Antiqua" w:hAnsi="Book Antiqua"/>
          <w:b/>
        </w:rPr>
        <w:t xml:space="preserve">Manuscript NO: </w:t>
      </w:r>
      <w:bookmarkStart w:id="0" w:name="_Hlk535243544"/>
      <w:r w:rsidRPr="00644ED5">
        <w:rPr>
          <w:rFonts w:ascii="Book Antiqua" w:hAnsi="Book Antiqua"/>
          <w:b/>
        </w:rPr>
        <w:t>45018</w:t>
      </w:r>
      <w:bookmarkEnd w:id="0"/>
    </w:p>
    <w:p w14:paraId="76CC75AC" w14:textId="0467F999" w:rsidR="009326CA" w:rsidRPr="00644ED5" w:rsidRDefault="009326CA" w:rsidP="00667231">
      <w:pPr>
        <w:spacing w:line="360" w:lineRule="auto"/>
        <w:rPr>
          <w:rFonts w:ascii="Book Antiqua" w:hAnsi="Book Antiqua"/>
          <w:b/>
        </w:rPr>
      </w:pPr>
      <w:r w:rsidRPr="00644ED5">
        <w:rPr>
          <w:rFonts w:ascii="Book Antiqua" w:hAnsi="Book Antiqua"/>
          <w:b/>
        </w:rPr>
        <w:t>Manuscript type: REVIEW</w:t>
      </w:r>
    </w:p>
    <w:p w14:paraId="4A93EF89" w14:textId="77777777" w:rsidR="00394C3B" w:rsidRPr="00644ED5" w:rsidRDefault="00394C3B" w:rsidP="00667231">
      <w:pPr>
        <w:spacing w:line="360" w:lineRule="auto"/>
        <w:rPr>
          <w:rFonts w:ascii="Book Antiqua" w:hAnsi="Book Antiqua"/>
        </w:rPr>
      </w:pPr>
    </w:p>
    <w:p w14:paraId="3E9F5201" w14:textId="1BC18E19" w:rsidR="00775527" w:rsidRPr="00644ED5" w:rsidRDefault="00F81E79" w:rsidP="00667231">
      <w:pPr>
        <w:pStyle w:val="a4"/>
        <w:jc w:val="both"/>
        <w:rPr>
          <w:rFonts w:ascii="Book Antiqua" w:hAnsi="Book Antiqua" w:cs="Arial"/>
          <w:szCs w:val="24"/>
        </w:rPr>
      </w:pPr>
      <w:bookmarkStart w:id="1" w:name="_Hlk535243559"/>
      <w:bookmarkStart w:id="2" w:name="OLE_LINK343"/>
      <w:bookmarkStart w:id="3" w:name="OLE_LINK344"/>
      <w:r w:rsidRPr="00644ED5">
        <w:rPr>
          <w:rFonts w:ascii="Book Antiqua" w:hAnsi="Book Antiqua" w:cs="Arial"/>
          <w:szCs w:val="24"/>
        </w:rPr>
        <w:t>C</w:t>
      </w:r>
      <w:r w:rsidR="00101D59" w:rsidRPr="00644ED5">
        <w:rPr>
          <w:rFonts w:ascii="Book Antiqua" w:hAnsi="Book Antiqua" w:cs="Arial"/>
          <w:szCs w:val="24"/>
        </w:rPr>
        <w:t xml:space="preserve">urrent and future </w:t>
      </w:r>
      <w:r w:rsidRPr="00644ED5">
        <w:rPr>
          <w:rFonts w:ascii="Book Antiqua" w:hAnsi="Book Antiqua" w:cs="Arial"/>
          <w:szCs w:val="24"/>
        </w:rPr>
        <w:t>pharmacological therapies</w:t>
      </w:r>
      <w:r w:rsidR="00124DFD" w:rsidRPr="00644ED5">
        <w:rPr>
          <w:rFonts w:ascii="Book Antiqua" w:hAnsi="Book Antiqua" w:cs="Arial"/>
          <w:szCs w:val="24"/>
        </w:rPr>
        <w:t xml:space="preserve"> </w:t>
      </w:r>
      <w:r w:rsidR="00426E16" w:rsidRPr="00644ED5">
        <w:rPr>
          <w:rFonts w:ascii="Book Antiqua" w:hAnsi="Book Antiqua" w:cs="Arial"/>
          <w:szCs w:val="24"/>
        </w:rPr>
        <w:t xml:space="preserve">for </w:t>
      </w:r>
      <w:r w:rsidRPr="00644ED5">
        <w:rPr>
          <w:rFonts w:ascii="Book Antiqua" w:hAnsi="Book Antiqua" w:cs="Arial"/>
          <w:szCs w:val="24"/>
        </w:rPr>
        <w:t>managing</w:t>
      </w:r>
      <w:r w:rsidR="00426E16" w:rsidRPr="00644ED5">
        <w:rPr>
          <w:rFonts w:ascii="Book Antiqua" w:hAnsi="Book Antiqua" w:cs="Arial"/>
          <w:szCs w:val="24"/>
        </w:rPr>
        <w:t xml:space="preserve"> </w:t>
      </w:r>
      <w:r w:rsidR="00124DFD" w:rsidRPr="00644ED5">
        <w:rPr>
          <w:rFonts w:ascii="Book Antiqua" w:hAnsi="Book Antiqua" w:cs="Arial"/>
          <w:szCs w:val="24"/>
        </w:rPr>
        <w:t>c</w:t>
      </w:r>
      <w:r w:rsidR="00775527" w:rsidRPr="00644ED5">
        <w:rPr>
          <w:rFonts w:ascii="Book Antiqua" w:hAnsi="Book Antiqua" w:cs="Arial"/>
          <w:szCs w:val="24"/>
        </w:rPr>
        <w:t>irrhosis</w:t>
      </w:r>
      <w:r w:rsidR="00426E16" w:rsidRPr="00644ED5">
        <w:rPr>
          <w:rFonts w:ascii="Book Antiqua" w:hAnsi="Book Antiqua" w:cs="Arial"/>
          <w:szCs w:val="24"/>
        </w:rPr>
        <w:t xml:space="preserve"> and its complications</w:t>
      </w:r>
      <w:bookmarkEnd w:id="1"/>
    </w:p>
    <w:bookmarkEnd w:id="2"/>
    <w:bookmarkEnd w:id="3"/>
    <w:p w14:paraId="29844F1B" w14:textId="77777777" w:rsidR="009326CA" w:rsidRPr="00644ED5" w:rsidRDefault="009326CA" w:rsidP="00667231">
      <w:pPr>
        <w:spacing w:line="360" w:lineRule="auto"/>
        <w:rPr>
          <w:rFonts w:ascii="Book Antiqua" w:hAnsi="Book Antiqua"/>
        </w:rPr>
      </w:pPr>
    </w:p>
    <w:p w14:paraId="028A5F91" w14:textId="6B7513DF" w:rsidR="009326CA" w:rsidRPr="00644ED5" w:rsidRDefault="009326CA" w:rsidP="00667231">
      <w:pPr>
        <w:spacing w:line="360" w:lineRule="auto"/>
        <w:rPr>
          <w:rFonts w:ascii="Book Antiqua" w:hAnsi="Book Antiqua"/>
        </w:rPr>
      </w:pPr>
      <w:r w:rsidRPr="00644ED5">
        <w:rPr>
          <w:rFonts w:ascii="Book Antiqua" w:hAnsi="Book Antiqua"/>
        </w:rPr>
        <w:t xml:space="preserve">Kockerling D </w:t>
      </w:r>
      <w:r w:rsidRPr="00644ED5">
        <w:rPr>
          <w:rFonts w:ascii="Book Antiqua" w:hAnsi="Book Antiqua"/>
          <w:i/>
        </w:rPr>
        <w:t>et al</w:t>
      </w:r>
      <w:r w:rsidRPr="00644ED5">
        <w:rPr>
          <w:rFonts w:ascii="Book Antiqua" w:hAnsi="Book Antiqua"/>
        </w:rPr>
        <w:t>.</w:t>
      </w:r>
      <w:r w:rsidR="00C46C28" w:rsidRPr="00644ED5">
        <w:rPr>
          <w:rFonts w:ascii="Book Antiqua" w:hAnsi="Book Antiqua"/>
        </w:rPr>
        <w:t xml:space="preserve"> Pharmacological management of cirrhosis</w:t>
      </w:r>
    </w:p>
    <w:p w14:paraId="27C45871" w14:textId="77777777" w:rsidR="009326CA" w:rsidRPr="00644ED5" w:rsidRDefault="009326CA" w:rsidP="00667231">
      <w:pPr>
        <w:spacing w:line="360" w:lineRule="auto"/>
        <w:rPr>
          <w:rFonts w:ascii="Book Antiqua" w:hAnsi="Book Antiqua"/>
        </w:rPr>
      </w:pPr>
    </w:p>
    <w:p w14:paraId="341F0F1A" w14:textId="1D635C8B" w:rsidR="00C33EB1" w:rsidRPr="00644ED5" w:rsidRDefault="009326CA" w:rsidP="00667231">
      <w:pPr>
        <w:spacing w:line="360" w:lineRule="auto"/>
        <w:rPr>
          <w:rFonts w:ascii="Book Antiqua" w:hAnsi="Book Antiqua"/>
        </w:rPr>
      </w:pPr>
      <w:r w:rsidRPr="00644ED5">
        <w:rPr>
          <w:rFonts w:ascii="Book Antiqua" w:hAnsi="Book Antiqua"/>
        </w:rPr>
        <w:t>David Kockerling, Rooshi Nathwani, Roberta Forlano, Pinelopi Manousou, Benjamin H Mullish, Ameet Dhar</w:t>
      </w:r>
    </w:p>
    <w:p w14:paraId="3B667DAC" w14:textId="77777777" w:rsidR="00C46C28" w:rsidRPr="00644ED5" w:rsidRDefault="00C46C28" w:rsidP="00667231">
      <w:pPr>
        <w:spacing w:line="360" w:lineRule="auto"/>
        <w:rPr>
          <w:rFonts w:ascii="Book Antiqua" w:hAnsi="Book Antiqua"/>
        </w:rPr>
      </w:pPr>
    </w:p>
    <w:p w14:paraId="491BDAED" w14:textId="1DE181A8" w:rsidR="00B46B26" w:rsidRPr="00644ED5" w:rsidRDefault="00B46B26" w:rsidP="00667231">
      <w:pPr>
        <w:spacing w:line="360" w:lineRule="auto"/>
        <w:rPr>
          <w:rFonts w:ascii="Book Antiqua" w:hAnsi="Book Antiqua"/>
          <w:b/>
        </w:rPr>
      </w:pPr>
      <w:r w:rsidRPr="00644ED5">
        <w:rPr>
          <w:rFonts w:ascii="Book Antiqua" w:hAnsi="Book Antiqua"/>
          <w:b/>
        </w:rPr>
        <w:t>David Kockerling, Rooshi Nathwani, Roberta Forlano, Pinelopi Manousou, Benjamin H Mullish, Ameet Dhar</w:t>
      </w:r>
      <w:r w:rsidR="009326CA" w:rsidRPr="00644ED5">
        <w:rPr>
          <w:rFonts w:ascii="Book Antiqua" w:hAnsi="Book Antiqua"/>
        </w:rPr>
        <w:t xml:space="preserve">, </w:t>
      </w:r>
      <w:r w:rsidR="00667231" w:rsidRPr="00644ED5">
        <w:rPr>
          <w:rFonts w:ascii="Book Antiqua" w:hAnsi="Book Antiqua"/>
        </w:rPr>
        <w:t>Liver Unit/</w:t>
      </w:r>
      <w:r w:rsidRPr="00644ED5">
        <w:rPr>
          <w:rFonts w:ascii="Book Antiqua" w:hAnsi="Book Antiqua"/>
        </w:rPr>
        <w:t>Division of Integrative Systems Medicine and Digestive Disease, Imperial College London, London</w:t>
      </w:r>
      <w:r w:rsidR="00667231" w:rsidRPr="00644ED5">
        <w:rPr>
          <w:rFonts w:ascii="Book Antiqua" w:hAnsi="Book Antiqua" w:hint="eastAsia"/>
          <w:lang w:eastAsia="zh-CN"/>
        </w:rPr>
        <w:t xml:space="preserve"> </w:t>
      </w:r>
      <w:r w:rsidR="00667231" w:rsidRPr="00644ED5">
        <w:rPr>
          <w:rFonts w:ascii="Book Antiqua" w:hAnsi="Book Antiqua"/>
        </w:rPr>
        <w:t>W2 1NY</w:t>
      </w:r>
      <w:r w:rsidR="00BA0FDC" w:rsidRPr="00644ED5">
        <w:rPr>
          <w:rFonts w:ascii="Book Antiqua" w:hAnsi="Book Antiqua"/>
        </w:rPr>
        <w:t>,</w:t>
      </w:r>
      <w:r w:rsidR="00667231" w:rsidRPr="00644ED5">
        <w:rPr>
          <w:rFonts w:ascii="Book Antiqua" w:hAnsi="Book Antiqua"/>
        </w:rPr>
        <w:t xml:space="preserve"> U</w:t>
      </w:r>
      <w:r w:rsidR="00667231" w:rsidRPr="00644ED5">
        <w:rPr>
          <w:rFonts w:ascii="Book Antiqua" w:hAnsi="Book Antiqua" w:hint="eastAsia"/>
          <w:lang w:eastAsia="zh-CN"/>
        </w:rPr>
        <w:t>nited Kingdom</w:t>
      </w:r>
    </w:p>
    <w:p w14:paraId="0B185A83" w14:textId="25071662" w:rsidR="00C2428D" w:rsidRPr="00644ED5" w:rsidRDefault="00C2428D" w:rsidP="00667231">
      <w:pPr>
        <w:spacing w:line="360" w:lineRule="auto"/>
        <w:rPr>
          <w:rFonts w:ascii="Book Antiqua" w:hAnsi="Book Antiqua"/>
        </w:rPr>
      </w:pPr>
    </w:p>
    <w:p w14:paraId="1BF26EA4" w14:textId="7038E4EB" w:rsidR="00C2428D" w:rsidRPr="00644ED5" w:rsidRDefault="00667231" w:rsidP="00667231">
      <w:pPr>
        <w:spacing w:line="360" w:lineRule="auto"/>
        <w:rPr>
          <w:rFonts w:ascii="Book Antiqua" w:hAnsi="Book Antiqua"/>
          <w:lang w:eastAsia="zh-CN"/>
        </w:rPr>
      </w:pPr>
      <w:r w:rsidRPr="00644ED5">
        <w:rPr>
          <w:rFonts w:ascii="Book Antiqua" w:hAnsi="Book Antiqua"/>
          <w:b/>
          <w:bCs/>
          <w:color w:val="333333"/>
          <w:shd w:val="clear" w:color="auto" w:fill="FFFFFF"/>
        </w:rPr>
        <w:t>ORCID number</w:t>
      </w:r>
      <w:r w:rsidRPr="00644ED5">
        <w:rPr>
          <w:rFonts w:ascii="Book Antiqua" w:hAnsi="Book Antiqua"/>
          <w:b/>
          <w:color w:val="000000"/>
        </w:rPr>
        <w:t>:</w:t>
      </w:r>
      <w:r w:rsidR="00C2428D" w:rsidRPr="00644ED5">
        <w:rPr>
          <w:rFonts w:ascii="Book Antiqua" w:hAnsi="Book Antiqua"/>
        </w:rPr>
        <w:t xml:space="preserve"> David Kockerling</w:t>
      </w:r>
      <w:r w:rsidR="00F91B9F" w:rsidRPr="00644ED5">
        <w:rPr>
          <w:rFonts w:ascii="Book Antiqua" w:hAnsi="Book Antiqua"/>
        </w:rPr>
        <w:t xml:space="preserve"> (0000-0002-9122-2973)</w:t>
      </w:r>
      <w:r w:rsidRPr="00644ED5">
        <w:rPr>
          <w:rFonts w:ascii="Book Antiqua" w:hAnsi="Book Antiqua" w:hint="eastAsia"/>
          <w:lang w:eastAsia="zh-CN"/>
        </w:rPr>
        <w:t>;</w:t>
      </w:r>
      <w:r w:rsidR="00C2428D" w:rsidRPr="00644ED5">
        <w:rPr>
          <w:rFonts w:ascii="Book Antiqua" w:hAnsi="Book Antiqua"/>
        </w:rPr>
        <w:t xml:space="preserve"> Rooshi Nathwani</w:t>
      </w:r>
      <w:r w:rsidR="00F91B9F" w:rsidRPr="00644ED5">
        <w:rPr>
          <w:rFonts w:ascii="Book Antiqua" w:hAnsi="Book Antiqua"/>
        </w:rPr>
        <w:t xml:space="preserve"> (0000-0002-5069-7956)</w:t>
      </w:r>
      <w:r w:rsidRPr="00644ED5">
        <w:rPr>
          <w:rFonts w:ascii="Book Antiqua" w:hAnsi="Book Antiqua" w:hint="eastAsia"/>
          <w:lang w:eastAsia="zh-CN"/>
        </w:rPr>
        <w:t>;</w:t>
      </w:r>
      <w:r w:rsidR="00C2428D" w:rsidRPr="00644ED5">
        <w:rPr>
          <w:rFonts w:ascii="Book Antiqua" w:hAnsi="Book Antiqua"/>
        </w:rPr>
        <w:t xml:space="preserve"> Roberta Forlano</w:t>
      </w:r>
      <w:r w:rsidR="00F91B9F" w:rsidRPr="00644ED5">
        <w:rPr>
          <w:rFonts w:ascii="Book Antiqua" w:hAnsi="Book Antiqua"/>
        </w:rPr>
        <w:t xml:space="preserve"> (0000-0003-4746-7065)</w:t>
      </w:r>
      <w:r w:rsidRPr="00644ED5">
        <w:rPr>
          <w:rFonts w:ascii="Book Antiqua" w:hAnsi="Book Antiqua" w:hint="eastAsia"/>
          <w:lang w:eastAsia="zh-CN"/>
        </w:rPr>
        <w:t>;</w:t>
      </w:r>
      <w:r w:rsidR="00C2428D" w:rsidRPr="00644ED5">
        <w:rPr>
          <w:rFonts w:ascii="Book Antiqua" w:hAnsi="Book Antiqua"/>
        </w:rPr>
        <w:t xml:space="preserve"> Pinelopi Manousou</w:t>
      </w:r>
      <w:r w:rsidR="00F91B9F" w:rsidRPr="00644ED5">
        <w:rPr>
          <w:rFonts w:ascii="Book Antiqua" w:hAnsi="Book Antiqua"/>
        </w:rPr>
        <w:t xml:space="preserve"> (0000-0002-5363-1565)</w:t>
      </w:r>
      <w:r w:rsidRPr="00644ED5">
        <w:rPr>
          <w:rFonts w:ascii="Book Antiqua" w:hAnsi="Book Antiqua" w:hint="eastAsia"/>
          <w:lang w:eastAsia="zh-CN"/>
        </w:rPr>
        <w:t>;</w:t>
      </w:r>
      <w:r w:rsidR="00C2428D" w:rsidRPr="00644ED5">
        <w:rPr>
          <w:rFonts w:ascii="Book Antiqua" w:hAnsi="Book Antiqua"/>
        </w:rPr>
        <w:t xml:space="preserve"> Benjamin H Mullish</w:t>
      </w:r>
      <w:r w:rsidR="00F91B9F" w:rsidRPr="00644ED5">
        <w:rPr>
          <w:rFonts w:ascii="Book Antiqua" w:hAnsi="Book Antiqua"/>
        </w:rPr>
        <w:t xml:space="preserve"> (0000-0001-6300-3100)</w:t>
      </w:r>
      <w:r w:rsidRPr="00644ED5">
        <w:rPr>
          <w:rFonts w:ascii="Book Antiqua" w:hAnsi="Book Antiqua" w:hint="eastAsia"/>
          <w:lang w:eastAsia="zh-CN"/>
        </w:rPr>
        <w:t>;</w:t>
      </w:r>
      <w:r w:rsidR="00C2428D" w:rsidRPr="00644ED5">
        <w:rPr>
          <w:rFonts w:ascii="Book Antiqua" w:hAnsi="Book Antiqua"/>
        </w:rPr>
        <w:t xml:space="preserve"> Ameet Dhar</w:t>
      </w:r>
      <w:r w:rsidR="00F91B9F" w:rsidRPr="00644ED5">
        <w:rPr>
          <w:rFonts w:ascii="Book Antiqua" w:hAnsi="Book Antiqua"/>
        </w:rPr>
        <w:t xml:space="preserve"> (0000-0003-1349-4620)</w:t>
      </w:r>
      <w:r w:rsidRPr="00644ED5">
        <w:rPr>
          <w:rFonts w:ascii="Book Antiqua" w:hAnsi="Book Antiqua" w:hint="eastAsia"/>
          <w:lang w:eastAsia="zh-CN"/>
        </w:rPr>
        <w:t>.</w:t>
      </w:r>
    </w:p>
    <w:p w14:paraId="54E1A48D" w14:textId="7C8AF6F9" w:rsidR="00F93EC0" w:rsidRPr="00644ED5" w:rsidRDefault="00F93EC0" w:rsidP="00667231">
      <w:pPr>
        <w:spacing w:line="360" w:lineRule="auto"/>
        <w:rPr>
          <w:rFonts w:ascii="Book Antiqua" w:hAnsi="Book Antiqua"/>
          <w:b/>
        </w:rPr>
      </w:pPr>
    </w:p>
    <w:p w14:paraId="6BC280F0" w14:textId="2B17C424" w:rsidR="00F93EC0" w:rsidRPr="00644ED5" w:rsidRDefault="00667231" w:rsidP="00667231">
      <w:pPr>
        <w:spacing w:line="360" w:lineRule="auto"/>
        <w:rPr>
          <w:rFonts w:ascii="Book Antiqua" w:hAnsi="Book Antiqua"/>
        </w:rPr>
      </w:pPr>
      <w:r w:rsidRPr="00644ED5">
        <w:rPr>
          <w:rFonts w:ascii="Book Antiqua" w:hAnsi="Book Antiqua"/>
          <w:b/>
        </w:rPr>
        <w:t>Author contributions:</w:t>
      </w:r>
      <w:r w:rsidR="00F93EC0" w:rsidRPr="00644ED5">
        <w:rPr>
          <w:rFonts w:ascii="Book Antiqua" w:hAnsi="Book Antiqua"/>
        </w:rPr>
        <w:t xml:space="preserve"> </w:t>
      </w:r>
      <w:r w:rsidRPr="00644ED5">
        <w:rPr>
          <w:rFonts w:ascii="Book Antiqua" w:hAnsi="Book Antiqua"/>
        </w:rPr>
        <w:t xml:space="preserve">Kockerling </w:t>
      </w:r>
      <w:r w:rsidRPr="00644ED5">
        <w:rPr>
          <w:rFonts w:ascii="Book Antiqua" w:hAnsi="Book Antiqua" w:hint="eastAsia"/>
          <w:lang w:eastAsia="zh-CN"/>
        </w:rPr>
        <w:t>D</w:t>
      </w:r>
      <w:r w:rsidR="00F93EC0" w:rsidRPr="00644ED5">
        <w:rPr>
          <w:rFonts w:ascii="Book Antiqua" w:hAnsi="Book Antiqua"/>
        </w:rPr>
        <w:t xml:space="preserve"> and </w:t>
      </w:r>
      <w:r w:rsidRPr="00644ED5">
        <w:rPr>
          <w:rFonts w:ascii="Book Antiqua" w:hAnsi="Book Antiqua"/>
        </w:rPr>
        <w:t>Nathwani R</w:t>
      </w:r>
      <w:r w:rsidR="00F93EC0" w:rsidRPr="00644ED5">
        <w:rPr>
          <w:rFonts w:ascii="Book Antiqua" w:hAnsi="Book Antiqua"/>
        </w:rPr>
        <w:t xml:space="preserve"> performed the literature search and wrote th</w:t>
      </w:r>
      <w:r w:rsidRPr="00644ED5">
        <w:rPr>
          <w:rFonts w:ascii="Book Antiqua" w:hAnsi="Book Antiqua"/>
        </w:rPr>
        <w:t>e first draft of the manuscript</w:t>
      </w:r>
      <w:r w:rsidRPr="00644ED5">
        <w:rPr>
          <w:rFonts w:ascii="Book Antiqua" w:hAnsi="Book Antiqua" w:hint="eastAsia"/>
          <w:lang w:eastAsia="zh-CN"/>
        </w:rPr>
        <w:t>;</w:t>
      </w:r>
      <w:r w:rsidRPr="00644ED5">
        <w:rPr>
          <w:rFonts w:ascii="Book Antiqua" w:hAnsi="Book Antiqua"/>
        </w:rPr>
        <w:t xml:space="preserve"> </w:t>
      </w:r>
      <w:bookmarkStart w:id="4" w:name="OLE_LINK59"/>
      <w:bookmarkStart w:id="5" w:name="OLE_LINK60"/>
      <w:r w:rsidRPr="00644ED5">
        <w:rPr>
          <w:rFonts w:ascii="Book Antiqua" w:hAnsi="Book Antiqua"/>
        </w:rPr>
        <w:t>Mullish BH</w:t>
      </w:r>
      <w:bookmarkEnd w:id="4"/>
      <w:bookmarkEnd w:id="5"/>
      <w:r w:rsidR="00F93EC0" w:rsidRPr="00644ED5">
        <w:rPr>
          <w:rFonts w:ascii="Book Antiqua" w:hAnsi="Book Antiqua"/>
        </w:rPr>
        <w:t xml:space="preserve">, </w:t>
      </w:r>
      <w:r w:rsidRPr="00644ED5">
        <w:rPr>
          <w:rFonts w:ascii="Book Antiqua" w:hAnsi="Book Antiqua"/>
        </w:rPr>
        <w:t>Manousou P</w:t>
      </w:r>
      <w:r w:rsidR="00F93EC0" w:rsidRPr="00644ED5">
        <w:rPr>
          <w:rFonts w:ascii="Book Antiqua" w:hAnsi="Book Antiqua"/>
        </w:rPr>
        <w:t xml:space="preserve">, </w:t>
      </w:r>
      <w:r w:rsidRPr="00644ED5">
        <w:rPr>
          <w:rFonts w:ascii="Book Antiqua" w:hAnsi="Book Antiqua"/>
        </w:rPr>
        <w:t>Forlano R</w:t>
      </w:r>
      <w:r w:rsidR="00F93EC0" w:rsidRPr="00644ED5">
        <w:rPr>
          <w:rFonts w:ascii="Book Antiqua" w:hAnsi="Book Antiqua"/>
        </w:rPr>
        <w:t xml:space="preserve"> and </w:t>
      </w:r>
      <w:r w:rsidRPr="00644ED5">
        <w:rPr>
          <w:rFonts w:ascii="Book Antiqua" w:hAnsi="Book Antiqua"/>
        </w:rPr>
        <w:t>Dhar A</w:t>
      </w:r>
      <w:r w:rsidR="00F93EC0" w:rsidRPr="00644ED5">
        <w:rPr>
          <w:rFonts w:ascii="Book Antiqua" w:hAnsi="Book Antiqua"/>
        </w:rPr>
        <w:t xml:space="preserve"> provided critical review of the first draft and contr</w:t>
      </w:r>
      <w:r w:rsidRPr="00644ED5">
        <w:rPr>
          <w:rFonts w:ascii="Book Antiqua" w:hAnsi="Book Antiqua"/>
        </w:rPr>
        <w:t>ibuted to amendment of the text</w:t>
      </w:r>
      <w:r w:rsidRPr="00644ED5">
        <w:rPr>
          <w:rFonts w:ascii="Book Antiqua" w:hAnsi="Book Antiqua" w:hint="eastAsia"/>
          <w:lang w:eastAsia="zh-CN"/>
        </w:rPr>
        <w:t>;</w:t>
      </w:r>
      <w:r w:rsidRPr="00644ED5">
        <w:rPr>
          <w:rFonts w:ascii="Book Antiqua" w:hAnsi="Book Antiqua"/>
        </w:rPr>
        <w:t xml:space="preserve"> a</w:t>
      </w:r>
      <w:r w:rsidR="00F93EC0" w:rsidRPr="00644ED5">
        <w:rPr>
          <w:rFonts w:ascii="Book Antiqua" w:hAnsi="Book Antiqua"/>
        </w:rPr>
        <w:t>ll authors contributed to and approved the final submission.</w:t>
      </w:r>
    </w:p>
    <w:p w14:paraId="1CB6F9DB" w14:textId="484395F5" w:rsidR="00C2428D" w:rsidRPr="00644ED5" w:rsidRDefault="00C2428D" w:rsidP="00667231">
      <w:pPr>
        <w:spacing w:line="360" w:lineRule="auto"/>
        <w:rPr>
          <w:rFonts w:ascii="Book Antiqua" w:hAnsi="Book Antiqua"/>
        </w:rPr>
      </w:pPr>
    </w:p>
    <w:p w14:paraId="24EF1CC9" w14:textId="5CAE69FA" w:rsidR="00C2428D" w:rsidRPr="00644ED5" w:rsidRDefault="008E7285" w:rsidP="00667231">
      <w:pPr>
        <w:spacing w:line="360" w:lineRule="auto"/>
        <w:rPr>
          <w:rFonts w:ascii="Book Antiqua" w:hAnsi="Book Antiqua" w:cs="Arial"/>
          <w:b/>
          <w:color w:val="000000" w:themeColor="text1"/>
        </w:rPr>
      </w:pPr>
      <w:r w:rsidRPr="00644ED5">
        <w:rPr>
          <w:rFonts w:ascii="Book Antiqua" w:hAnsi="Book Antiqua" w:cs="Arial"/>
          <w:b/>
          <w:color w:val="000000" w:themeColor="text1"/>
        </w:rPr>
        <w:t>Supported by</w:t>
      </w:r>
      <w:r w:rsidR="00667231" w:rsidRPr="00644ED5">
        <w:rPr>
          <w:rFonts w:ascii="Book Antiqua" w:hAnsi="Book Antiqua" w:cs="Arial"/>
          <w:b/>
          <w:color w:val="000000" w:themeColor="text1"/>
        </w:rPr>
        <w:t xml:space="preserve"> </w:t>
      </w:r>
      <w:r w:rsidR="00C2428D" w:rsidRPr="00644ED5">
        <w:rPr>
          <w:rFonts w:ascii="Book Antiqua" w:eastAsia="Times New Roman" w:hAnsi="Book Antiqua" w:cs="Arial"/>
          <w:color w:val="000000" w:themeColor="text1"/>
          <w:shd w:val="clear" w:color="auto" w:fill="FFFFFF"/>
        </w:rPr>
        <w:t xml:space="preserve">The Division of Integrative Systems Medicine and Digestive Disease at Imperial College London receives financial support from the National Institute for Health Research (NIHR) Imperial Biomedical Research Centre (BRC) based at Imperial College Healthcare NHS Trust and Imperial College London.  This article is independently funded by the NIHR BRC, and the views expressed in this publication are those of the authors and not necessarily those of the NHS, NIHR, or the </w:t>
      </w:r>
      <w:r w:rsidR="00C2428D" w:rsidRPr="00644ED5">
        <w:rPr>
          <w:rFonts w:ascii="Book Antiqua" w:eastAsia="Times New Roman" w:hAnsi="Book Antiqua" w:cs="Arial"/>
          <w:color w:val="000000" w:themeColor="text1"/>
          <w:shd w:val="clear" w:color="auto" w:fill="FFFFFF"/>
        </w:rPr>
        <w:lastRenderedPageBreak/>
        <w:t>Department of Health.</w:t>
      </w:r>
      <w:r w:rsidR="00667231" w:rsidRPr="00644ED5">
        <w:rPr>
          <w:rFonts w:ascii="Book Antiqua" w:eastAsia="Times New Roman" w:hAnsi="Book Antiqua" w:cs="Arial"/>
          <w:color w:val="000000" w:themeColor="text1"/>
        </w:rPr>
        <w:t xml:space="preserve"> </w:t>
      </w:r>
      <w:r w:rsidR="00667231" w:rsidRPr="00644ED5">
        <w:rPr>
          <w:rFonts w:ascii="Book Antiqua" w:hAnsi="Book Antiqua"/>
        </w:rPr>
        <w:t>Mullish BH</w:t>
      </w:r>
      <w:r w:rsidR="00C2428D" w:rsidRPr="00644ED5">
        <w:rPr>
          <w:rFonts w:ascii="Book Antiqua" w:hAnsi="Book Antiqua" w:cs="Arial"/>
          <w:color w:val="000000" w:themeColor="text1"/>
        </w:rPr>
        <w:t xml:space="preserve"> is the recipient of a Medical Research Council Clinical Research Training Fellowship (grant number: MR/R00875/1).  RF is the recipient of the EASL Juan Rodes PhD fellowship.</w:t>
      </w:r>
      <w:r w:rsidR="00C2428D" w:rsidRPr="00644ED5">
        <w:rPr>
          <w:rFonts w:ascii="Book Antiqua" w:hAnsi="Book Antiqua" w:cs="Arial"/>
          <w:b/>
          <w:color w:val="000000" w:themeColor="text1"/>
        </w:rPr>
        <w:t xml:space="preserve">  </w:t>
      </w:r>
    </w:p>
    <w:p w14:paraId="796767D3" w14:textId="74F74A9D" w:rsidR="002609AF" w:rsidRPr="00644ED5" w:rsidRDefault="002609AF" w:rsidP="00667231">
      <w:pPr>
        <w:spacing w:line="360" w:lineRule="auto"/>
        <w:rPr>
          <w:rFonts w:ascii="Book Antiqua" w:eastAsia="Times New Roman" w:hAnsi="Book Antiqua" w:cs="Arial"/>
          <w:color w:val="000000" w:themeColor="text1"/>
        </w:rPr>
      </w:pPr>
    </w:p>
    <w:p w14:paraId="6C4FD2F2" w14:textId="233CD9F7" w:rsidR="002609AF" w:rsidRPr="00644ED5" w:rsidRDefault="00667231" w:rsidP="00667231">
      <w:pPr>
        <w:spacing w:line="360" w:lineRule="auto"/>
        <w:rPr>
          <w:rFonts w:ascii="Book Antiqua" w:hAnsi="Book Antiqua"/>
          <w:b/>
          <w:lang w:eastAsia="zh-CN"/>
        </w:rPr>
      </w:pPr>
      <w:r w:rsidRPr="00644ED5">
        <w:rPr>
          <w:rFonts w:ascii="Book Antiqua" w:hAnsi="Book Antiqua"/>
          <w:b/>
          <w:color w:val="000000"/>
        </w:rPr>
        <w:t>Conflict-of-interest statement</w:t>
      </w:r>
      <w:r w:rsidRPr="00644ED5">
        <w:rPr>
          <w:rFonts w:ascii="Book Antiqua" w:hAnsi="Book Antiqua"/>
          <w:b/>
        </w:rPr>
        <w:t>:</w:t>
      </w:r>
      <w:r w:rsidR="002609AF" w:rsidRPr="00644ED5">
        <w:rPr>
          <w:rFonts w:ascii="Book Antiqua" w:hAnsi="Book Antiqua"/>
          <w:b/>
        </w:rPr>
        <w:t xml:space="preserve"> </w:t>
      </w:r>
      <w:r w:rsidR="002609AF" w:rsidRPr="00644ED5">
        <w:rPr>
          <w:rFonts w:ascii="Book Antiqua" w:hAnsi="Book Antiqua"/>
        </w:rPr>
        <w:t>None declared for all authors.</w:t>
      </w:r>
      <w:r w:rsidRPr="00644ED5">
        <w:rPr>
          <w:rFonts w:ascii="Book Antiqua" w:hAnsi="Book Antiqua"/>
          <w:b/>
        </w:rPr>
        <w:t xml:space="preserve"> </w:t>
      </w:r>
    </w:p>
    <w:p w14:paraId="34D62C06" w14:textId="77777777" w:rsidR="002609AF" w:rsidRPr="00644ED5" w:rsidRDefault="002609AF" w:rsidP="00667231">
      <w:pPr>
        <w:spacing w:line="360" w:lineRule="auto"/>
        <w:rPr>
          <w:rFonts w:ascii="Book Antiqua" w:hAnsi="Book Antiqua"/>
          <w:b/>
        </w:rPr>
      </w:pPr>
    </w:p>
    <w:p w14:paraId="4E808D20" w14:textId="75B8E37A" w:rsidR="002609AF" w:rsidRPr="00644ED5" w:rsidRDefault="002609AF" w:rsidP="00667231">
      <w:pPr>
        <w:spacing w:line="360" w:lineRule="auto"/>
        <w:rPr>
          <w:rFonts w:ascii="Book Antiqua" w:eastAsia="Times New Roman" w:hAnsi="Book Antiqua" w:cs="Arial"/>
          <w:color w:val="000000" w:themeColor="text1"/>
        </w:rPr>
      </w:pPr>
      <w:r w:rsidRPr="00644ED5">
        <w:rPr>
          <w:rFonts w:ascii="Book Antiqua" w:eastAsia="Times New Roman" w:hAnsi="Book Antiqua" w:cs="Arial"/>
          <w:b/>
          <w:color w:val="000000" w:themeColor="text1"/>
        </w:rPr>
        <w:t>Open-Access</w:t>
      </w:r>
      <w:r w:rsidRPr="00644ED5">
        <w:rPr>
          <w:rFonts w:ascii="Book Antiqua" w:eastAsia="Times New Roman" w:hAnsi="Book Antiqua" w:cs="Arial"/>
          <w:color w:val="000000" w:themeColor="text1"/>
        </w:rPr>
        <w:t>: This article is an open-access article which was selected by an in-house</w:t>
      </w:r>
    </w:p>
    <w:p w14:paraId="0D0BFBEE" w14:textId="3274B73E" w:rsidR="00F91B9F" w:rsidRPr="00644ED5" w:rsidRDefault="002609AF" w:rsidP="00667231">
      <w:pPr>
        <w:spacing w:line="360" w:lineRule="auto"/>
        <w:rPr>
          <w:rFonts w:ascii="Book Antiqua" w:hAnsi="Book Antiqua" w:cs="Arial"/>
          <w:color w:val="000000" w:themeColor="text1"/>
          <w:lang w:eastAsia="zh-CN"/>
        </w:rPr>
      </w:pPr>
      <w:r w:rsidRPr="00644ED5">
        <w:rPr>
          <w:rFonts w:ascii="Book Antiqua" w:eastAsia="Times New Roman" w:hAnsi="Book Antiqua" w:cs="Arial"/>
          <w:color w:val="000000" w:themeColor="text1"/>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Pr="00644ED5">
        <w:rPr>
          <w:rFonts w:ascii="Book Antiqua" w:eastAsia="Times New Roman" w:hAnsi="Book Antiqua" w:cs="Arial"/>
          <w:color w:val="000000" w:themeColor="text1"/>
        </w:rPr>
        <w:cr/>
      </w:r>
    </w:p>
    <w:p w14:paraId="043C6456" w14:textId="298ADDDD" w:rsidR="00667231" w:rsidRPr="00644ED5" w:rsidRDefault="00667231" w:rsidP="00667231">
      <w:pPr>
        <w:spacing w:line="360" w:lineRule="auto"/>
        <w:rPr>
          <w:rFonts w:ascii="Book Antiqua" w:hAnsi="Book Antiqua" w:cs="Arial"/>
          <w:color w:val="000000" w:themeColor="text1"/>
          <w:lang w:eastAsia="zh-CN"/>
        </w:rPr>
      </w:pPr>
      <w:r w:rsidRPr="00644ED5">
        <w:rPr>
          <w:rFonts w:ascii="Book Antiqua" w:hAnsi="Book Antiqua" w:cs="Arial"/>
          <w:b/>
          <w:color w:val="000000" w:themeColor="text1"/>
          <w:lang w:eastAsia="zh-CN"/>
        </w:rPr>
        <w:t>M</w:t>
      </w:r>
      <w:r w:rsidRPr="00644ED5">
        <w:rPr>
          <w:rFonts w:ascii="Book Antiqua" w:hAnsi="Book Antiqua" w:cs="Arial" w:hint="eastAsia"/>
          <w:b/>
          <w:color w:val="000000" w:themeColor="text1"/>
          <w:lang w:eastAsia="zh-CN"/>
        </w:rPr>
        <w:t>anuscript source:</w:t>
      </w:r>
      <w:r w:rsidRPr="00644ED5">
        <w:rPr>
          <w:rFonts w:ascii="Book Antiqua" w:hAnsi="Book Antiqua" w:cs="Arial" w:hint="eastAsia"/>
          <w:color w:val="000000" w:themeColor="text1"/>
          <w:lang w:eastAsia="zh-CN"/>
        </w:rPr>
        <w:t xml:space="preserve"> </w:t>
      </w:r>
      <w:r w:rsidRPr="00644ED5">
        <w:rPr>
          <w:rFonts w:ascii="Book Antiqua" w:hAnsi="Book Antiqua" w:cs="Arial"/>
          <w:color w:val="000000" w:themeColor="text1"/>
          <w:lang w:eastAsia="zh-CN"/>
        </w:rPr>
        <w:t>Unsolicited manuscript</w:t>
      </w:r>
    </w:p>
    <w:p w14:paraId="4F6E3CDA" w14:textId="77777777" w:rsidR="00667231" w:rsidRPr="00644ED5" w:rsidRDefault="00667231" w:rsidP="00667231">
      <w:pPr>
        <w:spacing w:line="360" w:lineRule="auto"/>
        <w:rPr>
          <w:rFonts w:ascii="Book Antiqua" w:hAnsi="Book Antiqua"/>
          <w:lang w:eastAsia="zh-CN"/>
        </w:rPr>
      </w:pPr>
    </w:p>
    <w:p w14:paraId="061B205C" w14:textId="4161282D" w:rsidR="00F91B9F" w:rsidRPr="00644ED5" w:rsidRDefault="00C2428D" w:rsidP="00667231">
      <w:pPr>
        <w:spacing w:line="360" w:lineRule="auto"/>
        <w:rPr>
          <w:rFonts w:ascii="Book Antiqua" w:hAnsi="Book Antiqua"/>
        </w:rPr>
      </w:pPr>
      <w:r w:rsidRPr="00644ED5">
        <w:rPr>
          <w:rFonts w:ascii="Book Antiqua" w:hAnsi="Book Antiqua"/>
          <w:b/>
        </w:rPr>
        <w:t>Correspo</w:t>
      </w:r>
      <w:r w:rsidR="00667231" w:rsidRPr="00644ED5">
        <w:rPr>
          <w:rFonts w:ascii="Book Antiqua" w:hAnsi="Book Antiqua"/>
          <w:b/>
        </w:rPr>
        <w:t>nd</w:t>
      </w:r>
      <w:r w:rsidR="00667231" w:rsidRPr="00644ED5">
        <w:rPr>
          <w:rFonts w:ascii="Book Antiqua" w:hAnsi="Book Antiqua" w:hint="eastAsia"/>
          <w:b/>
          <w:lang w:eastAsia="zh-CN"/>
        </w:rPr>
        <w:t>ing author</w:t>
      </w:r>
      <w:r w:rsidRPr="00644ED5">
        <w:rPr>
          <w:rFonts w:ascii="Book Antiqua" w:hAnsi="Book Antiqua"/>
          <w:b/>
        </w:rPr>
        <w:t xml:space="preserve">: Ameet Dhar, </w:t>
      </w:r>
      <w:r w:rsidR="00667231" w:rsidRPr="00644ED5">
        <w:rPr>
          <w:rFonts w:ascii="Book Antiqua" w:hAnsi="Book Antiqua"/>
          <w:b/>
        </w:rPr>
        <w:t>BSc, MBBS, MRCP, PhD, Attending Doctor,</w:t>
      </w:r>
      <w:r w:rsidRPr="00644ED5">
        <w:rPr>
          <w:rFonts w:ascii="Book Antiqua" w:hAnsi="Book Antiqua"/>
          <w:b/>
        </w:rPr>
        <w:t xml:space="preserve"> </w:t>
      </w:r>
      <w:bookmarkStart w:id="6" w:name="OLE_LINK349"/>
      <w:bookmarkStart w:id="7" w:name="OLE_LINK350"/>
      <w:r w:rsidR="00667231" w:rsidRPr="00644ED5">
        <w:rPr>
          <w:rFonts w:ascii="Book Antiqua" w:hAnsi="Book Antiqua"/>
        </w:rPr>
        <w:t>Liver Unit/Division of Integrative Systems Medicine and Digestive Disease</w:t>
      </w:r>
      <w:bookmarkEnd w:id="6"/>
      <w:bookmarkEnd w:id="7"/>
      <w:r w:rsidR="00667231" w:rsidRPr="00644ED5">
        <w:rPr>
          <w:rFonts w:ascii="Book Antiqua" w:hAnsi="Book Antiqua"/>
        </w:rPr>
        <w:t xml:space="preserve">, </w:t>
      </w:r>
      <w:bookmarkStart w:id="8" w:name="OLE_LINK351"/>
      <w:bookmarkStart w:id="9" w:name="OLE_LINK352"/>
      <w:r w:rsidR="00667231" w:rsidRPr="00644ED5">
        <w:rPr>
          <w:rFonts w:ascii="Book Antiqua" w:hAnsi="Book Antiqua"/>
        </w:rPr>
        <w:t>Imperial College London</w:t>
      </w:r>
      <w:bookmarkEnd w:id="8"/>
      <w:bookmarkEnd w:id="9"/>
      <w:r w:rsidR="00667231" w:rsidRPr="00644ED5">
        <w:rPr>
          <w:rFonts w:ascii="Book Antiqua" w:hAnsi="Book Antiqua"/>
        </w:rPr>
        <w:t xml:space="preserve">, </w:t>
      </w:r>
      <w:bookmarkStart w:id="10" w:name="OLE_LINK353"/>
      <w:bookmarkStart w:id="11" w:name="OLE_LINK354"/>
      <w:r w:rsidR="00F91B9F" w:rsidRPr="00644ED5">
        <w:rPr>
          <w:rFonts w:ascii="Book Antiqua" w:hAnsi="Book Antiqua"/>
        </w:rPr>
        <w:t>10th Floor, QEQM Wing, St Mary’s Hospital Campus, South</w:t>
      </w:r>
      <w:r w:rsidR="00667231" w:rsidRPr="00644ED5">
        <w:rPr>
          <w:rFonts w:ascii="Book Antiqua" w:hAnsi="Book Antiqua"/>
        </w:rPr>
        <w:t xml:space="preserve"> Wharf Road, Paddington</w:t>
      </w:r>
      <w:bookmarkEnd w:id="10"/>
      <w:bookmarkEnd w:id="11"/>
      <w:r w:rsidR="00667231" w:rsidRPr="00644ED5">
        <w:rPr>
          <w:rFonts w:ascii="Book Antiqua" w:hAnsi="Book Antiqua"/>
        </w:rPr>
        <w:t>, London</w:t>
      </w:r>
      <w:r w:rsidR="00F91B9F" w:rsidRPr="00644ED5">
        <w:rPr>
          <w:rFonts w:ascii="Book Antiqua" w:hAnsi="Book Antiqua"/>
        </w:rPr>
        <w:t xml:space="preserve"> W2 1NY, United Kingdom. a.dhar@imperial.ac.uk</w:t>
      </w:r>
    </w:p>
    <w:p w14:paraId="668CD00B" w14:textId="3021DCEB" w:rsidR="00F91B9F" w:rsidRPr="00644ED5" w:rsidRDefault="00667231" w:rsidP="00667231">
      <w:pPr>
        <w:spacing w:line="360" w:lineRule="auto"/>
        <w:rPr>
          <w:rFonts w:ascii="Book Antiqua" w:hAnsi="Book Antiqua"/>
        </w:rPr>
      </w:pPr>
      <w:r w:rsidRPr="00644ED5">
        <w:rPr>
          <w:rFonts w:ascii="Book Antiqua" w:hAnsi="Book Antiqua"/>
          <w:b/>
        </w:rPr>
        <w:t>Telephone:</w:t>
      </w:r>
      <w:r w:rsidRPr="00644ED5">
        <w:rPr>
          <w:rFonts w:ascii="Book Antiqua" w:hAnsi="Book Antiqua" w:hint="eastAsia"/>
          <w:b/>
          <w:lang w:eastAsia="zh-CN"/>
        </w:rPr>
        <w:t xml:space="preserve"> </w:t>
      </w:r>
      <w:r w:rsidR="00F91B9F" w:rsidRPr="00644ED5">
        <w:rPr>
          <w:rFonts w:ascii="Book Antiqua" w:hAnsi="Book Antiqua"/>
        </w:rPr>
        <w:t>+44</w:t>
      </w:r>
      <w:r w:rsidRPr="00644ED5">
        <w:rPr>
          <w:rFonts w:ascii="Book Antiqua" w:hAnsi="Book Antiqua" w:hint="eastAsia"/>
          <w:lang w:eastAsia="zh-CN"/>
        </w:rPr>
        <w:t>-</w:t>
      </w:r>
      <w:r w:rsidRPr="00644ED5">
        <w:rPr>
          <w:rFonts w:ascii="Book Antiqua" w:hAnsi="Book Antiqua"/>
        </w:rPr>
        <w:t>20</w:t>
      </w:r>
      <w:r w:rsidR="00B75BC2" w:rsidRPr="00644ED5">
        <w:rPr>
          <w:rFonts w:ascii="Book Antiqua" w:hAnsi="Book Antiqua" w:hint="eastAsia"/>
          <w:lang w:eastAsia="zh-CN"/>
        </w:rPr>
        <w:t>-</w:t>
      </w:r>
      <w:r w:rsidRPr="00644ED5">
        <w:rPr>
          <w:rFonts w:ascii="Book Antiqua" w:hAnsi="Book Antiqua"/>
        </w:rPr>
        <w:t>3312</w:t>
      </w:r>
      <w:r w:rsidR="00F91B9F" w:rsidRPr="00644ED5">
        <w:rPr>
          <w:rFonts w:ascii="Book Antiqua" w:hAnsi="Book Antiqua"/>
        </w:rPr>
        <w:t>6454</w:t>
      </w:r>
    </w:p>
    <w:p w14:paraId="27B25187" w14:textId="1E24E16A" w:rsidR="00AD4286" w:rsidRPr="00644ED5" w:rsidRDefault="00667231" w:rsidP="00667231">
      <w:pPr>
        <w:spacing w:line="360" w:lineRule="auto"/>
        <w:rPr>
          <w:rFonts w:ascii="Book Antiqua" w:hAnsi="Book Antiqua"/>
          <w:b/>
        </w:rPr>
      </w:pPr>
      <w:r w:rsidRPr="00644ED5">
        <w:rPr>
          <w:rFonts w:ascii="Book Antiqua" w:hAnsi="Book Antiqua"/>
          <w:b/>
        </w:rPr>
        <w:t>Fax:</w:t>
      </w:r>
      <w:r w:rsidRPr="00644ED5">
        <w:rPr>
          <w:rFonts w:ascii="Book Antiqua" w:hAnsi="Book Antiqua" w:hint="eastAsia"/>
          <w:b/>
          <w:lang w:eastAsia="zh-CN"/>
        </w:rPr>
        <w:t xml:space="preserve"> </w:t>
      </w:r>
      <w:r w:rsidRPr="00644ED5">
        <w:rPr>
          <w:rFonts w:ascii="Book Antiqua" w:hAnsi="Book Antiqua"/>
        </w:rPr>
        <w:t>+44</w:t>
      </w:r>
      <w:r w:rsidRPr="00644ED5">
        <w:rPr>
          <w:rFonts w:ascii="Book Antiqua" w:hAnsi="Book Antiqua" w:hint="eastAsia"/>
          <w:lang w:eastAsia="zh-CN"/>
        </w:rPr>
        <w:t>-</w:t>
      </w:r>
      <w:r w:rsidRPr="00644ED5">
        <w:rPr>
          <w:rFonts w:ascii="Book Antiqua" w:hAnsi="Book Antiqua"/>
        </w:rPr>
        <w:t>20</w:t>
      </w:r>
      <w:r w:rsidR="00B75BC2" w:rsidRPr="00644ED5">
        <w:rPr>
          <w:rFonts w:ascii="Book Antiqua" w:hAnsi="Book Antiqua" w:hint="eastAsia"/>
          <w:lang w:eastAsia="zh-CN"/>
        </w:rPr>
        <w:t>-</w:t>
      </w:r>
      <w:r w:rsidRPr="00644ED5">
        <w:rPr>
          <w:rFonts w:ascii="Book Antiqua" w:hAnsi="Book Antiqua"/>
        </w:rPr>
        <w:t>7</w:t>
      </w:r>
      <w:r w:rsidR="00F91B9F" w:rsidRPr="00644ED5">
        <w:rPr>
          <w:rFonts w:ascii="Book Antiqua" w:hAnsi="Book Antiqua"/>
        </w:rPr>
        <w:t>7249369</w:t>
      </w:r>
    </w:p>
    <w:p w14:paraId="59B630A2" w14:textId="77777777" w:rsidR="00F91B9F" w:rsidRPr="00644ED5" w:rsidRDefault="00F91B9F" w:rsidP="00667231">
      <w:pPr>
        <w:spacing w:line="360" w:lineRule="auto"/>
        <w:rPr>
          <w:rFonts w:ascii="Book Antiqua" w:hAnsi="Book Antiqua" w:cs="Arial"/>
          <w:b/>
          <w:color w:val="000000" w:themeColor="text1"/>
        </w:rPr>
      </w:pPr>
    </w:p>
    <w:p w14:paraId="02E10EFD" w14:textId="614DE921" w:rsidR="00667231" w:rsidRPr="00644ED5" w:rsidRDefault="00667231" w:rsidP="00667231">
      <w:pPr>
        <w:spacing w:line="360" w:lineRule="auto"/>
        <w:rPr>
          <w:rFonts w:ascii="Book Antiqua" w:hAnsi="Book Antiqua"/>
          <w:b/>
          <w:lang w:eastAsia="zh-CN"/>
        </w:rPr>
      </w:pPr>
      <w:bookmarkStart w:id="12" w:name="OLE_LINK75"/>
      <w:bookmarkStart w:id="13" w:name="OLE_LINK76"/>
      <w:bookmarkStart w:id="14" w:name="OLE_LINK269"/>
      <w:r w:rsidRPr="00644ED5">
        <w:rPr>
          <w:rFonts w:ascii="Book Antiqua" w:hAnsi="Book Antiqua"/>
          <w:b/>
        </w:rPr>
        <w:t xml:space="preserve">Received: </w:t>
      </w:r>
      <w:r w:rsidRPr="00644ED5">
        <w:rPr>
          <w:rFonts w:ascii="Book Antiqua" w:hAnsi="Book Antiqua" w:hint="eastAsia"/>
          <w:lang w:eastAsia="zh-CN"/>
        </w:rPr>
        <w:t>December</w:t>
      </w:r>
      <w:r w:rsidRPr="00644ED5">
        <w:rPr>
          <w:rFonts w:ascii="Book Antiqua" w:hAnsi="Book Antiqua"/>
        </w:rPr>
        <w:t xml:space="preserve"> </w:t>
      </w:r>
      <w:r w:rsidRPr="00644ED5">
        <w:rPr>
          <w:rFonts w:ascii="Book Antiqua" w:hAnsi="Book Antiqua" w:hint="eastAsia"/>
          <w:lang w:eastAsia="zh-CN"/>
        </w:rPr>
        <w:t>7</w:t>
      </w:r>
      <w:r w:rsidRPr="00644ED5">
        <w:rPr>
          <w:rFonts w:ascii="Book Antiqua" w:hAnsi="Book Antiqua"/>
        </w:rPr>
        <w:t>, 201</w:t>
      </w:r>
      <w:r w:rsidRPr="00644ED5">
        <w:rPr>
          <w:rFonts w:ascii="Book Antiqua" w:hAnsi="Book Antiqua" w:hint="eastAsia"/>
          <w:lang w:eastAsia="zh-CN"/>
        </w:rPr>
        <w:t>8</w:t>
      </w:r>
    </w:p>
    <w:p w14:paraId="0F08AB86" w14:textId="54422B91" w:rsidR="00667231" w:rsidRPr="00644ED5" w:rsidRDefault="00667231" w:rsidP="00667231">
      <w:pPr>
        <w:spacing w:line="360" w:lineRule="auto"/>
        <w:rPr>
          <w:rFonts w:ascii="Book Antiqua" w:hAnsi="Book Antiqua"/>
          <w:b/>
        </w:rPr>
      </w:pPr>
      <w:r w:rsidRPr="00644ED5">
        <w:rPr>
          <w:rFonts w:ascii="Book Antiqua" w:hAnsi="Book Antiqua"/>
          <w:b/>
        </w:rPr>
        <w:t xml:space="preserve">Peer-review started: </w:t>
      </w:r>
      <w:r w:rsidRPr="00644ED5">
        <w:rPr>
          <w:rFonts w:ascii="Book Antiqua" w:hAnsi="Book Antiqua" w:hint="eastAsia"/>
          <w:lang w:eastAsia="zh-CN"/>
        </w:rPr>
        <w:t>December</w:t>
      </w:r>
      <w:r w:rsidRPr="00644ED5">
        <w:rPr>
          <w:rFonts w:ascii="Book Antiqua" w:hAnsi="Book Antiqua"/>
        </w:rPr>
        <w:t xml:space="preserve"> </w:t>
      </w:r>
      <w:r w:rsidRPr="00644ED5">
        <w:rPr>
          <w:rFonts w:ascii="Book Antiqua" w:hAnsi="Book Antiqua" w:hint="eastAsia"/>
          <w:lang w:eastAsia="zh-CN"/>
        </w:rPr>
        <w:t>9</w:t>
      </w:r>
      <w:r w:rsidRPr="00644ED5">
        <w:rPr>
          <w:rFonts w:ascii="Book Antiqua" w:hAnsi="Book Antiqua"/>
        </w:rPr>
        <w:t>, 201</w:t>
      </w:r>
      <w:r w:rsidRPr="00644ED5">
        <w:rPr>
          <w:rFonts w:ascii="Book Antiqua" w:hAnsi="Book Antiqua" w:hint="eastAsia"/>
          <w:lang w:eastAsia="zh-CN"/>
        </w:rPr>
        <w:t>8</w:t>
      </w:r>
    </w:p>
    <w:p w14:paraId="5AA8DC38" w14:textId="480C6B7C" w:rsidR="00667231" w:rsidRPr="00644ED5" w:rsidRDefault="00667231" w:rsidP="00667231">
      <w:pPr>
        <w:spacing w:line="360" w:lineRule="auto"/>
        <w:rPr>
          <w:rFonts w:ascii="Book Antiqua" w:hAnsi="Book Antiqua"/>
          <w:b/>
        </w:rPr>
      </w:pPr>
      <w:r w:rsidRPr="00644ED5">
        <w:rPr>
          <w:rFonts w:ascii="Book Antiqua" w:hAnsi="Book Antiqua"/>
          <w:b/>
        </w:rPr>
        <w:t xml:space="preserve">First decision: </w:t>
      </w:r>
      <w:r w:rsidRPr="00644ED5">
        <w:rPr>
          <w:rFonts w:ascii="Book Antiqua" w:hAnsi="Book Antiqua" w:hint="eastAsia"/>
          <w:lang w:eastAsia="zh-CN"/>
        </w:rPr>
        <w:t>January</w:t>
      </w:r>
      <w:r w:rsidRPr="00644ED5">
        <w:rPr>
          <w:rFonts w:ascii="Book Antiqua" w:hAnsi="Book Antiqua"/>
        </w:rPr>
        <w:t xml:space="preserve"> 1</w:t>
      </w:r>
      <w:r w:rsidRPr="00644ED5">
        <w:rPr>
          <w:rFonts w:ascii="Book Antiqua" w:hAnsi="Book Antiqua" w:hint="eastAsia"/>
          <w:lang w:eastAsia="zh-CN"/>
        </w:rPr>
        <w:t>1</w:t>
      </w:r>
      <w:r w:rsidRPr="00644ED5">
        <w:rPr>
          <w:rFonts w:ascii="Book Antiqua" w:hAnsi="Book Antiqua"/>
        </w:rPr>
        <w:t>, 2019</w:t>
      </w:r>
    </w:p>
    <w:p w14:paraId="1B152517" w14:textId="6701EA59" w:rsidR="00667231" w:rsidRPr="00644ED5" w:rsidRDefault="00667231" w:rsidP="00667231">
      <w:pPr>
        <w:spacing w:line="360" w:lineRule="auto"/>
        <w:rPr>
          <w:rFonts w:ascii="Book Antiqua" w:hAnsi="Book Antiqua"/>
          <w:b/>
        </w:rPr>
      </w:pPr>
      <w:r w:rsidRPr="00644ED5">
        <w:rPr>
          <w:rFonts w:ascii="Book Antiqua" w:hAnsi="Book Antiqua"/>
          <w:b/>
        </w:rPr>
        <w:t xml:space="preserve">Revised: </w:t>
      </w:r>
      <w:r w:rsidRPr="00644ED5">
        <w:rPr>
          <w:rFonts w:ascii="Book Antiqua" w:hAnsi="Book Antiqua" w:hint="eastAsia"/>
          <w:lang w:eastAsia="zh-CN"/>
        </w:rPr>
        <w:t>January</w:t>
      </w:r>
      <w:r w:rsidRPr="00644ED5">
        <w:rPr>
          <w:rFonts w:ascii="Book Antiqua" w:hAnsi="Book Antiqua"/>
        </w:rPr>
        <w:t xml:space="preserve"> 1</w:t>
      </w:r>
      <w:r w:rsidRPr="00644ED5">
        <w:rPr>
          <w:rFonts w:ascii="Book Antiqua" w:hAnsi="Book Antiqua" w:hint="eastAsia"/>
          <w:lang w:eastAsia="zh-CN"/>
        </w:rPr>
        <w:t>7</w:t>
      </w:r>
      <w:r w:rsidRPr="00644ED5">
        <w:rPr>
          <w:rFonts w:ascii="Book Antiqua" w:hAnsi="Book Antiqua"/>
        </w:rPr>
        <w:t>, 2019</w:t>
      </w:r>
    </w:p>
    <w:p w14:paraId="153CA78B" w14:textId="03C1DF37" w:rsidR="00667231" w:rsidRPr="00644ED5" w:rsidRDefault="00667231" w:rsidP="00667231">
      <w:pPr>
        <w:spacing w:line="360" w:lineRule="auto"/>
        <w:rPr>
          <w:rFonts w:ascii="Book Antiqua" w:hAnsi="Book Antiqua"/>
          <w:color w:val="000000"/>
        </w:rPr>
      </w:pPr>
      <w:r w:rsidRPr="00644ED5">
        <w:rPr>
          <w:rFonts w:ascii="Book Antiqua" w:hAnsi="Book Antiqua"/>
          <w:b/>
        </w:rPr>
        <w:t>Accepted:</w:t>
      </w:r>
      <w:r w:rsidR="00613D35" w:rsidRPr="00644ED5">
        <w:rPr>
          <w:rFonts w:ascii="Book Antiqua" w:hAnsi="Book Antiqua"/>
        </w:rPr>
        <w:t xml:space="preserve"> January 26, 2019</w:t>
      </w:r>
      <w:r w:rsidRPr="00644ED5">
        <w:rPr>
          <w:rFonts w:ascii="Book Antiqua" w:hAnsi="Book Antiqua"/>
          <w:b/>
        </w:rPr>
        <w:t xml:space="preserve"> </w:t>
      </w:r>
    </w:p>
    <w:p w14:paraId="52F43E36" w14:textId="43A923AD" w:rsidR="00667231" w:rsidRPr="00644ED5" w:rsidRDefault="00667231" w:rsidP="00667231">
      <w:pPr>
        <w:spacing w:line="360" w:lineRule="auto"/>
        <w:rPr>
          <w:rFonts w:ascii="Book Antiqua" w:hAnsi="Book Antiqua"/>
          <w:b/>
        </w:rPr>
      </w:pPr>
      <w:r w:rsidRPr="00644ED5">
        <w:rPr>
          <w:rFonts w:ascii="Book Antiqua" w:hAnsi="Book Antiqua"/>
          <w:b/>
        </w:rPr>
        <w:t>Article in press:</w:t>
      </w:r>
      <w:r w:rsidR="008F0C71" w:rsidRPr="00644ED5">
        <w:rPr>
          <w:rFonts w:ascii="Book Antiqua" w:hAnsi="Book Antiqua"/>
        </w:rPr>
        <w:t xml:space="preserve"> January 26, 2019</w:t>
      </w:r>
    </w:p>
    <w:p w14:paraId="567DF5F1" w14:textId="0002D2DD" w:rsidR="00AD4286" w:rsidRPr="00644ED5" w:rsidRDefault="00667231" w:rsidP="00667231">
      <w:pPr>
        <w:spacing w:line="360" w:lineRule="auto"/>
        <w:rPr>
          <w:rFonts w:ascii="Book Antiqua" w:hAnsi="Book Antiqua"/>
          <w:b/>
          <w:lang w:eastAsia="zh-CN"/>
        </w:rPr>
      </w:pPr>
      <w:r w:rsidRPr="00644ED5">
        <w:rPr>
          <w:rFonts w:ascii="Book Antiqua" w:hAnsi="Book Antiqua"/>
          <w:b/>
        </w:rPr>
        <w:t>Published online:</w:t>
      </w:r>
      <w:bookmarkEnd w:id="12"/>
      <w:bookmarkEnd w:id="13"/>
      <w:bookmarkEnd w:id="14"/>
      <w:r w:rsidR="008F0C71" w:rsidRPr="00644ED5">
        <w:rPr>
          <w:rFonts w:ascii="Book Antiqua" w:hAnsi="Book Antiqua"/>
        </w:rPr>
        <w:t xml:space="preserve"> </w:t>
      </w:r>
      <w:r w:rsidR="008F0C71" w:rsidRPr="00644ED5">
        <w:rPr>
          <w:rFonts w:ascii="Book Antiqua" w:hAnsi="Book Antiqua" w:hint="eastAsia"/>
          <w:lang w:eastAsia="zh-CN"/>
        </w:rPr>
        <w:t>February 28</w:t>
      </w:r>
      <w:r w:rsidR="008F0C71" w:rsidRPr="00644ED5">
        <w:rPr>
          <w:rFonts w:ascii="Book Antiqua" w:hAnsi="Book Antiqua"/>
        </w:rPr>
        <w:t>, 2019</w:t>
      </w:r>
    </w:p>
    <w:p w14:paraId="180CF4F4" w14:textId="38B15FDF" w:rsidR="00667231" w:rsidRPr="00644ED5" w:rsidRDefault="00667231">
      <w:pPr>
        <w:jc w:val="left"/>
        <w:rPr>
          <w:rFonts w:ascii="Book Antiqua" w:hAnsi="Book Antiqua"/>
          <w:b/>
        </w:rPr>
      </w:pPr>
      <w:r w:rsidRPr="00644ED5">
        <w:rPr>
          <w:rFonts w:ascii="Book Antiqua" w:hAnsi="Book Antiqua"/>
          <w:b/>
        </w:rPr>
        <w:br w:type="page"/>
      </w:r>
    </w:p>
    <w:p w14:paraId="42CC79AF" w14:textId="243D5F69" w:rsidR="00E16955" w:rsidRPr="00644ED5" w:rsidRDefault="0024362A" w:rsidP="00667231">
      <w:pPr>
        <w:spacing w:line="360" w:lineRule="auto"/>
        <w:rPr>
          <w:rFonts w:ascii="Book Antiqua" w:hAnsi="Book Antiqua"/>
          <w:b/>
        </w:rPr>
      </w:pPr>
      <w:r w:rsidRPr="00644ED5">
        <w:rPr>
          <w:rFonts w:ascii="Book Antiqua" w:hAnsi="Book Antiqua"/>
          <w:b/>
        </w:rPr>
        <w:lastRenderedPageBreak/>
        <w:t>Abstract</w:t>
      </w:r>
      <w:r w:rsidR="00527C48" w:rsidRPr="00644ED5">
        <w:rPr>
          <w:rFonts w:ascii="Book Antiqua" w:hAnsi="Book Antiqua"/>
          <w:b/>
        </w:rPr>
        <w:t xml:space="preserve"> </w:t>
      </w:r>
    </w:p>
    <w:p w14:paraId="4E254936" w14:textId="6EC7BB81" w:rsidR="00527C48" w:rsidRPr="00644ED5" w:rsidRDefault="0024362A" w:rsidP="00667231">
      <w:pPr>
        <w:spacing w:line="360" w:lineRule="auto"/>
        <w:rPr>
          <w:rFonts w:ascii="Book Antiqua" w:hAnsi="Book Antiqua"/>
          <w:lang w:eastAsia="zh-CN"/>
        </w:rPr>
      </w:pPr>
      <w:r w:rsidRPr="00644ED5">
        <w:rPr>
          <w:rFonts w:ascii="Book Antiqua" w:hAnsi="Book Antiqua"/>
        </w:rPr>
        <w:t>Due to the restrictions of liver transplantation, c</w:t>
      </w:r>
      <w:r w:rsidR="00527C48" w:rsidRPr="00644ED5">
        <w:rPr>
          <w:rFonts w:ascii="Book Antiqua" w:hAnsi="Book Antiqua"/>
        </w:rPr>
        <w:t xml:space="preserve">omplication-guided </w:t>
      </w:r>
      <w:r w:rsidRPr="00644ED5">
        <w:rPr>
          <w:rFonts w:ascii="Book Antiqua" w:hAnsi="Book Antiqua"/>
        </w:rPr>
        <w:t>pharmacological therapy</w:t>
      </w:r>
      <w:r w:rsidR="00527C48" w:rsidRPr="00644ED5">
        <w:rPr>
          <w:rFonts w:ascii="Book Antiqua" w:hAnsi="Book Antiqua"/>
        </w:rPr>
        <w:t xml:space="preserve"> </w:t>
      </w:r>
      <w:r w:rsidRPr="00644ED5">
        <w:rPr>
          <w:rFonts w:ascii="Book Antiqua" w:hAnsi="Book Antiqua"/>
        </w:rPr>
        <w:t>has become</w:t>
      </w:r>
      <w:r w:rsidR="00527C48" w:rsidRPr="00644ED5">
        <w:rPr>
          <w:rFonts w:ascii="Book Antiqua" w:hAnsi="Book Antiqua"/>
        </w:rPr>
        <w:t xml:space="preserve"> the mainstay of </w:t>
      </w:r>
      <w:r w:rsidRPr="00644ED5">
        <w:rPr>
          <w:rFonts w:ascii="Book Antiqua" w:hAnsi="Book Antiqua"/>
        </w:rPr>
        <w:t>long-term management of cirrhosis</w:t>
      </w:r>
      <w:r w:rsidR="00527C48" w:rsidRPr="00644ED5">
        <w:rPr>
          <w:rFonts w:ascii="Book Antiqua" w:hAnsi="Book Antiqua"/>
        </w:rPr>
        <w:t>.</w:t>
      </w:r>
      <w:r w:rsidRPr="00644ED5">
        <w:rPr>
          <w:rFonts w:ascii="Book Antiqua" w:hAnsi="Book Antiqua"/>
        </w:rPr>
        <w:t xml:space="preserve"> </w:t>
      </w:r>
      <w:bookmarkStart w:id="15" w:name="_Hlk535414095"/>
      <w:r w:rsidRPr="00644ED5">
        <w:rPr>
          <w:rFonts w:ascii="Book Antiqua" w:hAnsi="Book Antiqua"/>
        </w:rPr>
        <w:t xml:space="preserve">This article aims to </w:t>
      </w:r>
      <w:r w:rsidR="00527C48" w:rsidRPr="00644ED5">
        <w:rPr>
          <w:rFonts w:ascii="Book Antiqua" w:hAnsi="Book Antiqua"/>
        </w:rPr>
        <w:t>provide a complete overview of pharmacotherapy options</w:t>
      </w:r>
      <w:r w:rsidR="00386F8E" w:rsidRPr="00644ED5">
        <w:rPr>
          <w:rFonts w:ascii="Book Antiqua" w:hAnsi="Book Antiqua"/>
        </w:rPr>
        <w:t xml:space="preserve"> that may be commenced in the outpatient setting which are</w:t>
      </w:r>
      <w:r w:rsidR="00527C48" w:rsidRPr="00644ED5">
        <w:rPr>
          <w:rFonts w:ascii="Book Antiqua" w:hAnsi="Book Antiqua"/>
        </w:rPr>
        <w:t xml:space="preserve"> available for managing cirrhosis and its complications, together with discussion of current controversies and potential future directions.</w:t>
      </w:r>
      <w:bookmarkStart w:id="16" w:name="_Hlk535413868"/>
      <w:bookmarkEnd w:id="15"/>
      <w:r w:rsidR="00EB54D5" w:rsidRPr="00644ED5">
        <w:rPr>
          <w:rFonts w:ascii="Book Antiqua" w:hAnsi="Book Antiqua"/>
        </w:rPr>
        <w:t xml:space="preserve"> </w:t>
      </w:r>
      <w:r w:rsidR="00527C48" w:rsidRPr="00644ED5">
        <w:rPr>
          <w:rFonts w:ascii="Book Antiqua" w:hAnsi="Book Antiqua"/>
        </w:rPr>
        <w:t xml:space="preserve">PubMed/Medline/Cochrane Library were electronically searched up to </w:t>
      </w:r>
      <w:r w:rsidR="00386F8E" w:rsidRPr="00644ED5">
        <w:rPr>
          <w:rFonts w:ascii="Book Antiqua" w:hAnsi="Book Antiqua"/>
        </w:rPr>
        <w:t xml:space="preserve">December </w:t>
      </w:r>
      <w:r w:rsidR="00527C48" w:rsidRPr="00644ED5">
        <w:rPr>
          <w:rFonts w:ascii="Book Antiqua" w:hAnsi="Book Antiqua"/>
        </w:rPr>
        <w:t>2018 to identify studies evaluating safety, efficacy and therapeutic mechanisms of pharmacological agents in cirrhotic adults and animal models of cirrhosis.</w:t>
      </w:r>
      <w:bookmarkEnd w:id="16"/>
      <w:r w:rsidRPr="00644ED5">
        <w:rPr>
          <w:rFonts w:ascii="Book Antiqua" w:hAnsi="Book Antiqua"/>
          <w:b/>
        </w:rPr>
        <w:t xml:space="preserve"> </w:t>
      </w:r>
      <w:r w:rsidR="00527C48" w:rsidRPr="00644ED5">
        <w:rPr>
          <w:rFonts w:ascii="Book Antiqua" w:hAnsi="Book Antiqua"/>
        </w:rPr>
        <w:t xml:space="preserve">Non-selective beta-blockers effectively reduce variceal re-bleeding risk in cirrhotic patients with moderate/large varices, but appear ineffective for primary prevention of variceal development and </w:t>
      </w:r>
      <w:r w:rsidR="00062090" w:rsidRPr="00644ED5">
        <w:rPr>
          <w:rFonts w:ascii="Book Antiqua" w:hAnsi="Book Antiqua"/>
        </w:rPr>
        <w:t>may compromise renal function and haemodynamic stability</w:t>
      </w:r>
      <w:r w:rsidR="00527C48" w:rsidRPr="00644ED5">
        <w:rPr>
          <w:rFonts w:ascii="Book Antiqua" w:hAnsi="Book Antiqua"/>
        </w:rPr>
        <w:t xml:space="preserve"> in advanced decompensation. Recent observational studies suggest protective, haemodynamically-independent effects of beta-blockers relating to re</w:t>
      </w:r>
      <w:r w:rsidR="00EB54D5" w:rsidRPr="00644ED5">
        <w:rPr>
          <w:rFonts w:ascii="Book Antiqua" w:hAnsi="Book Antiqua"/>
        </w:rPr>
        <w:t xml:space="preserve">duced bacterial translocation. </w:t>
      </w:r>
      <w:r w:rsidR="00527C48" w:rsidRPr="00644ED5">
        <w:rPr>
          <w:rFonts w:ascii="Book Antiqua" w:hAnsi="Book Antiqua"/>
        </w:rPr>
        <w:t>The gut-selective antibiotic rifaximin is effective for secondary prophylaxis of hepatic encephalopathy; recent small trials also indicate its potential superiority to norfloxacin for secondary prevention of spontaneous bacterial peritonitis. Diuretics remain the mainstay of uncomplicated ascites treatment, and early trials suggest alpha-adrenergic receptor agonists may improve diuretic response in refractory ascites. Vaptans have not demonstrated clinical effectiveness in treating refractory ascites and may cause detrimental complications. Despite initial hepatotoxicity concerns, safety of statin administration has been demonstrated in compensated cirrhosis.  Furthermore, statins are suggested to have protective effects upon fibrosis progression, decompensation and mortality. Evidence as to</w:t>
      </w:r>
      <w:r w:rsidR="00EB54D5" w:rsidRPr="00644ED5">
        <w:rPr>
          <w:rFonts w:ascii="Book Antiqua" w:hAnsi="Book Antiqua"/>
        </w:rPr>
        <w:t xml:space="preserve"> whether proton pump inhibitors</w:t>
      </w:r>
      <w:r w:rsidR="00527C48" w:rsidRPr="00644ED5">
        <w:rPr>
          <w:rFonts w:ascii="Book Antiqua" w:hAnsi="Book Antiqua"/>
        </w:rPr>
        <w:t xml:space="preserve"> cause gut-liver-brain ax</w:t>
      </w:r>
      <w:bookmarkStart w:id="17" w:name="_Hlk535244367"/>
      <w:r w:rsidR="00EB54D5" w:rsidRPr="00644ED5">
        <w:rPr>
          <w:rFonts w:ascii="Book Antiqua" w:hAnsi="Book Antiqua"/>
        </w:rPr>
        <w:t xml:space="preserve">is dysfunction is conflicting. </w:t>
      </w:r>
      <w:r w:rsidR="00F90B58" w:rsidRPr="00644ED5">
        <w:rPr>
          <w:rFonts w:ascii="Book Antiqua" w:hAnsi="Book Antiqua"/>
        </w:rPr>
        <w:t>Emerging evidence indicates that anticoagulative therapy reduces incidence and increases recanalisation rates of non-malignant portal vein thrombosis</w:t>
      </w:r>
      <w:r w:rsidR="00C505A7" w:rsidRPr="00644ED5">
        <w:rPr>
          <w:rFonts w:ascii="Book Antiqua" w:hAnsi="Book Antiqua"/>
        </w:rPr>
        <w:t>,</w:t>
      </w:r>
      <w:r w:rsidR="00F90B58" w:rsidRPr="00644ED5">
        <w:rPr>
          <w:rFonts w:ascii="Book Antiqua" w:hAnsi="Book Antiqua"/>
        </w:rPr>
        <w:t xml:space="preserve"> and may impede hepatic fibrogenesis and decompensation.</w:t>
      </w:r>
      <w:bookmarkEnd w:id="17"/>
      <w:r w:rsidR="00F90B58" w:rsidRPr="00644ED5">
        <w:rPr>
          <w:rFonts w:ascii="Book Antiqua" w:hAnsi="Book Antiqua"/>
        </w:rPr>
        <w:t xml:space="preserve"> </w:t>
      </w:r>
      <w:r w:rsidR="00527C48" w:rsidRPr="00644ED5">
        <w:rPr>
          <w:rFonts w:ascii="Book Antiqua" w:hAnsi="Book Antiqua"/>
        </w:rPr>
        <w:t>Pharmacotherapy for cirrhosis should be implemented in accordance with up-to-date guidelines and in conjunction with aetiology management, nutritional optim</w:t>
      </w:r>
      <w:r w:rsidR="00EB54D5" w:rsidRPr="00644ED5">
        <w:rPr>
          <w:rFonts w:ascii="Book Antiqua" w:hAnsi="Book Antiqua"/>
        </w:rPr>
        <w:t xml:space="preserve">isation and patient education. </w:t>
      </w:r>
    </w:p>
    <w:p w14:paraId="3BA33402" w14:textId="28ED5209" w:rsidR="00C46C28" w:rsidRPr="00644ED5" w:rsidRDefault="00C46C28" w:rsidP="00667231">
      <w:pPr>
        <w:spacing w:line="360" w:lineRule="auto"/>
        <w:rPr>
          <w:rFonts w:ascii="Book Antiqua" w:hAnsi="Book Antiqua"/>
        </w:rPr>
      </w:pPr>
    </w:p>
    <w:p w14:paraId="6CFF09D7" w14:textId="3A080B15" w:rsidR="007D04FD" w:rsidRPr="00644ED5" w:rsidRDefault="00EB54D5" w:rsidP="00667231">
      <w:pPr>
        <w:spacing w:line="360" w:lineRule="auto"/>
        <w:rPr>
          <w:rFonts w:ascii="Book Antiqua" w:hAnsi="Book Antiqua"/>
        </w:rPr>
      </w:pPr>
      <w:r w:rsidRPr="00644ED5">
        <w:rPr>
          <w:rFonts w:ascii="Book Antiqua" w:hAnsi="Book Antiqua"/>
          <w:b/>
          <w:iCs/>
          <w:lang w:eastAsia="es-ES_tradnl"/>
        </w:rPr>
        <w:lastRenderedPageBreak/>
        <w:t>Key words:</w:t>
      </w:r>
      <w:r w:rsidRPr="00644ED5">
        <w:rPr>
          <w:rFonts w:ascii="Book Antiqua" w:hAnsi="Book Antiqua" w:hint="eastAsia"/>
          <w:b/>
          <w:lang w:eastAsia="zh-CN"/>
        </w:rPr>
        <w:t xml:space="preserve"> </w:t>
      </w:r>
      <w:bookmarkStart w:id="18" w:name="OLE_LINK345"/>
      <w:bookmarkStart w:id="19" w:name="OLE_LINK346"/>
      <w:r w:rsidR="007D04FD" w:rsidRPr="00644ED5">
        <w:rPr>
          <w:rFonts w:ascii="Book Antiqua" w:hAnsi="Book Antiqua"/>
        </w:rPr>
        <w:t>C</w:t>
      </w:r>
      <w:r w:rsidR="00C46C28" w:rsidRPr="00644ED5">
        <w:rPr>
          <w:rFonts w:ascii="Book Antiqua" w:hAnsi="Book Antiqua"/>
        </w:rPr>
        <w:t xml:space="preserve">irrhosis; </w:t>
      </w:r>
      <w:r w:rsidR="007D04FD" w:rsidRPr="00644ED5">
        <w:rPr>
          <w:rFonts w:ascii="Book Antiqua" w:hAnsi="Book Antiqua"/>
        </w:rPr>
        <w:t>B</w:t>
      </w:r>
      <w:r w:rsidR="00C46C28" w:rsidRPr="00644ED5">
        <w:rPr>
          <w:rFonts w:ascii="Book Antiqua" w:hAnsi="Book Antiqua"/>
        </w:rPr>
        <w:t xml:space="preserve">eta-blockers; </w:t>
      </w:r>
      <w:r w:rsidR="007D04FD" w:rsidRPr="00644ED5">
        <w:rPr>
          <w:rFonts w:ascii="Book Antiqua" w:hAnsi="Book Antiqua"/>
        </w:rPr>
        <w:t>R</w:t>
      </w:r>
      <w:r w:rsidR="00C46C28" w:rsidRPr="00644ED5">
        <w:rPr>
          <w:rFonts w:ascii="Book Antiqua" w:hAnsi="Book Antiqua"/>
        </w:rPr>
        <w:t xml:space="preserve">ifaximin; </w:t>
      </w:r>
      <w:r w:rsidR="007D04FD" w:rsidRPr="00644ED5">
        <w:rPr>
          <w:rFonts w:ascii="Book Antiqua" w:hAnsi="Book Antiqua"/>
        </w:rPr>
        <w:t>D</w:t>
      </w:r>
      <w:r w:rsidR="00C46C28" w:rsidRPr="00644ED5">
        <w:rPr>
          <w:rFonts w:ascii="Book Antiqua" w:hAnsi="Book Antiqua"/>
        </w:rPr>
        <w:t xml:space="preserve">iuretics; </w:t>
      </w:r>
      <w:r w:rsidR="007D04FD" w:rsidRPr="00644ED5">
        <w:rPr>
          <w:rFonts w:ascii="Book Antiqua" w:hAnsi="Book Antiqua"/>
        </w:rPr>
        <w:t>Statins; Proton pump inhibitors; P</w:t>
      </w:r>
      <w:r w:rsidR="00C46C28" w:rsidRPr="00644ED5">
        <w:rPr>
          <w:rFonts w:ascii="Book Antiqua" w:hAnsi="Book Antiqua"/>
        </w:rPr>
        <w:t>harmacology</w:t>
      </w:r>
      <w:bookmarkEnd w:id="18"/>
      <w:bookmarkEnd w:id="19"/>
    </w:p>
    <w:p w14:paraId="402062A4" w14:textId="0FEC0A0A" w:rsidR="00F90B58" w:rsidRPr="00644ED5" w:rsidRDefault="00F90B58" w:rsidP="00667231">
      <w:pPr>
        <w:spacing w:line="360" w:lineRule="auto"/>
        <w:rPr>
          <w:rFonts w:ascii="Book Antiqua" w:hAnsi="Book Antiqua"/>
        </w:rPr>
      </w:pPr>
    </w:p>
    <w:p w14:paraId="4B1A7971" w14:textId="4C77A6B2" w:rsidR="002609AF" w:rsidRPr="00644ED5" w:rsidRDefault="002609AF" w:rsidP="00667231">
      <w:pPr>
        <w:spacing w:line="360" w:lineRule="auto"/>
        <w:rPr>
          <w:rFonts w:ascii="Book Antiqua" w:hAnsi="Book Antiqua"/>
        </w:rPr>
      </w:pPr>
      <w:bookmarkStart w:id="20" w:name="OLE_LINK347"/>
      <w:bookmarkStart w:id="21" w:name="OLE_LINK348"/>
      <w:r w:rsidRPr="00644ED5">
        <w:rPr>
          <w:rFonts w:ascii="Book Antiqua" w:hAnsi="Book Antiqua"/>
          <w:b/>
        </w:rPr>
        <w:t>© The Author(s) 2019</w:t>
      </w:r>
      <w:r w:rsidRPr="00644ED5">
        <w:rPr>
          <w:rFonts w:ascii="Book Antiqua" w:hAnsi="Book Antiqua"/>
        </w:rPr>
        <w:t>. Published by Baishideng Publishing Group Inc. All rights</w:t>
      </w:r>
    </w:p>
    <w:p w14:paraId="6D49EAD6" w14:textId="51B1BEF0" w:rsidR="002609AF" w:rsidRPr="00644ED5" w:rsidRDefault="002609AF" w:rsidP="00667231">
      <w:pPr>
        <w:spacing w:line="360" w:lineRule="auto"/>
        <w:rPr>
          <w:rFonts w:ascii="Book Antiqua" w:hAnsi="Book Antiqua"/>
        </w:rPr>
      </w:pPr>
      <w:r w:rsidRPr="00644ED5">
        <w:rPr>
          <w:rFonts w:ascii="Book Antiqua" w:hAnsi="Book Antiqua"/>
        </w:rPr>
        <w:t>reserved.</w:t>
      </w:r>
    </w:p>
    <w:bookmarkEnd w:id="20"/>
    <w:bookmarkEnd w:id="21"/>
    <w:p w14:paraId="24C7ED4C" w14:textId="77777777" w:rsidR="002609AF" w:rsidRPr="00644ED5" w:rsidRDefault="002609AF" w:rsidP="00667231">
      <w:pPr>
        <w:spacing w:line="360" w:lineRule="auto"/>
        <w:rPr>
          <w:rFonts w:ascii="Book Antiqua" w:hAnsi="Book Antiqua"/>
        </w:rPr>
      </w:pPr>
    </w:p>
    <w:p w14:paraId="13AEB045" w14:textId="58DB193C" w:rsidR="007464F4" w:rsidRPr="00644ED5" w:rsidRDefault="007D04FD" w:rsidP="00667231">
      <w:pPr>
        <w:spacing w:line="360" w:lineRule="auto"/>
        <w:rPr>
          <w:rFonts w:ascii="Book Antiqua" w:hAnsi="Book Antiqua"/>
          <w:b/>
        </w:rPr>
      </w:pPr>
      <w:r w:rsidRPr="00644ED5">
        <w:rPr>
          <w:rFonts w:ascii="Book Antiqua" w:hAnsi="Book Antiqua"/>
          <w:b/>
        </w:rPr>
        <w:t xml:space="preserve">Core </w:t>
      </w:r>
      <w:r w:rsidR="00EB54D5" w:rsidRPr="00644ED5">
        <w:rPr>
          <w:rFonts w:ascii="Book Antiqua" w:hAnsi="Book Antiqua"/>
          <w:b/>
        </w:rPr>
        <w:t>t</w:t>
      </w:r>
      <w:r w:rsidRPr="00644ED5">
        <w:rPr>
          <w:rFonts w:ascii="Book Antiqua" w:hAnsi="Book Antiqua"/>
          <w:b/>
        </w:rPr>
        <w:t>ip</w:t>
      </w:r>
      <w:r w:rsidR="00EB54D5" w:rsidRPr="00644ED5">
        <w:rPr>
          <w:rFonts w:ascii="Book Antiqua" w:hAnsi="Book Antiqua" w:hint="eastAsia"/>
          <w:b/>
          <w:lang w:eastAsia="zh-CN"/>
        </w:rPr>
        <w:t xml:space="preserve">: </w:t>
      </w:r>
      <w:r w:rsidR="007464F4" w:rsidRPr="00644ED5">
        <w:rPr>
          <w:rFonts w:ascii="Book Antiqua" w:hAnsi="Book Antiqua"/>
          <w:color w:val="000000"/>
          <w:shd w:val="clear" w:color="auto" w:fill="FFFFFF"/>
        </w:rPr>
        <w:t xml:space="preserve">Pharmacological therapy is central to the management of cirrhosis </w:t>
      </w:r>
      <w:r w:rsidR="00EB54D5" w:rsidRPr="00644ED5">
        <w:rPr>
          <w:rFonts w:ascii="Book Antiqua" w:hAnsi="Book Antiqua"/>
          <w:color w:val="000000"/>
          <w:shd w:val="clear" w:color="auto" w:fill="FFFFFF"/>
        </w:rPr>
        <w:t>and its complications.</w:t>
      </w:r>
      <w:r w:rsidR="00EB54D5" w:rsidRPr="00644ED5">
        <w:rPr>
          <w:rFonts w:ascii="Book Antiqua" w:hAnsi="Book Antiqua" w:hint="eastAsia"/>
          <w:color w:val="000000"/>
          <w:shd w:val="clear" w:color="auto" w:fill="FFFFFF"/>
          <w:lang w:eastAsia="zh-CN"/>
        </w:rPr>
        <w:t xml:space="preserve"> </w:t>
      </w:r>
      <w:r w:rsidR="007464F4" w:rsidRPr="00644ED5">
        <w:rPr>
          <w:rFonts w:ascii="Book Antiqua" w:hAnsi="Book Antiqua"/>
          <w:color w:val="000000"/>
          <w:shd w:val="clear" w:color="auto" w:fill="FFFFFF"/>
        </w:rPr>
        <w:t>Whilst there has been recent debate about the safety of beta-blockade in patients wi</w:t>
      </w:r>
      <w:r w:rsidR="00EB54D5" w:rsidRPr="00644ED5">
        <w:rPr>
          <w:rFonts w:ascii="Book Antiqua" w:hAnsi="Book Antiqua"/>
          <w:color w:val="000000"/>
          <w:shd w:val="clear" w:color="auto" w:fill="FFFFFF"/>
        </w:rPr>
        <w:t>th ascites, conversely there is</w:t>
      </w:r>
      <w:r w:rsidR="00EB54D5" w:rsidRPr="00644ED5">
        <w:rPr>
          <w:rFonts w:ascii="Book Antiqua" w:hAnsi="Book Antiqua" w:hint="eastAsia"/>
          <w:color w:val="000000"/>
          <w:shd w:val="clear" w:color="auto" w:fill="FFFFFF"/>
          <w:lang w:eastAsia="zh-CN"/>
        </w:rPr>
        <w:t xml:space="preserve"> </w:t>
      </w:r>
      <w:r w:rsidR="007464F4" w:rsidRPr="00644ED5">
        <w:rPr>
          <w:rFonts w:ascii="Book Antiqua" w:hAnsi="Book Antiqua"/>
          <w:color w:val="000000"/>
          <w:shd w:val="clear" w:color="auto" w:fill="FFFFFF"/>
        </w:rPr>
        <w:t>growing interest in potential benefits relating to a reduction in gut bacterial translocation and hepatocellular car</w:t>
      </w:r>
      <w:r w:rsidR="00EB54D5" w:rsidRPr="00644ED5">
        <w:rPr>
          <w:rFonts w:ascii="Book Antiqua" w:hAnsi="Book Antiqua"/>
          <w:color w:val="000000"/>
          <w:shd w:val="clear" w:color="auto" w:fill="FFFFFF"/>
        </w:rPr>
        <w:t>cinoma risk.</w:t>
      </w:r>
      <w:r w:rsidR="00EB54D5" w:rsidRPr="00644ED5">
        <w:rPr>
          <w:rFonts w:ascii="Book Antiqua" w:hAnsi="Book Antiqua" w:hint="eastAsia"/>
          <w:color w:val="000000"/>
          <w:shd w:val="clear" w:color="auto" w:fill="FFFFFF"/>
          <w:lang w:eastAsia="zh-CN"/>
        </w:rPr>
        <w:t xml:space="preserve"> </w:t>
      </w:r>
      <w:r w:rsidR="007464F4" w:rsidRPr="00644ED5">
        <w:rPr>
          <w:rFonts w:ascii="Book Antiqua" w:hAnsi="Book Antiqua"/>
          <w:color w:val="000000"/>
          <w:shd w:val="clear" w:color="auto" w:fill="FFFFFF"/>
        </w:rPr>
        <w:t>In addition to its well-established role in treating hepatic encephalopathy, rifaximin may also have a key role in pr</w:t>
      </w:r>
      <w:r w:rsidR="00EB54D5" w:rsidRPr="00644ED5">
        <w:rPr>
          <w:rFonts w:ascii="Book Antiqua" w:hAnsi="Book Antiqua"/>
          <w:color w:val="000000"/>
          <w:shd w:val="clear" w:color="auto" w:fill="FFFFFF"/>
        </w:rPr>
        <w:t>eventing secondary infections.</w:t>
      </w:r>
      <w:r w:rsidR="00EB54D5" w:rsidRPr="00644ED5">
        <w:rPr>
          <w:rFonts w:ascii="Book Antiqua" w:hAnsi="Book Antiqua" w:hint="eastAsia"/>
          <w:color w:val="000000"/>
          <w:shd w:val="clear" w:color="auto" w:fill="FFFFFF"/>
          <w:lang w:eastAsia="zh-CN"/>
        </w:rPr>
        <w:t xml:space="preserve"> </w:t>
      </w:r>
      <w:r w:rsidR="00EB54D5" w:rsidRPr="00644ED5">
        <w:rPr>
          <w:rFonts w:ascii="Book Antiqua" w:hAnsi="Book Antiqua"/>
          <w:color w:val="000000"/>
          <w:shd w:val="clear" w:color="auto" w:fill="FFFFFF"/>
        </w:rPr>
        <w:t>In this</w:t>
      </w:r>
      <w:r w:rsidR="00EB54D5" w:rsidRPr="00644ED5">
        <w:rPr>
          <w:rFonts w:ascii="Book Antiqua" w:hAnsi="Book Antiqua" w:hint="eastAsia"/>
          <w:color w:val="000000"/>
          <w:shd w:val="clear" w:color="auto" w:fill="FFFFFF"/>
          <w:lang w:eastAsia="zh-CN"/>
        </w:rPr>
        <w:t xml:space="preserve"> </w:t>
      </w:r>
      <w:r w:rsidR="007464F4" w:rsidRPr="00644ED5">
        <w:rPr>
          <w:rFonts w:ascii="Book Antiqua" w:hAnsi="Book Antiqua"/>
          <w:color w:val="000000"/>
          <w:shd w:val="clear" w:color="auto" w:fill="FFFFFF"/>
        </w:rPr>
        <w:t>review, we summarise these and other uncertainties, controversies and novel developments re</w:t>
      </w:r>
      <w:r w:rsidR="00E073D4" w:rsidRPr="00644ED5">
        <w:rPr>
          <w:rFonts w:ascii="Book Antiqua" w:hAnsi="Book Antiqua"/>
          <w:color w:val="000000"/>
          <w:shd w:val="clear" w:color="auto" w:fill="FFFFFF"/>
        </w:rPr>
        <w:t>lated to pharmacotherapy in the</w:t>
      </w:r>
      <w:r w:rsidR="00E073D4" w:rsidRPr="00644ED5">
        <w:rPr>
          <w:rFonts w:ascii="Book Antiqua" w:hAnsi="Book Antiqua" w:hint="eastAsia"/>
          <w:color w:val="000000"/>
          <w:shd w:val="clear" w:color="auto" w:fill="FFFFFF"/>
          <w:lang w:eastAsia="zh-CN"/>
        </w:rPr>
        <w:t xml:space="preserve"> </w:t>
      </w:r>
      <w:r w:rsidR="007464F4" w:rsidRPr="00644ED5">
        <w:rPr>
          <w:rFonts w:ascii="Book Antiqua" w:hAnsi="Book Antiqua"/>
          <w:color w:val="000000"/>
          <w:shd w:val="clear" w:color="auto" w:fill="FFFFFF"/>
        </w:rPr>
        <w:t>clinical management of chronic liver disease.</w:t>
      </w:r>
    </w:p>
    <w:p w14:paraId="366684DA" w14:textId="321BBD0E" w:rsidR="00BC569E" w:rsidRPr="00644ED5" w:rsidRDefault="00BC569E" w:rsidP="00667231">
      <w:pPr>
        <w:spacing w:line="360" w:lineRule="auto"/>
        <w:rPr>
          <w:rFonts w:ascii="Book Antiqua" w:hAnsi="Book Antiqua"/>
          <w:lang w:eastAsia="zh-CN"/>
        </w:rPr>
      </w:pPr>
    </w:p>
    <w:p w14:paraId="746D98F6" w14:textId="3A39830A" w:rsidR="008F0C71" w:rsidRPr="00644ED5" w:rsidRDefault="008F0C71" w:rsidP="008F0C71">
      <w:pPr>
        <w:spacing w:line="360" w:lineRule="auto"/>
        <w:rPr>
          <w:rFonts w:ascii="Book Antiqua" w:hAnsi="Book Antiqua"/>
          <w:lang w:eastAsia="zh-CN"/>
        </w:rPr>
      </w:pPr>
      <w:r w:rsidRPr="00644ED5">
        <w:rPr>
          <w:rFonts w:ascii="Book Antiqua" w:hAnsi="Book Antiqua" w:hint="eastAsia"/>
          <w:b/>
          <w:lang w:eastAsia="zh-CN"/>
        </w:rPr>
        <w:t>Citation:</w:t>
      </w:r>
      <w:r w:rsidRPr="00644ED5">
        <w:rPr>
          <w:rFonts w:ascii="Book Antiqua" w:hAnsi="Book Antiqua" w:hint="eastAsia"/>
          <w:lang w:eastAsia="zh-CN"/>
        </w:rPr>
        <w:t xml:space="preserve"> </w:t>
      </w:r>
      <w:r w:rsidRPr="00644ED5">
        <w:rPr>
          <w:rFonts w:ascii="Book Antiqua" w:hAnsi="Book Antiqua"/>
        </w:rPr>
        <w:t xml:space="preserve">Kockerling D, Nathwani R, Forlano R, Manousou P, Mullish BH, Dhar A. Current and future pharmacological therapies for managing cirrhosis and its complications. </w:t>
      </w:r>
      <w:r w:rsidRPr="00644ED5">
        <w:rPr>
          <w:rFonts w:ascii="Book Antiqua" w:hAnsi="Book Antiqua"/>
          <w:i/>
        </w:rPr>
        <w:t xml:space="preserve">World J Gastroenterol </w:t>
      </w:r>
      <w:r w:rsidRPr="00644ED5">
        <w:rPr>
          <w:rFonts w:ascii="Book Antiqua" w:hAnsi="Book Antiqua"/>
        </w:rPr>
        <w:t>2019; 25(</w:t>
      </w:r>
      <w:r w:rsidRPr="00644ED5">
        <w:rPr>
          <w:rFonts w:ascii="Book Antiqua" w:hAnsi="Book Antiqua" w:hint="eastAsia"/>
        </w:rPr>
        <w:t>8</w:t>
      </w:r>
      <w:r w:rsidRPr="00644ED5">
        <w:rPr>
          <w:rFonts w:ascii="Book Antiqua" w:hAnsi="Book Antiqua"/>
        </w:rPr>
        <w:t xml:space="preserve">): </w:t>
      </w:r>
      <w:r w:rsidRPr="00644ED5">
        <w:rPr>
          <w:rFonts w:ascii="Book Antiqua" w:hAnsi="Book Antiqua" w:hint="eastAsia"/>
          <w:lang w:eastAsia="zh-CN"/>
        </w:rPr>
        <w:t>888</w:t>
      </w:r>
      <w:r w:rsidRPr="00644ED5">
        <w:rPr>
          <w:rFonts w:ascii="Book Antiqua" w:hAnsi="Book Antiqua"/>
        </w:rPr>
        <w:t>-</w:t>
      </w:r>
      <w:r w:rsidRPr="00644ED5">
        <w:rPr>
          <w:rFonts w:ascii="Book Antiqua" w:hAnsi="Book Antiqua" w:hint="eastAsia"/>
          <w:lang w:eastAsia="zh-CN"/>
        </w:rPr>
        <w:t>908</w:t>
      </w:r>
      <w:r w:rsidRPr="00644ED5">
        <w:rPr>
          <w:rFonts w:ascii="Book Antiqua" w:hAnsi="Book Antiqua"/>
        </w:rPr>
        <w:t xml:space="preserve">  </w:t>
      </w:r>
    </w:p>
    <w:p w14:paraId="1E49B41A" w14:textId="77777777" w:rsidR="008F0C71" w:rsidRPr="00644ED5" w:rsidRDefault="008F0C71" w:rsidP="008F0C71">
      <w:pPr>
        <w:spacing w:line="360" w:lineRule="auto"/>
        <w:rPr>
          <w:rFonts w:ascii="Book Antiqua" w:hAnsi="Book Antiqua"/>
          <w:lang w:eastAsia="zh-CN"/>
        </w:rPr>
      </w:pPr>
      <w:r w:rsidRPr="00644ED5">
        <w:rPr>
          <w:rFonts w:ascii="Book Antiqua" w:hAnsi="Book Antiqua"/>
          <w:b/>
        </w:rPr>
        <w:t>URL:</w:t>
      </w:r>
      <w:r w:rsidRPr="00644ED5">
        <w:rPr>
          <w:rFonts w:ascii="Book Antiqua" w:hAnsi="Book Antiqua"/>
        </w:rPr>
        <w:t xml:space="preserve"> https://www.wjgnet.com/1007-9327/full/v25/i</w:t>
      </w:r>
      <w:r w:rsidRPr="00644ED5">
        <w:rPr>
          <w:rFonts w:ascii="Book Antiqua" w:hAnsi="Book Antiqua" w:hint="eastAsia"/>
        </w:rPr>
        <w:t>8</w:t>
      </w:r>
      <w:r w:rsidRPr="00644ED5">
        <w:rPr>
          <w:rFonts w:ascii="Book Antiqua" w:hAnsi="Book Antiqua"/>
        </w:rPr>
        <w:t>/</w:t>
      </w:r>
      <w:r w:rsidRPr="00644ED5">
        <w:rPr>
          <w:rFonts w:ascii="Book Antiqua" w:hAnsi="Book Antiqua" w:hint="eastAsia"/>
          <w:lang w:eastAsia="zh-CN"/>
        </w:rPr>
        <w:t>888</w:t>
      </w:r>
      <w:r w:rsidRPr="00644ED5">
        <w:rPr>
          <w:rFonts w:ascii="Book Antiqua" w:hAnsi="Book Antiqua"/>
        </w:rPr>
        <w:t xml:space="preserve">.htm  </w:t>
      </w:r>
    </w:p>
    <w:p w14:paraId="4BE3923A" w14:textId="0C8F08D7" w:rsidR="008F0C71" w:rsidRPr="00644ED5" w:rsidRDefault="008F0C71" w:rsidP="008F0C71">
      <w:pPr>
        <w:spacing w:line="360" w:lineRule="auto"/>
        <w:rPr>
          <w:rFonts w:ascii="Book Antiqua" w:hAnsi="Book Antiqua"/>
        </w:rPr>
      </w:pPr>
      <w:r w:rsidRPr="00644ED5">
        <w:rPr>
          <w:rFonts w:ascii="Book Antiqua" w:hAnsi="Book Antiqua"/>
          <w:b/>
        </w:rPr>
        <w:t>DOI:</w:t>
      </w:r>
      <w:r w:rsidRPr="00644ED5">
        <w:rPr>
          <w:rFonts w:ascii="Book Antiqua" w:hAnsi="Book Antiqua"/>
        </w:rPr>
        <w:t xml:space="preserve"> https://dx.doi.org/10.3748/wjg.v25.i</w:t>
      </w:r>
      <w:r w:rsidRPr="00644ED5">
        <w:rPr>
          <w:rFonts w:ascii="Book Antiqua" w:hAnsi="Book Antiqua" w:hint="eastAsia"/>
        </w:rPr>
        <w:t>8</w:t>
      </w:r>
      <w:r w:rsidRPr="00644ED5">
        <w:rPr>
          <w:rFonts w:ascii="Book Antiqua" w:hAnsi="Book Antiqua"/>
        </w:rPr>
        <w:t>.</w:t>
      </w:r>
      <w:r w:rsidRPr="00644ED5">
        <w:rPr>
          <w:rFonts w:ascii="Book Antiqua" w:hAnsi="Book Antiqua" w:hint="eastAsia"/>
          <w:lang w:eastAsia="zh-CN"/>
        </w:rPr>
        <w:t>888</w:t>
      </w:r>
    </w:p>
    <w:p w14:paraId="5BDD57BA" w14:textId="683992EB" w:rsidR="00775527" w:rsidRPr="00644ED5" w:rsidRDefault="00EB54D5" w:rsidP="00667231">
      <w:pPr>
        <w:spacing w:line="360" w:lineRule="auto"/>
        <w:rPr>
          <w:rFonts w:ascii="Book Antiqua" w:hAnsi="Book Antiqua"/>
          <w:b/>
          <w:lang w:eastAsia="zh-CN"/>
        </w:rPr>
      </w:pPr>
      <w:r w:rsidRPr="00644ED5">
        <w:rPr>
          <w:rFonts w:ascii="Book Antiqua" w:hAnsi="Book Antiqua"/>
        </w:rPr>
        <w:br w:type="page"/>
      </w:r>
      <w:bookmarkStart w:id="22" w:name="_Toc497668306"/>
      <w:r w:rsidR="00667231" w:rsidRPr="00644ED5">
        <w:rPr>
          <w:rFonts w:ascii="Book Antiqua" w:hAnsi="Book Antiqua"/>
          <w:b/>
        </w:rPr>
        <w:lastRenderedPageBreak/>
        <w:t>INTRODUCTION</w:t>
      </w:r>
      <w:bookmarkEnd w:id="22"/>
    </w:p>
    <w:p w14:paraId="05A6F746" w14:textId="53D567FD" w:rsidR="007949AD" w:rsidRPr="00644ED5" w:rsidRDefault="007949AD" w:rsidP="00667231">
      <w:pPr>
        <w:spacing w:line="360" w:lineRule="auto"/>
        <w:rPr>
          <w:rFonts w:ascii="Book Antiqua" w:hAnsi="Book Antiqua"/>
          <w:lang w:eastAsia="zh-CN"/>
        </w:rPr>
      </w:pPr>
      <w:r w:rsidRPr="00644ED5">
        <w:rPr>
          <w:rFonts w:ascii="Book Antiqua" w:hAnsi="Book Antiqua"/>
        </w:rPr>
        <w:t xml:space="preserve">Decompensation and mortality in cirrhosis are </w:t>
      </w:r>
      <w:r w:rsidR="00426E16" w:rsidRPr="00644ED5">
        <w:rPr>
          <w:rFonts w:ascii="Book Antiqua" w:hAnsi="Book Antiqua"/>
        </w:rPr>
        <w:t xml:space="preserve">predominantly </w:t>
      </w:r>
      <w:r w:rsidRPr="00644ED5">
        <w:rPr>
          <w:rFonts w:ascii="Book Antiqua" w:hAnsi="Book Antiqua"/>
        </w:rPr>
        <w:t>due to the complications of portal hypertension</w:t>
      </w:r>
      <w:r w:rsidR="004910EC" w:rsidRPr="00644ED5">
        <w:rPr>
          <w:rFonts w:ascii="Book Antiqua" w:hAnsi="Book Antiqua"/>
        </w:rPr>
        <w:t>,</w:t>
      </w:r>
      <w:r w:rsidRPr="00644ED5">
        <w:rPr>
          <w:rFonts w:ascii="Book Antiqua" w:hAnsi="Book Antiqua"/>
        </w:rPr>
        <w:t xml:space="preserve"> a</w:t>
      </w:r>
      <w:r w:rsidR="00386F8E" w:rsidRPr="00644ED5">
        <w:rPr>
          <w:rFonts w:ascii="Book Antiqua" w:hAnsi="Book Antiqua"/>
        </w:rPr>
        <w:t>n</w:t>
      </w:r>
      <w:r w:rsidRPr="00644ED5">
        <w:rPr>
          <w:rFonts w:ascii="Book Antiqua" w:hAnsi="Book Antiqua"/>
        </w:rPr>
        <w:t>d prognosis in cirrhosis progressively deteriorates with the cumulative occurrence of ascites, variceal haemorrhage, hepatic encephalopathy (HE)</w:t>
      </w:r>
      <w:r w:rsidR="00386F8E" w:rsidRPr="00644ED5">
        <w:rPr>
          <w:rFonts w:ascii="Book Antiqua" w:hAnsi="Book Antiqua"/>
        </w:rPr>
        <w:t xml:space="preserve"> and</w:t>
      </w:r>
      <w:r w:rsidRPr="00644ED5">
        <w:rPr>
          <w:rFonts w:ascii="Book Antiqua" w:hAnsi="Book Antiqua"/>
        </w:rPr>
        <w:t xml:space="preserve"> spontaneous bacterial peritonitis (SBP)</w:t>
      </w:r>
      <w:r w:rsidR="00BA0FDC" w:rsidRPr="00644ED5">
        <w:rPr>
          <w:rFonts w:ascii="Book Antiqua" w:hAnsi="Book Antiqua" w:cs="Arial"/>
          <w:vertAlign w:val="superscript"/>
        </w:rPr>
        <w:t>[1]</w:t>
      </w:r>
      <w:r w:rsidRPr="00644ED5">
        <w:rPr>
          <w:rFonts w:ascii="Book Antiqua" w:hAnsi="Book Antiqua"/>
        </w:rPr>
        <w:t xml:space="preserve">. While both cirrhosis incidence and prevalence have </w:t>
      </w:r>
      <w:r w:rsidR="003E06E6" w:rsidRPr="00644ED5">
        <w:rPr>
          <w:rFonts w:ascii="Book Antiqua" w:hAnsi="Book Antiqua"/>
        </w:rPr>
        <w:t>risen</w:t>
      </w:r>
      <w:r w:rsidRPr="00644ED5">
        <w:rPr>
          <w:rFonts w:ascii="Book Antiqua" w:hAnsi="Book Antiqua"/>
        </w:rPr>
        <w:t xml:space="preserve"> in recent decades, up</w:t>
      </w:r>
      <w:r w:rsidR="00B6640C" w:rsidRPr="00644ED5">
        <w:rPr>
          <w:rFonts w:ascii="Book Antiqua" w:hAnsi="Book Antiqua"/>
        </w:rPr>
        <w:t>take of liver transplantation</w:t>
      </w:r>
      <w:r w:rsidR="00B6640C" w:rsidRPr="00644ED5">
        <w:rPr>
          <w:rFonts w:ascii="Book Antiqua" w:hAnsi="Book Antiqua" w:hint="eastAsia"/>
          <w:lang w:eastAsia="zh-CN"/>
        </w:rPr>
        <w:t xml:space="preserve"> </w:t>
      </w:r>
      <w:r w:rsidR="00B6640C" w:rsidRPr="00644ED5">
        <w:rPr>
          <w:rFonts w:ascii="Book Antiqua" w:hAnsi="Book Antiqua"/>
        </w:rPr>
        <w:t>–</w:t>
      </w:r>
      <w:r w:rsidR="00B6640C" w:rsidRPr="00644ED5">
        <w:rPr>
          <w:rFonts w:ascii="Book Antiqua" w:hAnsi="Book Antiqua" w:hint="eastAsia"/>
          <w:lang w:eastAsia="zh-CN"/>
        </w:rPr>
        <w:t xml:space="preserve"> </w:t>
      </w:r>
      <w:r w:rsidRPr="00644ED5">
        <w:rPr>
          <w:rFonts w:ascii="Book Antiqua" w:hAnsi="Book Antiqua"/>
        </w:rPr>
        <w:t xml:space="preserve">the only definitive treatment option for cirrhosis </w:t>
      </w:r>
      <w:r w:rsidR="005377FA" w:rsidRPr="00644ED5">
        <w:rPr>
          <w:rFonts w:ascii="Book Antiqua" w:hAnsi="Book Antiqua"/>
        </w:rPr>
        <w:t xml:space="preserve">- </w:t>
      </w:r>
      <w:r w:rsidRPr="00644ED5">
        <w:rPr>
          <w:rFonts w:ascii="Book Antiqua" w:hAnsi="Book Antiqua"/>
        </w:rPr>
        <w:t>has stagnated at around 5500/year in Europe</w:t>
      </w:r>
      <w:r w:rsidR="003E06E6" w:rsidRPr="00644ED5">
        <w:rPr>
          <w:rFonts w:ascii="Book Antiqua" w:hAnsi="Book Antiqua"/>
        </w:rPr>
        <w:t>, primarily</w:t>
      </w:r>
      <w:r w:rsidRPr="00644ED5">
        <w:rPr>
          <w:rFonts w:ascii="Book Antiqua" w:hAnsi="Book Antiqua"/>
        </w:rPr>
        <w:t xml:space="preserve"> due to organ shortages</w:t>
      </w:r>
      <w:r w:rsidR="00BA0FDC" w:rsidRPr="00644ED5">
        <w:rPr>
          <w:rFonts w:ascii="Book Antiqua" w:hAnsi="Book Antiqua" w:cs="Arial"/>
          <w:vertAlign w:val="superscript"/>
        </w:rPr>
        <w:t>[2]</w:t>
      </w:r>
      <w:r w:rsidR="00124DFD" w:rsidRPr="00644ED5">
        <w:rPr>
          <w:rFonts w:ascii="Book Antiqua" w:hAnsi="Book Antiqua"/>
        </w:rPr>
        <w:t>. Consequently, standardis</w:t>
      </w:r>
      <w:r w:rsidRPr="00644ED5">
        <w:rPr>
          <w:rFonts w:ascii="Book Antiqua" w:hAnsi="Book Antiqua"/>
        </w:rPr>
        <w:t xml:space="preserve">ed cirrhosis mortality rates globally, and in the </w:t>
      </w:r>
      <w:r w:rsidR="00B6640C" w:rsidRPr="00644ED5">
        <w:rPr>
          <w:rFonts w:ascii="Book Antiqua" w:hAnsi="Book Antiqua" w:hint="eastAsia"/>
          <w:lang w:eastAsia="zh-CN"/>
        </w:rPr>
        <w:t>United Kingdom</w:t>
      </w:r>
      <w:r w:rsidRPr="00644ED5">
        <w:rPr>
          <w:rFonts w:ascii="Book Antiqua" w:hAnsi="Book Antiqua"/>
        </w:rPr>
        <w:t xml:space="preserve"> particularly, have </w:t>
      </w:r>
      <w:r w:rsidR="004910EC" w:rsidRPr="00644ED5">
        <w:rPr>
          <w:rFonts w:ascii="Book Antiqua" w:hAnsi="Book Antiqua"/>
        </w:rPr>
        <w:t>increased significantly</w:t>
      </w:r>
      <w:r w:rsidR="00BA0FDC" w:rsidRPr="00644ED5">
        <w:rPr>
          <w:rFonts w:ascii="Book Antiqua" w:hAnsi="Book Antiqua" w:cs="Arial"/>
          <w:vertAlign w:val="superscript"/>
        </w:rPr>
        <w:t>[3]</w:t>
      </w:r>
      <w:r w:rsidR="004910EC" w:rsidRPr="00644ED5">
        <w:rPr>
          <w:rFonts w:ascii="Book Antiqua" w:hAnsi="Book Antiqua"/>
        </w:rPr>
        <w:t xml:space="preserve">. </w:t>
      </w:r>
      <w:bookmarkStart w:id="23" w:name="_Hlk535414225"/>
      <w:r w:rsidR="004910EC" w:rsidRPr="00644ED5">
        <w:rPr>
          <w:rFonts w:ascii="Book Antiqua" w:hAnsi="Book Antiqua"/>
        </w:rPr>
        <w:t xml:space="preserve">This development led to the </w:t>
      </w:r>
      <w:r w:rsidR="00B6640C" w:rsidRPr="00644ED5">
        <w:rPr>
          <w:rFonts w:ascii="Book Antiqua" w:hAnsi="Book Antiqua" w:hint="eastAsia"/>
          <w:lang w:eastAsia="zh-CN"/>
        </w:rPr>
        <w:t>United Kingdom</w:t>
      </w:r>
      <w:r w:rsidR="004910EC" w:rsidRPr="00644ED5">
        <w:rPr>
          <w:rFonts w:ascii="Book Antiqua" w:hAnsi="Book Antiqua"/>
        </w:rPr>
        <w:t xml:space="preserve">-wide introduction of specialist cirrhosis clinics which integrate multidisciplinary services and aim to optimise supportive cirrhosis management by forestalling decompensation and facilitating recompensation. In the specialist clinic setting, one factor which has gained importance in chronic cirrhosis management is long-term, complication-guided pharmacological therapy. </w:t>
      </w:r>
      <w:r w:rsidR="00426E16" w:rsidRPr="00644ED5">
        <w:rPr>
          <w:rFonts w:ascii="Book Antiqua" w:hAnsi="Book Antiqua"/>
        </w:rPr>
        <w:t xml:space="preserve">Whilst previous articles have addressed individual pharmacological agents and their role in </w:t>
      </w:r>
      <w:r w:rsidR="00C33EB1" w:rsidRPr="00644ED5">
        <w:rPr>
          <w:rFonts w:ascii="Book Antiqua" w:hAnsi="Book Antiqua"/>
        </w:rPr>
        <w:t xml:space="preserve">treating </w:t>
      </w:r>
      <w:r w:rsidR="00426E16" w:rsidRPr="00644ED5">
        <w:rPr>
          <w:rFonts w:ascii="Book Antiqua" w:hAnsi="Book Antiqua"/>
        </w:rPr>
        <w:t>specific complications of cirrhosis, th</w:t>
      </w:r>
      <w:r w:rsidR="00C33EB1" w:rsidRPr="00644ED5">
        <w:rPr>
          <w:rFonts w:ascii="Book Antiqua" w:hAnsi="Book Antiqua"/>
        </w:rPr>
        <w:t>e present</w:t>
      </w:r>
      <w:r w:rsidR="00426E16" w:rsidRPr="00644ED5">
        <w:rPr>
          <w:rFonts w:ascii="Book Antiqua" w:hAnsi="Book Antiqua"/>
        </w:rPr>
        <w:t xml:space="preserve"> article aims to provide an overview of the complete pharmacotherapy currently available for the </w:t>
      </w:r>
      <w:r w:rsidR="00A75513" w:rsidRPr="00644ED5">
        <w:rPr>
          <w:rFonts w:ascii="Book Antiqua" w:hAnsi="Book Antiqua"/>
        </w:rPr>
        <w:t xml:space="preserve">long-term </w:t>
      </w:r>
      <w:r w:rsidR="00426E16" w:rsidRPr="00644ED5">
        <w:rPr>
          <w:rFonts w:ascii="Book Antiqua" w:hAnsi="Book Antiqua"/>
        </w:rPr>
        <w:t xml:space="preserve">management of cirrhotic </w:t>
      </w:r>
      <w:r w:rsidR="00386F8E" w:rsidRPr="00644ED5">
        <w:rPr>
          <w:rFonts w:ascii="Book Antiqua" w:hAnsi="Book Antiqua"/>
        </w:rPr>
        <w:t>out</w:t>
      </w:r>
      <w:r w:rsidR="00A75513" w:rsidRPr="00644ED5">
        <w:rPr>
          <w:rFonts w:ascii="Book Antiqua" w:hAnsi="Book Antiqua"/>
        </w:rPr>
        <w:t>patients</w:t>
      </w:r>
      <w:r w:rsidR="00426E16" w:rsidRPr="00644ED5">
        <w:rPr>
          <w:rFonts w:ascii="Book Antiqua" w:hAnsi="Book Antiqua"/>
        </w:rPr>
        <w:t xml:space="preserve"> as well as an insight into emerging and future directions. </w:t>
      </w:r>
      <w:bookmarkEnd w:id="23"/>
    </w:p>
    <w:p w14:paraId="1FD2B0F5" w14:textId="77777777" w:rsidR="00426E16" w:rsidRPr="00644ED5" w:rsidRDefault="00426E16" w:rsidP="00667231">
      <w:pPr>
        <w:spacing w:line="360" w:lineRule="auto"/>
        <w:rPr>
          <w:rFonts w:ascii="Book Antiqua" w:hAnsi="Book Antiqua"/>
        </w:rPr>
      </w:pPr>
    </w:p>
    <w:p w14:paraId="160DA7B1" w14:textId="2C93E32D" w:rsidR="00426E16" w:rsidRPr="00644ED5" w:rsidRDefault="00B6640C" w:rsidP="00B6640C">
      <w:pPr>
        <w:spacing w:line="360" w:lineRule="auto"/>
        <w:rPr>
          <w:rFonts w:ascii="Book Antiqua" w:hAnsi="Book Antiqua"/>
          <w:b/>
          <w:lang w:eastAsia="zh-CN"/>
        </w:rPr>
      </w:pPr>
      <w:r w:rsidRPr="00644ED5">
        <w:rPr>
          <w:rFonts w:ascii="Book Antiqua" w:hAnsi="Book Antiqua"/>
          <w:b/>
        </w:rPr>
        <w:t>METHODS</w:t>
      </w:r>
    </w:p>
    <w:p w14:paraId="6B6CEE34" w14:textId="2469EAE2" w:rsidR="00B6640C" w:rsidRPr="00644ED5" w:rsidRDefault="00AE1A00" w:rsidP="00B6640C">
      <w:pPr>
        <w:spacing w:line="360" w:lineRule="auto"/>
        <w:rPr>
          <w:rFonts w:ascii="Book Antiqua" w:hAnsi="Book Antiqua"/>
          <w:lang w:eastAsia="zh-CN"/>
        </w:rPr>
      </w:pPr>
      <w:r w:rsidRPr="00644ED5">
        <w:rPr>
          <w:rFonts w:ascii="Book Antiqua" w:hAnsi="Book Antiqua"/>
        </w:rPr>
        <w:t xml:space="preserve">A search </w:t>
      </w:r>
      <w:r w:rsidR="007C2D61" w:rsidRPr="00644ED5">
        <w:rPr>
          <w:rFonts w:ascii="Book Antiqua" w:hAnsi="Book Antiqua"/>
        </w:rPr>
        <w:t xml:space="preserve">of the existing literature </w:t>
      </w:r>
      <w:r w:rsidR="00D60C7D" w:rsidRPr="00644ED5">
        <w:rPr>
          <w:rFonts w:ascii="Book Antiqua" w:hAnsi="Book Antiqua"/>
        </w:rPr>
        <w:t xml:space="preserve">up to </w:t>
      </w:r>
      <w:r w:rsidR="001C749A" w:rsidRPr="00644ED5">
        <w:rPr>
          <w:rFonts w:ascii="Book Antiqua" w:hAnsi="Book Antiqua"/>
        </w:rPr>
        <w:t xml:space="preserve">December </w:t>
      </w:r>
      <w:r w:rsidR="00D60C7D" w:rsidRPr="00644ED5">
        <w:rPr>
          <w:rFonts w:ascii="Book Antiqua" w:hAnsi="Book Antiqua"/>
        </w:rPr>
        <w:t xml:space="preserve">2018 </w:t>
      </w:r>
      <w:r w:rsidR="007C2D61" w:rsidRPr="00644ED5">
        <w:rPr>
          <w:rFonts w:ascii="Book Antiqua" w:hAnsi="Book Antiqua"/>
        </w:rPr>
        <w:t>was conducted</w:t>
      </w:r>
      <w:r w:rsidRPr="00644ED5">
        <w:rPr>
          <w:rFonts w:ascii="Book Antiqua" w:hAnsi="Book Antiqua"/>
        </w:rPr>
        <w:t xml:space="preserve"> using </w:t>
      </w:r>
      <w:r w:rsidR="00C33EB1" w:rsidRPr="00644ED5">
        <w:rPr>
          <w:rFonts w:ascii="Book Antiqua" w:hAnsi="Book Antiqua"/>
        </w:rPr>
        <w:t xml:space="preserve">the electronic databases </w:t>
      </w:r>
      <w:r w:rsidRPr="00644ED5">
        <w:rPr>
          <w:rFonts w:ascii="Book Antiqua" w:hAnsi="Book Antiqua"/>
        </w:rPr>
        <w:t>PubMed, Me</w:t>
      </w:r>
      <w:r w:rsidR="007C2D61" w:rsidRPr="00644ED5">
        <w:rPr>
          <w:rFonts w:ascii="Book Antiqua" w:hAnsi="Book Antiqua"/>
        </w:rPr>
        <w:t xml:space="preserve">dline and the Cochrane library, as well as relevant guidelines and reference lists. </w:t>
      </w:r>
      <w:r w:rsidR="008F4042" w:rsidRPr="00644ED5">
        <w:rPr>
          <w:rFonts w:ascii="Book Antiqua" w:hAnsi="Book Antiqua"/>
        </w:rPr>
        <w:t xml:space="preserve">Titles and abstracts were searched </w:t>
      </w:r>
      <w:r w:rsidR="00582626" w:rsidRPr="00644ED5">
        <w:rPr>
          <w:rFonts w:ascii="Book Antiqua" w:hAnsi="Book Antiqua"/>
        </w:rPr>
        <w:t>for</w:t>
      </w:r>
      <w:r w:rsidR="008F4042" w:rsidRPr="00644ED5">
        <w:rPr>
          <w:rFonts w:ascii="Book Antiqua" w:hAnsi="Book Antiqua"/>
        </w:rPr>
        <w:t xml:space="preserve"> the following key terms</w:t>
      </w:r>
      <w:r w:rsidR="007C2D61"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Cirrhosis</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and</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beta-blockers</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or</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lactulose</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or</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rifaximin</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or</w:t>
      </w:r>
      <w:r w:rsidR="001C749A" w:rsidRPr="00644ED5">
        <w:rPr>
          <w:rFonts w:ascii="Book Antiqua" w:hAnsi="Book Antiqua"/>
        </w:rPr>
        <w:t xml:space="preserve"> “L-ornithine L-aspartate</w:t>
      </w:r>
      <w:r w:rsidR="00E859C9" w:rsidRPr="00644ED5">
        <w:rPr>
          <w:rFonts w:ascii="Book Antiqua" w:hAnsi="Book Antiqua" w:hint="eastAsia"/>
          <w:lang w:eastAsia="zh-CN"/>
        </w:rPr>
        <w:t xml:space="preserve"> (LOLA)</w:t>
      </w:r>
      <w:r w:rsidR="001C749A" w:rsidRPr="00644ED5">
        <w:rPr>
          <w:rFonts w:ascii="Book Antiqua" w:hAnsi="Book Antiqua"/>
        </w:rPr>
        <w:t xml:space="preserve">” </w:t>
      </w:r>
      <w:r w:rsidR="00467AD8" w:rsidRPr="00644ED5">
        <w:rPr>
          <w:rFonts w:ascii="Book Antiqua" w:hAnsi="Book Antiqua"/>
        </w:rPr>
        <w:t>or</w:t>
      </w:r>
      <w:r w:rsidR="001C749A" w:rsidRPr="00644ED5">
        <w:rPr>
          <w:rFonts w:ascii="Book Antiqua" w:hAnsi="Book Antiqua"/>
        </w:rPr>
        <w:t xml:space="preserve"> “acarbose”</w:t>
      </w:r>
      <w:r w:rsidR="00833BAB" w:rsidRPr="00644ED5">
        <w:rPr>
          <w:rFonts w:ascii="Book Antiqua" w:hAnsi="Book Antiqua"/>
        </w:rPr>
        <w:t xml:space="preserve"> </w:t>
      </w:r>
      <w:r w:rsidR="00467AD8" w:rsidRPr="00644ED5">
        <w:rPr>
          <w:rFonts w:ascii="Book Antiqua" w:hAnsi="Book Antiqua"/>
        </w:rPr>
        <w:t>or</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diuretics</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 xml:space="preserve">or </w:t>
      </w:r>
      <w:r w:rsidR="001C749A" w:rsidRPr="00644ED5">
        <w:rPr>
          <w:rFonts w:ascii="Book Antiqua" w:hAnsi="Book Antiqua"/>
        </w:rPr>
        <w:t>“</w:t>
      </w:r>
      <w:r w:rsidR="00D60C7D" w:rsidRPr="00644ED5">
        <w:rPr>
          <w:rFonts w:ascii="Book Antiqua" w:hAnsi="Book Antiqua"/>
        </w:rPr>
        <w:t>midodrine</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 xml:space="preserve">or </w:t>
      </w:r>
      <w:r w:rsidR="001C749A" w:rsidRPr="00644ED5">
        <w:rPr>
          <w:rFonts w:ascii="Book Antiqua" w:hAnsi="Book Antiqua"/>
        </w:rPr>
        <w:t>“</w:t>
      </w:r>
      <w:r w:rsidR="00D60C7D" w:rsidRPr="00644ED5">
        <w:rPr>
          <w:rFonts w:ascii="Book Antiqua" w:hAnsi="Book Antiqua"/>
        </w:rPr>
        <w:t>clonidine</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or</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vaptans</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or</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human serum albumin</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or</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anti-coagulation</w:t>
      </w:r>
      <w:r w:rsidR="001C749A" w:rsidRPr="00644ED5">
        <w:rPr>
          <w:rFonts w:ascii="Book Antiqua" w:hAnsi="Book Antiqua"/>
        </w:rPr>
        <w:t>”</w:t>
      </w:r>
      <w:r w:rsidR="00467AD8" w:rsidRPr="00644ED5">
        <w:rPr>
          <w:rFonts w:ascii="Book Antiqua" w:hAnsi="Book Antiqua"/>
        </w:rPr>
        <w:t xml:space="preserve"> or </w:t>
      </w:r>
      <w:r w:rsidR="001C749A" w:rsidRPr="00644ED5">
        <w:rPr>
          <w:rFonts w:ascii="Book Antiqua" w:hAnsi="Book Antiqua"/>
        </w:rPr>
        <w:t>“</w:t>
      </w:r>
      <w:r w:rsidR="00D60C7D" w:rsidRPr="00644ED5">
        <w:rPr>
          <w:rFonts w:ascii="Book Antiqua" w:hAnsi="Book Antiqua"/>
        </w:rPr>
        <w:t>caffeine</w:t>
      </w:r>
      <w:r w:rsidR="001C749A" w:rsidRPr="00644ED5">
        <w:rPr>
          <w:rFonts w:ascii="Book Antiqua" w:hAnsi="Book Antiqua"/>
        </w:rPr>
        <w:t>”</w:t>
      </w:r>
      <w:r w:rsidR="00D60C7D" w:rsidRPr="00644ED5">
        <w:rPr>
          <w:rFonts w:ascii="Book Antiqua" w:hAnsi="Book Antiqua"/>
        </w:rPr>
        <w:t xml:space="preserve"> </w:t>
      </w:r>
      <w:r w:rsidR="00467AD8" w:rsidRPr="00644ED5">
        <w:rPr>
          <w:rFonts w:ascii="Book Antiqua" w:hAnsi="Book Antiqua"/>
        </w:rPr>
        <w:t>or</w:t>
      </w:r>
      <w:r w:rsidR="00D60C7D" w:rsidRPr="00644ED5">
        <w:rPr>
          <w:rFonts w:ascii="Book Antiqua" w:hAnsi="Book Antiqua"/>
        </w:rPr>
        <w:t xml:space="preserve"> </w:t>
      </w:r>
      <w:r w:rsidR="001C749A" w:rsidRPr="00644ED5">
        <w:rPr>
          <w:rFonts w:ascii="Book Antiqua" w:hAnsi="Book Antiqua"/>
        </w:rPr>
        <w:t>“</w:t>
      </w:r>
      <w:r w:rsidR="00D60C7D" w:rsidRPr="00644ED5">
        <w:rPr>
          <w:rFonts w:ascii="Book Antiqua" w:hAnsi="Book Antiqua"/>
        </w:rPr>
        <w:t>faecal microbiota transplant</w:t>
      </w:r>
      <w:r w:rsidR="001C749A" w:rsidRPr="00644ED5">
        <w:rPr>
          <w:rFonts w:ascii="Book Antiqua" w:hAnsi="Book Antiqua"/>
        </w:rPr>
        <w:t>”</w:t>
      </w:r>
      <w:r w:rsidR="00D60C7D" w:rsidRPr="00644ED5">
        <w:rPr>
          <w:rFonts w:ascii="Book Antiqua" w:hAnsi="Book Antiqua"/>
        </w:rPr>
        <w:t xml:space="preserve">). </w:t>
      </w:r>
      <w:r w:rsidR="00EA31A7" w:rsidRPr="00644ED5">
        <w:rPr>
          <w:rFonts w:ascii="Book Antiqua" w:hAnsi="Book Antiqua"/>
        </w:rPr>
        <w:t>A</w:t>
      </w:r>
      <w:r w:rsidR="005F1CBE" w:rsidRPr="00644ED5">
        <w:rPr>
          <w:rFonts w:ascii="Book Antiqua" w:hAnsi="Book Antiqua"/>
        </w:rPr>
        <w:t xml:space="preserve"> separate search was </w:t>
      </w:r>
      <w:r w:rsidR="00825092" w:rsidRPr="00644ED5">
        <w:rPr>
          <w:rFonts w:ascii="Book Antiqua" w:hAnsi="Book Antiqua"/>
        </w:rPr>
        <w:t>performed</w:t>
      </w:r>
      <w:r w:rsidR="005F1CBE" w:rsidRPr="00644ED5">
        <w:rPr>
          <w:rFonts w:ascii="Book Antiqua" w:hAnsi="Book Antiqua"/>
        </w:rPr>
        <w:t xml:space="preserve"> for international guidelines to cirrhosis management by the </w:t>
      </w:r>
      <w:r w:rsidR="005F1CBE" w:rsidRPr="00644ED5">
        <w:rPr>
          <w:rFonts w:ascii="Book Antiqua" w:hAnsi="Book Antiqua" w:cs="Arial"/>
        </w:rPr>
        <w:t>American Association for the Study of Liver Diseases (AASLD)</w:t>
      </w:r>
      <w:r w:rsidR="005F1CBE" w:rsidRPr="00644ED5">
        <w:rPr>
          <w:rFonts w:ascii="Book Antiqua" w:hAnsi="Book Antiqua"/>
        </w:rPr>
        <w:t xml:space="preserve"> and the European Association for the Study of the Liver (EASL). </w:t>
      </w:r>
      <w:r w:rsidR="008F4042" w:rsidRPr="00644ED5">
        <w:rPr>
          <w:rFonts w:ascii="Book Antiqua" w:hAnsi="Book Antiqua"/>
        </w:rPr>
        <w:t>Additionally, reference lists of included articles were</w:t>
      </w:r>
      <w:r w:rsidR="00A75513" w:rsidRPr="00644ED5">
        <w:rPr>
          <w:rFonts w:ascii="Book Antiqua" w:hAnsi="Book Antiqua"/>
        </w:rPr>
        <w:t xml:space="preserve"> manually</w:t>
      </w:r>
      <w:r w:rsidR="008F4042" w:rsidRPr="00644ED5">
        <w:rPr>
          <w:rFonts w:ascii="Book Antiqua" w:hAnsi="Book Antiqua"/>
        </w:rPr>
        <w:t xml:space="preserve"> </w:t>
      </w:r>
      <w:r w:rsidR="00582626" w:rsidRPr="00644ED5">
        <w:rPr>
          <w:rFonts w:ascii="Book Antiqua" w:hAnsi="Book Antiqua"/>
        </w:rPr>
        <w:t>screened</w:t>
      </w:r>
      <w:r w:rsidR="008F4042" w:rsidRPr="00644ED5">
        <w:rPr>
          <w:rFonts w:ascii="Book Antiqua" w:hAnsi="Book Antiqua"/>
        </w:rPr>
        <w:t xml:space="preserve"> for further relevant publications. </w:t>
      </w:r>
      <w:r w:rsidR="005F1CBE" w:rsidRPr="00644ED5">
        <w:rPr>
          <w:rFonts w:ascii="Book Antiqua" w:hAnsi="Book Antiqua"/>
        </w:rPr>
        <w:t xml:space="preserve">The abstracts of </w:t>
      </w:r>
      <w:r w:rsidR="001C749A" w:rsidRPr="00644ED5">
        <w:rPr>
          <w:rFonts w:ascii="Book Antiqua" w:hAnsi="Book Antiqua"/>
        </w:rPr>
        <w:t>2031</w:t>
      </w:r>
      <w:r w:rsidR="005F1CBE" w:rsidRPr="00644ED5">
        <w:rPr>
          <w:rFonts w:ascii="Book Antiqua" w:hAnsi="Book Antiqua"/>
        </w:rPr>
        <w:t xml:space="preserve"> publications were </w:t>
      </w:r>
      <w:r w:rsidR="005F1CBE" w:rsidRPr="00644ED5">
        <w:rPr>
          <w:rFonts w:ascii="Book Antiqua" w:hAnsi="Book Antiqua"/>
        </w:rPr>
        <w:lastRenderedPageBreak/>
        <w:t xml:space="preserve">identified </w:t>
      </w:r>
      <w:r w:rsidR="006C25BF" w:rsidRPr="00644ED5">
        <w:rPr>
          <w:rFonts w:ascii="Book Antiqua" w:hAnsi="Book Antiqua"/>
        </w:rPr>
        <w:t xml:space="preserve">and screened for studies evaluating the safety, efficacy and therapeutic mechanism of </w:t>
      </w:r>
      <w:r w:rsidR="002D2329" w:rsidRPr="00644ED5">
        <w:rPr>
          <w:rFonts w:ascii="Book Antiqua" w:hAnsi="Book Antiqua"/>
        </w:rPr>
        <w:t>pharmacological agents</w:t>
      </w:r>
      <w:r w:rsidR="006C25BF" w:rsidRPr="00644ED5">
        <w:rPr>
          <w:rFonts w:ascii="Book Antiqua" w:hAnsi="Book Antiqua"/>
        </w:rPr>
        <w:t xml:space="preserve"> in cirrhotic adults and animal models of cirrhosis</w:t>
      </w:r>
      <w:r w:rsidR="005F1CBE" w:rsidRPr="00644ED5">
        <w:rPr>
          <w:rFonts w:ascii="Book Antiqua" w:hAnsi="Book Antiqua"/>
        </w:rPr>
        <w:t>.</w:t>
      </w:r>
      <w:r w:rsidR="006C25BF" w:rsidRPr="00644ED5">
        <w:rPr>
          <w:rFonts w:ascii="Book Antiqua" w:hAnsi="Book Antiqua"/>
        </w:rPr>
        <w:t xml:space="preserve"> </w:t>
      </w:r>
      <w:r w:rsidR="00124DFD" w:rsidRPr="00644ED5">
        <w:rPr>
          <w:rFonts w:ascii="Book Antiqua" w:hAnsi="Book Antiqua"/>
        </w:rPr>
        <w:t>1</w:t>
      </w:r>
      <w:r w:rsidR="00484620" w:rsidRPr="00644ED5">
        <w:rPr>
          <w:rFonts w:ascii="Book Antiqua" w:hAnsi="Book Antiqua"/>
        </w:rPr>
        <w:t>58</w:t>
      </w:r>
      <w:r w:rsidR="00380951" w:rsidRPr="00644ED5">
        <w:rPr>
          <w:rFonts w:ascii="Book Antiqua" w:hAnsi="Book Antiqua"/>
        </w:rPr>
        <w:t xml:space="preserve"> </w:t>
      </w:r>
      <w:r w:rsidR="008757E6" w:rsidRPr="00644ED5">
        <w:rPr>
          <w:rFonts w:ascii="Book Antiqua" w:hAnsi="Book Antiqua"/>
        </w:rPr>
        <w:t xml:space="preserve">publications were considered relevant to the key question and included </w:t>
      </w:r>
      <w:r w:rsidR="00697810" w:rsidRPr="00644ED5">
        <w:rPr>
          <w:rFonts w:ascii="Book Antiqua" w:hAnsi="Book Antiqua"/>
        </w:rPr>
        <w:t>in the present review (Fig</w:t>
      </w:r>
      <w:r w:rsidR="001356C5" w:rsidRPr="00644ED5">
        <w:rPr>
          <w:rFonts w:ascii="Book Antiqua" w:hAnsi="Book Antiqua"/>
        </w:rPr>
        <w:t>ure</w:t>
      </w:r>
      <w:r w:rsidR="00697810" w:rsidRPr="00644ED5">
        <w:rPr>
          <w:rFonts w:ascii="Book Antiqua" w:hAnsi="Book Antiqua"/>
        </w:rPr>
        <w:t xml:space="preserve"> 1).</w:t>
      </w:r>
      <w:r w:rsidR="00D60C7D" w:rsidRPr="00644ED5">
        <w:rPr>
          <w:rFonts w:ascii="Book Antiqua" w:hAnsi="Book Antiqua"/>
        </w:rPr>
        <w:t xml:space="preserve"> Only articles published in English were included.</w:t>
      </w:r>
      <w:bookmarkStart w:id="24" w:name="_Toc497668307"/>
    </w:p>
    <w:p w14:paraId="59375E5A" w14:textId="77777777" w:rsidR="00B6640C" w:rsidRPr="00644ED5" w:rsidRDefault="00B6640C" w:rsidP="00B6640C">
      <w:pPr>
        <w:spacing w:line="360" w:lineRule="auto"/>
        <w:rPr>
          <w:rFonts w:ascii="Book Antiqua" w:hAnsi="Book Antiqua"/>
          <w:lang w:eastAsia="zh-CN"/>
        </w:rPr>
      </w:pPr>
    </w:p>
    <w:p w14:paraId="7A9FB7EC" w14:textId="2F1FB950" w:rsidR="00B6640C" w:rsidRPr="00644ED5" w:rsidRDefault="00B6640C" w:rsidP="00B6640C">
      <w:pPr>
        <w:spacing w:line="360" w:lineRule="auto"/>
        <w:rPr>
          <w:rFonts w:ascii="Book Antiqua" w:hAnsi="Book Antiqua"/>
          <w:b/>
          <w:lang w:eastAsia="zh-CN"/>
        </w:rPr>
      </w:pPr>
      <w:r w:rsidRPr="00644ED5">
        <w:rPr>
          <w:rFonts w:ascii="Book Antiqua" w:hAnsi="Book Antiqua"/>
          <w:b/>
        </w:rPr>
        <w:t xml:space="preserve">CURRENTLY-USED MEDICATIONS </w:t>
      </w:r>
    </w:p>
    <w:p w14:paraId="43A5B80F" w14:textId="5C5FDE55" w:rsidR="00F53374" w:rsidRPr="00644ED5" w:rsidRDefault="00F53374" w:rsidP="00B6640C">
      <w:pPr>
        <w:spacing w:line="360" w:lineRule="auto"/>
        <w:rPr>
          <w:rFonts w:ascii="Book Antiqua" w:hAnsi="Book Antiqua"/>
          <w:b/>
          <w:i/>
        </w:rPr>
      </w:pPr>
      <w:r w:rsidRPr="00644ED5">
        <w:rPr>
          <w:rFonts w:ascii="Book Antiqua" w:hAnsi="Book Antiqua"/>
          <w:b/>
          <w:i/>
        </w:rPr>
        <w:t>Beta</w:t>
      </w:r>
      <w:r w:rsidR="0065544E" w:rsidRPr="00644ED5">
        <w:rPr>
          <w:rFonts w:ascii="Book Antiqua" w:hAnsi="Book Antiqua"/>
          <w:b/>
          <w:i/>
        </w:rPr>
        <w:t>-</w:t>
      </w:r>
      <w:r w:rsidRPr="00644ED5">
        <w:rPr>
          <w:rFonts w:ascii="Book Antiqua" w:hAnsi="Book Antiqua"/>
          <w:b/>
          <w:i/>
        </w:rPr>
        <w:t>blockers</w:t>
      </w:r>
      <w:bookmarkEnd w:id="24"/>
    </w:p>
    <w:p w14:paraId="0223CF49" w14:textId="44183DB5" w:rsidR="00B6640C" w:rsidRPr="00644ED5" w:rsidRDefault="008270F1" w:rsidP="00B6640C">
      <w:pPr>
        <w:spacing w:line="360" w:lineRule="auto"/>
        <w:rPr>
          <w:rFonts w:ascii="Book Antiqua" w:hAnsi="Book Antiqua" w:cs="Arial"/>
          <w:lang w:eastAsia="zh-CN"/>
        </w:rPr>
      </w:pPr>
      <w:r w:rsidRPr="00644ED5">
        <w:rPr>
          <w:rFonts w:ascii="Book Antiqua" w:hAnsi="Book Antiqua" w:cs="Arial"/>
        </w:rPr>
        <w:t xml:space="preserve">Presently, </w:t>
      </w:r>
      <w:bookmarkStart w:id="25" w:name="OLE_LINK341"/>
      <w:bookmarkStart w:id="26" w:name="OLE_LINK342"/>
      <w:r w:rsidR="00CB2DE5" w:rsidRPr="00644ED5">
        <w:rPr>
          <w:rFonts w:ascii="Book Antiqua" w:hAnsi="Book Antiqua" w:cs="Arial"/>
        </w:rPr>
        <w:t>non-selective beta-blockers</w:t>
      </w:r>
      <w:bookmarkEnd w:id="25"/>
      <w:bookmarkEnd w:id="26"/>
      <w:r w:rsidR="00CB2DE5" w:rsidRPr="00644ED5">
        <w:rPr>
          <w:rFonts w:ascii="Book Antiqua" w:hAnsi="Book Antiqua" w:cs="Arial"/>
        </w:rPr>
        <w:t xml:space="preserve"> (NSBB)</w:t>
      </w:r>
      <w:r w:rsidRPr="00644ED5">
        <w:rPr>
          <w:rFonts w:ascii="Book Antiqua" w:hAnsi="Book Antiqua" w:cs="Arial"/>
        </w:rPr>
        <w:t xml:space="preserve"> are the only drug class </w:t>
      </w:r>
      <w:r w:rsidR="001F3C85" w:rsidRPr="00644ED5">
        <w:rPr>
          <w:rFonts w:ascii="Book Antiqua" w:hAnsi="Book Antiqua" w:cs="Arial"/>
        </w:rPr>
        <w:t>endorsed</w:t>
      </w:r>
      <w:r w:rsidRPr="00644ED5">
        <w:rPr>
          <w:rFonts w:ascii="Book Antiqua" w:hAnsi="Book Antiqua" w:cs="Arial"/>
        </w:rPr>
        <w:t xml:space="preserve"> for the long-term treatment of portal hypertension</w:t>
      </w:r>
      <w:r w:rsidR="00BA0FDC" w:rsidRPr="00644ED5">
        <w:rPr>
          <w:rFonts w:ascii="Book Antiqua" w:hAnsi="Book Antiqua" w:cs="Arial"/>
          <w:vertAlign w:val="superscript"/>
        </w:rPr>
        <w:t>[4,5]</w:t>
      </w:r>
      <w:r w:rsidRPr="00644ED5">
        <w:rPr>
          <w:rFonts w:ascii="Book Antiqua" w:hAnsi="Book Antiqua" w:cs="Arial"/>
        </w:rPr>
        <w:t xml:space="preserve">. </w:t>
      </w:r>
      <w:r w:rsidR="00F53374" w:rsidRPr="00644ED5">
        <w:rPr>
          <w:rFonts w:ascii="Book Antiqua" w:hAnsi="Book Antiqua" w:cs="Arial"/>
        </w:rPr>
        <w:t xml:space="preserve">Along with endoscopic band ligation, </w:t>
      </w:r>
      <w:r w:rsidR="005971A8" w:rsidRPr="00644ED5">
        <w:rPr>
          <w:rFonts w:ascii="Book Antiqua" w:hAnsi="Book Antiqua" w:cs="Arial"/>
        </w:rPr>
        <w:t>NSBBs</w:t>
      </w:r>
      <w:r w:rsidR="00F53374" w:rsidRPr="00644ED5">
        <w:rPr>
          <w:rFonts w:ascii="Book Antiqua" w:hAnsi="Book Antiqua" w:cs="Arial"/>
        </w:rPr>
        <w:t xml:space="preserve"> are employed for primary and secondary prophylaxis against variceal haemorrhage, as they combat the hyperkinetic portal-hypertensive syndro</w:t>
      </w:r>
      <w:r w:rsidR="00D41AA9" w:rsidRPr="00644ED5">
        <w:rPr>
          <w:rFonts w:ascii="Book Antiqua" w:hAnsi="Book Antiqua" w:cs="Arial"/>
        </w:rPr>
        <w:t>me by decreasing cardiac output and</w:t>
      </w:r>
      <w:r w:rsidR="00F53374" w:rsidRPr="00644ED5">
        <w:rPr>
          <w:rFonts w:ascii="Book Antiqua" w:hAnsi="Book Antiqua" w:cs="Arial"/>
        </w:rPr>
        <w:t xml:space="preserve"> portal inflow</w:t>
      </w:r>
      <w:r w:rsidR="00D41AA9" w:rsidRPr="00644ED5">
        <w:rPr>
          <w:rFonts w:ascii="Book Antiqua" w:hAnsi="Book Antiqua" w:cs="Arial"/>
        </w:rPr>
        <w:t xml:space="preserve"> (</w:t>
      </w:r>
      <w:r w:rsidR="0024097E" w:rsidRPr="00644ED5">
        <w:rPr>
          <w:rFonts w:ascii="Book Antiqua" w:hAnsi="Book Antiqua" w:cs="Arial"/>
        </w:rPr>
        <w:t>β</w:t>
      </w:r>
      <w:r w:rsidR="00D41AA9" w:rsidRPr="00644ED5">
        <w:rPr>
          <w:rFonts w:ascii="Book Antiqua" w:hAnsi="Book Antiqua" w:cs="Arial"/>
        </w:rPr>
        <w:t>-1 receptor blockade)</w:t>
      </w:r>
      <w:r w:rsidR="00F53374" w:rsidRPr="00644ED5">
        <w:rPr>
          <w:rFonts w:ascii="Book Antiqua" w:hAnsi="Book Antiqua" w:cs="Arial"/>
        </w:rPr>
        <w:t xml:space="preserve"> and </w:t>
      </w:r>
      <w:r w:rsidR="00D41AA9" w:rsidRPr="00644ED5">
        <w:rPr>
          <w:rFonts w:ascii="Book Antiqua" w:hAnsi="Book Antiqua" w:cs="Arial"/>
        </w:rPr>
        <w:t>by achieving splanchnic vasoconstriction and reducing azygos blood flow (</w:t>
      </w:r>
      <w:r w:rsidR="0024097E" w:rsidRPr="00644ED5">
        <w:rPr>
          <w:rFonts w:ascii="Book Antiqua" w:hAnsi="Book Antiqua" w:cs="Arial"/>
        </w:rPr>
        <w:t>β</w:t>
      </w:r>
      <w:r w:rsidR="00D41AA9" w:rsidRPr="00644ED5">
        <w:rPr>
          <w:rFonts w:ascii="Book Antiqua" w:hAnsi="Book Antiqua" w:cs="Arial"/>
        </w:rPr>
        <w:t>-2</w:t>
      </w:r>
      <w:r w:rsidR="008E4D80" w:rsidRPr="00644ED5">
        <w:rPr>
          <w:rFonts w:ascii="Book Antiqua" w:hAnsi="Book Antiqua" w:cs="Arial"/>
        </w:rPr>
        <w:t xml:space="preserve"> receptor blockade)</w:t>
      </w:r>
      <w:r w:rsidR="00BA0FDC" w:rsidRPr="00644ED5">
        <w:rPr>
          <w:rFonts w:ascii="Book Antiqua" w:hAnsi="Book Antiqua" w:cs="Arial"/>
          <w:vertAlign w:val="superscript"/>
        </w:rPr>
        <w:t>[1,6-8]</w:t>
      </w:r>
      <w:r w:rsidR="00DA1736" w:rsidRPr="00644ED5">
        <w:rPr>
          <w:rFonts w:ascii="Book Antiqua" w:hAnsi="Book Antiqua" w:cs="Arial"/>
        </w:rPr>
        <w:t>. T</w:t>
      </w:r>
      <w:r w:rsidR="00F53374" w:rsidRPr="00644ED5">
        <w:rPr>
          <w:rFonts w:ascii="Book Antiqua" w:hAnsi="Book Antiqua" w:cs="Arial"/>
        </w:rPr>
        <w:t>hus</w:t>
      </w:r>
      <w:r w:rsidR="00DA1736" w:rsidRPr="00644ED5">
        <w:rPr>
          <w:rFonts w:ascii="Book Antiqua" w:hAnsi="Book Antiqua" w:cs="Arial"/>
        </w:rPr>
        <w:t xml:space="preserve"> they</w:t>
      </w:r>
      <w:r w:rsidR="00F53374" w:rsidRPr="00644ED5">
        <w:rPr>
          <w:rFonts w:ascii="Book Antiqua" w:hAnsi="Book Antiqua" w:cs="Arial"/>
        </w:rPr>
        <w:t xml:space="preserve"> efficaciously lower the risk of variceal bleeding and re</w:t>
      </w:r>
      <w:r w:rsidR="003F6BF2" w:rsidRPr="00644ED5">
        <w:rPr>
          <w:rFonts w:ascii="Book Antiqua" w:hAnsi="Book Antiqua" w:cs="Arial"/>
        </w:rPr>
        <w:t>-</w:t>
      </w:r>
      <w:r w:rsidR="00F53374" w:rsidRPr="00644ED5">
        <w:rPr>
          <w:rFonts w:ascii="Book Antiqua" w:hAnsi="Book Antiqua" w:cs="Arial"/>
        </w:rPr>
        <w:t>bleeding as evidenced by several randomized controlled trials</w:t>
      </w:r>
      <w:r w:rsidR="00CB2DE5" w:rsidRPr="00644ED5">
        <w:rPr>
          <w:rFonts w:ascii="Book Antiqua" w:hAnsi="Book Antiqua" w:cs="Arial"/>
        </w:rPr>
        <w:t xml:space="preserve"> (RCT)</w:t>
      </w:r>
      <w:r w:rsidR="00BA0FDC" w:rsidRPr="00644ED5">
        <w:rPr>
          <w:rFonts w:ascii="Book Antiqua" w:hAnsi="Book Antiqua" w:cs="Arial"/>
          <w:vertAlign w:val="superscript"/>
        </w:rPr>
        <w:t>[9-11]</w:t>
      </w:r>
      <w:r w:rsidR="00F53374" w:rsidRPr="00644ED5">
        <w:rPr>
          <w:rFonts w:ascii="Book Antiqua" w:hAnsi="Book Antiqua" w:cs="Arial"/>
        </w:rPr>
        <w:t xml:space="preserve">. </w:t>
      </w:r>
      <w:bookmarkStart w:id="27" w:name="_Toc497668308"/>
    </w:p>
    <w:p w14:paraId="066149FE" w14:textId="77777777" w:rsidR="00B6640C" w:rsidRPr="00644ED5" w:rsidRDefault="00B6640C" w:rsidP="00B6640C">
      <w:pPr>
        <w:spacing w:line="360" w:lineRule="auto"/>
        <w:rPr>
          <w:rFonts w:ascii="Book Antiqua" w:hAnsi="Book Antiqua" w:cs="Arial"/>
          <w:lang w:eastAsia="zh-CN"/>
        </w:rPr>
      </w:pPr>
    </w:p>
    <w:p w14:paraId="085E6F23" w14:textId="4A9E29A3" w:rsidR="0074742D" w:rsidRPr="00644ED5" w:rsidRDefault="00AE20E2" w:rsidP="0074742D">
      <w:pPr>
        <w:spacing w:line="360" w:lineRule="auto"/>
        <w:rPr>
          <w:rFonts w:ascii="Book Antiqua" w:hAnsi="Book Antiqua" w:cs="Arial"/>
          <w:lang w:eastAsia="zh-CN"/>
        </w:rPr>
      </w:pPr>
      <w:r w:rsidRPr="00644ED5">
        <w:rPr>
          <w:rFonts w:ascii="Book Antiqua" w:hAnsi="Book Antiqua"/>
          <w:b/>
        </w:rPr>
        <w:t>Recent concerns</w:t>
      </w:r>
      <w:bookmarkEnd w:id="27"/>
      <w:r w:rsidR="009A67C3" w:rsidRPr="00644ED5">
        <w:rPr>
          <w:rFonts w:ascii="Book Antiqua" w:hAnsi="Book Antiqua"/>
          <w:b/>
        </w:rPr>
        <w:t xml:space="preserve"> about beta-blocke</w:t>
      </w:r>
      <w:r w:rsidR="00390192" w:rsidRPr="00644ED5">
        <w:rPr>
          <w:rFonts w:ascii="Book Antiqua" w:hAnsi="Book Antiqua"/>
          <w:b/>
        </w:rPr>
        <w:t>rs</w:t>
      </w:r>
      <w:r w:rsidR="00B6640C" w:rsidRPr="00644ED5">
        <w:rPr>
          <w:rFonts w:ascii="Book Antiqua" w:hAnsi="Book Antiqua" w:hint="eastAsia"/>
          <w:b/>
          <w:lang w:eastAsia="zh-CN"/>
        </w:rPr>
        <w:t>:</w:t>
      </w:r>
      <w:r w:rsidR="00B6640C" w:rsidRPr="00644ED5">
        <w:rPr>
          <w:rFonts w:ascii="Book Antiqua" w:hAnsi="Book Antiqua" w:cs="Arial" w:hint="eastAsia"/>
          <w:b/>
          <w:lang w:eastAsia="zh-CN"/>
        </w:rPr>
        <w:t xml:space="preserve"> </w:t>
      </w:r>
      <w:r w:rsidR="00F53374" w:rsidRPr="00644ED5">
        <w:rPr>
          <w:rFonts w:ascii="Book Antiqua" w:hAnsi="Book Antiqua" w:cs="Arial"/>
        </w:rPr>
        <w:t>These trials, however, predominantly excluded patients with advanced decompensation, and recent studies have voiced concerns over the safety of beta-blockers in decompensated p</w:t>
      </w:r>
      <w:r w:rsidR="00CB2DE5" w:rsidRPr="00644ED5">
        <w:rPr>
          <w:rFonts w:ascii="Book Antiqua" w:hAnsi="Book Antiqua" w:cs="Arial"/>
        </w:rPr>
        <w:t>atients with refractory ascites or</w:t>
      </w:r>
      <w:r w:rsidR="00F53374" w:rsidRPr="00644ED5">
        <w:rPr>
          <w:rFonts w:ascii="Book Antiqua" w:hAnsi="Book Antiqua" w:cs="Arial"/>
        </w:rPr>
        <w:t xml:space="preserve"> SBP </w:t>
      </w:r>
      <w:r w:rsidR="00CB2DE5" w:rsidRPr="00644ED5">
        <w:rPr>
          <w:rFonts w:ascii="Book Antiqua" w:hAnsi="Book Antiqua" w:cs="Arial"/>
        </w:rPr>
        <w:t>and in cirrhotic patients with</w:t>
      </w:r>
      <w:r w:rsidR="00F53374" w:rsidRPr="00644ED5">
        <w:rPr>
          <w:rFonts w:ascii="Book Antiqua" w:hAnsi="Book Antiqua" w:cs="Arial"/>
        </w:rPr>
        <w:t xml:space="preserve"> alcoholic hepatitis</w:t>
      </w:r>
      <w:r w:rsidR="00BA0FDC" w:rsidRPr="00644ED5">
        <w:rPr>
          <w:rFonts w:ascii="Book Antiqua" w:hAnsi="Book Antiqua" w:cs="Arial"/>
          <w:vertAlign w:val="superscript"/>
        </w:rPr>
        <w:t>[12-14]</w:t>
      </w:r>
      <w:r w:rsidR="00F53374" w:rsidRPr="00644ED5">
        <w:rPr>
          <w:rFonts w:ascii="Book Antiqua" w:hAnsi="Book Antiqua" w:cs="Arial"/>
        </w:rPr>
        <w:t>.</w:t>
      </w:r>
      <w:r w:rsidR="00E6506B" w:rsidRPr="00644ED5">
        <w:rPr>
          <w:rFonts w:ascii="Book Antiqua" w:hAnsi="Book Antiqua" w:cs="Arial"/>
        </w:rPr>
        <w:t xml:space="preserve"> In a prospective cohort study of 151 patients with refractory ascites by </w:t>
      </w:r>
      <w:r w:rsidR="00B6640C" w:rsidRPr="00644ED5">
        <w:rPr>
          <w:rFonts w:ascii="Book Antiqua" w:hAnsi="Book Antiqua" w:cs="Arial"/>
        </w:rPr>
        <w:t>Sersté</w:t>
      </w:r>
      <w:r w:rsidR="00B6640C" w:rsidRPr="00644ED5">
        <w:rPr>
          <w:rFonts w:ascii="Book Antiqua" w:hAnsi="Book Antiqua" w:cs="Arial" w:hint="eastAsia"/>
          <w:lang w:eastAsia="zh-CN"/>
        </w:rPr>
        <w:t xml:space="preserve"> </w:t>
      </w:r>
      <w:r w:rsidR="00E6506B" w:rsidRPr="00644ED5">
        <w:rPr>
          <w:rFonts w:ascii="Book Antiqua" w:hAnsi="Book Antiqua" w:cs="Arial"/>
          <w:i/>
        </w:rPr>
        <w:t>et al</w:t>
      </w:r>
      <w:r w:rsidR="00B6640C" w:rsidRPr="00644ED5">
        <w:rPr>
          <w:rFonts w:ascii="Book Antiqua" w:hAnsi="Book Antiqua" w:cs="Arial" w:hint="eastAsia"/>
          <w:vertAlign w:val="superscript"/>
          <w:lang w:eastAsia="zh-CN"/>
        </w:rPr>
        <w:t>[12]</w:t>
      </w:r>
      <w:r w:rsidR="00E6506B" w:rsidRPr="00644ED5">
        <w:rPr>
          <w:rFonts w:ascii="Book Antiqua" w:hAnsi="Book Antiqua" w:cs="Arial"/>
        </w:rPr>
        <w:t>, 1-year survival was significantly lower in patients who received propranol</w:t>
      </w:r>
      <w:r w:rsidR="0085332A" w:rsidRPr="00644ED5">
        <w:rPr>
          <w:rFonts w:ascii="Book Antiqua" w:hAnsi="Book Antiqua" w:cs="Arial"/>
        </w:rPr>
        <w:t>ol</w:t>
      </w:r>
      <w:r w:rsidR="00E6506B" w:rsidRPr="00644ED5">
        <w:rPr>
          <w:rFonts w:ascii="Book Antiqua" w:hAnsi="Book Antiqua" w:cs="Arial"/>
        </w:rPr>
        <w:t xml:space="preserve"> (19%) compared to patients</w:t>
      </w:r>
      <w:r w:rsidR="00E8168B" w:rsidRPr="00644ED5">
        <w:rPr>
          <w:rFonts w:ascii="Book Antiqua" w:hAnsi="Book Antiqua" w:cs="Arial"/>
        </w:rPr>
        <w:t xml:space="preserve"> not on beta-blocker therapy</w:t>
      </w:r>
      <w:r w:rsidR="00E6506B" w:rsidRPr="00644ED5">
        <w:rPr>
          <w:rFonts w:ascii="Book Antiqua" w:hAnsi="Book Antiqua" w:cs="Arial"/>
        </w:rPr>
        <w:t xml:space="preserve"> (64%). In another </w:t>
      </w:r>
      <w:r w:rsidR="005D4741" w:rsidRPr="00644ED5">
        <w:rPr>
          <w:rFonts w:ascii="Book Antiqua" w:hAnsi="Book Antiqua" w:cs="Arial"/>
        </w:rPr>
        <w:t>retrospective cohort study</w:t>
      </w:r>
      <w:r w:rsidR="00E6506B" w:rsidRPr="00644ED5">
        <w:rPr>
          <w:rFonts w:ascii="Book Antiqua" w:hAnsi="Book Antiqua" w:cs="Arial"/>
        </w:rPr>
        <w:t xml:space="preserve"> by </w:t>
      </w:r>
      <w:r w:rsidR="0074742D" w:rsidRPr="00644ED5">
        <w:rPr>
          <w:rFonts w:ascii="Book Antiqua" w:hAnsi="Book Antiqua" w:cs="Arial"/>
        </w:rPr>
        <w:t>Sersté</w:t>
      </w:r>
      <w:r w:rsidR="0074742D" w:rsidRPr="00644ED5">
        <w:rPr>
          <w:rFonts w:ascii="Book Antiqua" w:hAnsi="Book Antiqua" w:cs="Arial" w:hint="eastAsia"/>
          <w:lang w:eastAsia="zh-CN"/>
        </w:rPr>
        <w:t xml:space="preserve"> </w:t>
      </w:r>
      <w:r w:rsidR="0074742D" w:rsidRPr="00644ED5">
        <w:rPr>
          <w:rFonts w:ascii="Book Antiqua" w:hAnsi="Book Antiqua" w:cs="Arial"/>
          <w:i/>
        </w:rPr>
        <w:t>et al</w:t>
      </w:r>
      <w:r w:rsidR="0074742D" w:rsidRPr="00644ED5">
        <w:rPr>
          <w:rFonts w:ascii="Book Antiqua" w:hAnsi="Book Antiqua" w:cs="Arial" w:hint="eastAsia"/>
          <w:vertAlign w:val="superscript"/>
          <w:lang w:eastAsia="zh-CN"/>
        </w:rPr>
        <w:t>[13]</w:t>
      </w:r>
      <w:r w:rsidR="00E6506B" w:rsidRPr="00644ED5">
        <w:rPr>
          <w:rFonts w:ascii="Book Antiqua" w:hAnsi="Book Antiqua" w:cs="Arial"/>
        </w:rPr>
        <w:t xml:space="preserve"> </w:t>
      </w:r>
      <w:r w:rsidR="008E4D80" w:rsidRPr="00644ED5">
        <w:rPr>
          <w:rFonts w:ascii="Book Antiqua" w:hAnsi="Book Antiqua" w:cs="Arial"/>
        </w:rPr>
        <w:t xml:space="preserve">including 139 </w:t>
      </w:r>
      <w:r w:rsidR="005D4741" w:rsidRPr="00644ED5">
        <w:rPr>
          <w:rFonts w:ascii="Book Antiqua" w:hAnsi="Book Antiqua" w:cs="Arial"/>
        </w:rPr>
        <w:t xml:space="preserve">cirrhotic </w:t>
      </w:r>
      <w:r w:rsidR="008E4D80" w:rsidRPr="00644ED5">
        <w:rPr>
          <w:rFonts w:ascii="Book Antiqua" w:hAnsi="Book Antiqua" w:cs="Arial"/>
        </w:rPr>
        <w:t>patients with</w:t>
      </w:r>
      <w:r w:rsidR="00E6506B" w:rsidRPr="00644ED5">
        <w:rPr>
          <w:rFonts w:ascii="Book Antiqua" w:hAnsi="Book Antiqua" w:cs="Arial"/>
        </w:rPr>
        <w:t xml:space="preserve"> severe alcoholic hepatitis, cumulative incidence of </w:t>
      </w:r>
      <w:r w:rsidR="008E4D80" w:rsidRPr="00644ED5">
        <w:rPr>
          <w:rFonts w:ascii="Book Antiqua" w:hAnsi="Book Antiqua" w:cs="Arial"/>
        </w:rPr>
        <w:t>acute kidney injury</w:t>
      </w:r>
      <w:r w:rsidR="0054512A" w:rsidRPr="00644ED5">
        <w:rPr>
          <w:rFonts w:ascii="Book Antiqua" w:hAnsi="Book Antiqua" w:cs="Arial"/>
        </w:rPr>
        <w:t xml:space="preserve"> (AKI)</w:t>
      </w:r>
      <w:r w:rsidR="00E6506B" w:rsidRPr="00644ED5">
        <w:rPr>
          <w:rFonts w:ascii="Book Antiqua" w:hAnsi="Book Antiqua" w:cs="Arial"/>
        </w:rPr>
        <w:t xml:space="preserve"> was significantly higher in the group receiving beta-blockers (89.6%) </w:t>
      </w:r>
      <w:r w:rsidR="00E6506B" w:rsidRPr="00644ED5">
        <w:rPr>
          <w:rFonts w:ascii="Book Antiqua" w:hAnsi="Book Antiqua" w:cs="Arial"/>
          <w:i/>
        </w:rPr>
        <w:t>v</w:t>
      </w:r>
      <w:r w:rsidR="0074742D" w:rsidRPr="00644ED5">
        <w:rPr>
          <w:rFonts w:ascii="Book Antiqua" w:hAnsi="Book Antiqua" w:cs="Arial" w:hint="eastAsia"/>
          <w:i/>
          <w:lang w:eastAsia="zh-CN"/>
        </w:rPr>
        <w:t>s</w:t>
      </w:r>
      <w:r w:rsidR="00E6506B" w:rsidRPr="00644ED5">
        <w:rPr>
          <w:rFonts w:ascii="Book Antiqua" w:hAnsi="Book Antiqua" w:cs="Arial"/>
        </w:rPr>
        <w:t xml:space="preserve"> the group not receiving beta-blockers (50.4%). In a retrospective analysis of 607 </w:t>
      </w:r>
      <w:r w:rsidR="008E4D80" w:rsidRPr="00644ED5">
        <w:rPr>
          <w:rFonts w:ascii="Book Antiqua" w:hAnsi="Book Antiqua" w:cs="Arial"/>
        </w:rPr>
        <w:t>cirrhotic patients</w:t>
      </w:r>
      <w:r w:rsidR="00E6506B" w:rsidRPr="00644ED5">
        <w:rPr>
          <w:rFonts w:ascii="Book Antiqua" w:hAnsi="Book Antiqua" w:cs="Arial"/>
        </w:rPr>
        <w:t xml:space="preserve"> by Mandorfer </w:t>
      </w:r>
      <w:r w:rsidR="00E6506B" w:rsidRPr="00644ED5">
        <w:rPr>
          <w:rFonts w:ascii="Book Antiqua" w:hAnsi="Book Antiqua" w:cs="Arial"/>
          <w:i/>
        </w:rPr>
        <w:t>et al</w:t>
      </w:r>
      <w:r w:rsidR="0074742D" w:rsidRPr="00644ED5">
        <w:rPr>
          <w:rFonts w:ascii="Book Antiqua" w:hAnsi="Book Antiqua" w:cs="Arial" w:hint="eastAsia"/>
          <w:vertAlign w:val="superscript"/>
          <w:lang w:eastAsia="zh-CN"/>
        </w:rPr>
        <w:t>[14]</w:t>
      </w:r>
      <w:r w:rsidR="0074742D" w:rsidRPr="00644ED5">
        <w:rPr>
          <w:rFonts w:ascii="Book Antiqua" w:hAnsi="Book Antiqua" w:cs="Arial" w:hint="eastAsia"/>
          <w:lang w:eastAsia="zh-CN"/>
        </w:rPr>
        <w:t>,</w:t>
      </w:r>
      <w:r w:rsidR="00E6506B" w:rsidRPr="00644ED5">
        <w:rPr>
          <w:rFonts w:ascii="Book Antiqua" w:hAnsi="Book Antiqua" w:cs="Arial"/>
        </w:rPr>
        <w:t xml:space="preserve"> </w:t>
      </w:r>
      <w:r w:rsidR="005971A8" w:rsidRPr="00644ED5">
        <w:rPr>
          <w:rFonts w:ascii="Book Antiqua" w:hAnsi="Book Antiqua" w:cs="Arial"/>
        </w:rPr>
        <w:t>NSBB therapy was</w:t>
      </w:r>
      <w:r w:rsidR="00E6506B" w:rsidRPr="00644ED5">
        <w:rPr>
          <w:rFonts w:ascii="Book Antiqua" w:hAnsi="Book Antiqua" w:cs="Arial"/>
        </w:rPr>
        <w:t xml:space="preserve"> associated with increased transplant-free survival in patients without SBP, but with decreased transplant-free survival, increased length of non-elective hospitali</w:t>
      </w:r>
      <w:r w:rsidR="0085332A" w:rsidRPr="00644ED5">
        <w:rPr>
          <w:rFonts w:ascii="Book Antiqua" w:hAnsi="Book Antiqua" w:cs="Arial"/>
        </w:rPr>
        <w:t>s</w:t>
      </w:r>
      <w:r w:rsidR="00E6506B" w:rsidRPr="00644ED5">
        <w:rPr>
          <w:rFonts w:ascii="Book Antiqua" w:hAnsi="Book Antiqua" w:cs="Arial"/>
        </w:rPr>
        <w:t>ation and increased rates of hepatorenal syndrome</w:t>
      </w:r>
      <w:r w:rsidR="00F46243" w:rsidRPr="00644ED5">
        <w:rPr>
          <w:rFonts w:ascii="Book Antiqua" w:hAnsi="Book Antiqua" w:cs="Arial" w:hint="eastAsia"/>
          <w:lang w:eastAsia="zh-CN"/>
        </w:rPr>
        <w:t xml:space="preserve"> (HRS)</w:t>
      </w:r>
      <w:r w:rsidR="00E6506B" w:rsidRPr="00644ED5">
        <w:rPr>
          <w:rFonts w:ascii="Book Antiqua" w:hAnsi="Book Antiqua" w:cs="Arial"/>
        </w:rPr>
        <w:t xml:space="preserve"> in patients with SBP. </w:t>
      </w:r>
      <w:r w:rsidR="00F53374" w:rsidRPr="00644ED5">
        <w:rPr>
          <w:rFonts w:ascii="Book Antiqua" w:hAnsi="Book Antiqua" w:cs="Arial"/>
        </w:rPr>
        <w:t xml:space="preserve">Pathophysiologically, circulating blood volume depletion during large volume paracentesis for refractory ascites and the systemic inflammatory </w:t>
      </w:r>
      <w:r w:rsidR="00F53374" w:rsidRPr="00644ED5">
        <w:rPr>
          <w:rFonts w:ascii="Book Antiqua" w:hAnsi="Book Antiqua" w:cs="Arial"/>
        </w:rPr>
        <w:lastRenderedPageBreak/>
        <w:t>response during SBP may threaten the already limited cardiac reserve of decompensated patients, while beta-blockade further impairs restoration of renal and systemic perfusion pressures</w:t>
      </w:r>
      <w:r w:rsidR="00BA0FDC" w:rsidRPr="00644ED5">
        <w:rPr>
          <w:rFonts w:ascii="Book Antiqua" w:hAnsi="Book Antiqua" w:cs="Arial"/>
          <w:vertAlign w:val="superscript"/>
        </w:rPr>
        <w:t>[7]</w:t>
      </w:r>
      <w:r w:rsidR="00F53374" w:rsidRPr="00644ED5">
        <w:rPr>
          <w:rFonts w:ascii="Book Antiqua" w:hAnsi="Book Antiqua" w:cs="Arial"/>
        </w:rPr>
        <w:t xml:space="preserve">. </w:t>
      </w:r>
      <w:r w:rsidR="00E6506B" w:rsidRPr="00644ED5">
        <w:rPr>
          <w:rFonts w:ascii="Book Antiqua" w:hAnsi="Book Antiqua" w:cs="Arial"/>
        </w:rPr>
        <w:t>Furthermore, patients with advanced stages of decompensation and a more amplified hyperdynamic circulation are likely to receive higher doses of beta-blockers, thus exaggerating detrimental effects on systemic haemodynamics. Accordingly, a retrospective nationwide study of 3719 Danish patients with cirrhosis found a reduction in mortality for propranolol doses &lt;</w:t>
      </w:r>
      <w:r w:rsidR="0074742D" w:rsidRPr="00644ED5">
        <w:rPr>
          <w:rFonts w:ascii="Book Antiqua" w:hAnsi="Book Antiqua" w:cs="Arial" w:hint="eastAsia"/>
          <w:lang w:eastAsia="zh-CN"/>
        </w:rPr>
        <w:t xml:space="preserve"> </w:t>
      </w:r>
      <w:r w:rsidR="00E6506B" w:rsidRPr="00644ED5">
        <w:rPr>
          <w:rFonts w:ascii="Book Antiqua" w:hAnsi="Book Antiqua" w:cs="Arial"/>
        </w:rPr>
        <w:t>160</w:t>
      </w:r>
      <w:r w:rsidR="0074742D" w:rsidRPr="00644ED5">
        <w:rPr>
          <w:rFonts w:ascii="Book Antiqua" w:hAnsi="Book Antiqua" w:cs="Arial" w:hint="eastAsia"/>
          <w:lang w:eastAsia="zh-CN"/>
        </w:rPr>
        <w:t xml:space="preserve"> </w:t>
      </w:r>
      <w:r w:rsidR="00E6506B" w:rsidRPr="00644ED5">
        <w:rPr>
          <w:rFonts w:ascii="Book Antiqua" w:hAnsi="Book Antiqua" w:cs="Arial"/>
        </w:rPr>
        <w:t>mg/d but an increase in mortality for doses &gt;</w:t>
      </w:r>
      <w:r w:rsidR="0074742D" w:rsidRPr="00644ED5">
        <w:rPr>
          <w:rFonts w:ascii="Book Antiqua" w:hAnsi="Book Antiqua" w:cs="Arial" w:hint="eastAsia"/>
          <w:lang w:eastAsia="zh-CN"/>
        </w:rPr>
        <w:t xml:space="preserve"> </w:t>
      </w:r>
      <w:r w:rsidR="00E6506B" w:rsidRPr="00644ED5">
        <w:rPr>
          <w:rFonts w:ascii="Book Antiqua" w:hAnsi="Book Antiqua" w:cs="Arial"/>
        </w:rPr>
        <w:t>160</w:t>
      </w:r>
      <w:r w:rsidR="0074742D" w:rsidRPr="00644ED5">
        <w:rPr>
          <w:rFonts w:ascii="Book Antiqua" w:hAnsi="Book Antiqua" w:cs="Arial" w:hint="eastAsia"/>
          <w:lang w:eastAsia="zh-CN"/>
        </w:rPr>
        <w:t xml:space="preserve"> </w:t>
      </w:r>
      <w:r w:rsidR="00E6506B" w:rsidRPr="00644ED5">
        <w:rPr>
          <w:rFonts w:ascii="Book Antiqua" w:hAnsi="Book Antiqua" w:cs="Arial"/>
        </w:rPr>
        <w:t>mg/d</w:t>
      </w:r>
      <w:r w:rsidR="00BA0FDC" w:rsidRPr="00644ED5">
        <w:rPr>
          <w:rFonts w:ascii="Book Antiqua" w:hAnsi="Book Antiqua" w:cs="Arial"/>
          <w:vertAlign w:val="superscript"/>
        </w:rPr>
        <w:t>[15]</w:t>
      </w:r>
      <w:r w:rsidR="00E6506B" w:rsidRPr="00644ED5">
        <w:rPr>
          <w:rFonts w:ascii="Book Antiqua" w:hAnsi="Book Antiqua" w:cs="Arial"/>
        </w:rPr>
        <w:t xml:space="preserve">. </w:t>
      </w:r>
    </w:p>
    <w:p w14:paraId="77227738" w14:textId="77777777" w:rsidR="0074742D" w:rsidRPr="00644ED5" w:rsidRDefault="0074742D" w:rsidP="0074742D">
      <w:pPr>
        <w:spacing w:line="360" w:lineRule="auto"/>
        <w:rPr>
          <w:rFonts w:ascii="Book Antiqua" w:hAnsi="Book Antiqua"/>
          <w:lang w:eastAsia="zh-CN"/>
        </w:rPr>
      </w:pPr>
      <w:bookmarkStart w:id="28" w:name="_Toc497668309"/>
    </w:p>
    <w:p w14:paraId="3810A106" w14:textId="3733FF60" w:rsidR="00CA3B43" w:rsidRPr="00644ED5" w:rsidRDefault="00AE20E2" w:rsidP="00667231">
      <w:pPr>
        <w:spacing w:line="360" w:lineRule="auto"/>
        <w:rPr>
          <w:rFonts w:ascii="Book Antiqua" w:hAnsi="Book Antiqua" w:cs="Arial"/>
          <w:lang w:val="en-US" w:eastAsia="zh-CN"/>
        </w:rPr>
      </w:pPr>
      <w:r w:rsidRPr="00644ED5">
        <w:rPr>
          <w:rFonts w:ascii="Book Antiqua" w:hAnsi="Book Antiqua"/>
          <w:b/>
        </w:rPr>
        <w:t>The ‘window hypothesis’</w:t>
      </w:r>
      <w:bookmarkEnd w:id="28"/>
      <w:r w:rsidR="0074742D" w:rsidRPr="00644ED5">
        <w:rPr>
          <w:rFonts w:ascii="Book Antiqua" w:hAnsi="Book Antiqua" w:hint="eastAsia"/>
          <w:b/>
          <w:lang w:eastAsia="zh-CN"/>
        </w:rPr>
        <w:t>:</w:t>
      </w:r>
      <w:r w:rsidR="0074742D" w:rsidRPr="00644ED5">
        <w:rPr>
          <w:rFonts w:ascii="Book Antiqua" w:hAnsi="Book Antiqua" w:cs="Arial" w:hint="eastAsia"/>
          <w:b/>
          <w:lang w:eastAsia="zh-CN"/>
        </w:rPr>
        <w:t xml:space="preserve"> </w:t>
      </w:r>
      <w:r w:rsidR="008E4D80" w:rsidRPr="00644ED5">
        <w:rPr>
          <w:rFonts w:ascii="Book Antiqua" w:hAnsi="Book Antiqua" w:cs="Arial"/>
        </w:rPr>
        <w:t>Consequently, t</w:t>
      </w:r>
      <w:r w:rsidR="00F53374" w:rsidRPr="00644ED5">
        <w:rPr>
          <w:rFonts w:ascii="Book Antiqua" w:hAnsi="Book Antiqua" w:cs="Arial"/>
        </w:rPr>
        <w:t xml:space="preserve">he ‘window hypothesis’ by Krag </w:t>
      </w:r>
      <w:r w:rsidR="00F53374" w:rsidRPr="00644ED5">
        <w:rPr>
          <w:rFonts w:ascii="Book Antiqua" w:hAnsi="Book Antiqua" w:cs="Arial"/>
          <w:i/>
        </w:rPr>
        <w:t>et al</w:t>
      </w:r>
      <w:r w:rsidR="0074742D" w:rsidRPr="00644ED5">
        <w:rPr>
          <w:rFonts w:ascii="Book Antiqua" w:hAnsi="Book Antiqua" w:cs="Arial" w:hint="eastAsia"/>
          <w:vertAlign w:val="superscript"/>
          <w:lang w:eastAsia="zh-CN"/>
        </w:rPr>
        <w:t>[16]</w:t>
      </w:r>
      <w:r w:rsidR="00F53374" w:rsidRPr="00644ED5">
        <w:rPr>
          <w:rFonts w:ascii="Book Antiqua" w:hAnsi="Book Antiqua" w:cs="Arial"/>
        </w:rPr>
        <w:t xml:space="preserve"> proposes the existence of a specific time frame of opportunity during the natural course of cirrhosis, only within the bounds of which </w:t>
      </w:r>
      <w:r w:rsidR="005971A8" w:rsidRPr="00644ED5">
        <w:rPr>
          <w:rFonts w:ascii="Book Antiqua" w:hAnsi="Book Antiqua" w:cs="Arial"/>
        </w:rPr>
        <w:t>NSBB</w:t>
      </w:r>
      <w:r w:rsidR="00F53374" w:rsidRPr="00644ED5">
        <w:rPr>
          <w:rFonts w:ascii="Book Antiqua" w:hAnsi="Book Antiqua" w:cs="Arial"/>
        </w:rPr>
        <w:t xml:space="preserve"> therapy exerts beneficial effects on surviva. </w:t>
      </w:r>
      <w:r w:rsidR="00DA3A1F" w:rsidRPr="00644ED5">
        <w:rPr>
          <w:rFonts w:ascii="Book Antiqua" w:hAnsi="Book Antiqua" w:cs="Arial"/>
        </w:rPr>
        <w:t xml:space="preserve">It is propositioned that the window opens with the development of moderate/large varices and closes during advanced cirrhosis with the advent of refractory ascites, SBP, </w:t>
      </w:r>
      <w:r w:rsidR="00F46243" w:rsidRPr="00644ED5">
        <w:rPr>
          <w:rFonts w:ascii="Book Antiqua" w:hAnsi="Book Antiqua" w:cs="Arial" w:hint="eastAsia"/>
          <w:lang w:eastAsia="zh-CN"/>
        </w:rPr>
        <w:t>HRS</w:t>
      </w:r>
      <w:r w:rsidR="00DA3A1F" w:rsidRPr="00644ED5">
        <w:rPr>
          <w:rFonts w:ascii="Book Antiqua" w:hAnsi="Book Antiqua" w:cs="Arial"/>
        </w:rPr>
        <w:t xml:space="preserve"> </w:t>
      </w:r>
      <w:r w:rsidR="00CB2DE5" w:rsidRPr="00644ED5">
        <w:rPr>
          <w:rFonts w:ascii="Book Antiqua" w:hAnsi="Book Antiqua" w:cs="Arial"/>
        </w:rPr>
        <w:t>or with the occurrence of</w:t>
      </w:r>
      <w:r w:rsidR="00DA3A1F" w:rsidRPr="00644ED5">
        <w:rPr>
          <w:rFonts w:ascii="Book Antiqua" w:hAnsi="Book Antiqua" w:cs="Arial"/>
        </w:rPr>
        <w:t xml:space="preserve"> alcoholic hepatitis</w:t>
      </w:r>
      <w:r w:rsidR="00BA0FDC" w:rsidRPr="00644ED5">
        <w:rPr>
          <w:rFonts w:ascii="Book Antiqua" w:hAnsi="Book Antiqua" w:cs="Arial"/>
          <w:vertAlign w:val="superscript"/>
        </w:rPr>
        <w:t>[6,16]</w:t>
      </w:r>
      <w:r w:rsidR="00DA3A1F" w:rsidRPr="00644ED5">
        <w:rPr>
          <w:rFonts w:ascii="Book Antiqua" w:hAnsi="Book Antiqua" w:cs="Arial"/>
        </w:rPr>
        <w:t xml:space="preserve">. </w:t>
      </w:r>
      <w:r w:rsidR="002B138A" w:rsidRPr="00644ED5">
        <w:rPr>
          <w:rFonts w:ascii="Book Antiqua" w:hAnsi="Book Antiqua" w:cs="Arial"/>
        </w:rPr>
        <w:t>A</w:t>
      </w:r>
      <w:r w:rsidR="005029E4" w:rsidRPr="00644ED5">
        <w:rPr>
          <w:rFonts w:ascii="Book Antiqua" w:hAnsi="Book Antiqua" w:cs="Arial"/>
        </w:rPr>
        <w:t>n elegantly</w:t>
      </w:r>
      <w:r w:rsidR="00F5560B" w:rsidRPr="00644ED5">
        <w:rPr>
          <w:rFonts w:ascii="Book Antiqua" w:hAnsi="Book Antiqua" w:cs="Arial"/>
        </w:rPr>
        <w:t>-</w:t>
      </w:r>
      <w:r w:rsidR="005029E4" w:rsidRPr="00644ED5">
        <w:rPr>
          <w:rFonts w:ascii="Book Antiqua" w:hAnsi="Book Antiqua" w:cs="Arial"/>
        </w:rPr>
        <w:t>designed</w:t>
      </w:r>
      <w:r w:rsidR="00DA3A1F" w:rsidRPr="00644ED5">
        <w:rPr>
          <w:rFonts w:ascii="Book Antiqua" w:hAnsi="Book Antiqua" w:cs="Arial"/>
        </w:rPr>
        <w:t xml:space="preserve"> randomized controlled trial</w:t>
      </w:r>
      <w:r w:rsidR="005029E4" w:rsidRPr="00644ED5">
        <w:rPr>
          <w:rFonts w:ascii="Book Antiqua" w:hAnsi="Book Antiqua" w:cs="Arial"/>
        </w:rPr>
        <w:t xml:space="preserve"> by Groszmann </w:t>
      </w:r>
      <w:r w:rsidR="005029E4" w:rsidRPr="00644ED5">
        <w:rPr>
          <w:rFonts w:ascii="Book Antiqua" w:hAnsi="Book Antiqua" w:cs="Arial"/>
          <w:i/>
        </w:rPr>
        <w:t>et al</w:t>
      </w:r>
      <w:r w:rsidR="0074742D" w:rsidRPr="00644ED5">
        <w:rPr>
          <w:rFonts w:ascii="Book Antiqua" w:hAnsi="Book Antiqua" w:cs="Arial"/>
          <w:vertAlign w:val="superscript"/>
        </w:rPr>
        <w:t>[17]</w:t>
      </w:r>
      <w:r w:rsidR="00DA3A1F" w:rsidRPr="00644ED5">
        <w:rPr>
          <w:rFonts w:ascii="Book Antiqua" w:hAnsi="Book Antiqua" w:cs="Arial"/>
        </w:rPr>
        <w:t xml:space="preserve"> </w:t>
      </w:r>
      <w:r w:rsidR="00F5560B" w:rsidRPr="00644ED5">
        <w:rPr>
          <w:rFonts w:ascii="Book Antiqua" w:hAnsi="Book Antiqua" w:cs="Arial"/>
        </w:rPr>
        <w:t xml:space="preserve">demonstrated </w:t>
      </w:r>
      <w:r w:rsidR="00DA3A1F" w:rsidRPr="00644ED5">
        <w:rPr>
          <w:rFonts w:ascii="Book Antiqua" w:hAnsi="Book Antiqua" w:cs="Arial"/>
        </w:rPr>
        <w:t xml:space="preserve">that </w:t>
      </w:r>
      <w:r w:rsidR="005971A8" w:rsidRPr="00644ED5">
        <w:rPr>
          <w:rFonts w:ascii="Book Antiqua" w:hAnsi="Book Antiqua" w:cs="Arial"/>
        </w:rPr>
        <w:t>NSBBs</w:t>
      </w:r>
      <w:r w:rsidR="007B7AF9" w:rsidRPr="00644ED5">
        <w:rPr>
          <w:rFonts w:ascii="Book Antiqua" w:hAnsi="Book Antiqua" w:cs="Arial"/>
        </w:rPr>
        <w:t xml:space="preserve"> are ineffective i</w:t>
      </w:r>
      <w:r w:rsidR="00AD4A4D" w:rsidRPr="00644ED5">
        <w:rPr>
          <w:rFonts w:ascii="Book Antiqua" w:hAnsi="Book Antiqua" w:cs="Arial"/>
        </w:rPr>
        <w:t>n the pre</w:t>
      </w:r>
      <w:r w:rsidR="0085332A" w:rsidRPr="00644ED5">
        <w:rPr>
          <w:rFonts w:ascii="Book Antiqua" w:hAnsi="Book Antiqua" w:cs="Arial"/>
        </w:rPr>
        <w:t>-</w:t>
      </w:r>
      <w:r w:rsidR="00AD4A4D" w:rsidRPr="00644ED5">
        <w:rPr>
          <w:rFonts w:ascii="Book Antiqua" w:hAnsi="Book Antiqua" w:cs="Arial"/>
        </w:rPr>
        <w:t>primary prophylaxis of</w:t>
      </w:r>
      <w:r w:rsidR="007B7AF9" w:rsidRPr="00644ED5">
        <w:rPr>
          <w:rFonts w:ascii="Book Antiqua" w:hAnsi="Book Antiqua" w:cs="Arial"/>
        </w:rPr>
        <w:t xml:space="preserve"> variceal development and even</w:t>
      </w:r>
      <w:r w:rsidR="00DA3A1F" w:rsidRPr="00644ED5">
        <w:rPr>
          <w:rFonts w:ascii="Book Antiqua" w:hAnsi="Book Antiqua" w:cs="Arial"/>
        </w:rPr>
        <w:t xml:space="preserve"> result in adverse effects in patients without varices</w:t>
      </w:r>
      <w:r w:rsidR="00AD4A4D" w:rsidRPr="00644ED5">
        <w:rPr>
          <w:rFonts w:ascii="Book Antiqua" w:hAnsi="Book Antiqua" w:cs="Arial"/>
        </w:rPr>
        <w:t xml:space="preserve">, since the absence of a hyperdynamic circulation in patients with subclinical portal hypertension </w:t>
      </w:r>
      <w:r w:rsidR="00481189" w:rsidRPr="00644ED5">
        <w:rPr>
          <w:rFonts w:ascii="Book Antiqua" w:hAnsi="Book Antiqua" w:cs="Arial"/>
        </w:rPr>
        <w:t>(H</w:t>
      </w:r>
      <w:r w:rsidR="00C5286E" w:rsidRPr="00644ED5">
        <w:rPr>
          <w:rFonts w:ascii="Book Antiqua" w:hAnsi="Book Antiqua" w:cs="Arial"/>
        </w:rPr>
        <w:t>epato-Venous Pressure Gradient (HVPG)</w:t>
      </w:r>
      <w:r w:rsidR="00481189" w:rsidRPr="00644ED5">
        <w:rPr>
          <w:rFonts w:ascii="Book Antiqua" w:hAnsi="Book Antiqua" w:cs="Arial"/>
        </w:rPr>
        <w:t xml:space="preserve"> &lt;</w:t>
      </w:r>
      <w:r w:rsidR="0074742D" w:rsidRPr="00644ED5">
        <w:rPr>
          <w:rFonts w:ascii="Book Antiqua" w:hAnsi="Book Antiqua" w:cs="Arial" w:hint="eastAsia"/>
          <w:lang w:eastAsia="zh-CN"/>
        </w:rPr>
        <w:t xml:space="preserve"> </w:t>
      </w:r>
      <w:r w:rsidR="00481189" w:rsidRPr="00644ED5">
        <w:rPr>
          <w:rFonts w:ascii="Book Antiqua" w:hAnsi="Book Antiqua" w:cs="Arial"/>
        </w:rPr>
        <w:t>10</w:t>
      </w:r>
      <w:r w:rsidR="0074742D" w:rsidRPr="00644ED5">
        <w:rPr>
          <w:rFonts w:ascii="Book Antiqua" w:hAnsi="Book Antiqua" w:cs="Arial" w:hint="eastAsia"/>
          <w:lang w:eastAsia="zh-CN"/>
        </w:rPr>
        <w:t xml:space="preserve"> </w:t>
      </w:r>
      <w:r w:rsidR="00481189" w:rsidRPr="00644ED5">
        <w:rPr>
          <w:rFonts w:ascii="Book Antiqua" w:hAnsi="Book Antiqua" w:cs="Arial"/>
        </w:rPr>
        <w:t xml:space="preserve">mmHg) </w:t>
      </w:r>
      <w:r w:rsidR="00AD4A4D" w:rsidRPr="00644ED5">
        <w:rPr>
          <w:rFonts w:ascii="Book Antiqua" w:hAnsi="Book Antiqua" w:cs="Arial"/>
        </w:rPr>
        <w:t>attenuates the portal pressure lowering effects of beta-blockers</w:t>
      </w:r>
      <w:r w:rsidR="00BA0FDC" w:rsidRPr="00644ED5">
        <w:rPr>
          <w:rFonts w:ascii="Book Antiqua" w:hAnsi="Book Antiqua" w:cs="Arial"/>
          <w:vertAlign w:val="superscript"/>
        </w:rPr>
        <w:t>[18,19]</w:t>
      </w:r>
      <w:r w:rsidR="00AD4A4D" w:rsidRPr="00644ED5">
        <w:rPr>
          <w:rFonts w:ascii="Book Antiqua" w:hAnsi="Book Antiqua" w:cs="Arial"/>
        </w:rPr>
        <w:t>.</w:t>
      </w:r>
      <w:r w:rsidR="001B6C73" w:rsidRPr="00644ED5">
        <w:rPr>
          <w:rFonts w:ascii="Book Antiqua" w:hAnsi="Book Antiqua" w:cs="Arial"/>
        </w:rPr>
        <w:t xml:space="preserve"> </w:t>
      </w:r>
      <w:r w:rsidR="00762311" w:rsidRPr="00644ED5">
        <w:rPr>
          <w:rFonts w:ascii="Book Antiqua" w:hAnsi="Book Antiqua" w:cs="Arial"/>
        </w:rPr>
        <w:t xml:space="preserve">A more recent meta-analysis by Kumar </w:t>
      </w:r>
      <w:r w:rsidR="00762311" w:rsidRPr="00644ED5">
        <w:rPr>
          <w:rFonts w:ascii="Book Antiqua" w:hAnsi="Book Antiqua" w:cs="Arial"/>
          <w:i/>
        </w:rPr>
        <w:t>et al</w:t>
      </w:r>
      <w:r w:rsidR="0074742D" w:rsidRPr="00644ED5">
        <w:rPr>
          <w:rFonts w:ascii="Book Antiqua" w:hAnsi="Book Antiqua" w:cs="Arial"/>
          <w:vertAlign w:val="superscript"/>
        </w:rPr>
        <w:t>[20]</w:t>
      </w:r>
      <w:r w:rsidR="00762311" w:rsidRPr="00644ED5">
        <w:rPr>
          <w:rFonts w:ascii="Book Antiqua" w:hAnsi="Book Antiqua" w:cs="Arial"/>
        </w:rPr>
        <w:t xml:space="preserve"> also found no difference in incidence of first variceal haemorrhage and development of large varices comparing patients receiving beta-blockers and patients not receiving beta-blockers, yet a significantly</w:t>
      </w:r>
      <w:r w:rsidR="0074742D" w:rsidRPr="00644ED5">
        <w:rPr>
          <w:rFonts w:ascii="Book Antiqua" w:hAnsi="Book Antiqua" w:cs="Arial"/>
        </w:rPr>
        <w:t xml:space="preserve"> higher rate of adverse events </w:t>
      </w:r>
      <w:r w:rsidR="0074742D" w:rsidRPr="00644ED5">
        <w:rPr>
          <w:rFonts w:ascii="Book Antiqua" w:hAnsi="Book Antiqua" w:cs="Arial" w:hint="eastAsia"/>
          <w:lang w:eastAsia="zh-CN"/>
        </w:rPr>
        <w:t>[</w:t>
      </w:r>
      <w:r w:rsidR="0074742D" w:rsidRPr="00644ED5">
        <w:rPr>
          <w:rFonts w:ascii="Book Antiqua" w:hAnsi="Book Antiqua"/>
        </w:rPr>
        <w:t>relative risk</w:t>
      </w:r>
      <w:r w:rsidR="0074742D" w:rsidRPr="00644ED5">
        <w:rPr>
          <w:rFonts w:ascii="Book Antiqua" w:hAnsi="Book Antiqua" w:cs="Arial" w:hint="eastAsia"/>
          <w:lang w:eastAsia="zh-CN"/>
        </w:rPr>
        <w:t xml:space="preserve"> (</w:t>
      </w:r>
      <w:r w:rsidR="00762311" w:rsidRPr="00644ED5">
        <w:rPr>
          <w:rFonts w:ascii="Book Antiqua" w:hAnsi="Book Antiqua" w:cs="Arial"/>
        </w:rPr>
        <w:t>RR</w:t>
      </w:r>
      <w:r w:rsidR="0074742D" w:rsidRPr="00644ED5">
        <w:rPr>
          <w:rFonts w:ascii="Book Antiqua" w:hAnsi="Book Antiqua" w:cs="Arial" w:hint="eastAsia"/>
          <w:lang w:eastAsia="zh-CN"/>
        </w:rPr>
        <w:t>)</w:t>
      </w:r>
      <w:r w:rsidR="00762311" w:rsidRPr="00644ED5">
        <w:rPr>
          <w:rFonts w:ascii="Book Antiqua" w:hAnsi="Book Antiqua" w:cs="Arial"/>
        </w:rPr>
        <w:t xml:space="preserve"> 4.66, </w:t>
      </w:r>
      <w:r w:rsidR="002E7F8C" w:rsidRPr="00644ED5">
        <w:rPr>
          <w:rFonts w:ascii="Book Antiqua" w:hAnsi="Book Antiqua" w:cs="Arial"/>
        </w:rPr>
        <w:t xml:space="preserve">95% </w:t>
      </w:r>
      <w:bookmarkStart w:id="29" w:name="OLE_LINK311"/>
      <w:bookmarkStart w:id="30" w:name="OLE_LINK312"/>
      <w:bookmarkStart w:id="31" w:name="OLE_LINK289"/>
      <w:bookmarkStart w:id="32" w:name="OLE_LINK290"/>
      <w:r w:rsidR="0074742D" w:rsidRPr="00644ED5">
        <w:rPr>
          <w:rFonts w:ascii="Book Antiqua" w:hAnsi="Book Antiqua" w:cs="Arial"/>
          <w:lang w:val="en-US"/>
        </w:rPr>
        <w:t>confidence interval</w:t>
      </w:r>
      <w:bookmarkEnd w:id="29"/>
      <w:bookmarkEnd w:id="30"/>
      <w:r w:rsidR="0074742D" w:rsidRPr="00644ED5">
        <w:rPr>
          <w:rFonts w:ascii="Book Antiqua" w:hAnsi="Book Antiqua" w:cs="Arial"/>
          <w:lang w:val="en-US"/>
        </w:rPr>
        <w:t xml:space="preserve"> (CI)</w:t>
      </w:r>
      <w:bookmarkEnd w:id="31"/>
      <w:bookmarkEnd w:id="32"/>
      <w:r w:rsidR="0074742D" w:rsidRPr="00644ED5">
        <w:rPr>
          <w:rFonts w:ascii="Book Antiqua" w:hAnsi="Book Antiqua" w:cs="Arial"/>
        </w:rPr>
        <w:t xml:space="preserve"> 1.36–15.91</w:t>
      </w:r>
      <w:r w:rsidR="0074742D" w:rsidRPr="00644ED5">
        <w:rPr>
          <w:rFonts w:ascii="Book Antiqua" w:hAnsi="Book Antiqua" w:cs="Arial" w:hint="eastAsia"/>
          <w:lang w:eastAsia="zh-CN"/>
        </w:rPr>
        <w:t>]</w:t>
      </w:r>
      <w:r w:rsidR="00762311" w:rsidRPr="00644ED5">
        <w:rPr>
          <w:rFonts w:ascii="Book Antiqua" w:hAnsi="Book Antiqua" w:cs="Arial"/>
        </w:rPr>
        <w:t xml:space="preserve"> was observed in patients receiving beta-blockers. </w:t>
      </w:r>
      <w:r w:rsidR="00B669C3" w:rsidRPr="00644ED5">
        <w:rPr>
          <w:rFonts w:ascii="Book Antiqua" w:hAnsi="Book Antiqua" w:cs="Arial"/>
        </w:rPr>
        <w:t>With cirrhosis progression,</w:t>
      </w:r>
      <w:r w:rsidR="00BF5BFA" w:rsidRPr="00644ED5">
        <w:rPr>
          <w:rFonts w:ascii="Book Antiqua" w:hAnsi="Book Antiqua" w:cs="Arial"/>
        </w:rPr>
        <w:t xml:space="preserve"> portal pressure heightens</w:t>
      </w:r>
      <w:r w:rsidR="00086E9B" w:rsidRPr="00644ED5">
        <w:rPr>
          <w:rFonts w:ascii="Book Antiqua" w:hAnsi="Book Antiqua" w:cs="Arial"/>
        </w:rPr>
        <w:t xml:space="preserve"> while effective circulating volume </w:t>
      </w:r>
      <w:r w:rsidR="00714B4A" w:rsidRPr="00644ED5">
        <w:rPr>
          <w:rFonts w:ascii="Book Antiqua" w:hAnsi="Book Antiqua" w:cs="Arial"/>
        </w:rPr>
        <w:t>decreases</w:t>
      </w:r>
      <w:r w:rsidR="00BF5BFA" w:rsidRPr="00644ED5">
        <w:rPr>
          <w:rFonts w:ascii="Book Antiqua" w:hAnsi="Book Antiqua" w:cs="Arial"/>
        </w:rPr>
        <w:t xml:space="preserve"> </w:t>
      </w:r>
      <w:r w:rsidR="00086E9B" w:rsidRPr="00644ED5">
        <w:rPr>
          <w:rFonts w:ascii="Book Antiqua" w:hAnsi="Book Antiqua" w:cs="Arial"/>
        </w:rPr>
        <w:t>as a result of splanchnic vasodilatat</w:t>
      </w:r>
      <w:r w:rsidR="00714B4A" w:rsidRPr="00644ED5">
        <w:rPr>
          <w:rFonts w:ascii="Book Antiqua" w:hAnsi="Book Antiqua" w:cs="Arial"/>
        </w:rPr>
        <w:t>ion and raised portal inflow. At this level of disease progression, the drop in effective circulating blood volume is</w:t>
      </w:r>
      <w:r w:rsidR="00086E9B" w:rsidRPr="00644ED5">
        <w:rPr>
          <w:rFonts w:ascii="Book Antiqua" w:hAnsi="Book Antiqua" w:cs="Arial"/>
        </w:rPr>
        <w:t xml:space="preserve"> compensated </w:t>
      </w:r>
      <w:r w:rsidR="00714B4A" w:rsidRPr="00644ED5">
        <w:rPr>
          <w:rFonts w:ascii="Book Antiqua" w:hAnsi="Book Antiqua" w:cs="Arial"/>
        </w:rPr>
        <w:t xml:space="preserve">for </w:t>
      </w:r>
      <w:r w:rsidR="00086E9B" w:rsidRPr="00644ED5">
        <w:rPr>
          <w:rFonts w:ascii="Book Antiqua" w:hAnsi="Book Antiqua" w:cs="Arial"/>
        </w:rPr>
        <w:t>by enhanced</w:t>
      </w:r>
      <w:r w:rsidR="00BF5BFA" w:rsidRPr="00644ED5">
        <w:rPr>
          <w:rFonts w:ascii="Book Antiqua" w:hAnsi="Book Antiqua" w:cs="Arial"/>
        </w:rPr>
        <w:t xml:space="preserve"> sympathetic stimulation of the cardiocirculatory system in the context </w:t>
      </w:r>
      <w:r w:rsidR="006A37D2" w:rsidRPr="00644ED5">
        <w:rPr>
          <w:rFonts w:ascii="Book Antiqua" w:hAnsi="Book Antiqua" w:cs="Arial"/>
        </w:rPr>
        <w:t>of</w:t>
      </w:r>
      <w:r w:rsidR="00BF5BFA" w:rsidRPr="00644ED5">
        <w:rPr>
          <w:rFonts w:ascii="Book Antiqua" w:hAnsi="Book Antiqua" w:cs="Arial"/>
        </w:rPr>
        <w:t xml:space="preserve"> preserved cardiac reserve</w:t>
      </w:r>
      <w:r w:rsidR="006A37D2" w:rsidRPr="00644ED5">
        <w:rPr>
          <w:rFonts w:ascii="Book Antiqua" w:hAnsi="Book Antiqua" w:cs="Arial"/>
        </w:rPr>
        <w:t>s</w:t>
      </w:r>
      <w:r w:rsidR="00BA0FDC" w:rsidRPr="00644ED5">
        <w:rPr>
          <w:rFonts w:ascii="Book Antiqua" w:hAnsi="Book Antiqua" w:cs="Arial"/>
          <w:vertAlign w:val="superscript"/>
        </w:rPr>
        <w:t>[4,21]</w:t>
      </w:r>
      <w:r w:rsidR="00BF5BFA" w:rsidRPr="00644ED5">
        <w:rPr>
          <w:rFonts w:ascii="Book Antiqua" w:hAnsi="Book Antiqua" w:cs="Arial"/>
        </w:rPr>
        <w:t>. It is</w:t>
      </w:r>
      <w:r w:rsidR="00714B4A" w:rsidRPr="00644ED5">
        <w:rPr>
          <w:rFonts w:ascii="Book Antiqua" w:hAnsi="Book Antiqua" w:cs="Arial"/>
        </w:rPr>
        <w:t xml:space="preserve"> precisely</w:t>
      </w:r>
      <w:r w:rsidR="00BF5BFA" w:rsidRPr="00644ED5">
        <w:rPr>
          <w:rFonts w:ascii="Book Antiqua" w:hAnsi="Book Antiqua" w:cs="Arial"/>
        </w:rPr>
        <w:t xml:space="preserve"> at this stage that </w:t>
      </w:r>
      <w:r w:rsidR="005971A8" w:rsidRPr="00644ED5">
        <w:rPr>
          <w:rFonts w:ascii="Book Antiqua" w:hAnsi="Book Antiqua" w:cs="Arial"/>
        </w:rPr>
        <w:t>NSBBs</w:t>
      </w:r>
      <w:r w:rsidR="00BF5BFA" w:rsidRPr="00644ED5">
        <w:rPr>
          <w:rFonts w:ascii="Book Antiqua" w:hAnsi="Book Antiqua" w:cs="Arial"/>
        </w:rPr>
        <w:t xml:space="preserve"> </w:t>
      </w:r>
      <w:r w:rsidR="00714B4A" w:rsidRPr="00644ED5">
        <w:rPr>
          <w:rFonts w:ascii="Book Antiqua" w:hAnsi="Book Antiqua" w:cs="Arial"/>
        </w:rPr>
        <w:t xml:space="preserve">are proposed to </w:t>
      </w:r>
      <w:r w:rsidR="00BF5BFA" w:rsidRPr="00644ED5">
        <w:rPr>
          <w:rFonts w:ascii="Book Antiqua" w:hAnsi="Book Antiqua" w:cs="Arial"/>
        </w:rPr>
        <w:t xml:space="preserve">effectively </w:t>
      </w:r>
      <w:r w:rsidR="0000420B" w:rsidRPr="00644ED5">
        <w:rPr>
          <w:rFonts w:ascii="Book Antiqua" w:hAnsi="Book Antiqua" w:cs="Arial"/>
        </w:rPr>
        <w:t xml:space="preserve">counteract portal </w:t>
      </w:r>
      <w:r w:rsidR="0000420B" w:rsidRPr="00644ED5">
        <w:rPr>
          <w:rFonts w:ascii="Book Antiqua" w:hAnsi="Book Antiqua" w:cs="Arial"/>
        </w:rPr>
        <w:lastRenderedPageBreak/>
        <w:t>hypertension and abrogate the</w:t>
      </w:r>
      <w:r w:rsidR="007B7AF9" w:rsidRPr="00644ED5">
        <w:rPr>
          <w:rFonts w:ascii="Book Antiqua" w:hAnsi="Book Antiqua" w:cs="Arial"/>
        </w:rPr>
        <w:t xml:space="preserve"> </w:t>
      </w:r>
      <w:r w:rsidR="0000420B" w:rsidRPr="00644ED5">
        <w:rPr>
          <w:rFonts w:ascii="Book Antiqua" w:hAnsi="Book Antiqua" w:cs="Arial"/>
        </w:rPr>
        <w:t>hyperdynamic state, thus improving patient survival</w:t>
      </w:r>
      <w:r w:rsidR="00BA0FDC" w:rsidRPr="00644ED5">
        <w:rPr>
          <w:rFonts w:ascii="Book Antiqua" w:hAnsi="Book Antiqua" w:cs="Arial"/>
          <w:vertAlign w:val="superscript"/>
        </w:rPr>
        <w:t>[4]</w:t>
      </w:r>
      <w:r w:rsidR="0000420B" w:rsidRPr="00644ED5">
        <w:rPr>
          <w:rFonts w:ascii="Book Antiqua" w:hAnsi="Book Antiqua" w:cs="Arial"/>
        </w:rPr>
        <w:t xml:space="preserve">. </w:t>
      </w:r>
      <w:r w:rsidR="00143FD1" w:rsidRPr="00644ED5">
        <w:rPr>
          <w:rFonts w:ascii="Book Antiqua" w:hAnsi="Book Antiqua" w:cs="Arial"/>
        </w:rPr>
        <w:t xml:space="preserve">With further advancement of cirrhosis </w:t>
      </w:r>
      <w:r w:rsidR="00714B4A" w:rsidRPr="00644ED5">
        <w:rPr>
          <w:rFonts w:ascii="Book Antiqua" w:hAnsi="Book Antiqua" w:cs="Arial"/>
        </w:rPr>
        <w:t>and portal hypertension</w:t>
      </w:r>
      <w:r w:rsidR="00143FD1" w:rsidRPr="00644ED5">
        <w:rPr>
          <w:rFonts w:ascii="Book Antiqua" w:hAnsi="Book Antiqua" w:cs="Arial"/>
        </w:rPr>
        <w:t>, however, the cardiac response to stimuli such as volume depl</w:t>
      </w:r>
      <w:r w:rsidR="00714B4A" w:rsidRPr="00644ED5">
        <w:rPr>
          <w:rFonts w:ascii="Book Antiqua" w:hAnsi="Book Antiqua" w:cs="Arial"/>
        </w:rPr>
        <w:t>etion by variceal haemorrhage becomes</w:t>
      </w:r>
      <w:r w:rsidR="00143FD1" w:rsidRPr="00644ED5">
        <w:rPr>
          <w:rFonts w:ascii="Book Antiqua" w:hAnsi="Book Antiqua" w:cs="Arial"/>
        </w:rPr>
        <w:t xml:space="preserve"> limited and beta-blockade impedes restoration of systemic and renal perfusion pressures, thus negati</w:t>
      </w:r>
      <w:r w:rsidR="00C975C2" w:rsidRPr="00644ED5">
        <w:rPr>
          <w:rFonts w:ascii="Book Antiqua" w:hAnsi="Book Antiqua" w:cs="Arial"/>
        </w:rPr>
        <w:t>vely impacting patient survival</w:t>
      </w:r>
      <w:r w:rsidR="00BA0FDC" w:rsidRPr="00644ED5">
        <w:rPr>
          <w:rFonts w:ascii="Book Antiqua" w:hAnsi="Book Antiqua" w:cs="Arial"/>
          <w:vertAlign w:val="superscript"/>
        </w:rPr>
        <w:t>[7,21]</w:t>
      </w:r>
      <w:r w:rsidR="00143FD1" w:rsidRPr="00644ED5">
        <w:rPr>
          <w:rFonts w:ascii="Book Antiqua" w:hAnsi="Book Antiqua" w:cs="Arial"/>
        </w:rPr>
        <w:t xml:space="preserve">. </w:t>
      </w:r>
      <w:r w:rsidR="00144953" w:rsidRPr="00644ED5">
        <w:rPr>
          <w:rFonts w:ascii="Book Antiqua" w:hAnsi="Book Antiqua" w:cs="Arial"/>
        </w:rPr>
        <w:t xml:space="preserve">In line with the ‘window hypothesis’, Kim </w:t>
      </w:r>
      <w:r w:rsidR="00144953" w:rsidRPr="00644ED5">
        <w:rPr>
          <w:rFonts w:ascii="Book Antiqua" w:hAnsi="Book Antiqua" w:cs="Arial"/>
          <w:i/>
        </w:rPr>
        <w:t>et al</w:t>
      </w:r>
      <w:r w:rsidR="0074742D" w:rsidRPr="00644ED5">
        <w:rPr>
          <w:rFonts w:ascii="Book Antiqua" w:hAnsi="Book Antiqua" w:cs="Arial" w:hint="eastAsia"/>
          <w:vertAlign w:val="superscript"/>
          <w:lang w:eastAsia="zh-CN"/>
        </w:rPr>
        <w:t>[22]</w:t>
      </w:r>
      <w:r w:rsidR="00144953" w:rsidRPr="00644ED5">
        <w:rPr>
          <w:rFonts w:ascii="Book Antiqua" w:hAnsi="Book Antiqua" w:cs="Arial"/>
          <w:vertAlign w:val="superscript"/>
        </w:rPr>
        <w:t xml:space="preserve"> </w:t>
      </w:r>
      <w:r w:rsidR="00144953" w:rsidRPr="00644ED5">
        <w:rPr>
          <w:rFonts w:ascii="Book Antiqua" w:hAnsi="Book Antiqua" w:cs="Arial"/>
        </w:rPr>
        <w:t>conducted a</w:t>
      </w:r>
      <w:r w:rsidR="00722DD5" w:rsidRPr="00644ED5">
        <w:rPr>
          <w:rFonts w:ascii="Book Antiqua" w:hAnsi="Book Antiqua" w:cs="Arial"/>
        </w:rPr>
        <w:t xml:space="preserve"> nested</w:t>
      </w:r>
      <w:r w:rsidR="00144953" w:rsidRPr="00644ED5">
        <w:rPr>
          <w:rFonts w:ascii="Book Antiqua" w:hAnsi="Book Antiqua" w:cs="Arial"/>
        </w:rPr>
        <w:t xml:space="preserve"> case-control study in patients awaiting liver transplantation</w:t>
      </w:r>
      <w:r w:rsidR="00E74DDA" w:rsidRPr="00644ED5">
        <w:rPr>
          <w:rFonts w:ascii="Book Antiqua" w:hAnsi="Book Antiqua" w:cs="Arial"/>
        </w:rPr>
        <w:t xml:space="preserve">, matching 205 patients with AKI to </w:t>
      </w:r>
      <w:r w:rsidR="00362CA7" w:rsidRPr="00644ED5">
        <w:rPr>
          <w:rFonts w:ascii="Book Antiqua" w:hAnsi="Book Antiqua" w:cs="Arial"/>
        </w:rPr>
        <w:t>205</w:t>
      </w:r>
      <w:r w:rsidR="00144953" w:rsidRPr="00644ED5">
        <w:rPr>
          <w:rFonts w:ascii="Book Antiqua" w:hAnsi="Book Antiqua" w:cs="Arial"/>
        </w:rPr>
        <w:t xml:space="preserve"> patients without AKI. </w:t>
      </w:r>
      <w:r w:rsidR="00607D8A" w:rsidRPr="00644ED5">
        <w:rPr>
          <w:rFonts w:ascii="Book Antiqua" w:hAnsi="Book Antiqua" w:cs="Arial"/>
        </w:rPr>
        <w:t xml:space="preserve">On multivariate analysis, patients with ascites </w:t>
      </w:r>
      <w:r w:rsidR="009B0E06" w:rsidRPr="00644ED5">
        <w:rPr>
          <w:rFonts w:ascii="Book Antiqua" w:hAnsi="Book Antiqua" w:cs="Arial"/>
        </w:rPr>
        <w:t>receiving beta-b</w:t>
      </w:r>
      <w:r w:rsidR="0074742D" w:rsidRPr="00644ED5">
        <w:rPr>
          <w:rFonts w:ascii="Book Antiqua" w:hAnsi="Book Antiqua" w:cs="Arial"/>
        </w:rPr>
        <w:t xml:space="preserve">lockers had a 3-fold increased </w:t>
      </w:r>
      <w:r w:rsidR="0074742D" w:rsidRPr="00644ED5">
        <w:rPr>
          <w:rFonts w:ascii="Book Antiqua" w:hAnsi="Book Antiqua" w:cs="Arial" w:hint="eastAsia"/>
          <w:lang w:eastAsia="zh-CN"/>
        </w:rPr>
        <w:t>[</w:t>
      </w:r>
      <w:r w:rsidR="0074742D" w:rsidRPr="00644ED5">
        <w:rPr>
          <w:rFonts w:ascii="Book Antiqua" w:hAnsi="Book Antiqua" w:cs="Arial"/>
          <w:lang w:val="en-US"/>
        </w:rPr>
        <w:t>Hazard ratio</w:t>
      </w:r>
      <w:r w:rsidR="0074742D" w:rsidRPr="00644ED5">
        <w:rPr>
          <w:rFonts w:ascii="Book Antiqua" w:hAnsi="Book Antiqua" w:cs="Arial"/>
        </w:rPr>
        <w:t xml:space="preserve"> </w:t>
      </w:r>
      <w:r w:rsidR="0074742D" w:rsidRPr="00644ED5">
        <w:rPr>
          <w:rFonts w:ascii="Book Antiqua" w:hAnsi="Book Antiqua" w:cs="Arial" w:hint="eastAsia"/>
          <w:lang w:eastAsia="zh-CN"/>
        </w:rPr>
        <w:t>(</w:t>
      </w:r>
      <w:r w:rsidR="009B0E06" w:rsidRPr="00644ED5">
        <w:rPr>
          <w:rFonts w:ascii="Book Antiqua" w:hAnsi="Book Antiqua" w:cs="Arial"/>
        </w:rPr>
        <w:t>HR</w:t>
      </w:r>
      <w:r w:rsidR="0074742D" w:rsidRPr="00644ED5">
        <w:rPr>
          <w:rFonts w:ascii="Book Antiqua" w:hAnsi="Book Antiqua" w:cs="Arial" w:hint="eastAsia"/>
          <w:lang w:eastAsia="zh-CN"/>
        </w:rPr>
        <w:t>)</w:t>
      </w:r>
      <w:r w:rsidR="0074742D" w:rsidRPr="00644ED5">
        <w:rPr>
          <w:rFonts w:ascii="Book Antiqua" w:hAnsi="Book Antiqua" w:cs="Arial"/>
        </w:rPr>
        <w:t xml:space="preserve"> 3.31</w:t>
      </w:r>
      <w:r w:rsidR="0074742D" w:rsidRPr="00644ED5">
        <w:rPr>
          <w:rFonts w:ascii="Book Antiqua" w:hAnsi="Book Antiqua" w:cs="Arial" w:hint="eastAsia"/>
          <w:lang w:eastAsia="zh-CN"/>
        </w:rPr>
        <w:t>]</w:t>
      </w:r>
      <w:r w:rsidR="009B0E06" w:rsidRPr="00644ED5">
        <w:rPr>
          <w:rFonts w:ascii="Book Antiqua" w:hAnsi="Book Antiqua" w:cs="Arial"/>
        </w:rPr>
        <w:t xml:space="preserve"> risk of developing AKI, while patients without ascites receiving beta-blockers had a 5-fold reduced (HR 0.19) risk of developing AKI</w:t>
      </w:r>
      <w:r w:rsidR="00BA0FDC" w:rsidRPr="00644ED5">
        <w:rPr>
          <w:rFonts w:ascii="Book Antiqua" w:hAnsi="Book Antiqua" w:cs="Arial"/>
          <w:vertAlign w:val="superscript"/>
        </w:rPr>
        <w:t>[21,22]</w:t>
      </w:r>
      <w:r w:rsidR="009B0E06" w:rsidRPr="00644ED5">
        <w:rPr>
          <w:rFonts w:ascii="Book Antiqua" w:hAnsi="Book Antiqua" w:cs="Arial"/>
        </w:rPr>
        <w:t>.</w:t>
      </w:r>
      <w:r w:rsidR="00144953" w:rsidRPr="00644ED5">
        <w:rPr>
          <w:rFonts w:ascii="Book Antiqua" w:hAnsi="Book Antiqua" w:cs="Arial"/>
        </w:rPr>
        <w:t xml:space="preserve"> </w:t>
      </w:r>
    </w:p>
    <w:p w14:paraId="7CE20276" w14:textId="7AFC9AD4" w:rsidR="007F4049" w:rsidRPr="00644ED5" w:rsidRDefault="008D236B" w:rsidP="007F4049">
      <w:pPr>
        <w:spacing w:line="360" w:lineRule="auto"/>
        <w:ind w:firstLineChars="100" w:firstLine="240"/>
        <w:rPr>
          <w:rFonts w:ascii="Book Antiqua" w:hAnsi="Book Antiqua" w:cs="Arial"/>
          <w:lang w:eastAsia="zh-CN"/>
        </w:rPr>
      </w:pPr>
      <w:r w:rsidRPr="00644ED5">
        <w:rPr>
          <w:rFonts w:ascii="Book Antiqua" w:hAnsi="Book Antiqua" w:cs="Arial"/>
        </w:rPr>
        <w:t xml:space="preserve">As a consequence of these concerns, widespread withholding </w:t>
      </w:r>
      <w:r w:rsidR="005971A8" w:rsidRPr="00644ED5">
        <w:rPr>
          <w:rFonts w:ascii="Book Antiqua" w:hAnsi="Book Antiqua" w:cs="Arial"/>
        </w:rPr>
        <w:t>of NSBB</w:t>
      </w:r>
      <w:r w:rsidRPr="00644ED5">
        <w:rPr>
          <w:rFonts w:ascii="Book Antiqua" w:hAnsi="Book Antiqua" w:cs="Arial"/>
        </w:rPr>
        <w:t xml:space="preserve"> therapy in patients with advanced cirrhosis ensued. Yet, data from additional studies, performed after </w:t>
      </w:r>
      <w:r w:rsidR="00F5560B" w:rsidRPr="00644ED5">
        <w:rPr>
          <w:rFonts w:ascii="Book Antiqua" w:hAnsi="Book Antiqua" w:cs="Arial"/>
        </w:rPr>
        <w:t xml:space="preserve">this initial apprehension </w:t>
      </w:r>
      <w:r w:rsidRPr="00644ED5">
        <w:rPr>
          <w:rFonts w:ascii="Book Antiqua" w:hAnsi="Book Antiqua" w:cs="Arial"/>
        </w:rPr>
        <w:t xml:space="preserve">had surfaced, provide counteracting evidence. </w:t>
      </w:r>
      <w:r w:rsidR="00CA3B43" w:rsidRPr="00644ED5">
        <w:rPr>
          <w:rFonts w:ascii="Book Antiqua" w:hAnsi="Book Antiqua" w:cs="Arial"/>
        </w:rPr>
        <w:t>A</w:t>
      </w:r>
      <w:r w:rsidR="00AB65E1" w:rsidRPr="00644ED5">
        <w:rPr>
          <w:rFonts w:ascii="Book Antiqua" w:hAnsi="Book Antiqua" w:cs="Arial"/>
        </w:rPr>
        <w:t xml:space="preserve"> recent post-hoc analysis of 118</w:t>
      </w:r>
      <w:r w:rsidR="00CA3B43" w:rsidRPr="00644ED5">
        <w:rPr>
          <w:rFonts w:ascii="Book Antiqua" w:hAnsi="Book Antiqua" w:cs="Arial"/>
        </w:rPr>
        <w:t xml:space="preserve">8 patients with cirrhotic ascites from three satavaptan RCTs showed no association between </w:t>
      </w:r>
      <w:r w:rsidR="005971A8" w:rsidRPr="00644ED5">
        <w:rPr>
          <w:rFonts w:ascii="Book Antiqua" w:hAnsi="Book Antiqua" w:cs="Arial"/>
        </w:rPr>
        <w:t>NSBB</w:t>
      </w:r>
      <w:r w:rsidR="00CA3B43" w:rsidRPr="00644ED5">
        <w:rPr>
          <w:rFonts w:ascii="Book Antiqua" w:hAnsi="Book Antiqua" w:cs="Arial"/>
        </w:rPr>
        <w:t xml:space="preserve"> therapy and increased mortality</w:t>
      </w:r>
      <w:r w:rsidR="00BA0FDC" w:rsidRPr="00644ED5">
        <w:rPr>
          <w:rFonts w:ascii="Book Antiqua" w:hAnsi="Book Antiqua" w:cs="Arial"/>
          <w:vertAlign w:val="superscript"/>
        </w:rPr>
        <w:t>[23]</w:t>
      </w:r>
      <w:r w:rsidR="00CA3B43" w:rsidRPr="00644ED5">
        <w:rPr>
          <w:rFonts w:ascii="Book Antiqua" w:hAnsi="Book Antiqua" w:cs="Arial"/>
        </w:rPr>
        <w:t xml:space="preserve">. Similarly, a retrospective study by Leithead </w:t>
      </w:r>
      <w:r w:rsidR="00DE2B7B" w:rsidRPr="00644ED5">
        <w:rPr>
          <w:rFonts w:ascii="Book Antiqua" w:hAnsi="Book Antiqua" w:cs="Arial"/>
          <w:i/>
        </w:rPr>
        <w:t>et al</w:t>
      </w:r>
      <w:r w:rsidR="007F4049" w:rsidRPr="00644ED5">
        <w:rPr>
          <w:rFonts w:ascii="Book Antiqua" w:hAnsi="Book Antiqua" w:cs="Arial"/>
          <w:vertAlign w:val="superscript"/>
        </w:rPr>
        <w:t>[24]</w:t>
      </w:r>
      <w:r w:rsidR="00DE2B7B" w:rsidRPr="00644ED5">
        <w:rPr>
          <w:rFonts w:ascii="Book Antiqua" w:hAnsi="Book Antiqua" w:cs="Arial"/>
        </w:rPr>
        <w:t xml:space="preserve"> (105</w:t>
      </w:r>
      <w:r w:rsidR="007B02B5" w:rsidRPr="00644ED5">
        <w:rPr>
          <w:rFonts w:ascii="Book Antiqua" w:hAnsi="Book Antiqua" w:cs="Arial"/>
        </w:rPr>
        <w:t xml:space="preserve"> beta-blocker users prop</w:t>
      </w:r>
      <w:r w:rsidR="00DE2B7B" w:rsidRPr="00644ED5">
        <w:rPr>
          <w:rFonts w:ascii="Book Antiqua" w:hAnsi="Book Antiqua" w:cs="Arial"/>
        </w:rPr>
        <w:t>ensity risk score matched to 105</w:t>
      </w:r>
      <w:r w:rsidR="007B02B5" w:rsidRPr="00644ED5">
        <w:rPr>
          <w:rFonts w:ascii="Book Antiqua" w:hAnsi="Book Antiqua" w:cs="Arial"/>
        </w:rPr>
        <w:t xml:space="preserve"> beta-blocker non-users) </w:t>
      </w:r>
      <w:r w:rsidR="00CA3B43" w:rsidRPr="00644ED5">
        <w:rPr>
          <w:rFonts w:ascii="Book Antiqua" w:hAnsi="Book Antiqua" w:cs="Arial"/>
        </w:rPr>
        <w:t xml:space="preserve">correlated </w:t>
      </w:r>
      <w:r w:rsidR="005971A8" w:rsidRPr="00644ED5">
        <w:rPr>
          <w:rFonts w:ascii="Book Antiqua" w:hAnsi="Book Antiqua" w:cs="Arial"/>
        </w:rPr>
        <w:t>NSBB</w:t>
      </w:r>
      <w:r w:rsidR="00CA3B43" w:rsidRPr="00644ED5">
        <w:rPr>
          <w:rFonts w:ascii="Book Antiqua" w:hAnsi="Book Antiqua" w:cs="Arial"/>
        </w:rPr>
        <w:t xml:space="preserve"> use with improved survival in patients with ascites awaiting </w:t>
      </w:r>
      <w:r w:rsidR="005971A8" w:rsidRPr="00644ED5">
        <w:rPr>
          <w:rFonts w:ascii="Book Antiqua" w:hAnsi="Book Antiqua" w:cs="Arial"/>
        </w:rPr>
        <w:t>orthotopic liver transplantation</w:t>
      </w:r>
      <w:r w:rsidR="007B02B5" w:rsidRPr="00644ED5">
        <w:rPr>
          <w:rFonts w:ascii="Book Antiqua" w:hAnsi="Book Antiqua" w:cs="Arial"/>
        </w:rPr>
        <w:t xml:space="preserve"> (HR 0.55, </w:t>
      </w:r>
      <w:r w:rsidR="002E7F8C" w:rsidRPr="00644ED5">
        <w:rPr>
          <w:rFonts w:ascii="Book Antiqua" w:hAnsi="Book Antiqua" w:cs="Arial"/>
        </w:rPr>
        <w:t xml:space="preserve">95% </w:t>
      </w:r>
      <w:r w:rsidR="007F4049" w:rsidRPr="00644ED5">
        <w:rPr>
          <w:rFonts w:ascii="Book Antiqua" w:hAnsi="Book Antiqua" w:cs="Arial"/>
        </w:rPr>
        <w:t>CI 0.32</w:t>
      </w:r>
      <w:r w:rsidR="007F4049" w:rsidRPr="00644ED5">
        <w:rPr>
          <w:rFonts w:ascii="Book Antiqua" w:hAnsi="Book Antiqua" w:cs="Arial" w:hint="eastAsia"/>
          <w:lang w:eastAsia="zh-CN"/>
        </w:rPr>
        <w:t>-</w:t>
      </w:r>
      <w:r w:rsidR="007B02B5" w:rsidRPr="00644ED5">
        <w:rPr>
          <w:rFonts w:ascii="Book Antiqua" w:hAnsi="Book Antiqua" w:cs="Arial"/>
        </w:rPr>
        <w:t>0.95),</w:t>
      </w:r>
      <w:r w:rsidR="00CA3B43" w:rsidRPr="00644ED5">
        <w:rPr>
          <w:rFonts w:ascii="Book Antiqua" w:hAnsi="Book Antiqua" w:cs="Arial"/>
        </w:rPr>
        <w:t xml:space="preserve"> and even on subgroup analysis of patients with refractory ascites, beta-blockers remained independently associated with improved survival</w:t>
      </w:r>
      <w:r w:rsidR="007B02B5" w:rsidRPr="00644ED5">
        <w:rPr>
          <w:rFonts w:ascii="Book Antiqua" w:hAnsi="Book Antiqua" w:cs="Arial"/>
        </w:rPr>
        <w:t xml:space="preserve"> (HR 0.35,</w:t>
      </w:r>
      <w:r w:rsidR="002E7F8C" w:rsidRPr="00644ED5">
        <w:rPr>
          <w:rFonts w:ascii="Book Antiqua" w:hAnsi="Book Antiqua" w:cs="Arial"/>
        </w:rPr>
        <w:t xml:space="preserve"> 95%</w:t>
      </w:r>
      <w:r w:rsidR="007F4049" w:rsidRPr="00644ED5">
        <w:rPr>
          <w:rFonts w:ascii="Book Antiqua" w:hAnsi="Book Antiqua" w:cs="Arial"/>
        </w:rPr>
        <w:t xml:space="preserve"> CI 0.14</w:t>
      </w:r>
      <w:r w:rsidR="007F4049" w:rsidRPr="00644ED5">
        <w:rPr>
          <w:rFonts w:ascii="Book Antiqua" w:hAnsi="Book Antiqua" w:cs="Arial" w:hint="eastAsia"/>
          <w:lang w:eastAsia="zh-CN"/>
        </w:rPr>
        <w:t>-</w:t>
      </w:r>
      <w:r w:rsidR="007B02B5" w:rsidRPr="00644ED5">
        <w:rPr>
          <w:rFonts w:ascii="Book Antiqua" w:hAnsi="Book Antiqua" w:cs="Arial"/>
        </w:rPr>
        <w:t>0.86)</w:t>
      </w:r>
      <w:r w:rsidR="00CA3B43" w:rsidRPr="00644ED5">
        <w:rPr>
          <w:rFonts w:ascii="Book Antiqua" w:hAnsi="Book Antiqua" w:cs="Arial"/>
        </w:rPr>
        <w:t xml:space="preserve">. Furthermore, Onali </w:t>
      </w:r>
      <w:r w:rsidR="00CA3B43" w:rsidRPr="00644ED5">
        <w:rPr>
          <w:rFonts w:ascii="Book Antiqua" w:hAnsi="Book Antiqua" w:cs="Arial"/>
          <w:i/>
        </w:rPr>
        <w:t>et al</w:t>
      </w:r>
      <w:r w:rsidR="007F4049" w:rsidRPr="00644ED5">
        <w:rPr>
          <w:rFonts w:ascii="Book Antiqua" w:hAnsi="Book Antiqua" w:cs="Arial"/>
          <w:vertAlign w:val="superscript"/>
        </w:rPr>
        <w:t>[25]</w:t>
      </w:r>
      <w:r w:rsidR="00CA3B43" w:rsidRPr="00644ED5">
        <w:rPr>
          <w:rFonts w:ascii="Book Antiqua" w:hAnsi="Book Antiqua" w:cs="Arial"/>
        </w:rPr>
        <w:t xml:space="preserve"> evaluated 316 consecutive cirrhotic patients with ascites undergoing assessment for liver transplantation. Beta</w:t>
      </w:r>
      <w:r w:rsidR="00F5560B" w:rsidRPr="00644ED5">
        <w:rPr>
          <w:rFonts w:ascii="Book Antiqua" w:hAnsi="Book Antiqua" w:cs="Arial"/>
        </w:rPr>
        <w:t>-</w:t>
      </w:r>
      <w:r w:rsidR="00CA3B43" w:rsidRPr="00644ED5">
        <w:rPr>
          <w:rFonts w:ascii="Book Antiqua" w:hAnsi="Book Antiqua" w:cs="Arial"/>
        </w:rPr>
        <w:t xml:space="preserve">blockers were associated with reduced overall mortality (HR 0.55, </w:t>
      </w:r>
      <w:r w:rsidR="002E7F8C" w:rsidRPr="00644ED5">
        <w:rPr>
          <w:rFonts w:ascii="Book Antiqua" w:hAnsi="Book Antiqua" w:cs="Arial"/>
        </w:rPr>
        <w:t xml:space="preserve">95% </w:t>
      </w:r>
      <w:r w:rsidR="007F4049" w:rsidRPr="00644ED5">
        <w:rPr>
          <w:rFonts w:ascii="Book Antiqua" w:hAnsi="Book Antiqua" w:cs="Arial"/>
        </w:rPr>
        <w:t>CI 0.33</w:t>
      </w:r>
      <w:r w:rsidR="007F4049" w:rsidRPr="00644ED5">
        <w:rPr>
          <w:rFonts w:ascii="Book Antiqua" w:hAnsi="Book Antiqua" w:cs="Arial" w:hint="eastAsia"/>
          <w:lang w:eastAsia="zh-CN"/>
        </w:rPr>
        <w:t>-</w:t>
      </w:r>
      <w:r w:rsidR="00CA3B43" w:rsidRPr="00644ED5">
        <w:rPr>
          <w:rFonts w:ascii="Book Antiqua" w:hAnsi="Book Antiqua" w:cs="Arial"/>
        </w:rPr>
        <w:t xml:space="preserve">0.94) and on sub-group analysis of patients with refractory ascites no difference in mortality was </w:t>
      </w:r>
      <w:r w:rsidR="00714B4A" w:rsidRPr="00644ED5">
        <w:rPr>
          <w:rFonts w:ascii="Book Antiqua" w:hAnsi="Book Antiqua" w:cs="Arial"/>
        </w:rPr>
        <w:t>observed</w:t>
      </w:r>
      <w:r w:rsidR="00CA3B43" w:rsidRPr="00644ED5">
        <w:rPr>
          <w:rFonts w:ascii="Book Antiqua" w:hAnsi="Book Antiqua" w:cs="Arial"/>
        </w:rPr>
        <w:t xml:space="preserve"> (HR 0.43, </w:t>
      </w:r>
      <w:r w:rsidR="002E7F8C" w:rsidRPr="00644ED5">
        <w:rPr>
          <w:rFonts w:ascii="Book Antiqua" w:hAnsi="Book Antiqua" w:cs="Arial"/>
        </w:rPr>
        <w:t xml:space="preserve">95% </w:t>
      </w:r>
      <w:r w:rsidR="007F4049" w:rsidRPr="00644ED5">
        <w:rPr>
          <w:rFonts w:ascii="Book Antiqua" w:hAnsi="Book Antiqua" w:cs="Arial"/>
        </w:rPr>
        <w:t>CI 0.20</w:t>
      </w:r>
      <w:r w:rsidR="007F4049" w:rsidRPr="00644ED5">
        <w:rPr>
          <w:rFonts w:ascii="Book Antiqua" w:hAnsi="Book Antiqua" w:cs="Arial" w:hint="eastAsia"/>
          <w:lang w:eastAsia="zh-CN"/>
        </w:rPr>
        <w:t>-</w:t>
      </w:r>
      <w:r w:rsidR="00CA3B43" w:rsidRPr="00644ED5">
        <w:rPr>
          <w:rFonts w:ascii="Book Antiqua" w:hAnsi="Book Antiqua" w:cs="Arial"/>
        </w:rPr>
        <w:t xml:space="preserve">1.11). </w:t>
      </w:r>
      <w:r w:rsidR="00345832" w:rsidRPr="00644ED5">
        <w:rPr>
          <w:rFonts w:ascii="Book Antiqua" w:hAnsi="Book Antiqua" w:cs="Arial"/>
        </w:rPr>
        <w:t xml:space="preserve">The numerous observational studies investigating the risks and benefits of </w:t>
      </w:r>
      <w:r w:rsidR="005971A8" w:rsidRPr="00644ED5">
        <w:rPr>
          <w:rFonts w:ascii="Book Antiqua" w:hAnsi="Book Antiqua" w:cs="Arial"/>
        </w:rPr>
        <w:t>NSBBs</w:t>
      </w:r>
      <w:r w:rsidR="00345832" w:rsidRPr="00644ED5">
        <w:rPr>
          <w:rFonts w:ascii="Book Antiqua" w:hAnsi="Book Antiqua" w:cs="Arial"/>
        </w:rPr>
        <w:t xml:space="preserve"> in advanced cirrhosis are summarised in Table 1.</w:t>
      </w:r>
      <w:r w:rsidR="00734176" w:rsidRPr="00644ED5">
        <w:rPr>
          <w:rFonts w:ascii="Book Antiqua" w:hAnsi="Book Antiqua" w:cs="Arial"/>
        </w:rPr>
        <w:t xml:space="preserve"> </w:t>
      </w:r>
      <w:bookmarkStart w:id="33" w:name="_Hlk535245529"/>
      <w:r w:rsidR="00734176" w:rsidRPr="00644ED5">
        <w:rPr>
          <w:rFonts w:ascii="Book Antiqua" w:hAnsi="Book Antiqua" w:cs="Arial"/>
        </w:rPr>
        <w:t xml:space="preserve">A recent meta-analysis of three RCTs and 13 observational studies summarising the effect of NSBBs on mortality in cirrhotic patients with ascites found that </w:t>
      </w:r>
      <w:r w:rsidR="00C637BF" w:rsidRPr="00644ED5">
        <w:rPr>
          <w:rFonts w:ascii="Book Antiqua" w:hAnsi="Book Antiqua" w:cs="Arial"/>
        </w:rPr>
        <w:t>survival was comparable between NSBB and control groups for both the overall p</w:t>
      </w:r>
      <w:r w:rsidR="007F4049" w:rsidRPr="00644ED5">
        <w:rPr>
          <w:rFonts w:ascii="Book Antiqua" w:hAnsi="Book Antiqua" w:cs="Arial"/>
        </w:rPr>
        <w:t>opulation (HR 0.86, 95% CI 0.71</w:t>
      </w:r>
      <w:r w:rsidR="007F4049" w:rsidRPr="00644ED5">
        <w:rPr>
          <w:rFonts w:ascii="Book Antiqua" w:hAnsi="Book Antiqua" w:cs="Arial" w:hint="eastAsia"/>
          <w:lang w:eastAsia="zh-CN"/>
        </w:rPr>
        <w:t>-</w:t>
      </w:r>
      <w:r w:rsidR="00C637BF" w:rsidRPr="00644ED5">
        <w:rPr>
          <w:rFonts w:ascii="Book Antiqua" w:hAnsi="Book Antiqua" w:cs="Arial"/>
        </w:rPr>
        <w:t xml:space="preserve">1.03, </w:t>
      </w:r>
      <w:r w:rsidR="007F4049" w:rsidRPr="00644ED5">
        <w:rPr>
          <w:rFonts w:ascii="Book Antiqua" w:hAnsi="Book Antiqua" w:cs="Arial"/>
          <w:i/>
        </w:rPr>
        <w:t>P</w:t>
      </w:r>
      <w:r w:rsidR="007F4049" w:rsidRPr="00644ED5">
        <w:rPr>
          <w:rFonts w:ascii="Book Antiqua" w:hAnsi="Book Antiqua" w:cs="Arial" w:hint="eastAsia"/>
          <w:lang w:eastAsia="zh-CN"/>
        </w:rPr>
        <w:t xml:space="preserve"> </w:t>
      </w:r>
      <w:r w:rsidR="00C637BF" w:rsidRPr="00644ED5">
        <w:rPr>
          <w:rFonts w:ascii="Book Antiqua" w:hAnsi="Book Antiqua" w:cs="Arial"/>
        </w:rPr>
        <w:t>=</w:t>
      </w:r>
      <w:r w:rsidR="007F4049" w:rsidRPr="00644ED5">
        <w:rPr>
          <w:rFonts w:ascii="Book Antiqua" w:hAnsi="Book Antiqua" w:cs="Arial" w:hint="eastAsia"/>
          <w:lang w:eastAsia="zh-CN"/>
        </w:rPr>
        <w:t xml:space="preserve"> </w:t>
      </w:r>
      <w:r w:rsidR="00C637BF" w:rsidRPr="00644ED5">
        <w:rPr>
          <w:rFonts w:ascii="Book Antiqua" w:hAnsi="Book Antiqua" w:cs="Arial"/>
        </w:rPr>
        <w:lastRenderedPageBreak/>
        <w:t>0.11) and the refractory ascites</w:t>
      </w:r>
      <w:r w:rsidR="007F4049" w:rsidRPr="00644ED5">
        <w:rPr>
          <w:rFonts w:ascii="Book Antiqua" w:hAnsi="Book Antiqua" w:cs="Arial"/>
        </w:rPr>
        <w:t xml:space="preserve"> subgroup (HR 0.90, 95% CI 0.45</w:t>
      </w:r>
      <w:r w:rsidR="007F4049" w:rsidRPr="00644ED5">
        <w:rPr>
          <w:rFonts w:ascii="Book Antiqua" w:hAnsi="Book Antiqua" w:cs="Arial" w:hint="eastAsia"/>
          <w:lang w:eastAsia="zh-CN"/>
        </w:rPr>
        <w:t>-</w:t>
      </w:r>
      <w:r w:rsidR="00C637BF" w:rsidRPr="00644ED5">
        <w:rPr>
          <w:rFonts w:ascii="Book Antiqua" w:hAnsi="Book Antiqua" w:cs="Arial"/>
        </w:rPr>
        <w:t xml:space="preserve">1.79, </w:t>
      </w:r>
      <w:r w:rsidR="007F4049" w:rsidRPr="00644ED5">
        <w:rPr>
          <w:rFonts w:ascii="Book Antiqua" w:hAnsi="Book Antiqua" w:cs="Arial"/>
          <w:i/>
        </w:rPr>
        <w:t>P</w:t>
      </w:r>
      <w:r w:rsidR="007F4049" w:rsidRPr="00644ED5">
        <w:rPr>
          <w:rFonts w:ascii="Book Antiqua" w:hAnsi="Book Antiqua" w:cs="Arial" w:hint="eastAsia"/>
          <w:lang w:eastAsia="zh-CN"/>
        </w:rPr>
        <w:t xml:space="preserve"> </w:t>
      </w:r>
      <w:r w:rsidR="00C637BF" w:rsidRPr="00644ED5">
        <w:rPr>
          <w:rFonts w:ascii="Book Antiqua" w:hAnsi="Book Antiqua" w:cs="Arial"/>
        </w:rPr>
        <w:t>=</w:t>
      </w:r>
      <w:r w:rsidR="007F4049" w:rsidRPr="00644ED5">
        <w:rPr>
          <w:rFonts w:ascii="Book Antiqua" w:hAnsi="Book Antiqua" w:cs="Arial" w:hint="eastAsia"/>
          <w:lang w:eastAsia="zh-CN"/>
        </w:rPr>
        <w:t xml:space="preserve"> </w:t>
      </w:r>
      <w:r w:rsidR="00C637BF" w:rsidRPr="00644ED5">
        <w:rPr>
          <w:rFonts w:ascii="Book Antiqua" w:hAnsi="Book Antiqua" w:cs="Arial"/>
        </w:rPr>
        <w:t>0.76) with significant heterogeneity between included studies</w:t>
      </w:r>
      <w:r w:rsidR="00BA0FDC" w:rsidRPr="00644ED5">
        <w:rPr>
          <w:rFonts w:ascii="Book Antiqua" w:hAnsi="Book Antiqua" w:cs="Arial"/>
          <w:vertAlign w:val="superscript"/>
        </w:rPr>
        <w:t>[26]</w:t>
      </w:r>
      <w:r w:rsidR="00C637BF" w:rsidRPr="00644ED5">
        <w:rPr>
          <w:rFonts w:ascii="Book Antiqua" w:hAnsi="Book Antiqua" w:cs="Arial"/>
        </w:rPr>
        <w:t>.</w:t>
      </w:r>
      <w:bookmarkEnd w:id="33"/>
      <w:r w:rsidR="00C637BF" w:rsidRPr="00644ED5">
        <w:rPr>
          <w:rFonts w:ascii="Book Antiqua" w:hAnsi="Book Antiqua" w:cs="Arial"/>
        </w:rPr>
        <w:t xml:space="preserve"> </w:t>
      </w:r>
      <w:bookmarkStart w:id="34" w:name="_Toc497668310"/>
    </w:p>
    <w:p w14:paraId="6BAE5F27" w14:textId="77777777" w:rsidR="007F4049" w:rsidRPr="00644ED5" w:rsidRDefault="007F4049" w:rsidP="007F4049">
      <w:pPr>
        <w:spacing w:line="360" w:lineRule="auto"/>
        <w:rPr>
          <w:rFonts w:ascii="Book Antiqua" w:hAnsi="Book Antiqua" w:cs="Arial"/>
          <w:lang w:eastAsia="zh-CN"/>
        </w:rPr>
      </w:pPr>
    </w:p>
    <w:p w14:paraId="2ACE28B7" w14:textId="72BEE51F" w:rsidR="007F4049" w:rsidRPr="00644ED5" w:rsidRDefault="00CA3B43" w:rsidP="007F4049">
      <w:pPr>
        <w:spacing w:line="360" w:lineRule="auto"/>
        <w:rPr>
          <w:rFonts w:ascii="Book Antiqua" w:hAnsi="Book Antiqua" w:cs="Arial"/>
          <w:lang w:eastAsia="zh-CN"/>
        </w:rPr>
      </w:pPr>
      <w:r w:rsidRPr="00644ED5">
        <w:rPr>
          <w:rFonts w:ascii="Book Antiqua" w:hAnsi="Book Antiqua"/>
          <w:b/>
        </w:rPr>
        <w:t>Ca</w:t>
      </w:r>
      <w:r w:rsidR="00F5560B" w:rsidRPr="00644ED5">
        <w:rPr>
          <w:rFonts w:ascii="Book Antiqua" w:hAnsi="Book Antiqua"/>
          <w:b/>
        </w:rPr>
        <w:t>r</w:t>
      </w:r>
      <w:r w:rsidRPr="00644ED5">
        <w:rPr>
          <w:rFonts w:ascii="Book Antiqua" w:hAnsi="Book Antiqua"/>
          <w:b/>
        </w:rPr>
        <w:t>vedilol</w:t>
      </w:r>
      <w:bookmarkEnd w:id="34"/>
      <w:r w:rsidR="007F4049" w:rsidRPr="00644ED5">
        <w:rPr>
          <w:rFonts w:ascii="Book Antiqua" w:hAnsi="Book Antiqua" w:hint="eastAsia"/>
          <w:b/>
          <w:lang w:eastAsia="zh-CN"/>
        </w:rPr>
        <w:t xml:space="preserve">: </w:t>
      </w:r>
      <w:r w:rsidRPr="00644ED5">
        <w:rPr>
          <w:rFonts w:ascii="Book Antiqua" w:hAnsi="Book Antiqua" w:cs="Arial"/>
        </w:rPr>
        <w:t xml:space="preserve">With the hypothesis that these discrepancies regarding the effect of beta-blockers in patients with refractory and non-refractory ascites may be related to the type of beta-blocker administered, a meta-analysis of nine observational studies in cirrhotic patients with ascites by Njei </w:t>
      </w:r>
      <w:r w:rsidRPr="00644ED5">
        <w:rPr>
          <w:rFonts w:ascii="Book Antiqua" w:hAnsi="Book Antiqua" w:cs="Arial"/>
          <w:i/>
        </w:rPr>
        <w:t>et al</w:t>
      </w:r>
      <w:r w:rsidR="007F4049" w:rsidRPr="00644ED5">
        <w:rPr>
          <w:rFonts w:ascii="Book Antiqua" w:hAnsi="Book Antiqua" w:cs="Arial"/>
          <w:vertAlign w:val="superscript"/>
        </w:rPr>
        <w:t>[27]</w:t>
      </w:r>
      <w:r w:rsidRPr="00644ED5">
        <w:rPr>
          <w:rFonts w:ascii="Book Antiqua" w:hAnsi="Book Antiqua" w:cs="Arial"/>
        </w:rPr>
        <w:t xml:space="preserve"> found that the traditional </w:t>
      </w:r>
      <w:r w:rsidR="005971A8" w:rsidRPr="00644ED5">
        <w:rPr>
          <w:rFonts w:ascii="Book Antiqua" w:hAnsi="Book Antiqua" w:cs="Arial"/>
        </w:rPr>
        <w:t>NSBBs</w:t>
      </w:r>
      <w:r w:rsidRPr="00644ED5">
        <w:rPr>
          <w:rFonts w:ascii="Book Antiqua" w:hAnsi="Book Antiqua" w:cs="Arial"/>
        </w:rPr>
        <w:t xml:space="preserve"> propranolol and nadolol were not associated with increased mortality, but that ca</w:t>
      </w:r>
      <w:r w:rsidR="00F5560B" w:rsidRPr="00644ED5">
        <w:rPr>
          <w:rFonts w:ascii="Book Antiqua" w:hAnsi="Book Antiqua" w:cs="Arial"/>
        </w:rPr>
        <w:t>r</w:t>
      </w:r>
      <w:r w:rsidRPr="00644ED5">
        <w:rPr>
          <w:rFonts w:ascii="Book Antiqua" w:hAnsi="Book Antiqua" w:cs="Arial"/>
        </w:rPr>
        <w:t xml:space="preserve">vedilol, a </w:t>
      </w:r>
      <w:r w:rsidR="005971A8" w:rsidRPr="00644ED5">
        <w:rPr>
          <w:rFonts w:ascii="Book Antiqua" w:hAnsi="Book Antiqua" w:cs="Arial"/>
        </w:rPr>
        <w:t>NSBB</w:t>
      </w:r>
      <w:r w:rsidRPr="00644ED5">
        <w:rPr>
          <w:rFonts w:ascii="Book Antiqua" w:hAnsi="Book Antiqua" w:cs="Arial"/>
        </w:rPr>
        <w:t xml:space="preserve"> with additional anti-alpha-1-adrenergic </w:t>
      </w:r>
      <w:r w:rsidR="00A32773" w:rsidRPr="00644ED5">
        <w:rPr>
          <w:rFonts w:ascii="Book Antiqua" w:hAnsi="Book Antiqua" w:cs="Arial"/>
        </w:rPr>
        <w:t xml:space="preserve">receptor </w:t>
      </w:r>
      <w:r w:rsidRPr="00644ED5">
        <w:rPr>
          <w:rFonts w:ascii="Book Antiqua" w:hAnsi="Book Antiqua" w:cs="Arial"/>
        </w:rPr>
        <w:t xml:space="preserve">activity, demonstrated a statistically significant association with increased all-cause mortality (RR 1.75, </w:t>
      </w:r>
      <w:r w:rsidR="002E7F8C" w:rsidRPr="00644ED5">
        <w:rPr>
          <w:rFonts w:ascii="Book Antiqua" w:hAnsi="Book Antiqua" w:cs="Arial"/>
        </w:rPr>
        <w:t xml:space="preserve">95% </w:t>
      </w:r>
      <w:r w:rsidRPr="00644ED5">
        <w:rPr>
          <w:rFonts w:ascii="Book Antiqua" w:hAnsi="Book Antiqua" w:cs="Arial"/>
        </w:rPr>
        <w:t>CI 1.06-2.90)</w:t>
      </w:r>
      <w:r w:rsidR="00BA0FDC" w:rsidRPr="00644ED5">
        <w:rPr>
          <w:rFonts w:ascii="Book Antiqua" w:hAnsi="Book Antiqua" w:cs="Arial"/>
          <w:vertAlign w:val="superscript"/>
        </w:rPr>
        <w:t>[27]</w:t>
      </w:r>
      <w:r w:rsidRPr="00644ED5">
        <w:rPr>
          <w:rFonts w:ascii="Book Antiqua" w:hAnsi="Book Antiqua" w:cs="Arial"/>
        </w:rPr>
        <w:t xml:space="preserve">. Previous studies had shown that </w:t>
      </w:r>
      <w:r w:rsidR="00F5560B" w:rsidRPr="00644ED5">
        <w:rPr>
          <w:rFonts w:ascii="Book Antiqua" w:hAnsi="Book Antiqua" w:cs="Arial"/>
        </w:rPr>
        <w:t>carvedi</w:t>
      </w:r>
      <w:r w:rsidRPr="00644ED5">
        <w:rPr>
          <w:rFonts w:ascii="Book Antiqua" w:hAnsi="Book Antiqua" w:cs="Arial"/>
        </w:rPr>
        <w:t xml:space="preserve">lol is more potent in reducing HVPG than traditional </w:t>
      </w:r>
      <w:r w:rsidR="005971A8" w:rsidRPr="00644ED5">
        <w:rPr>
          <w:rFonts w:ascii="Book Antiqua" w:hAnsi="Book Antiqua" w:cs="Arial"/>
        </w:rPr>
        <w:t>NSBBs</w:t>
      </w:r>
      <w:r w:rsidR="00BA0FDC" w:rsidRPr="00644ED5">
        <w:rPr>
          <w:rFonts w:ascii="Book Antiqua" w:hAnsi="Book Antiqua" w:cs="Arial"/>
          <w:vertAlign w:val="superscript"/>
        </w:rPr>
        <w:t>[28]</w:t>
      </w:r>
      <w:r w:rsidRPr="00644ED5">
        <w:rPr>
          <w:rFonts w:ascii="Book Antiqua" w:hAnsi="Book Antiqua" w:cs="Arial"/>
        </w:rPr>
        <w:t xml:space="preserve"> and is able to achieve a haemodynamic response in a high percentage (56%) of non-responders to propranolol</w:t>
      </w:r>
      <w:r w:rsidR="00BA0FDC" w:rsidRPr="00644ED5">
        <w:rPr>
          <w:rFonts w:ascii="Book Antiqua" w:hAnsi="Book Antiqua" w:cs="Arial"/>
          <w:vertAlign w:val="superscript"/>
        </w:rPr>
        <w:t>[29]</w:t>
      </w:r>
      <w:r w:rsidRPr="00644ED5">
        <w:rPr>
          <w:rFonts w:ascii="Book Antiqua" w:hAnsi="Book Antiqua" w:cs="Arial"/>
        </w:rPr>
        <w:t xml:space="preserve">. In rodents, </w:t>
      </w:r>
      <w:r w:rsidR="00F5560B" w:rsidRPr="00644ED5">
        <w:rPr>
          <w:rFonts w:ascii="Book Antiqua" w:hAnsi="Book Antiqua" w:cs="Arial"/>
        </w:rPr>
        <w:t>carvedi</w:t>
      </w:r>
      <w:r w:rsidRPr="00644ED5">
        <w:rPr>
          <w:rFonts w:ascii="Book Antiqua" w:hAnsi="Book Antiqua" w:cs="Arial"/>
        </w:rPr>
        <w:t>lol administration was shown to modulate inflammatory cytokine generation and augment antioxidant production, resulting in diminished liver fibrogenesis</w:t>
      </w:r>
      <w:r w:rsidR="00BA0FDC" w:rsidRPr="00644ED5">
        <w:rPr>
          <w:rFonts w:ascii="Book Antiqua" w:hAnsi="Book Antiqua" w:cs="Arial"/>
          <w:vertAlign w:val="superscript"/>
        </w:rPr>
        <w:t>[30,31]</w:t>
      </w:r>
      <w:r w:rsidRPr="00644ED5">
        <w:rPr>
          <w:rFonts w:ascii="Book Antiqua" w:hAnsi="Book Antiqua" w:cs="Arial"/>
        </w:rPr>
        <w:t xml:space="preserve">. The anti-alpha-1 mediated reduction in intrahepatic resistance brought about by </w:t>
      </w:r>
      <w:r w:rsidR="00F5560B" w:rsidRPr="00644ED5">
        <w:rPr>
          <w:rFonts w:ascii="Book Antiqua" w:hAnsi="Book Antiqua" w:cs="Arial"/>
        </w:rPr>
        <w:t>carvedi</w:t>
      </w:r>
      <w:r w:rsidRPr="00644ED5">
        <w:rPr>
          <w:rFonts w:ascii="Book Antiqua" w:hAnsi="Book Antiqua" w:cs="Arial"/>
        </w:rPr>
        <w:t>lol may be of benefit to patients with less advanced portal hypertension, where intrahepatic resistance still constitutes a major factor in portal pressure</w:t>
      </w:r>
      <w:r w:rsidR="00BA0FDC" w:rsidRPr="00644ED5">
        <w:rPr>
          <w:rFonts w:ascii="Book Antiqua" w:hAnsi="Book Antiqua" w:cs="Arial"/>
          <w:vertAlign w:val="superscript"/>
        </w:rPr>
        <w:t>[32]</w:t>
      </w:r>
      <w:r w:rsidRPr="00644ED5">
        <w:rPr>
          <w:rFonts w:ascii="Book Antiqua" w:hAnsi="Book Antiqua" w:cs="Arial"/>
        </w:rPr>
        <w:t xml:space="preserve">. While traditional beta-blockers were shown to be ineffective in the primary prevention of variceal development, </w:t>
      </w:r>
      <w:r w:rsidR="00F5560B" w:rsidRPr="00644ED5">
        <w:rPr>
          <w:rFonts w:ascii="Book Antiqua" w:hAnsi="Book Antiqua" w:cs="Arial"/>
        </w:rPr>
        <w:t>carvedi</w:t>
      </w:r>
      <w:r w:rsidRPr="00644ED5">
        <w:rPr>
          <w:rFonts w:ascii="Book Antiqua" w:hAnsi="Book Antiqua" w:cs="Arial"/>
        </w:rPr>
        <w:t xml:space="preserve">lol achieved a delay in progression of small to large varices from 18.7 to 20.8 mo in a </w:t>
      </w:r>
      <w:r w:rsidR="005971A8" w:rsidRPr="00644ED5">
        <w:rPr>
          <w:rFonts w:ascii="Book Antiqua" w:hAnsi="Book Antiqua" w:cs="Arial"/>
        </w:rPr>
        <w:t xml:space="preserve">RCT by Bhardwaj </w:t>
      </w:r>
      <w:r w:rsidR="005971A8" w:rsidRPr="00644ED5">
        <w:rPr>
          <w:rFonts w:ascii="Book Antiqua" w:hAnsi="Book Antiqua" w:cs="Arial"/>
          <w:i/>
        </w:rPr>
        <w:t>et al</w:t>
      </w:r>
      <w:r w:rsidR="00BA0FDC" w:rsidRPr="00644ED5">
        <w:rPr>
          <w:rFonts w:ascii="Book Antiqua" w:hAnsi="Book Antiqua" w:cs="Arial"/>
          <w:vertAlign w:val="superscript"/>
        </w:rPr>
        <w:t>[33]</w:t>
      </w:r>
      <w:r w:rsidRPr="00644ED5">
        <w:rPr>
          <w:rFonts w:ascii="Book Antiqua" w:hAnsi="Book Antiqua" w:cs="Arial"/>
        </w:rPr>
        <w:t xml:space="preserve">. However, </w:t>
      </w:r>
      <w:r w:rsidR="00F5560B" w:rsidRPr="00644ED5">
        <w:rPr>
          <w:rFonts w:ascii="Book Antiqua" w:hAnsi="Book Antiqua" w:cs="Arial"/>
        </w:rPr>
        <w:t>carvedi</w:t>
      </w:r>
      <w:r w:rsidRPr="00644ED5">
        <w:rPr>
          <w:rFonts w:ascii="Book Antiqua" w:hAnsi="Book Antiqua" w:cs="Arial"/>
        </w:rPr>
        <w:t>lol also shows a trend towards a more potent reduction in systemic arterial pressure compared to traditional beta-blockers</w:t>
      </w:r>
      <w:r w:rsidR="00BA0FDC" w:rsidRPr="00644ED5">
        <w:rPr>
          <w:rFonts w:ascii="Book Antiqua" w:hAnsi="Book Antiqua" w:cs="Arial"/>
          <w:vertAlign w:val="superscript"/>
        </w:rPr>
        <w:t>[19,28]</w:t>
      </w:r>
      <w:r w:rsidRPr="00644ED5">
        <w:rPr>
          <w:rFonts w:ascii="Book Antiqua" w:hAnsi="Book Antiqua" w:cs="Arial"/>
        </w:rPr>
        <w:t xml:space="preserve"> and could thus further destabilise the delicate</w:t>
      </w:r>
      <w:r w:rsidR="0065544E" w:rsidRPr="00644ED5">
        <w:rPr>
          <w:rFonts w:ascii="Book Antiqua" w:hAnsi="Book Antiqua" w:cs="Arial"/>
        </w:rPr>
        <w:t>ly-balanced</w:t>
      </w:r>
      <w:r w:rsidRPr="00644ED5">
        <w:rPr>
          <w:rFonts w:ascii="Book Antiqua" w:hAnsi="Book Antiqua" w:cs="Arial"/>
        </w:rPr>
        <w:t xml:space="preserve"> haemodynamic state in cirrhotic patients with ascites, as Njei </w:t>
      </w:r>
      <w:r w:rsidRPr="00644ED5">
        <w:rPr>
          <w:rFonts w:ascii="Book Antiqua" w:hAnsi="Book Antiqua" w:cs="Arial"/>
          <w:i/>
        </w:rPr>
        <w:t>et al</w:t>
      </w:r>
      <w:r w:rsidR="007F4049" w:rsidRPr="00644ED5">
        <w:rPr>
          <w:rFonts w:ascii="Book Antiqua" w:hAnsi="Book Antiqua" w:cs="Arial"/>
          <w:vertAlign w:val="superscript"/>
        </w:rPr>
        <w:t>[27]</w:t>
      </w:r>
      <w:r w:rsidRPr="00644ED5">
        <w:rPr>
          <w:rFonts w:ascii="Book Antiqua" w:hAnsi="Book Antiqua" w:cs="Arial"/>
        </w:rPr>
        <w:t xml:space="preserve"> hypothesise in view of the detrimental effect of </w:t>
      </w:r>
      <w:r w:rsidR="00F5560B" w:rsidRPr="00644ED5">
        <w:rPr>
          <w:rFonts w:ascii="Book Antiqua" w:hAnsi="Book Antiqua" w:cs="Arial"/>
        </w:rPr>
        <w:t>carvedi</w:t>
      </w:r>
      <w:r w:rsidRPr="00644ED5">
        <w:rPr>
          <w:rFonts w:ascii="Book Antiqua" w:hAnsi="Book Antiqua" w:cs="Arial"/>
        </w:rPr>
        <w:t xml:space="preserve">lol on their cohort. In contrast, Sinha </w:t>
      </w:r>
      <w:r w:rsidRPr="00644ED5">
        <w:rPr>
          <w:rFonts w:ascii="Book Antiqua" w:hAnsi="Book Antiqua" w:cs="Arial"/>
          <w:i/>
        </w:rPr>
        <w:t>et al</w:t>
      </w:r>
      <w:r w:rsidRPr="00644ED5">
        <w:rPr>
          <w:rFonts w:ascii="Book Antiqua" w:hAnsi="Book Antiqua" w:cs="Arial"/>
        </w:rPr>
        <w:t xml:space="preserve"> recently investigated the effects of long-term, low-dose (12.5 mg) carvedilol treatment in a retrospective, propensity score matched cohort of 264 patients with ascites. After a median follow-up of 2.3 years, carvedilol therapy was associated with a hazard ratio of 0.47 (</w:t>
      </w:r>
      <w:r w:rsidR="002E7F8C" w:rsidRPr="00644ED5">
        <w:rPr>
          <w:rFonts w:ascii="Book Antiqua" w:hAnsi="Book Antiqua" w:cs="Arial"/>
        </w:rPr>
        <w:t xml:space="preserve">95% </w:t>
      </w:r>
      <w:r w:rsidR="007F4049" w:rsidRPr="00644ED5">
        <w:rPr>
          <w:rFonts w:ascii="Book Antiqua" w:hAnsi="Book Antiqua" w:cs="Arial"/>
        </w:rPr>
        <w:t>CI 0.29</w:t>
      </w:r>
      <w:r w:rsidR="007F4049" w:rsidRPr="00644ED5">
        <w:rPr>
          <w:rFonts w:ascii="Book Antiqua" w:hAnsi="Book Antiqua" w:cs="Arial" w:hint="eastAsia"/>
          <w:lang w:eastAsia="zh-CN"/>
        </w:rPr>
        <w:t>-</w:t>
      </w:r>
      <w:r w:rsidRPr="00644ED5">
        <w:rPr>
          <w:rFonts w:ascii="Book Antiqua" w:hAnsi="Book Antiqua" w:cs="Arial"/>
        </w:rPr>
        <w:t>0.77) in patients with mild ascites and was not associated with increased mortality in patients with moderate to severe ascites</w:t>
      </w:r>
      <w:r w:rsidR="00BA0FDC" w:rsidRPr="00644ED5">
        <w:rPr>
          <w:rFonts w:ascii="Book Antiqua" w:hAnsi="Book Antiqua" w:cs="Arial"/>
          <w:vertAlign w:val="superscript"/>
        </w:rPr>
        <w:t>[30]</w:t>
      </w:r>
      <w:r w:rsidR="009C520F" w:rsidRPr="00644ED5">
        <w:rPr>
          <w:rFonts w:ascii="Book Antiqua" w:hAnsi="Book Antiqua" w:cs="Arial"/>
        </w:rPr>
        <w:t>.</w:t>
      </w:r>
      <w:r w:rsidR="00CB4E7A" w:rsidRPr="00644ED5">
        <w:rPr>
          <w:rFonts w:ascii="Book Antiqua" w:hAnsi="Book Antiqua" w:cs="Arial"/>
        </w:rPr>
        <w:t xml:space="preserve"> </w:t>
      </w:r>
      <w:bookmarkStart w:id="35" w:name="_Hlk535245604"/>
      <w:r w:rsidR="00CB4E7A" w:rsidRPr="00644ED5">
        <w:rPr>
          <w:rFonts w:ascii="Book Antiqua" w:hAnsi="Book Antiqua" w:cs="Arial"/>
        </w:rPr>
        <w:t xml:space="preserve">Zacharias </w:t>
      </w:r>
      <w:r w:rsidR="00CB4E7A" w:rsidRPr="00644ED5">
        <w:rPr>
          <w:rFonts w:ascii="Book Antiqua" w:hAnsi="Book Antiqua" w:cs="Arial"/>
          <w:i/>
        </w:rPr>
        <w:t>et al</w:t>
      </w:r>
      <w:r w:rsidR="007F4049" w:rsidRPr="00644ED5">
        <w:rPr>
          <w:rFonts w:ascii="Book Antiqua" w:hAnsi="Book Antiqua" w:cs="Arial"/>
          <w:vertAlign w:val="superscript"/>
        </w:rPr>
        <w:t>[34]</w:t>
      </w:r>
      <w:r w:rsidR="00CB4E7A" w:rsidRPr="00644ED5">
        <w:rPr>
          <w:rFonts w:ascii="Book Antiqua" w:hAnsi="Book Antiqua" w:cs="Arial"/>
        </w:rPr>
        <w:t xml:space="preserve"> recently </w:t>
      </w:r>
      <w:r w:rsidR="00CB4E7A" w:rsidRPr="00644ED5">
        <w:rPr>
          <w:rFonts w:ascii="Book Antiqua" w:hAnsi="Book Antiqua" w:cs="Arial"/>
        </w:rPr>
        <w:lastRenderedPageBreak/>
        <w:t xml:space="preserve">conducted a Cochrane systematic review of 10 RCTs and </w:t>
      </w:r>
      <w:r w:rsidR="008A3F76" w:rsidRPr="00644ED5">
        <w:rPr>
          <w:rFonts w:ascii="Book Antiqua" w:hAnsi="Book Antiqua" w:cs="Arial"/>
        </w:rPr>
        <w:t>810 patients comparing the safety and efficacy of carvedilol versus traditional NSBBs in the primary and secondary prevention of variceal haemorrhage</w:t>
      </w:r>
      <w:r w:rsidR="00F03F4E" w:rsidRPr="00644ED5">
        <w:rPr>
          <w:rFonts w:ascii="Book Antiqua" w:hAnsi="Book Antiqua" w:cs="Arial"/>
        </w:rPr>
        <w:t>; they identified</w:t>
      </w:r>
      <w:r w:rsidR="008A3F76" w:rsidRPr="00644ED5">
        <w:rPr>
          <w:rFonts w:ascii="Book Antiqua" w:hAnsi="Book Antiqua" w:cs="Arial"/>
        </w:rPr>
        <w:t xml:space="preserve"> no differences in the incidence of mortality, variceal haemorrhage and serious adverse events between both groups despite greater reductions in HVPG for the carvedilol group. Due to the low quality of assessed evidence, these findings were associated with substantial uncertainty.</w:t>
      </w:r>
      <w:bookmarkEnd w:id="35"/>
      <w:r w:rsidR="008A3F76" w:rsidRPr="00644ED5">
        <w:rPr>
          <w:rFonts w:ascii="Book Antiqua" w:hAnsi="Book Antiqua" w:cs="Arial"/>
        </w:rPr>
        <w:t xml:space="preserve"> </w:t>
      </w:r>
      <w:bookmarkStart w:id="36" w:name="_Toc497668311"/>
    </w:p>
    <w:p w14:paraId="18508AD0" w14:textId="77777777" w:rsidR="007F4049" w:rsidRPr="00644ED5" w:rsidRDefault="007F4049" w:rsidP="007F4049">
      <w:pPr>
        <w:spacing w:line="360" w:lineRule="auto"/>
        <w:rPr>
          <w:rFonts w:ascii="Book Antiqua" w:hAnsi="Book Antiqua" w:cs="Arial"/>
          <w:lang w:eastAsia="zh-CN"/>
        </w:rPr>
      </w:pPr>
    </w:p>
    <w:p w14:paraId="4B7E47D9" w14:textId="7A5A9896" w:rsidR="00425A8F" w:rsidRPr="00644ED5" w:rsidRDefault="00AE20E2" w:rsidP="00667231">
      <w:pPr>
        <w:spacing w:line="360" w:lineRule="auto"/>
        <w:rPr>
          <w:rFonts w:ascii="Book Antiqua" w:hAnsi="Book Antiqua" w:cs="Arial"/>
          <w:lang w:eastAsia="zh-CN"/>
        </w:rPr>
      </w:pPr>
      <w:r w:rsidRPr="00644ED5">
        <w:rPr>
          <w:rFonts w:ascii="Book Antiqua" w:hAnsi="Book Antiqua"/>
          <w:b/>
        </w:rPr>
        <w:t>Haemod</w:t>
      </w:r>
      <w:r w:rsidR="005377FA" w:rsidRPr="00644ED5">
        <w:rPr>
          <w:rFonts w:ascii="Book Antiqua" w:hAnsi="Book Antiqua"/>
          <w:b/>
        </w:rPr>
        <w:t>y</w:t>
      </w:r>
      <w:r w:rsidRPr="00644ED5">
        <w:rPr>
          <w:rFonts w:ascii="Book Antiqua" w:hAnsi="Book Antiqua"/>
          <w:b/>
        </w:rPr>
        <w:t>namically</w:t>
      </w:r>
      <w:r w:rsidR="005377FA" w:rsidRPr="00644ED5">
        <w:rPr>
          <w:rFonts w:ascii="Book Antiqua" w:hAnsi="Book Antiqua"/>
          <w:b/>
        </w:rPr>
        <w:t>-</w:t>
      </w:r>
      <w:r w:rsidRPr="00644ED5">
        <w:rPr>
          <w:rFonts w:ascii="Book Antiqua" w:hAnsi="Book Antiqua"/>
          <w:b/>
        </w:rPr>
        <w:t>independent potential</w:t>
      </w:r>
      <w:r w:rsidR="00FF68FA" w:rsidRPr="00644ED5">
        <w:rPr>
          <w:rFonts w:ascii="Book Antiqua" w:hAnsi="Book Antiqua"/>
          <w:b/>
        </w:rPr>
        <w:t xml:space="preserve"> of beta-blockers</w:t>
      </w:r>
      <w:bookmarkEnd w:id="36"/>
      <w:r w:rsidR="007F4049" w:rsidRPr="00644ED5">
        <w:rPr>
          <w:rFonts w:ascii="Book Antiqua" w:hAnsi="Book Antiqua" w:hint="eastAsia"/>
          <w:b/>
          <w:lang w:eastAsia="zh-CN"/>
        </w:rPr>
        <w:t xml:space="preserve">: </w:t>
      </w:r>
      <w:r w:rsidR="00326A17" w:rsidRPr="00644ED5">
        <w:rPr>
          <w:rFonts w:ascii="Book Antiqua" w:hAnsi="Book Antiqua" w:cs="Arial"/>
        </w:rPr>
        <w:t>Additional observational studies have proposed</w:t>
      </w:r>
      <w:r w:rsidR="00F53374" w:rsidRPr="00644ED5">
        <w:rPr>
          <w:rFonts w:ascii="Book Antiqua" w:hAnsi="Book Antiqua" w:cs="Arial"/>
        </w:rPr>
        <w:t xml:space="preserve"> the existence of haemodynamically independent effects</w:t>
      </w:r>
      <w:r w:rsidR="00C721D1" w:rsidRPr="00644ED5">
        <w:rPr>
          <w:rFonts w:ascii="Book Antiqua" w:hAnsi="Book Antiqua" w:cs="Arial"/>
        </w:rPr>
        <w:t xml:space="preserve"> of beta-blockers. </w:t>
      </w:r>
      <w:r w:rsidR="00521057" w:rsidRPr="00644ED5">
        <w:rPr>
          <w:rFonts w:ascii="Book Antiqua" w:hAnsi="Book Antiqua" w:cs="Arial"/>
        </w:rPr>
        <w:t>Senz</w:t>
      </w:r>
      <w:r w:rsidR="007B02B5" w:rsidRPr="00644ED5">
        <w:rPr>
          <w:rFonts w:ascii="Book Antiqua" w:hAnsi="Book Antiqua" w:cs="Arial"/>
        </w:rPr>
        <w:t xml:space="preserve">olo </w:t>
      </w:r>
      <w:r w:rsidR="007B02B5" w:rsidRPr="00644ED5">
        <w:rPr>
          <w:rFonts w:ascii="Book Antiqua" w:hAnsi="Book Antiqua" w:cs="Arial"/>
          <w:i/>
        </w:rPr>
        <w:t>et al</w:t>
      </w:r>
      <w:r w:rsidR="007F4049" w:rsidRPr="00644ED5">
        <w:rPr>
          <w:rFonts w:ascii="Book Antiqua" w:hAnsi="Book Antiqua" w:cs="Arial"/>
          <w:vertAlign w:val="superscript"/>
        </w:rPr>
        <w:t>[35]</w:t>
      </w:r>
      <w:r w:rsidR="007B02B5" w:rsidRPr="00644ED5">
        <w:rPr>
          <w:rFonts w:ascii="Book Antiqua" w:hAnsi="Book Antiqua" w:cs="Arial"/>
        </w:rPr>
        <w:t xml:space="preserve"> and Bang </w:t>
      </w:r>
      <w:r w:rsidR="007B02B5" w:rsidRPr="00644ED5">
        <w:rPr>
          <w:rFonts w:ascii="Book Antiqua" w:hAnsi="Book Antiqua" w:cs="Arial"/>
          <w:i/>
        </w:rPr>
        <w:t>et al</w:t>
      </w:r>
      <w:r w:rsidR="007F4049" w:rsidRPr="00644ED5">
        <w:rPr>
          <w:rFonts w:ascii="Book Antiqua" w:hAnsi="Book Antiqua" w:cs="Arial"/>
          <w:vertAlign w:val="superscript"/>
        </w:rPr>
        <w:t>[15]</w:t>
      </w:r>
      <w:r w:rsidR="007B02B5" w:rsidRPr="00644ED5">
        <w:rPr>
          <w:rFonts w:ascii="Book Antiqua" w:hAnsi="Book Antiqua" w:cs="Arial"/>
        </w:rPr>
        <w:t xml:space="preserve"> observed </w:t>
      </w:r>
      <w:r w:rsidR="00521057" w:rsidRPr="00644ED5">
        <w:rPr>
          <w:rFonts w:ascii="Book Antiqua" w:hAnsi="Book Antiqua" w:cs="Arial"/>
        </w:rPr>
        <w:t>protective effect</w:t>
      </w:r>
      <w:r w:rsidR="00825887" w:rsidRPr="00644ED5">
        <w:rPr>
          <w:rFonts w:ascii="Book Antiqua" w:hAnsi="Book Antiqua" w:cs="Arial"/>
        </w:rPr>
        <w:t>s</w:t>
      </w:r>
      <w:r w:rsidR="00326A17" w:rsidRPr="00644ED5">
        <w:rPr>
          <w:rFonts w:ascii="Book Antiqua" w:hAnsi="Book Antiqua" w:cs="Arial"/>
        </w:rPr>
        <w:t xml:space="preserve"> of </w:t>
      </w:r>
      <w:r w:rsidR="009C520F" w:rsidRPr="00644ED5">
        <w:rPr>
          <w:rFonts w:ascii="Book Antiqua" w:hAnsi="Book Antiqua" w:cs="Arial"/>
        </w:rPr>
        <w:t>NSBB</w:t>
      </w:r>
      <w:r w:rsidR="00326A17" w:rsidRPr="00644ED5">
        <w:rPr>
          <w:rFonts w:ascii="Book Antiqua" w:hAnsi="Book Antiqua" w:cs="Arial"/>
        </w:rPr>
        <w:t xml:space="preserve"> administration</w:t>
      </w:r>
      <w:r w:rsidR="00521057" w:rsidRPr="00644ED5">
        <w:rPr>
          <w:rFonts w:ascii="Book Antiqua" w:hAnsi="Book Antiqua" w:cs="Arial"/>
        </w:rPr>
        <w:t xml:space="preserve"> on SBP </w:t>
      </w:r>
      <w:r w:rsidR="00326A17" w:rsidRPr="00644ED5">
        <w:rPr>
          <w:rFonts w:ascii="Book Antiqua" w:hAnsi="Book Antiqua" w:cs="Arial"/>
        </w:rPr>
        <w:t>occurrence</w:t>
      </w:r>
      <w:r w:rsidR="00521057" w:rsidRPr="00644ED5">
        <w:rPr>
          <w:rFonts w:ascii="Book Antiqua" w:hAnsi="Book Antiqua" w:cs="Arial"/>
        </w:rPr>
        <w:t xml:space="preserve"> in patients with </w:t>
      </w:r>
      <w:r w:rsidR="007B02B5" w:rsidRPr="00644ED5">
        <w:rPr>
          <w:rFonts w:ascii="Book Antiqua" w:hAnsi="Book Antiqua" w:cs="Arial"/>
        </w:rPr>
        <w:t>cirrhotic ascites</w:t>
      </w:r>
      <w:r w:rsidR="00521057" w:rsidRPr="00644ED5">
        <w:rPr>
          <w:rFonts w:ascii="Book Antiqua" w:hAnsi="Book Antiqua" w:cs="Arial"/>
        </w:rPr>
        <w:t>.</w:t>
      </w:r>
      <w:r w:rsidR="00425A8F" w:rsidRPr="00644ED5">
        <w:rPr>
          <w:rFonts w:ascii="Book Antiqua" w:hAnsi="Book Antiqua" w:cs="Arial"/>
        </w:rPr>
        <w:t xml:space="preserve"> Similarly, Merli </w:t>
      </w:r>
      <w:r w:rsidR="00425A8F" w:rsidRPr="00644ED5">
        <w:rPr>
          <w:rFonts w:ascii="Book Antiqua" w:hAnsi="Book Antiqua" w:cs="Arial"/>
          <w:i/>
        </w:rPr>
        <w:t>et al</w:t>
      </w:r>
      <w:r w:rsidR="007F4049" w:rsidRPr="00644ED5">
        <w:rPr>
          <w:rFonts w:ascii="Book Antiqua" w:hAnsi="Book Antiqua" w:cs="Arial"/>
          <w:vertAlign w:val="superscript"/>
        </w:rPr>
        <w:t>[36]</w:t>
      </w:r>
      <w:r w:rsidR="00425A8F" w:rsidRPr="00644ED5">
        <w:rPr>
          <w:rFonts w:ascii="Book Antiqua" w:hAnsi="Book Antiqua" w:cs="Arial"/>
        </w:rPr>
        <w:t xml:space="preserve"> </w:t>
      </w:r>
      <w:r w:rsidR="00C721D1" w:rsidRPr="00644ED5">
        <w:rPr>
          <w:rFonts w:ascii="Book Antiqua" w:hAnsi="Book Antiqua" w:cs="Arial"/>
        </w:rPr>
        <w:t>prospectively followed 400 cirrhotic inpatients</w:t>
      </w:r>
      <w:r w:rsidR="0065544E" w:rsidRPr="00644ED5">
        <w:rPr>
          <w:rFonts w:ascii="Book Antiqua" w:hAnsi="Book Antiqua" w:cs="Arial"/>
        </w:rPr>
        <w:t>,</w:t>
      </w:r>
      <w:r w:rsidR="00C721D1" w:rsidRPr="00644ED5">
        <w:rPr>
          <w:rFonts w:ascii="Book Antiqua" w:hAnsi="Book Antiqua" w:cs="Arial"/>
        </w:rPr>
        <w:t xml:space="preserve"> finding that </w:t>
      </w:r>
      <w:r w:rsidR="00425A8F" w:rsidRPr="00644ED5">
        <w:rPr>
          <w:rFonts w:ascii="Book Antiqua" w:hAnsi="Book Antiqua" w:cs="Arial"/>
        </w:rPr>
        <w:t>beta-blockade</w:t>
      </w:r>
      <w:r w:rsidR="00C721D1" w:rsidRPr="00644ED5">
        <w:rPr>
          <w:rFonts w:ascii="Book Antiqua" w:hAnsi="Book Antiqua" w:cs="Arial"/>
        </w:rPr>
        <w:t xml:space="preserve"> generally</w:t>
      </w:r>
      <w:r w:rsidR="00425A8F" w:rsidRPr="00644ED5">
        <w:rPr>
          <w:rFonts w:ascii="Book Antiqua" w:hAnsi="Book Antiqua" w:cs="Arial"/>
        </w:rPr>
        <w:t xml:space="preserve"> protected against infection and that infected patients </w:t>
      </w:r>
      <w:r w:rsidR="000F0A77" w:rsidRPr="00644ED5">
        <w:rPr>
          <w:rFonts w:ascii="Book Antiqua" w:hAnsi="Book Antiqua" w:cs="Arial"/>
        </w:rPr>
        <w:t>showed</w:t>
      </w:r>
      <w:r w:rsidR="00425A8F" w:rsidRPr="00644ED5">
        <w:rPr>
          <w:rFonts w:ascii="Book Antiqua" w:hAnsi="Book Antiqua" w:cs="Arial"/>
        </w:rPr>
        <w:t xml:space="preserve"> lower morbidity and mortality when receiving beta-blocker therapy. Mookerjee </w:t>
      </w:r>
      <w:r w:rsidR="00425A8F" w:rsidRPr="00644ED5">
        <w:rPr>
          <w:rFonts w:ascii="Book Antiqua" w:hAnsi="Book Antiqua" w:cs="Arial"/>
          <w:i/>
        </w:rPr>
        <w:t>et al</w:t>
      </w:r>
      <w:r w:rsidR="007F4049" w:rsidRPr="00644ED5">
        <w:rPr>
          <w:rFonts w:ascii="Book Antiqua" w:hAnsi="Book Antiqua" w:cs="Arial"/>
          <w:vertAlign w:val="superscript"/>
        </w:rPr>
        <w:t>[37]</w:t>
      </w:r>
      <w:r w:rsidR="00425A8F" w:rsidRPr="00644ED5">
        <w:rPr>
          <w:rFonts w:ascii="Book Antiqua" w:hAnsi="Book Antiqua" w:cs="Arial"/>
        </w:rPr>
        <w:t xml:space="preserve"> investigated the immunomodulatory effect of beta-blockers in 349 patients with acute-on-chronic liver failure (AoCLF) and </w:t>
      </w:r>
      <w:r w:rsidR="00C721D1" w:rsidRPr="00644ED5">
        <w:rPr>
          <w:rFonts w:ascii="Book Antiqua" w:hAnsi="Book Antiqua" w:cs="Arial"/>
        </w:rPr>
        <w:t>observed</w:t>
      </w:r>
      <w:r w:rsidR="00425A8F" w:rsidRPr="00644ED5">
        <w:rPr>
          <w:rFonts w:ascii="Book Antiqua" w:hAnsi="Book Antiqua" w:cs="Arial"/>
        </w:rPr>
        <w:t xml:space="preserve"> that beta-blockade favourably affected 28-d mortality (24% </w:t>
      </w:r>
      <w:r w:rsidR="00425A8F" w:rsidRPr="00644ED5">
        <w:rPr>
          <w:rFonts w:ascii="Book Antiqua" w:hAnsi="Book Antiqua" w:cs="Arial"/>
          <w:i/>
        </w:rPr>
        <w:t>vs</w:t>
      </w:r>
      <w:r w:rsidR="00425A8F" w:rsidRPr="00644ED5">
        <w:rPr>
          <w:rFonts w:ascii="Book Antiqua" w:hAnsi="Book Antiqua" w:cs="Arial"/>
        </w:rPr>
        <w:t xml:space="preserve"> 34%, </w:t>
      </w:r>
      <w:r w:rsidR="007F4049" w:rsidRPr="00644ED5">
        <w:rPr>
          <w:rFonts w:ascii="Book Antiqua" w:hAnsi="Book Antiqua" w:cs="Arial"/>
          <w:i/>
        </w:rPr>
        <w:t>P</w:t>
      </w:r>
      <w:r w:rsidR="007F4049" w:rsidRPr="00644ED5">
        <w:rPr>
          <w:rFonts w:ascii="Book Antiqua" w:hAnsi="Book Antiqua" w:cs="Arial" w:hint="eastAsia"/>
          <w:lang w:eastAsia="zh-CN"/>
        </w:rPr>
        <w:t xml:space="preserve"> </w:t>
      </w:r>
      <w:r w:rsidR="00425A8F" w:rsidRPr="00644ED5">
        <w:rPr>
          <w:rFonts w:ascii="Book Antiqua" w:hAnsi="Book Antiqua" w:cs="Arial"/>
        </w:rPr>
        <w:t>=</w:t>
      </w:r>
      <w:r w:rsidR="007F4049" w:rsidRPr="00644ED5">
        <w:rPr>
          <w:rFonts w:ascii="Book Antiqua" w:hAnsi="Book Antiqua" w:cs="Arial" w:hint="eastAsia"/>
          <w:lang w:eastAsia="zh-CN"/>
        </w:rPr>
        <w:t xml:space="preserve"> </w:t>
      </w:r>
      <w:r w:rsidR="00425A8F" w:rsidRPr="00644ED5">
        <w:rPr>
          <w:rFonts w:ascii="Book Antiqua" w:hAnsi="Book Antiqua" w:cs="Arial"/>
        </w:rPr>
        <w:t>0.048). Patients on beta-blockers demonstrated reduced severity of AoCLF, slower progression of AoCLF and lower white blood cell counts on admission</w:t>
      </w:r>
      <w:r w:rsidR="00BA0FDC" w:rsidRPr="00644ED5">
        <w:rPr>
          <w:rFonts w:ascii="Book Antiqua" w:hAnsi="Book Antiqua" w:cs="Arial"/>
          <w:vertAlign w:val="superscript"/>
        </w:rPr>
        <w:t>[37]</w:t>
      </w:r>
      <w:r w:rsidR="00425A8F" w:rsidRPr="00644ED5">
        <w:rPr>
          <w:rFonts w:ascii="Book Antiqua" w:hAnsi="Book Antiqua" w:cs="Arial"/>
        </w:rPr>
        <w:t xml:space="preserve">. Facciorusso </w:t>
      </w:r>
      <w:r w:rsidR="00425A8F" w:rsidRPr="00644ED5">
        <w:rPr>
          <w:rFonts w:ascii="Book Antiqua" w:hAnsi="Book Antiqua" w:cs="Arial"/>
          <w:i/>
        </w:rPr>
        <w:t>et al</w:t>
      </w:r>
      <w:r w:rsidR="007F4049" w:rsidRPr="00644ED5">
        <w:rPr>
          <w:rFonts w:ascii="Book Antiqua" w:hAnsi="Book Antiqua" w:cs="Arial"/>
          <w:vertAlign w:val="superscript"/>
        </w:rPr>
        <w:t>[38]</w:t>
      </w:r>
      <w:r w:rsidR="00425A8F" w:rsidRPr="00644ED5">
        <w:rPr>
          <w:rFonts w:ascii="Book Antiqua" w:hAnsi="Book Antiqua" w:cs="Arial"/>
        </w:rPr>
        <w:t xml:space="preserve"> analysed 107 cirrhotics admitted to a single centre with sepsis, </w:t>
      </w:r>
      <w:r w:rsidR="009C520F" w:rsidRPr="00644ED5">
        <w:rPr>
          <w:rFonts w:ascii="Book Antiqua" w:hAnsi="Book Antiqua" w:cs="Arial"/>
        </w:rPr>
        <w:t>noting</w:t>
      </w:r>
      <w:r w:rsidR="00425A8F" w:rsidRPr="00644ED5">
        <w:rPr>
          <w:rFonts w:ascii="Book Antiqua" w:hAnsi="Book Antiqua" w:cs="Arial"/>
        </w:rPr>
        <w:t xml:space="preserve"> that </w:t>
      </w:r>
      <w:r w:rsidR="009C520F" w:rsidRPr="00644ED5">
        <w:rPr>
          <w:rFonts w:ascii="Book Antiqua" w:hAnsi="Book Antiqua" w:cs="Arial"/>
        </w:rPr>
        <w:t>NSBB</w:t>
      </w:r>
      <w:r w:rsidR="00425A8F" w:rsidRPr="00644ED5">
        <w:rPr>
          <w:rFonts w:ascii="Book Antiqua" w:hAnsi="Book Antiqua" w:cs="Arial"/>
        </w:rPr>
        <w:t xml:space="preserve"> users had significantly reduced in-hospital mortality (18.7% </w:t>
      </w:r>
      <w:r w:rsidR="00425A8F" w:rsidRPr="00644ED5">
        <w:rPr>
          <w:rFonts w:ascii="Book Antiqua" w:hAnsi="Book Antiqua" w:cs="Arial"/>
          <w:i/>
        </w:rPr>
        <w:t xml:space="preserve">vs </w:t>
      </w:r>
      <w:r w:rsidR="00425A8F" w:rsidRPr="00644ED5">
        <w:rPr>
          <w:rFonts w:ascii="Book Antiqua" w:hAnsi="Book Antiqua" w:cs="Arial"/>
        </w:rPr>
        <w:t xml:space="preserve">42.3%, </w:t>
      </w:r>
      <w:r w:rsidR="007F4049" w:rsidRPr="00644ED5">
        <w:rPr>
          <w:rFonts w:ascii="Book Antiqua" w:hAnsi="Book Antiqua" w:cs="Arial"/>
          <w:i/>
        </w:rPr>
        <w:t>P</w:t>
      </w:r>
      <w:r w:rsidR="007F4049" w:rsidRPr="00644ED5">
        <w:rPr>
          <w:rFonts w:ascii="Book Antiqua" w:hAnsi="Book Antiqua" w:cs="Arial" w:hint="eastAsia"/>
          <w:lang w:eastAsia="zh-CN"/>
        </w:rPr>
        <w:t xml:space="preserve"> </w:t>
      </w:r>
      <w:r w:rsidR="00425A8F" w:rsidRPr="00644ED5">
        <w:rPr>
          <w:rFonts w:ascii="Book Antiqua" w:hAnsi="Book Antiqua" w:cs="Arial"/>
        </w:rPr>
        <w:t>=</w:t>
      </w:r>
      <w:r w:rsidR="007F4049" w:rsidRPr="00644ED5">
        <w:rPr>
          <w:rFonts w:ascii="Book Antiqua" w:hAnsi="Book Antiqua" w:cs="Arial" w:hint="eastAsia"/>
          <w:lang w:eastAsia="zh-CN"/>
        </w:rPr>
        <w:t xml:space="preserve"> </w:t>
      </w:r>
      <w:r w:rsidR="00425A8F" w:rsidRPr="00644ED5">
        <w:rPr>
          <w:rFonts w:ascii="Book Antiqua" w:hAnsi="Book Antiqua" w:cs="Arial"/>
        </w:rPr>
        <w:t xml:space="preserve">0.01), hospital stay duration (15.0 </w:t>
      </w:r>
      <w:r w:rsidR="00425A8F" w:rsidRPr="00644ED5">
        <w:rPr>
          <w:rFonts w:ascii="Book Antiqua" w:hAnsi="Book Antiqua" w:cs="Arial"/>
          <w:i/>
        </w:rPr>
        <w:t>vs</w:t>
      </w:r>
      <w:r w:rsidR="00425A8F" w:rsidRPr="00644ED5">
        <w:rPr>
          <w:rFonts w:ascii="Book Antiqua" w:hAnsi="Book Antiqua" w:cs="Arial"/>
        </w:rPr>
        <w:t xml:space="preserve"> 18.5 d, </w:t>
      </w:r>
      <w:r w:rsidR="007F4049" w:rsidRPr="00644ED5">
        <w:rPr>
          <w:rFonts w:ascii="Book Antiqua" w:hAnsi="Book Antiqua" w:cs="Arial"/>
          <w:i/>
        </w:rPr>
        <w:t>P</w:t>
      </w:r>
      <w:r w:rsidR="007F4049" w:rsidRPr="00644ED5">
        <w:rPr>
          <w:rFonts w:ascii="Book Antiqua" w:hAnsi="Book Antiqua" w:cs="Arial" w:hint="eastAsia"/>
          <w:lang w:eastAsia="zh-CN"/>
        </w:rPr>
        <w:t xml:space="preserve"> </w:t>
      </w:r>
      <w:r w:rsidR="00425A8F" w:rsidRPr="00644ED5">
        <w:rPr>
          <w:rFonts w:ascii="Book Antiqua" w:hAnsi="Book Antiqua" w:cs="Arial"/>
        </w:rPr>
        <w:t>=</w:t>
      </w:r>
      <w:r w:rsidR="007F4049" w:rsidRPr="00644ED5">
        <w:rPr>
          <w:rFonts w:ascii="Book Antiqua" w:hAnsi="Book Antiqua" w:cs="Arial" w:hint="eastAsia"/>
          <w:lang w:eastAsia="zh-CN"/>
        </w:rPr>
        <w:t xml:space="preserve"> </w:t>
      </w:r>
      <w:r w:rsidR="00425A8F" w:rsidRPr="00644ED5">
        <w:rPr>
          <w:rFonts w:ascii="Book Antiqua" w:hAnsi="Book Antiqua" w:cs="Arial"/>
        </w:rPr>
        <w:t xml:space="preserve">0.03), and white blood cell counts (9.2 </w:t>
      </w:r>
      <w:r w:rsidR="00425A8F" w:rsidRPr="00644ED5">
        <w:rPr>
          <w:rFonts w:ascii="Book Antiqua" w:hAnsi="Book Antiqua" w:cs="Arial"/>
          <w:i/>
        </w:rPr>
        <w:t>vs</w:t>
      </w:r>
      <w:r w:rsidR="00425A8F" w:rsidRPr="00644ED5">
        <w:rPr>
          <w:rFonts w:ascii="Book Antiqua" w:hAnsi="Book Antiqua" w:cs="Arial"/>
        </w:rPr>
        <w:t xml:space="preserve"> 12.1, </w:t>
      </w:r>
      <w:r w:rsidR="007F4049" w:rsidRPr="00644ED5">
        <w:rPr>
          <w:rFonts w:ascii="Book Antiqua" w:hAnsi="Book Antiqua" w:cs="Arial"/>
          <w:i/>
        </w:rPr>
        <w:t>P</w:t>
      </w:r>
      <w:r w:rsidR="007F4049" w:rsidRPr="00644ED5">
        <w:rPr>
          <w:rFonts w:ascii="Book Antiqua" w:hAnsi="Book Antiqua" w:cs="Arial" w:hint="eastAsia"/>
          <w:lang w:eastAsia="zh-CN"/>
        </w:rPr>
        <w:t xml:space="preserve"> </w:t>
      </w:r>
      <w:r w:rsidR="00425A8F" w:rsidRPr="00644ED5">
        <w:rPr>
          <w:rFonts w:ascii="Book Antiqua" w:hAnsi="Book Antiqua" w:cs="Arial"/>
        </w:rPr>
        <w:t>=</w:t>
      </w:r>
      <w:r w:rsidR="007F4049" w:rsidRPr="00644ED5">
        <w:rPr>
          <w:rFonts w:ascii="Book Antiqua" w:hAnsi="Book Antiqua" w:cs="Arial" w:hint="eastAsia"/>
          <w:lang w:eastAsia="zh-CN"/>
        </w:rPr>
        <w:t xml:space="preserve"> </w:t>
      </w:r>
      <w:r w:rsidR="00425A8F" w:rsidRPr="00644ED5">
        <w:rPr>
          <w:rFonts w:ascii="Book Antiqua" w:hAnsi="Book Antiqua" w:cs="Arial"/>
        </w:rPr>
        <w:t>0.004) compared to non-users.</w:t>
      </w:r>
    </w:p>
    <w:p w14:paraId="7BAE9701" w14:textId="7496199B" w:rsidR="00B30F20" w:rsidRPr="00644ED5" w:rsidRDefault="00521057" w:rsidP="00B30F20">
      <w:pPr>
        <w:spacing w:line="360" w:lineRule="auto"/>
        <w:ind w:firstLineChars="100" w:firstLine="240"/>
        <w:rPr>
          <w:rFonts w:ascii="Book Antiqua" w:hAnsi="Book Antiqua" w:cs="Arial"/>
          <w:lang w:eastAsia="zh-CN"/>
        </w:rPr>
      </w:pPr>
      <w:r w:rsidRPr="00644ED5">
        <w:rPr>
          <w:rFonts w:ascii="Book Antiqua" w:hAnsi="Book Antiqua" w:cs="Arial"/>
        </w:rPr>
        <w:t xml:space="preserve">A </w:t>
      </w:r>
      <w:r w:rsidR="009C520F" w:rsidRPr="00644ED5">
        <w:rPr>
          <w:rFonts w:ascii="Book Antiqua" w:hAnsi="Book Antiqua" w:cs="Arial"/>
        </w:rPr>
        <w:t xml:space="preserve">potential </w:t>
      </w:r>
      <w:r w:rsidRPr="00644ED5">
        <w:rPr>
          <w:rFonts w:ascii="Book Antiqua" w:hAnsi="Book Antiqua" w:cs="Arial"/>
        </w:rPr>
        <w:t xml:space="preserve">pathophysiological mechanism </w:t>
      </w:r>
      <w:r w:rsidR="00326A17" w:rsidRPr="00644ED5">
        <w:rPr>
          <w:rFonts w:ascii="Book Antiqua" w:hAnsi="Book Antiqua" w:cs="Arial"/>
        </w:rPr>
        <w:t>underlying</w:t>
      </w:r>
      <w:r w:rsidRPr="00644ED5">
        <w:rPr>
          <w:rFonts w:ascii="Book Antiqua" w:hAnsi="Book Antiqua" w:cs="Arial"/>
        </w:rPr>
        <w:t xml:space="preserve"> </w:t>
      </w:r>
      <w:r w:rsidR="000F0A77" w:rsidRPr="00644ED5">
        <w:rPr>
          <w:rFonts w:ascii="Book Antiqua" w:hAnsi="Book Antiqua" w:cs="Arial"/>
        </w:rPr>
        <w:t>these observations</w:t>
      </w:r>
      <w:r w:rsidRPr="00644ED5">
        <w:rPr>
          <w:rFonts w:ascii="Book Antiqua" w:hAnsi="Book Antiqua" w:cs="Arial"/>
        </w:rPr>
        <w:t xml:space="preserve"> </w:t>
      </w:r>
      <w:r w:rsidR="00825887" w:rsidRPr="00644ED5">
        <w:rPr>
          <w:rFonts w:ascii="Book Antiqua" w:hAnsi="Book Antiqua" w:cs="Arial"/>
        </w:rPr>
        <w:t>was provided by</w:t>
      </w:r>
      <w:r w:rsidR="00A43A35" w:rsidRPr="00644ED5">
        <w:rPr>
          <w:rFonts w:ascii="Book Antiqua" w:hAnsi="Book Antiqua" w:cs="Arial"/>
        </w:rPr>
        <w:t xml:space="preserve"> Reiberger </w:t>
      </w:r>
      <w:r w:rsidR="00A43A35" w:rsidRPr="00644ED5">
        <w:rPr>
          <w:rFonts w:ascii="Book Antiqua" w:hAnsi="Book Antiqua" w:cs="Arial"/>
          <w:i/>
        </w:rPr>
        <w:t>et al</w:t>
      </w:r>
      <w:r w:rsidR="00B30F20" w:rsidRPr="00644ED5">
        <w:rPr>
          <w:rFonts w:ascii="Book Antiqua" w:hAnsi="Book Antiqua" w:cs="Arial"/>
          <w:vertAlign w:val="superscript"/>
        </w:rPr>
        <w:t>[39]</w:t>
      </w:r>
      <w:r w:rsidR="00A43A35" w:rsidRPr="00644ED5">
        <w:rPr>
          <w:rFonts w:ascii="Book Antiqua" w:hAnsi="Book Antiqua" w:cs="Arial"/>
        </w:rPr>
        <w:t xml:space="preserve"> </w:t>
      </w:r>
      <w:r w:rsidR="00825887" w:rsidRPr="00644ED5">
        <w:rPr>
          <w:rFonts w:ascii="Book Antiqua" w:hAnsi="Book Antiqua" w:cs="Arial"/>
        </w:rPr>
        <w:t xml:space="preserve">who </w:t>
      </w:r>
      <w:r w:rsidR="00326A17" w:rsidRPr="00644ED5">
        <w:rPr>
          <w:rFonts w:ascii="Book Antiqua" w:hAnsi="Book Antiqua" w:cs="Arial"/>
        </w:rPr>
        <w:t>measured</w:t>
      </w:r>
      <w:r w:rsidR="00A43A35" w:rsidRPr="00644ED5">
        <w:rPr>
          <w:rFonts w:ascii="Book Antiqua" w:hAnsi="Book Antiqua" w:cs="Arial"/>
        </w:rPr>
        <w:t xml:space="preserve"> reduced serum levels of interleukin 6 and lipopolysaccharide binding protein </w:t>
      </w:r>
      <w:r w:rsidR="00825887" w:rsidRPr="00644ED5">
        <w:rPr>
          <w:rFonts w:ascii="Book Antiqua" w:hAnsi="Book Antiqua" w:cs="Arial"/>
        </w:rPr>
        <w:t xml:space="preserve">in cirrhotic patients receiving beta-blockers, </w:t>
      </w:r>
      <w:r w:rsidR="00C87172" w:rsidRPr="00644ED5">
        <w:rPr>
          <w:rFonts w:ascii="Book Antiqua" w:hAnsi="Book Antiqua" w:cs="Arial"/>
        </w:rPr>
        <w:t xml:space="preserve">indicative of </w:t>
      </w:r>
      <w:r w:rsidR="00A43A35" w:rsidRPr="00644ED5">
        <w:rPr>
          <w:rFonts w:ascii="Book Antiqua" w:hAnsi="Book Antiqua" w:cs="Arial"/>
        </w:rPr>
        <w:t>decreased bacterial translocation</w:t>
      </w:r>
      <w:r w:rsidRPr="00644ED5">
        <w:rPr>
          <w:rFonts w:ascii="Book Antiqua" w:hAnsi="Book Antiqua" w:cs="Arial"/>
        </w:rPr>
        <w:t>.</w:t>
      </w:r>
      <w:r w:rsidR="00825887" w:rsidRPr="00644ED5">
        <w:rPr>
          <w:rFonts w:ascii="Book Antiqua" w:hAnsi="Book Antiqua" w:cs="Arial"/>
        </w:rPr>
        <w:t xml:space="preserve"> </w:t>
      </w:r>
      <w:r w:rsidR="00763CB9" w:rsidRPr="00644ED5">
        <w:rPr>
          <w:rFonts w:ascii="Book Antiqua" w:hAnsi="Book Antiqua" w:cs="Arial"/>
        </w:rPr>
        <w:t xml:space="preserve">Bacterial translocation </w:t>
      </w:r>
      <w:r w:rsidR="00427223" w:rsidRPr="00644ED5">
        <w:rPr>
          <w:rFonts w:ascii="Book Antiqua" w:hAnsi="Book Antiqua" w:cs="Arial"/>
        </w:rPr>
        <w:t>secondary to intestinal permeability</w:t>
      </w:r>
      <w:r w:rsidR="00425A8F" w:rsidRPr="00644ED5">
        <w:rPr>
          <w:rFonts w:ascii="Book Antiqua" w:hAnsi="Book Antiqua" w:cs="Arial"/>
        </w:rPr>
        <w:t xml:space="preserve"> and hypomotility</w:t>
      </w:r>
      <w:r w:rsidR="00427223" w:rsidRPr="00644ED5">
        <w:rPr>
          <w:rFonts w:ascii="Book Antiqua" w:hAnsi="Book Antiqua" w:cs="Arial"/>
        </w:rPr>
        <w:t xml:space="preserve"> is augmented in liver cirrhosis and appears to play a pivotal role in causing systemic immune dysfunction in these patients</w:t>
      </w:r>
      <w:r w:rsidR="00BA0FDC" w:rsidRPr="00644ED5">
        <w:rPr>
          <w:rFonts w:ascii="Book Antiqua" w:hAnsi="Book Antiqua" w:cs="Arial"/>
          <w:vertAlign w:val="superscript"/>
        </w:rPr>
        <w:t>[21]</w:t>
      </w:r>
      <w:r w:rsidR="00427223" w:rsidRPr="00644ED5">
        <w:rPr>
          <w:rFonts w:ascii="Book Antiqua" w:hAnsi="Book Antiqua" w:cs="Arial"/>
        </w:rPr>
        <w:t xml:space="preserve">. </w:t>
      </w:r>
      <w:r w:rsidR="00425A8F" w:rsidRPr="00644ED5">
        <w:rPr>
          <w:rFonts w:ascii="Book Antiqua" w:hAnsi="Book Antiqua" w:cs="Arial"/>
        </w:rPr>
        <w:t xml:space="preserve">In animal models with ascites, cirrhotic rats were observed to have significantly </w:t>
      </w:r>
      <w:r w:rsidR="00425A8F" w:rsidRPr="00644ED5">
        <w:rPr>
          <w:rFonts w:ascii="Book Antiqua" w:hAnsi="Book Antiqua" w:cs="Arial"/>
        </w:rPr>
        <w:lastRenderedPageBreak/>
        <w:t>reduced intestinal permeability as well as faster intestinal transit following propranolol administration</w:t>
      </w:r>
      <w:r w:rsidR="00BA0FDC" w:rsidRPr="00644ED5">
        <w:rPr>
          <w:rFonts w:ascii="Book Antiqua" w:hAnsi="Book Antiqua" w:cs="Arial"/>
          <w:vertAlign w:val="superscript"/>
        </w:rPr>
        <w:t>[40]</w:t>
      </w:r>
      <w:r w:rsidR="00425A8F" w:rsidRPr="00644ED5">
        <w:rPr>
          <w:rFonts w:ascii="Book Antiqua" w:hAnsi="Book Antiqua" w:cs="Arial"/>
        </w:rPr>
        <w:t>.</w:t>
      </w:r>
      <w:r w:rsidR="00674FEC" w:rsidRPr="00644ED5">
        <w:rPr>
          <w:rFonts w:ascii="Book Antiqua" w:hAnsi="Book Antiqua" w:cs="Arial"/>
        </w:rPr>
        <w:t xml:space="preserve"> </w:t>
      </w:r>
      <w:bookmarkStart w:id="37" w:name="_Hlk535245677"/>
      <w:r w:rsidR="000678A8" w:rsidRPr="00644ED5">
        <w:rPr>
          <w:rFonts w:ascii="Book Antiqua" w:hAnsi="Book Antiqua" w:cs="Arial"/>
        </w:rPr>
        <w:t>Recently, Gime</w:t>
      </w:r>
      <w:r w:rsidR="00425527" w:rsidRPr="00644ED5">
        <w:rPr>
          <w:rFonts w:ascii="Book Antiqua" w:hAnsi="Book Antiqua" w:cs="Arial"/>
        </w:rPr>
        <w:t xml:space="preserve">nez </w:t>
      </w:r>
      <w:r w:rsidR="00425527" w:rsidRPr="00644ED5">
        <w:rPr>
          <w:rFonts w:ascii="Book Antiqua" w:hAnsi="Book Antiqua" w:cs="Arial"/>
          <w:i/>
        </w:rPr>
        <w:t>et al</w:t>
      </w:r>
      <w:r w:rsidR="00B30F20" w:rsidRPr="00644ED5">
        <w:rPr>
          <w:rFonts w:ascii="Book Antiqua" w:hAnsi="Book Antiqua" w:cs="Arial"/>
          <w:vertAlign w:val="superscript"/>
        </w:rPr>
        <w:t>[41]</w:t>
      </w:r>
      <w:r w:rsidR="00425527" w:rsidRPr="00644ED5">
        <w:rPr>
          <w:rFonts w:ascii="Book Antiqua" w:hAnsi="Book Antiqua" w:cs="Arial"/>
        </w:rPr>
        <w:t xml:space="preserve"> observed that monocytes and granulocytes of cirrhotic patients on long-term NSBB therapy displayed significantly raised phagocytic capacity in the presence of bacterial DNA compared to NSBB</w:t>
      </w:r>
      <w:r w:rsidR="00F03F4E" w:rsidRPr="00644ED5">
        <w:rPr>
          <w:rFonts w:ascii="Book Antiqua" w:hAnsi="Book Antiqua" w:cs="Arial"/>
        </w:rPr>
        <w:t>-</w:t>
      </w:r>
      <w:r w:rsidR="00425527" w:rsidRPr="00644ED5">
        <w:rPr>
          <w:rFonts w:ascii="Book Antiqua" w:hAnsi="Book Antiqua" w:cs="Arial"/>
        </w:rPr>
        <w:t>naïve patients.</w:t>
      </w:r>
      <w:bookmarkEnd w:id="37"/>
    </w:p>
    <w:p w14:paraId="09B030CC" w14:textId="77777777" w:rsidR="00B30F20" w:rsidRPr="00644ED5" w:rsidRDefault="00B30F20" w:rsidP="00B30F20">
      <w:pPr>
        <w:spacing w:line="360" w:lineRule="auto"/>
        <w:rPr>
          <w:rFonts w:ascii="Book Antiqua" w:hAnsi="Book Antiqua" w:cs="Arial"/>
          <w:lang w:eastAsia="zh-CN"/>
        </w:rPr>
      </w:pPr>
    </w:p>
    <w:p w14:paraId="498C9C52" w14:textId="5A8D3F2A" w:rsidR="00A64CEE" w:rsidRPr="00644ED5" w:rsidRDefault="00390192" w:rsidP="00A64CEE">
      <w:pPr>
        <w:spacing w:line="360" w:lineRule="auto"/>
        <w:rPr>
          <w:rFonts w:ascii="Book Antiqua" w:hAnsi="Book Antiqua" w:cs="Arial"/>
          <w:lang w:eastAsia="zh-CN"/>
        </w:rPr>
      </w:pPr>
      <w:r w:rsidRPr="00644ED5">
        <w:rPr>
          <w:rFonts w:ascii="Book Antiqua" w:hAnsi="Book Antiqua"/>
          <w:b/>
        </w:rPr>
        <w:t>Other potential effects of beta-blockers upon cirrhotic patients</w:t>
      </w:r>
      <w:r w:rsidR="00B30F20" w:rsidRPr="00644ED5">
        <w:rPr>
          <w:rFonts w:ascii="Book Antiqua" w:hAnsi="Book Antiqua" w:hint="eastAsia"/>
          <w:b/>
          <w:lang w:eastAsia="zh-CN"/>
        </w:rPr>
        <w:t xml:space="preserve">: </w:t>
      </w:r>
      <w:r w:rsidR="007C6D9A" w:rsidRPr="00644ED5">
        <w:rPr>
          <w:rFonts w:ascii="Book Antiqua" w:hAnsi="Book Antiqua" w:cs="Arial"/>
        </w:rPr>
        <w:t>To further investigate the haemodynamically independent effects of beta-blockade in patients with cirrhosis</w:t>
      </w:r>
      <w:r w:rsidR="006502FA" w:rsidRPr="00644ED5">
        <w:rPr>
          <w:rFonts w:ascii="Book Antiqua" w:hAnsi="Book Antiqua" w:cs="Arial"/>
        </w:rPr>
        <w:t xml:space="preserve">, Thiele </w:t>
      </w:r>
      <w:r w:rsidR="006502FA" w:rsidRPr="00644ED5">
        <w:rPr>
          <w:rFonts w:ascii="Book Antiqua" w:hAnsi="Book Antiqua" w:cs="Arial"/>
          <w:i/>
        </w:rPr>
        <w:t>et al</w:t>
      </w:r>
      <w:r w:rsidR="00A64CEE" w:rsidRPr="00644ED5">
        <w:rPr>
          <w:rFonts w:ascii="Book Antiqua" w:hAnsi="Book Antiqua" w:cs="Arial"/>
          <w:vertAlign w:val="superscript"/>
        </w:rPr>
        <w:t>[42]</w:t>
      </w:r>
      <w:r w:rsidR="006502FA" w:rsidRPr="00644ED5">
        <w:rPr>
          <w:rFonts w:ascii="Book Antiqua" w:hAnsi="Book Antiqua" w:cs="Arial"/>
        </w:rPr>
        <w:t xml:space="preserve"> performed a meta-analysis of 23 RCTs on 2618 patients </w:t>
      </w:r>
      <w:r w:rsidR="00171060" w:rsidRPr="00644ED5">
        <w:rPr>
          <w:rFonts w:ascii="Book Antiqua" w:hAnsi="Book Antiqua" w:cs="Arial"/>
        </w:rPr>
        <w:t xml:space="preserve">finding a reduced incidence of </w:t>
      </w:r>
      <w:r w:rsidR="00200F60" w:rsidRPr="00644ED5">
        <w:rPr>
          <w:rFonts w:ascii="Book Antiqua" w:hAnsi="Book Antiqua" w:cs="Arial"/>
        </w:rPr>
        <w:t>hepatocellular carcinoma (</w:t>
      </w:r>
      <w:r w:rsidR="00171060" w:rsidRPr="00644ED5">
        <w:rPr>
          <w:rFonts w:ascii="Book Antiqua" w:hAnsi="Book Antiqua" w:cs="Arial"/>
        </w:rPr>
        <w:t>HCC</w:t>
      </w:r>
      <w:r w:rsidR="00200F60" w:rsidRPr="00644ED5">
        <w:rPr>
          <w:rFonts w:ascii="Book Antiqua" w:hAnsi="Book Antiqua" w:cs="Arial"/>
        </w:rPr>
        <w:t>)</w:t>
      </w:r>
      <w:r w:rsidR="00171060" w:rsidRPr="00644ED5">
        <w:rPr>
          <w:rFonts w:ascii="Book Antiqua" w:hAnsi="Book Antiqua" w:cs="Arial"/>
        </w:rPr>
        <w:t xml:space="preserve"> in patients receiving </w:t>
      </w:r>
      <w:r w:rsidR="00200F60" w:rsidRPr="00644ED5">
        <w:rPr>
          <w:rFonts w:ascii="Book Antiqua" w:hAnsi="Book Antiqua" w:cs="Arial"/>
        </w:rPr>
        <w:t>NSBBs</w:t>
      </w:r>
      <w:r w:rsidR="00A64CEE" w:rsidRPr="00644ED5">
        <w:rPr>
          <w:rFonts w:ascii="Book Antiqua" w:hAnsi="Book Antiqua" w:cs="Arial"/>
        </w:rPr>
        <w:t xml:space="preserve"> </w:t>
      </w:r>
      <w:r w:rsidR="00A64CEE" w:rsidRPr="00644ED5">
        <w:rPr>
          <w:rFonts w:ascii="Book Antiqua" w:hAnsi="Book Antiqua" w:cs="Arial" w:hint="eastAsia"/>
          <w:lang w:eastAsia="zh-CN"/>
        </w:rPr>
        <w:t>[</w:t>
      </w:r>
      <w:r w:rsidR="00A64CEE" w:rsidRPr="00644ED5">
        <w:rPr>
          <w:rFonts w:ascii="Book Antiqua" w:hAnsi="Book Antiqua" w:cs="Arial"/>
        </w:rPr>
        <w:t>risk difference</w:t>
      </w:r>
      <w:r w:rsidR="00A64CEE" w:rsidRPr="00644ED5">
        <w:rPr>
          <w:rFonts w:ascii="Book Antiqua" w:hAnsi="Book Antiqua" w:cs="Arial" w:hint="eastAsia"/>
          <w:lang w:eastAsia="zh-CN"/>
        </w:rPr>
        <w:t xml:space="preserve"> </w:t>
      </w:r>
      <w:r w:rsidR="00171060" w:rsidRPr="00644ED5">
        <w:rPr>
          <w:rFonts w:ascii="Book Antiqua" w:hAnsi="Book Antiqua" w:cs="Arial"/>
        </w:rPr>
        <w:t xml:space="preserve">0.026, </w:t>
      </w:r>
      <w:r w:rsidR="002E7F8C" w:rsidRPr="00644ED5">
        <w:rPr>
          <w:rFonts w:ascii="Book Antiqua" w:hAnsi="Book Antiqua" w:cs="Arial"/>
        </w:rPr>
        <w:t xml:space="preserve">95% </w:t>
      </w:r>
      <w:r w:rsidR="00A64CEE" w:rsidRPr="00644ED5">
        <w:rPr>
          <w:rFonts w:ascii="Book Antiqua" w:hAnsi="Book Antiqua" w:cs="Arial"/>
        </w:rPr>
        <w:t>CI</w:t>
      </w:r>
      <w:r w:rsidR="00A64CEE" w:rsidRPr="00644ED5">
        <w:rPr>
          <w:rFonts w:ascii="Book Antiqua" w:hAnsi="Book Antiqua" w:cs="Arial" w:hint="eastAsia"/>
          <w:lang w:eastAsia="zh-CN"/>
        </w:rPr>
        <w:t xml:space="preserve"> </w:t>
      </w:r>
      <w:r w:rsidR="00A64CEE" w:rsidRPr="00644ED5">
        <w:rPr>
          <w:rFonts w:ascii="Book Antiqua" w:hAnsi="Book Antiqua" w:cs="Arial"/>
        </w:rPr>
        <w:t>0.052</w:t>
      </w:r>
      <w:r w:rsidR="00A64CEE" w:rsidRPr="00644ED5">
        <w:rPr>
          <w:rFonts w:ascii="Book Antiqua" w:hAnsi="Book Antiqua" w:cs="Arial" w:hint="eastAsia"/>
          <w:lang w:eastAsia="zh-CN"/>
        </w:rPr>
        <w:t>-</w:t>
      </w:r>
      <w:r w:rsidR="00171060" w:rsidRPr="00644ED5">
        <w:rPr>
          <w:rFonts w:ascii="Book Antiqua" w:hAnsi="Book Antiqua" w:cs="Arial"/>
        </w:rPr>
        <w:t xml:space="preserve">0.001, </w:t>
      </w:r>
      <w:r w:rsidR="00A64CEE" w:rsidRPr="00644ED5">
        <w:rPr>
          <w:rFonts w:ascii="Book Antiqua" w:hAnsi="Book Antiqua" w:cs="Arial"/>
        </w:rPr>
        <w:t xml:space="preserve">number needed to treat </w:t>
      </w:r>
      <w:r w:rsidR="00A64CEE" w:rsidRPr="00644ED5">
        <w:rPr>
          <w:rFonts w:ascii="Book Antiqua" w:hAnsi="Book Antiqua" w:cs="Arial" w:hint="eastAsia"/>
          <w:lang w:eastAsia="zh-CN"/>
        </w:rPr>
        <w:t>(</w:t>
      </w:r>
      <w:r w:rsidR="00200F60" w:rsidRPr="00644ED5">
        <w:rPr>
          <w:rFonts w:ascii="Book Antiqua" w:hAnsi="Book Antiqua" w:cs="Arial"/>
        </w:rPr>
        <w:t>NNT</w:t>
      </w:r>
      <w:r w:rsidR="00A64CEE" w:rsidRPr="00644ED5">
        <w:rPr>
          <w:rFonts w:ascii="Book Antiqua" w:hAnsi="Book Antiqua" w:cs="Arial" w:hint="eastAsia"/>
          <w:lang w:eastAsia="zh-CN"/>
        </w:rPr>
        <w:t>)</w:t>
      </w:r>
      <w:r w:rsidR="00A64CEE" w:rsidRPr="00644ED5">
        <w:rPr>
          <w:rFonts w:ascii="Book Antiqua" w:hAnsi="Book Antiqua" w:cs="Arial"/>
        </w:rPr>
        <w:t xml:space="preserve"> 38 patients</w:t>
      </w:r>
      <w:r w:rsidR="00A64CEE" w:rsidRPr="00644ED5">
        <w:rPr>
          <w:rFonts w:ascii="Book Antiqua" w:hAnsi="Book Antiqua" w:cs="Arial" w:hint="eastAsia"/>
          <w:lang w:eastAsia="zh-CN"/>
        </w:rPr>
        <w:t>]</w:t>
      </w:r>
      <w:r w:rsidR="00171060" w:rsidRPr="00644ED5">
        <w:rPr>
          <w:rFonts w:ascii="Book Antiqua" w:hAnsi="Book Antiqua" w:cs="Arial"/>
        </w:rPr>
        <w:t>.</w:t>
      </w:r>
      <w:r w:rsidR="00021426" w:rsidRPr="00644ED5">
        <w:rPr>
          <w:rFonts w:ascii="Book Antiqua" w:hAnsi="Book Antiqua" w:cs="Arial"/>
        </w:rPr>
        <w:t xml:space="preserve"> Recently, Herrera </w:t>
      </w:r>
      <w:r w:rsidR="00021426" w:rsidRPr="00644ED5">
        <w:rPr>
          <w:rFonts w:ascii="Book Antiqua" w:hAnsi="Book Antiqua" w:cs="Arial"/>
          <w:i/>
        </w:rPr>
        <w:t>et al</w:t>
      </w:r>
      <w:r w:rsidR="00A64CEE" w:rsidRPr="00644ED5">
        <w:rPr>
          <w:rFonts w:ascii="Book Antiqua" w:hAnsi="Book Antiqua" w:cs="Arial"/>
          <w:vertAlign w:val="superscript"/>
        </w:rPr>
        <w:t>[43]</w:t>
      </w:r>
      <w:r w:rsidR="00021426" w:rsidRPr="00644ED5">
        <w:rPr>
          <w:rFonts w:ascii="Book Antiqua" w:hAnsi="Book Antiqua" w:cs="Arial"/>
        </w:rPr>
        <w:t xml:space="preserve"> prospectively evaluated 173 patients included in the early HCC detection program for a median follow-up time of 11 years. The cumulative </w:t>
      </w:r>
      <w:r w:rsidR="00200F60" w:rsidRPr="00644ED5">
        <w:rPr>
          <w:rFonts w:ascii="Book Antiqua" w:hAnsi="Book Antiqua" w:cs="Arial"/>
        </w:rPr>
        <w:t>incidence</w:t>
      </w:r>
      <w:r w:rsidR="00021426" w:rsidRPr="00644ED5">
        <w:rPr>
          <w:rFonts w:ascii="Book Antiqua" w:hAnsi="Book Antiqua" w:cs="Arial"/>
        </w:rPr>
        <w:t xml:space="preserve"> of HCC was significantly </w:t>
      </w:r>
      <w:r w:rsidR="00200F60" w:rsidRPr="00644ED5">
        <w:rPr>
          <w:rFonts w:ascii="Book Antiqua" w:hAnsi="Book Antiqua" w:cs="Arial"/>
        </w:rPr>
        <w:t>lower in NSBB users compared to non-users</w:t>
      </w:r>
      <w:r w:rsidR="00021426" w:rsidRPr="00644ED5">
        <w:rPr>
          <w:rFonts w:ascii="Book Antiqua" w:hAnsi="Book Antiqua" w:cs="Arial"/>
        </w:rPr>
        <w:t xml:space="preserve"> </w:t>
      </w:r>
      <w:r w:rsidR="00200F60" w:rsidRPr="00644ED5">
        <w:rPr>
          <w:rFonts w:ascii="Book Antiqua" w:hAnsi="Book Antiqua" w:cs="Arial"/>
        </w:rPr>
        <w:t xml:space="preserve">(6% </w:t>
      </w:r>
      <w:r w:rsidR="00200F60" w:rsidRPr="00644ED5">
        <w:rPr>
          <w:rFonts w:ascii="Book Antiqua" w:hAnsi="Book Antiqua" w:cs="Arial"/>
          <w:i/>
        </w:rPr>
        <w:t>vs</w:t>
      </w:r>
      <w:r w:rsidR="00200F60" w:rsidRPr="00644ED5">
        <w:rPr>
          <w:rFonts w:ascii="Book Antiqua" w:hAnsi="Book Antiqua" w:cs="Arial"/>
        </w:rPr>
        <w:t xml:space="preserve"> 19% at 10 years, 16% </w:t>
      </w:r>
      <w:r w:rsidR="00200F60" w:rsidRPr="00644ED5">
        <w:rPr>
          <w:rFonts w:ascii="Book Antiqua" w:hAnsi="Book Antiqua" w:cs="Arial"/>
          <w:i/>
        </w:rPr>
        <w:t>vs</w:t>
      </w:r>
      <w:r w:rsidR="00200F60" w:rsidRPr="00644ED5">
        <w:rPr>
          <w:rFonts w:ascii="Book Antiqua" w:hAnsi="Book Antiqua" w:cs="Arial"/>
        </w:rPr>
        <w:t xml:space="preserve"> 24</w:t>
      </w:r>
      <w:r w:rsidR="00021426" w:rsidRPr="00644ED5">
        <w:rPr>
          <w:rFonts w:ascii="Book Antiqua" w:hAnsi="Book Antiqua" w:cs="Arial"/>
        </w:rPr>
        <w:t>% at 15 years)</w:t>
      </w:r>
      <w:r w:rsidR="00AA6350" w:rsidRPr="00644ED5">
        <w:rPr>
          <w:rFonts w:ascii="Book Antiqua" w:hAnsi="Book Antiqua" w:cs="Arial"/>
        </w:rPr>
        <w:t>,</w:t>
      </w:r>
      <w:r w:rsidR="00021426" w:rsidRPr="00644ED5">
        <w:rPr>
          <w:rFonts w:ascii="Book Antiqua" w:hAnsi="Book Antiqua" w:cs="Arial"/>
        </w:rPr>
        <w:t xml:space="preserve"> </w:t>
      </w:r>
      <w:r w:rsidR="00AA6350" w:rsidRPr="00644ED5">
        <w:rPr>
          <w:rFonts w:ascii="Book Antiqua" w:hAnsi="Book Antiqua" w:cs="Arial"/>
        </w:rPr>
        <w:t xml:space="preserve">with beta-blockade being the only </w:t>
      </w:r>
      <w:r w:rsidR="00200F60" w:rsidRPr="00644ED5">
        <w:rPr>
          <w:rFonts w:ascii="Book Antiqua" w:hAnsi="Book Antiqua" w:cs="Arial"/>
        </w:rPr>
        <w:t>parameter</w:t>
      </w:r>
      <w:r w:rsidR="00AA6350" w:rsidRPr="00644ED5">
        <w:rPr>
          <w:rFonts w:ascii="Book Antiqua" w:hAnsi="Book Antiqua" w:cs="Arial"/>
        </w:rPr>
        <w:t xml:space="preserve"> </w:t>
      </w:r>
      <w:r w:rsidR="00200F60" w:rsidRPr="00644ED5">
        <w:rPr>
          <w:rFonts w:ascii="Book Antiqua" w:hAnsi="Book Antiqua" w:cs="Arial"/>
        </w:rPr>
        <w:t>inversely correlated</w:t>
      </w:r>
      <w:r w:rsidR="00AA6350" w:rsidRPr="00644ED5">
        <w:rPr>
          <w:rFonts w:ascii="Book Antiqua" w:hAnsi="Book Antiqua" w:cs="Arial"/>
        </w:rPr>
        <w:t xml:space="preserve"> with HCC development on multivariate analysis. </w:t>
      </w:r>
      <w:r w:rsidR="00064964" w:rsidRPr="00644ED5">
        <w:rPr>
          <w:rFonts w:ascii="Book Antiqua" w:hAnsi="Book Antiqua" w:cs="Arial"/>
        </w:rPr>
        <w:t xml:space="preserve">Regarding </w:t>
      </w:r>
      <w:r w:rsidR="006F55D7" w:rsidRPr="00644ED5">
        <w:rPr>
          <w:rFonts w:ascii="Book Antiqua" w:hAnsi="Book Antiqua" w:cs="Arial"/>
        </w:rPr>
        <w:t>a</w:t>
      </w:r>
      <w:r w:rsidR="00064964" w:rsidRPr="00644ED5">
        <w:rPr>
          <w:rFonts w:ascii="Book Antiqua" w:hAnsi="Book Antiqua" w:cs="Arial"/>
        </w:rPr>
        <w:t xml:space="preserve"> pathophysiological mechanism underlying this finding, the authors propose that the reduction in bacterial translocation effected by beta-adrenergic blockade may </w:t>
      </w:r>
      <w:r w:rsidR="009B5C70" w:rsidRPr="00644ED5">
        <w:rPr>
          <w:rFonts w:ascii="Book Antiqua" w:hAnsi="Book Antiqua" w:cs="Arial"/>
        </w:rPr>
        <w:t>diminish the portal load of pathogen-associated molecular patterns and thus hepatic inflammation</w:t>
      </w:r>
      <w:r w:rsidR="00BA0FDC" w:rsidRPr="00644ED5">
        <w:rPr>
          <w:rFonts w:ascii="Book Antiqua" w:hAnsi="Book Antiqua" w:cs="Arial"/>
          <w:vertAlign w:val="superscript"/>
        </w:rPr>
        <w:t>[44]</w:t>
      </w:r>
      <w:r w:rsidR="009B5C70" w:rsidRPr="00644ED5">
        <w:rPr>
          <w:rFonts w:ascii="Book Antiqua" w:hAnsi="Book Antiqua" w:cs="Arial"/>
        </w:rPr>
        <w:t xml:space="preserve">. Secondly, beta-adrenergic blockade may impede angiogenesis through inhibition of </w:t>
      </w:r>
      <w:r w:rsidR="006F55D7" w:rsidRPr="00644ED5">
        <w:rPr>
          <w:rFonts w:ascii="Book Antiqua" w:hAnsi="Book Antiqua" w:cs="Arial"/>
        </w:rPr>
        <w:t>vascular endothelial growth factor</w:t>
      </w:r>
      <w:r w:rsidR="009B5C70" w:rsidRPr="00644ED5">
        <w:rPr>
          <w:rFonts w:ascii="Book Antiqua" w:hAnsi="Book Antiqua" w:cs="Arial"/>
        </w:rPr>
        <w:t xml:space="preserve"> production. Both hepatic inflammation and neo-angiogenesis are critical</w:t>
      </w:r>
      <w:r w:rsidR="008514B4" w:rsidRPr="00644ED5">
        <w:rPr>
          <w:rFonts w:ascii="Book Antiqua" w:hAnsi="Book Antiqua" w:cs="Arial"/>
        </w:rPr>
        <w:t xml:space="preserve"> drivers</w:t>
      </w:r>
      <w:r w:rsidR="009B5C70" w:rsidRPr="00644ED5">
        <w:rPr>
          <w:rFonts w:ascii="Book Antiqua" w:hAnsi="Book Antiqua" w:cs="Arial"/>
        </w:rPr>
        <w:t xml:space="preserve"> </w:t>
      </w:r>
      <w:r w:rsidR="008514B4" w:rsidRPr="00644ED5">
        <w:rPr>
          <w:rFonts w:ascii="Book Antiqua" w:hAnsi="Book Antiqua" w:cs="Arial"/>
        </w:rPr>
        <w:t xml:space="preserve">in </w:t>
      </w:r>
      <w:r w:rsidR="009B5C70" w:rsidRPr="00644ED5">
        <w:rPr>
          <w:rFonts w:ascii="Book Antiqua" w:hAnsi="Book Antiqua" w:cs="Arial"/>
        </w:rPr>
        <w:t>the pathogenesis of HCC</w:t>
      </w:r>
      <w:r w:rsidR="00BA0FDC" w:rsidRPr="00644ED5">
        <w:rPr>
          <w:rFonts w:ascii="Book Antiqua" w:hAnsi="Book Antiqua" w:cs="Arial"/>
          <w:vertAlign w:val="superscript"/>
        </w:rPr>
        <w:t>[44]</w:t>
      </w:r>
      <w:r w:rsidR="009B5C70" w:rsidRPr="00644ED5">
        <w:rPr>
          <w:rFonts w:ascii="Book Antiqua" w:hAnsi="Book Antiqua" w:cs="Arial"/>
        </w:rPr>
        <w:t xml:space="preserve">. </w:t>
      </w:r>
      <w:bookmarkStart w:id="38" w:name="_Toc497668312"/>
    </w:p>
    <w:p w14:paraId="242D2115" w14:textId="77777777" w:rsidR="00A64CEE" w:rsidRPr="00644ED5" w:rsidRDefault="00A64CEE" w:rsidP="00A64CEE">
      <w:pPr>
        <w:spacing w:line="360" w:lineRule="auto"/>
        <w:rPr>
          <w:rFonts w:ascii="Book Antiqua" w:hAnsi="Book Antiqua" w:cs="Arial"/>
          <w:lang w:eastAsia="zh-CN"/>
        </w:rPr>
      </w:pPr>
    </w:p>
    <w:p w14:paraId="05D20AE9" w14:textId="60AC66A8" w:rsidR="000F0A77" w:rsidRPr="00644ED5" w:rsidRDefault="00CA3B43" w:rsidP="00667231">
      <w:pPr>
        <w:spacing w:line="360" w:lineRule="auto"/>
        <w:rPr>
          <w:rFonts w:ascii="Book Antiqua" w:hAnsi="Book Antiqua" w:cs="Arial"/>
          <w:lang w:eastAsia="zh-CN"/>
        </w:rPr>
      </w:pPr>
      <w:r w:rsidRPr="00644ED5">
        <w:rPr>
          <w:rFonts w:ascii="Book Antiqua" w:hAnsi="Book Antiqua"/>
          <w:b/>
        </w:rPr>
        <w:t>Clinical guidelines and future directions</w:t>
      </w:r>
      <w:bookmarkEnd w:id="38"/>
      <w:r w:rsidR="00A64CEE" w:rsidRPr="00644ED5">
        <w:rPr>
          <w:rFonts w:ascii="Book Antiqua" w:hAnsi="Book Antiqua" w:hint="eastAsia"/>
          <w:b/>
          <w:lang w:eastAsia="zh-CN"/>
        </w:rPr>
        <w:t>:</w:t>
      </w:r>
      <w:r w:rsidR="00A64CEE" w:rsidRPr="00644ED5">
        <w:rPr>
          <w:rFonts w:ascii="Book Antiqua" w:hAnsi="Book Antiqua" w:hint="eastAsia"/>
          <w:lang w:eastAsia="zh-CN"/>
        </w:rPr>
        <w:t xml:space="preserve"> </w:t>
      </w:r>
      <w:r w:rsidR="003F4C5A" w:rsidRPr="00644ED5">
        <w:rPr>
          <w:rFonts w:ascii="Book Antiqua" w:hAnsi="Book Antiqua" w:cs="Arial"/>
        </w:rPr>
        <w:t>Presently, the only effective surrogate marker for assessing response to beta-blocker administration is HVPG. HVPG reduction by 20% or to &lt;</w:t>
      </w:r>
      <w:r w:rsidR="0055071F" w:rsidRPr="00644ED5">
        <w:rPr>
          <w:rFonts w:ascii="Book Antiqua" w:hAnsi="Book Antiqua" w:cs="Arial" w:hint="eastAsia"/>
          <w:lang w:eastAsia="zh-CN"/>
        </w:rPr>
        <w:t xml:space="preserve"> </w:t>
      </w:r>
      <w:r w:rsidR="003F4C5A" w:rsidRPr="00644ED5">
        <w:rPr>
          <w:rFonts w:ascii="Book Antiqua" w:hAnsi="Book Antiqua" w:cs="Arial"/>
        </w:rPr>
        <w:t>12</w:t>
      </w:r>
      <w:r w:rsidR="0055071F" w:rsidRPr="00644ED5">
        <w:rPr>
          <w:rFonts w:ascii="Book Antiqua" w:hAnsi="Book Antiqua" w:cs="Arial" w:hint="eastAsia"/>
          <w:lang w:eastAsia="zh-CN"/>
        </w:rPr>
        <w:t xml:space="preserve"> </w:t>
      </w:r>
      <w:r w:rsidR="003F4C5A" w:rsidRPr="00644ED5">
        <w:rPr>
          <w:rFonts w:ascii="Book Antiqua" w:hAnsi="Book Antiqua" w:cs="Arial"/>
        </w:rPr>
        <w:t>mmHg was demonstrated to significantly decrease the risk of variceal bleeding and improve survival</w:t>
      </w:r>
      <w:r w:rsidR="00BA0FDC" w:rsidRPr="00644ED5">
        <w:rPr>
          <w:rFonts w:ascii="Book Antiqua" w:hAnsi="Book Antiqua" w:cs="Arial"/>
          <w:vertAlign w:val="superscript"/>
        </w:rPr>
        <w:t>[9,45]</w:t>
      </w:r>
      <w:r w:rsidR="003F4C5A" w:rsidRPr="00644ED5">
        <w:rPr>
          <w:rFonts w:ascii="Book Antiqua" w:hAnsi="Book Antiqua" w:cs="Arial"/>
        </w:rPr>
        <w:t>, yet the clinical utility of HVPG testing is limited by its invasiveness and availability</w:t>
      </w:r>
      <w:r w:rsidR="00BA0FDC" w:rsidRPr="00644ED5">
        <w:rPr>
          <w:rFonts w:ascii="Book Antiqua" w:hAnsi="Book Antiqua" w:cs="Arial"/>
          <w:vertAlign w:val="superscript"/>
        </w:rPr>
        <w:t>[32]</w:t>
      </w:r>
      <w:r w:rsidR="003F4C5A" w:rsidRPr="00644ED5">
        <w:rPr>
          <w:rFonts w:ascii="Book Antiqua" w:hAnsi="Book Antiqua" w:cs="Arial"/>
        </w:rPr>
        <w:t>. Clinical practitioners predominantly titrate beta-blockers to reach a</w:t>
      </w:r>
      <w:r w:rsidR="0055071F" w:rsidRPr="00644ED5">
        <w:rPr>
          <w:rFonts w:ascii="Book Antiqua" w:hAnsi="Book Antiqua" w:cs="Arial"/>
        </w:rPr>
        <w:t xml:space="preserve"> specific target heart rate (50</w:t>
      </w:r>
      <w:r w:rsidR="0055071F" w:rsidRPr="00644ED5">
        <w:rPr>
          <w:rFonts w:ascii="Book Antiqua" w:hAnsi="Book Antiqua" w:cs="Arial" w:hint="eastAsia"/>
          <w:lang w:eastAsia="zh-CN"/>
        </w:rPr>
        <w:t>-</w:t>
      </w:r>
      <w:r w:rsidR="003F4C5A" w:rsidRPr="00644ED5">
        <w:rPr>
          <w:rFonts w:ascii="Book Antiqua" w:hAnsi="Book Antiqua" w:cs="Arial"/>
        </w:rPr>
        <w:t xml:space="preserve">55 </w:t>
      </w:r>
      <w:r w:rsidR="00200F60" w:rsidRPr="00644ED5">
        <w:rPr>
          <w:rFonts w:ascii="Book Antiqua" w:hAnsi="Book Antiqua" w:cs="Arial"/>
        </w:rPr>
        <w:t>beats per minute</w:t>
      </w:r>
      <w:r w:rsidR="003F4C5A" w:rsidRPr="00644ED5">
        <w:rPr>
          <w:rFonts w:ascii="Book Antiqua" w:hAnsi="Book Antiqua" w:cs="Arial"/>
        </w:rPr>
        <w:t xml:space="preserve">) despite </w:t>
      </w:r>
      <w:r w:rsidR="006F55D7" w:rsidRPr="00644ED5">
        <w:rPr>
          <w:rFonts w:ascii="Book Antiqua" w:hAnsi="Book Antiqua" w:cs="Arial"/>
        </w:rPr>
        <w:t xml:space="preserve">insufficient evidence that </w:t>
      </w:r>
      <w:r w:rsidR="003F4C5A" w:rsidRPr="00644ED5">
        <w:rPr>
          <w:rFonts w:ascii="Book Antiqua" w:hAnsi="Book Antiqua" w:cs="Arial"/>
        </w:rPr>
        <w:t xml:space="preserve">reductions in heart rate </w:t>
      </w:r>
      <w:r w:rsidR="006F55D7" w:rsidRPr="00644ED5">
        <w:rPr>
          <w:rFonts w:ascii="Book Antiqua" w:hAnsi="Book Antiqua" w:cs="Arial"/>
        </w:rPr>
        <w:t xml:space="preserve">correlate with </w:t>
      </w:r>
      <w:r w:rsidR="003F4C5A" w:rsidRPr="00644ED5">
        <w:rPr>
          <w:rFonts w:ascii="Book Antiqua" w:hAnsi="Book Antiqua" w:cs="Arial"/>
        </w:rPr>
        <w:lastRenderedPageBreak/>
        <w:t>reductions in HVPG</w:t>
      </w:r>
      <w:r w:rsidR="00BA0FDC" w:rsidRPr="00644ED5">
        <w:rPr>
          <w:rFonts w:ascii="Book Antiqua" w:hAnsi="Book Antiqua" w:cs="Arial"/>
          <w:vertAlign w:val="superscript"/>
        </w:rPr>
        <w:t>[32]</w:t>
      </w:r>
      <w:r w:rsidR="003F4C5A" w:rsidRPr="00644ED5">
        <w:rPr>
          <w:rFonts w:ascii="Book Antiqua" w:hAnsi="Book Antiqua" w:cs="Arial"/>
        </w:rPr>
        <w:t xml:space="preserve">. It is imperative that future research focuses on the identification of novel, non-invasive biomarkers for the assessment of beta-blocker response, since it is critical to identify the change from benefit to detriment of beta-blocker treatment during the natural progression of cirrhosis, so that beta-blocker treatment can be individualised and patient benefit maximised. </w:t>
      </w:r>
    </w:p>
    <w:p w14:paraId="7739C358" w14:textId="413663C2" w:rsidR="00653816" w:rsidRPr="00644ED5" w:rsidRDefault="007B79F2" w:rsidP="0055071F">
      <w:pPr>
        <w:spacing w:line="360" w:lineRule="auto"/>
        <w:ind w:firstLineChars="100" w:firstLine="240"/>
        <w:rPr>
          <w:rFonts w:ascii="Book Antiqua" w:hAnsi="Book Antiqua" w:cs="Arial"/>
          <w:lang w:eastAsia="zh-CN"/>
        </w:rPr>
      </w:pPr>
      <w:r w:rsidRPr="00644ED5">
        <w:rPr>
          <w:rFonts w:ascii="Book Antiqua" w:hAnsi="Book Antiqua" w:cs="Arial"/>
        </w:rPr>
        <w:t xml:space="preserve">While beta-blockers continue to occupy a pivotal role in the treatment of portal hypertension, </w:t>
      </w:r>
      <w:r w:rsidR="000E7CAE" w:rsidRPr="00644ED5">
        <w:rPr>
          <w:rFonts w:ascii="Book Antiqua" w:hAnsi="Book Antiqua" w:cs="Arial"/>
        </w:rPr>
        <w:t>recent evidence</w:t>
      </w:r>
      <w:r w:rsidR="00E84F97" w:rsidRPr="00644ED5">
        <w:rPr>
          <w:rFonts w:ascii="Book Antiqua" w:hAnsi="Book Antiqua" w:cs="Arial"/>
        </w:rPr>
        <w:t xml:space="preserve"> has</w:t>
      </w:r>
      <w:r w:rsidR="001817E5" w:rsidRPr="00644ED5">
        <w:rPr>
          <w:rFonts w:ascii="Book Antiqua" w:hAnsi="Book Antiqua" w:cs="Arial"/>
        </w:rPr>
        <w:t xml:space="preserve"> </w:t>
      </w:r>
      <w:r w:rsidR="00E00BC5" w:rsidRPr="00644ED5">
        <w:rPr>
          <w:rFonts w:ascii="Book Antiqua" w:hAnsi="Book Antiqua" w:cs="Arial"/>
        </w:rPr>
        <w:t>not only</w:t>
      </w:r>
      <w:r w:rsidR="006E5E32" w:rsidRPr="00644ED5">
        <w:rPr>
          <w:rFonts w:ascii="Book Antiqua" w:hAnsi="Book Antiqua" w:cs="Arial"/>
        </w:rPr>
        <w:t xml:space="preserve"> outlined additional, haemodynamically</w:t>
      </w:r>
      <w:r w:rsidR="00C87172" w:rsidRPr="00644ED5">
        <w:rPr>
          <w:rFonts w:ascii="Book Antiqua" w:hAnsi="Book Antiqua" w:cs="Arial"/>
        </w:rPr>
        <w:t>-</w:t>
      </w:r>
      <w:r w:rsidR="006E5E32" w:rsidRPr="00644ED5">
        <w:rPr>
          <w:rFonts w:ascii="Book Antiqua" w:hAnsi="Book Antiqua" w:cs="Arial"/>
        </w:rPr>
        <w:t xml:space="preserve">independent beneficial effects of beta-blockers in cirrhosis, </w:t>
      </w:r>
      <w:r w:rsidR="00E00BC5" w:rsidRPr="00644ED5">
        <w:rPr>
          <w:rFonts w:ascii="Book Antiqua" w:hAnsi="Book Antiqua" w:cs="Arial"/>
        </w:rPr>
        <w:t xml:space="preserve">but also </w:t>
      </w:r>
      <w:r w:rsidR="00217B57" w:rsidRPr="00644ED5">
        <w:rPr>
          <w:rFonts w:ascii="Book Antiqua" w:hAnsi="Book Antiqua" w:cs="Arial"/>
        </w:rPr>
        <w:t>described potentially debilitating effects in advanced cirrhotics.</w:t>
      </w:r>
      <w:r w:rsidR="00A66D82" w:rsidRPr="00644ED5">
        <w:rPr>
          <w:rFonts w:ascii="Book Antiqua" w:hAnsi="Book Antiqua" w:cs="Arial"/>
        </w:rPr>
        <w:t xml:space="preserve"> Concerning clinical practice, D’Amico </w:t>
      </w:r>
      <w:r w:rsidR="00A66D82" w:rsidRPr="00644ED5">
        <w:rPr>
          <w:rFonts w:ascii="Book Antiqua" w:hAnsi="Book Antiqua" w:cs="Arial"/>
          <w:i/>
        </w:rPr>
        <w:t>et al</w:t>
      </w:r>
      <w:r w:rsidR="0055071F" w:rsidRPr="00644ED5">
        <w:rPr>
          <w:rFonts w:ascii="Book Antiqua" w:hAnsi="Book Antiqua" w:cs="Arial"/>
          <w:vertAlign w:val="superscript"/>
        </w:rPr>
        <w:t>[46]</w:t>
      </w:r>
      <w:r w:rsidR="00A66D82" w:rsidRPr="00644ED5">
        <w:rPr>
          <w:rFonts w:ascii="Book Antiqua" w:hAnsi="Book Antiqua" w:cs="Arial"/>
        </w:rPr>
        <w:t xml:space="preserve"> recommend that beta-blocker therapy should</w:t>
      </w:r>
      <w:r w:rsidR="0055071F" w:rsidRPr="00644ED5">
        <w:rPr>
          <w:rFonts w:ascii="Book Antiqua" w:hAnsi="Book Antiqua" w:cs="Arial" w:hint="eastAsia"/>
          <w:lang w:eastAsia="zh-CN"/>
        </w:rPr>
        <w:t>:</w:t>
      </w:r>
      <w:r w:rsidR="00A66D82" w:rsidRPr="00644ED5">
        <w:rPr>
          <w:rFonts w:ascii="Book Antiqua" w:hAnsi="Book Antiqua" w:cs="Arial"/>
        </w:rPr>
        <w:t xml:space="preserve"> </w:t>
      </w:r>
      <w:r w:rsidR="0055071F" w:rsidRPr="00644ED5">
        <w:rPr>
          <w:rFonts w:ascii="Book Antiqua" w:hAnsi="Book Antiqua" w:cs="Arial" w:hint="eastAsia"/>
          <w:lang w:eastAsia="zh-CN"/>
        </w:rPr>
        <w:t>(1</w:t>
      </w:r>
      <w:r w:rsidR="00A66D82" w:rsidRPr="00644ED5">
        <w:rPr>
          <w:rFonts w:ascii="Book Antiqua" w:hAnsi="Book Antiqua" w:cs="Arial"/>
        </w:rPr>
        <w:t xml:space="preserve">) </w:t>
      </w:r>
      <w:r w:rsidR="0055071F" w:rsidRPr="00644ED5">
        <w:rPr>
          <w:rFonts w:ascii="Book Antiqua" w:hAnsi="Book Antiqua" w:cs="Arial"/>
        </w:rPr>
        <w:t>N</w:t>
      </w:r>
      <w:r w:rsidR="00A66D82" w:rsidRPr="00644ED5">
        <w:rPr>
          <w:rFonts w:ascii="Book Antiqua" w:hAnsi="Book Antiqua" w:cs="Arial"/>
        </w:rPr>
        <w:t>ot be used in compensated cirrhot</w:t>
      </w:r>
      <w:r w:rsidR="0055071F" w:rsidRPr="00644ED5">
        <w:rPr>
          <w:rFonts w:ascii="Book Antiqua" w:hAnsi="Book Antiqua" w:cs="Arial"/>
        </w:rPr>
        <w:t>ics with no evidence of varices</w:t>
      </w:r>
      <w:r w:rsidR="0055071F" w:rsidRPr="00644ED5">
        <w:rPr>
          <w:rFonts w:ascii="Book Antiqua" w:hAnsi="Book Antiqua" w:cs="Arial" w:hint="eastAsia"/>
          <w:lang w:eastAsia="zh-CN"/>
        </w:rPr>
        <w:t>;</w:t>
      </w:r>
      <w:r w:rsidR="00A66D82" w:rsidRPr="00644ED5">
        <w:rPr>
          <w:rFonts w:ascii="Book Antiqua" w:hAnsi="Book Antiqua" w:cs="Arial"/>
        </w:rPr>
        <w:t xml:space="preserve"> </w:t>
      </w:r>
      <w:r w:rsidR="0055071F" w:rsidRPr="00644ED5">
        <w:rPr>
          <w:rFonts w:ascii="Book Antiqua" w:hAnsi="Book Antiqua" w:cs="Arial" w:hint="eastAsia"/>
          <w:lang w:eastAsia="zh-CN"/>
        </w:rPr>
        <w:t>(2</w:t>
      </w:r>
      <w:r w:rsidR="00A66D82" w:rsidRPr="00644ED5">
        <w:rPr>
          <w:rFonts w:ascii="Book Antiqua" w:hAnsi="Book Antiqua" w:cs="Arial"/>
        </w:rPr>
        <w:t>) be used in cirrhotic patients with varices at risk of bleeding or re</w:t>
      </w:r>
      <w:r w:rsidR="0085332A" w:rsidRPr="00644ED5">
        <w:rPr>
          <w:rFonts w:ascii="Book Antiqua" w:hAnsi="Book Antiqua" w:cs="Arial"/>
        </w:rPr>
        <w:t>-</w:t>
      </w:r>
      <w:r w:rsidR="00A66D82" w:rsidRPr="00644ED5">
        <w:rPr>
          <w:rFonts w:ascii="Book Antiqua" w:hAnsi="Book Antiqua" w:cs="Arial"/>
        </w:rPr>
        <w:t xml:space="preserve">bleeding independent of </w:t>
      </w:r>
      <w:r w:rsidR="0055071F" w:rsidRPr="00644ED5">
        <w:rPr>
          <w:rFonts w:ascii="Book Antiqua" w:hAnsi="Book Antiqua" w:cs="Arial"/>
        </w:rPr>
        <w:t>the absence/presence of ascites</w:t>
      </w:r>
      <w:r w:rsidR="0055071F" w:rsidRPr="00644ED5">
        <w:rPr>
          <w:rFonts w:ascii="Book Antiqua" w:hAnsi="Book Antiqua" w:cs="Arial" w:hint="eastAsia"/>
          <w:lang w:eastAsia="zh-CN"/>
        </w:rPr>
        <w:t>;</w:t>
      </w:r>
      <w:r w:rsidR="00A66D82" w:rsidRPr="00644ED5">
        <w:rPr>
          <w:rFonts w:ascii="Book Antiqua" w:hAnsi="Book Antiqua" w:cs="Arial"/>
        </w:rPr>
        <w:t xml:space="preserve"> and </w:t>
      </w:r>
      <w:r w:rsidR="0055071F" w:rsidRPr="00644ED5">
        <w:rPr>
          <w:rFonts w:ascii="Book Antiqua" w:hAnsi="Book Antiqua" w:cs="Arial" w:hint="eastAsia"/>
          <w:lang w:eastAsia="zh-CN"/>
        </w:rPr>
        <w:t>(3</w:t>
      </w:r>
      <w:r w:rsidR="00A66D82" w:rsidRPr="00644ED5">
        <w:rPr>
          <w:rFonts w:ascii="Book Antiqua" w:hAnsi="Book Antiqua" w:cs="Arial"/>
        </w:rPr>
        <w:t>) be used with caution in cirrhotic patients with refractory ascites and discontinued if haemodynamic or renal compromise arises.</w:t>
      </w:r>
      <w:r w:rsidR="006E5E32" w:rsidRPr="00644ED5">
        <w:rPr>
          <w:rFonts w:ascii="Book Antiqua" w:hAnsi="Book Antiqua" w:cs="Arial"/>
        </w:rPr>
        <w:t xml:space="preserve"> </w:t>
      </w:r>
      <w:r w:rsidR="007F56C7" w:rsidRPr="00644ED5">
        <w:rPr>
          <w:rFonts w:ascii="Book Antiqua" w:hAnsi="Book Antiqua" w:cs="Arial"/>
        </w:rPr>
        <w:t xml:space="preserve">Currently, the Braveno VI consensus and 2017 </w:t>
      </w:r>
      <w:r w:rsidR="00E8168B" w:rsidRPr="00644ED5">
        <w:rPr>
          <w:rFonts w:ascii="Book Antiqua" w:hAnsi="Book Antiqua" w:cs="Arial"/>
        </w:rPr>
        <w:t>AASLD</w:t>
      </w:r>
      <w:r w:rsidR="007F56C7" w:rsidRPr="00644ED5">
        <w:rPr>
          <w:rFonts w:ascii="Book Antiqua" w:hAnsi="Book Antiqua" w:cs="Arial"/>
        </w:rPr>
        <w:t xml:space="preserve"> guidelines recommend temporarily reducing or withholding beta-blockers in patients with refractory ascites and circulatory dysfunction (serum sodium &lt;</w:t>
      </w:r>
      <w:r w:rsidR="0055071F" w:rsidRPr="00644ED5">
        <w:rPr>
          <w:rFonts w:ascii="Book Antiqua" w:hAnsi="Book Antiqua" w:cs="Arial" w:hint="eastAsia"/>
          <w:lang w:eastAsia="zh-CN"/>
        </w:rPr>
        <w:t xml:space="preserve"> </w:t>
      </w:r>
      <w:r w:rsidR="007F56C7" w:rsidRPr="00644ED5">
        <w:rPr>
          <w:rFonts w:ascii="Book Antiqua" w:hAnsi="Book Antiqua" w:cs="Arial"/>
        </w:rPr>
        <w:t>130 mEq/L, systolic BP &lt;</w:t>
      </w:r>
      <w:r w:rsidR="0055071F" w:rsidRPr="00644ED5">
        <w:rPr>
          <w:rFonts w:ascii="Book Antiqua" w:hAnsi="Book Antiqua" w:cs="Arial" w:hint="eastAsia"/>
          <w:lang w:eastAsia="zh-CN"/>
        </w:rPr>
        <w:t xml:space="preserve"> </w:t>
      </w:r>
      <w:r w:rsidR="007F56C7" w:rsidRPr="00644ED5">
        <w:rPr>
          <w:rFonts w:ascii="Book Antiqua" w:hAnsi="Book Antiqua" w:cs="Arial"/>
        </w:rPr>
        <w:t>90</w:t>
      </w:r>
      <w:r w:rsidR="0055071F" w:rsidRPr="00644ED5">
        <w:rPr>
          <w:rFonts w:ascii="Book Antiqua" w:hAnsi="Book Antiqua" w:cs="Arial" w:hint="eastAsia"/>
          <w:lang w:eastAsia="zh-CN"/>
        </w:rPr>
        <w:t xml:space="preserve"> </w:t>
      </w:r>
      <w:r w:rsidR="007F56C7" w:rsidRPr="00644ED5">
        <w:rPr>
          <w:rFonts w:ascii="Book Antiqua" w:hAnsi="Book Antiqua" w:cs="Arial"/>
        </w:rPr>
        <w:t>mmHg)</w:t>
      </w:r>
      <w:r w:rsidR="00BA0FDC" w:rsidRPr="00644ED5">
        <w:rPr>
          <w:rFonts w:ascii="Book Antiqua" w:hAnsi="Book Antiqua" w:cs="Arial"/>
          <w:vertAlign w:val="superscript"/>
        </w:rPr>
        <w:t>[5,47,48]</w:t>
      </w:r>
      <w:r w:rsidR="007F56C7" w:rsidRPr="00644ED5">
        <w:rPr>
          <w:rFonts w:ascii="Book Antiqua" w:hAnsi="Book Antiqua" w:cs="Arial"/>
        </w:rPr>
        <w:t xml:space="preserve">. </w:t>
      </w:r>
      <w:r w:rsidR="00093B7A" w:rsidRPr="00644ED5">
        <w:rPr>
          <w:rFonts w:ascii="Book Antiqua" w:hAnsi="Book Antiqua" w:cs="Arial"/>
        </w:rPr>
        <w:t xml:space="preserve">Similarly, the 2018 </w:t>
      </w:r>
      <w:r w:rsidR="00E8168B" w:rsidRPr="00644ED5">
        <w:rPr>
          <w:rFonts w:ascii="Book Antiqua" w:hAnsi="Book Antiqua" w:cs="Arial"/>
        </w:rPr>
        <w:t>EASL</w:t>
      </w:r>
      <w:r w:rsidR="00093B7A" w:rsidRPr="00644ED5">
        <w:rPr>
          <w:rFonts w:ascii="Book Antiqua" w:hAnsi="Book Antiqua" w:cs="Arial"/>
        </w:rPr>
        <w:t xml:space="preserve"> guidelines recommend discontinuation of beta-blockers in patients who develop hypotension (systolic BP &lt;</w:t>
      </w:r>
      <w:r w:rsidR="0055071F" w:rsidRPr="00644ED5">
        <w:rPr>
          <w:rFonts w:ascii="Book Antiqua" w:hAnsi="Book Antiqua" w:cs="Arial" w:hint="eastAsia"/>
          <w:lang w:eastAsia="zh-CN"/>
        </w:rPr>
        <w:t xml:space="preserve"> </w:t>
      </w:r>
      <w:r w:rsidR="00093B7A" w:rsidRPr="00644ED5">
        <w:rPr>
          <w:rFonts w:ascii="Book Antiqua" w:hAnsi="Book Antiqua" w:cs="Arial"/>
        </w:rPr>
        <w:t>90</w:t>
      </w:r>
      <w:r w:rsidR="0055071F" w:rsidRPr="00644ED5">
        <w:rPr>
          <w:rFonts w:ascii="Book Antiqua" w:hAnsi="Book Antiqua" w:cs="Arial" w:hint="eastAsia"/>
          <w:lang w:eastAsia="zh-CN"/>
        </w:rPr>
        <w:t xml:space="preserve"> </w:t>
      </w:r>
      <w:r w:rsidR="00093B7A" w:rsidRPr="00644ED5">
        <w:rPr>
          <w:rFonts w:ascii="Book Antiqua" w:hAnsi="Book Antiqua" w:cs="Arial"/>
        </w:rPr>
        <w:t>mmHg), sepsis, bleeding, AKI</w:t>
      </w:r>
      <w:r w:rsidR="00726417" w:rsidRPr="00644ED5">
        <w:rPr>
          <w:rFonts w:ascii="Book Antiqua" w:hAnsi="Book Antiqua" w:cs="Arial"/>
        </w:rPr>
        <w:t xml:space="preserve"> or SBP, followed by an attempt at re-introduction of beta-blocker therapy after recovery. Presently, EASL does not recommend the use of carvedilol</w:t>
      </w:r>
      <w:r w:rsidR="00BA0FDC" w:rsidRPr="00644ED5">
        <w:rPr>
          <w:rFonts w:ascii="Book Antiqua" w:hAnsi="Book Antiqua" w:cs="Arial"/>
          <w:vertAlign w:val="superscript"/>
        </w:rPr>
        <w:t>[49]</w:t>
      </w:r>
      <w:r w:rsidR="00726417" w:rsidRPr="00644ED5">
        <w:rPr>
          <w:rFonts w:ascii="Book Antiqua" w:hAnsi="Book Antiqua" w:cs="Arial"/>
        </w:rPr>
        <w:t xml:space="preserve">. </w:t>
      </w:r>
    </w:p>
    <w:p w14:paraId="5BECFB2D" w14:textId="6A1C9DB6" w:rsidR="0055071F" w:rsidRPr="00644ED5" w:rsidRDefault="00F53374" w:rsidP="0055071F">
      <w:pPr>
        <w:spacing w:line="360" w:lineRule="auto"/>
        <w:ind w:firstLineChars="100" w:firstLine="240"/>
        <w:rPr>
          <w:rFonts w:ascii="Book Antiqua" w:hAnsi="Book Antiqua" w:cs="Arial"/>
          <w:lang w:eastAsia="zh-CN"/>
        </w:rPr>
      </w:pPr>
      <w:r w:rsidRPr="00644ED5">
        <w:rPr>
          <w:rFonts w:ascii="Book Antiqua" w:hAnsi="Book Antiqua" w:cs="Arial"/>
        </w:rPr>
        <w:t xml:space="preserve">Overall, the evidence-base for the use of </w:t>
      </w:r>
      <w:r w:rsidR="007122B0" w:rsidRPr="00644ED5">
        <w:rPr>
          <w:rFonts w:ascii="Book Antiqua" w:hAnsi="Book Antiqua" w:cs="Arial"/>
        </w:rPr>
        <w:t>NSBBs</w:t>
      </w:r>
      <w:r w:rsidRPr="00644ED5">
        <w:rPr>
          <w:rFonts w:ascii="Book Antiqua" w:hAnsi="Book Antiqua" w:cs="Arial"/>
        </w:rPr>
        <w:t xml:space="preserve"> in cirrhotic patients remains disputed with the requirement for further assessment of safety and efficacy.</w:t>
      </w:r>
      <w:r w:rsidR="00D13FBA" w:rsidRPr="00644ED5">
        <w:rPr>
          <w:rFonts w:ascii="Book Antiqua" w:hAnsi="Book Antiqua" w:cs="Arial"/>
        </w:rPr>
        <w:t xml:space="preserve"> A large body of evidence regarding the use of beta-blockers in advanced cirrhosis comes from observational studies which are at risk of indication bias as patients receiving beta-blockers are likely to have relatively severe liver disease with clinically significant portal hypertension and large varices</w:t>
      </w:r>
      <w:r w:rsidR="00BA0FDC" w:rsidRPr="00644ED5">
        <w:rPr>
          <w:rFonts w:ascii="Book Antiqua" w:hAnsi="Book Antiqua" w:cs="Arial"/>
          <w:vertAlign w:val="superscript"/>
        </w:rPr>
        <w:t>[4]</w:t>
      </w:r>
      <w:r w:rsidR="00D13FBA" w:rsidRPr="00644ED5">
        <w:rPr>
          <w:rFonts w:ascii="Book Antiqua" w:hAnsi="Book Antiqua" w:cs="Arial"/>
        </w:rPr>
        <w:t>.</w:t>
      </w:r>
      <w:r w:rsidR="008376B4" w:rsidRPr="00644ED5">
        <w:rPr>
          <w:rFonts w:ascii="Book Antiqua" w:hAnsi="Book Antiqua" w:cs="Arial"/>
        </w:rPr>
        <w:t xml:space="preserve"> This disparity in liver disease severity between patient cohorts is difficult to account for without randomisation</w:t>
      </w:r>
      <w:r w:rsidR="00BA0FDC" w:rsidRPr="00644ED5">
        <w:rPr>
          <w:rFonts w:ascii="Book Antiqua" w:hAnsi="Book Antiqua" w:cs="Arial"/>
          <w:vertAlign w:val="superscript"/>
        </w:rPr>
        <w:t>[4]</w:t>
      </w:r>
      <w:r w:rsidR="008376B4" w:rsidRPr="00644ED5">
        <w:rPr>
          <w:rFonts w:ascii="Book Antiqua" w:hAnsi="Book Antiqua" w:cs="Arial"/>
        </w:rPr>
        <w:t>.</w:t>
      </w:r>
      <w:r w:rsidR="00D13FBA" w:rsidRPr="00644ED5">
        <w:rPr>
          <w:rFonts w:ascii="Book Antiqua" w:hAnsi="Book Antiqua" w:cs="Arial"/>
        </w:rPr>
        <w:t xml:space="preserve"> </w:t>
      </w:r>
      <w:bookmarkStart w:id="39" w:name="_Toc497668313"/>
    </w:p>
    <w:p w14:paraId="42E879AD" w14:textId="77777777" w:rsidR="0055071F" w:rsidRPr="00644ED5" w:rsidRDefault="0055071F" w:rsidP="0055071F">
      <w:pPr>
        <w:spacing w:line="360" w:lineRule="auto"/>
        <w:rPr>
          <w:rFonts w:ascii="Book Antiqua" w:hAnsi="Book Antiqua" w:cs="Arial"/>
          <w:lang w:eastAsia="zh-CN"/>
        </w:rPr>
      </w:pPr>
    </w:p>
    <w:p w14:paraId="47C513F5" w14:textId="2A941F94" w:rsidR="0055071F" w:rsidRPr="00644ED5" w:rsidRDefault="0089543D" w:rsidP="0055071F">
      <w:pPr>
        <w:spacing w:line="360" w:lineRule="auto"/>
        <w:rPr>
          <w:rFonts w:ascii="Book Antiqua" w:hAnsi="Book Antiqua"/>
          <w:b/>
          <w:i/>
          <w:lang w:eastAsia="zh-CN"/>
        </w:rPr>
      </w:pPr>
      <w:r w:rsidRPr="00644ED5">
        <w:rPr>
          <w:rFonts w:ascii="Book Antiqua" w:hAnsi="Book Antiqua"/>
          <w:b/>
          <w:i/>
        </w:rPr>
        <w:t xml:space="preserve">Lactulose and </w:t>
      </w:r>
      <w:r w:rsidR="0055071F" w:rsidRPr="00644ED5">
        <w:rPr>
          <w:rFonts w:ascii="Book Antiqua" w:hAnsi="Book Antiqua"/>
          <w:b/>
          <w:i/>
        </w:rPr>
        <w:t>r</w:t>
      </w:r>
      <w:r w:rsidR="00F53374" w:rsidRPr="00644ED5">
        <w:rPr>
          <w:rFonts w:ascii="Book Antiqua" w:hAnsi="Book Antiqua"/>
          <w:b/>
          <w:i/>
        </w:rPr>
        <w:t>ifaximin</w:t>
      </w:r>
      <w:bookmarkStart w:id="40" w:name="_Toc497668314"/>
      <w:bookmarkEnd w:id="39"/>
    </w:p>
    <w:p w14:paraId="5F945D48" w14:textId="48115713" w:rsidR="00DB4973" w:rsidRPr="00644ED5" w:rsidRDefault="00AE20E2" w:rsidP="00667231">
      <w:pPr>
        <w:spacing w:line="360" w:lineRule="auto"/>
        <w:rPr>
          <w:rFonts w:ascii="Book Antiqua" w:hAnsi="Book Antiqua" w:cs="Arial"/>
          <w:b/>
          <w:lang w:eastAsia="zh-CN"/>
        </w:rPr>
      </w:pPr>
      <w:r w:rsidRPr="00644ED5">
        <w:rPr>
          <w:rFonts w:ascii="Book Antiqua" w:hAnsi="Book Antiqua"/>
          <w:b/>
        </w:rPr>
        <w:t>Lactulose</w:t>
      </w:r>
      <w:bookmarkEnd w:id="40"/>
      <w:r w:rsidR="0055071F" w:rsidRPr="00644ED5">
        <w:rPr>
          <w:rFonts w:ascii="Book Antiqua" w:hAnsi="Book Antiqua" w:hint="eastAsia"/>
          <w:b/>
          <w:lang w:eastAsia="zh-CN"/>
        </w:rPr>
        <w:t xml:space="preserve">: </w:t>
      </w:r>
      <w:r w:rsidR="00477BA5" w:rsidRPr="00644ED5">
        <w:rPr>
          <w:rFonts w:ascii="Book Antiqua" w:hAnsi="Book Antiqua" w:cs="Arial"/>
        </w:rPr>
        <w:t>From the 1980s</w:t>
      </w:r>
      <w:r w:rsidR="00641F92" w:rsidRPr="00644ED5">
        <w:rPr>
          <w:rFonts w:ascii="Book Antiqua" w:hAnsi="Book Antiqua" w:cs="Arial"/>
        </w:rPr>
        <w:t xml:space="preserve"> onwards</w:t>
      </w:r>
      <w:r w:rsidR="00477BA5" w:rsidRPr="00644ED5">
        <w:rPr>
          <w:rFonts w:ascii="Book Antiqua" w:hAnsi="Book Antiqua" w:cs="Arial"/>
        </w:rPr>
        <w:t>,</w:t>
      </w:r>
      <w:r w:rsidR="00FB78F5" w:rsidRPr="00644ED5">
        <w:rPr>
          <w:rFonts w:ascii="Book Antiqua" w:hAnsi="Book Antiqua" w:cs="Arial"/>
        </w:rPr>
        <w:t xml:space="preserve"> n</w:t>
      </w:r>
      <w:r w:rsidR="00957847" w:rsidRPr="00644ED5">
        <w:rPr>
          <w:rFonts w:ascii="Book Antiqua" w:hAnsi="Book Antiqua" w:cs="Arial"/>
        </w:rPr>
        <w:t>on-absorbable disaccharides (lactulose and lactitol)</w:t>
      </w:r>
      <w:r w:rsidR="00FB78F5" w:rsidRPr="00644ED5">
        <w:rPr>
          <w:rFonts w:ascii="Book Antiqua" w:hAnsi="Book Antiqua" w:cs="Arial"/>
        </w:rPr>
        <w:t xml:space="preserve"> have been the </w:t>
      </w:r>
      <w:r w:rsidR="00477BA5" w:rsidRPr="00644ED5">
        <w:rPr>
          <w:rFonts w:ascii="Book Antiqua" w:hAnsi="Book Antiqua" w:cs="Arial"/>
        </w:rPr>
        <w:t>mainstay</w:t>
      </w:r>
      <w:r w:rsidR="00FB78F5" w:rsidRPr="00644ED5">
        <w:rPr>
          <w:rFonts w:ascii="Book Antiqua" w:hAnsi="Book Antiqua" w:cs="Arial"/>
        </w:rPr>
        <w:t xml:space="preserve"> </w:t>
      </w:r>
      <w:r w:rsidR="00477BA5" w:rsidRPr="00644ED5">
        <w:rPr>
          <w:rFonts w:ascii="Book Antiqua" w:hAnsi="Book Antiqua" w:cs="Arial"/>
        </w:rPr>
        <w:t xml:space="preserve">of treatment for </w:t>
      </w:r>
      <w:r w:rsidR="00B6640C" w:rsidRPr="00644ED5">
        <w:rPr>
          <w:rFonts w:ascii="Book Antiqua" w:hAnsi="Book Antiqua" w:cs="Arial"/>
        </w:rPr>
        <w:t>HE</w:t>
      </w:r>
      <w:r w:rsidR="00477BA5" w:rsidRPr="00644ED5">
        <w:rPr>
          <w:rFonts w:ascii="Book Antiqua" w:hAnsi="Book Antiqua" w:cs="Arial"/>
        </w:rPr>
        <w:t xml:space="preserve"> and</w:t>
      </w:r>
      <w:r w:rsidR="00957847" w:rsidRPr="00644ED5">
        <w:rPr>
          <w:rFonts w:ascii="Book Antiqua" w:hAnsi="Book Antiqua" w:cs="Arial"/>
        </w:rPr>
        <w:t xml:space="preserve"> </w:t>
      </w:r>
      <w:r w:rsidR="009D572C" w:rsidRPr="00644ED5">
        <w:rPr>
          <w:rFonts w:ascii="Book Antiqua" w:hAnsi="Book Antiqua" w:cs="Arial"/>
        </w:rPr>
        <w:t>have been</w:t>
      </w:r>
      <w:r w:rsidR="00957847" w:rsidRPr="00644ED5">
        <w:rPr>
          <w:rFonts w:ascii="Book Antiqua" w:hAnsi="Book Antiqua" w:cs="Arial"/>
        </w:rPr>
        <w:t xml:space="preserve"> recommended</w:t>
      </w:r>
      <w:r w:rsidR="00641F92" w:rsidRPr="00644ED5">
        <w:rPr>
          <w:rFonts w:ascii="Book Antiqua" w:hAnsi="Book Antiqua" w:cs="Arial"/>
        </w:rPr>
        <w:t xml:space="preserve"> as</w:t>
      </w:r>
      <w:r w:rsidR="00957847" w:rsidRPr="00644ED5">
        <w:rPr>
          <w:rFonts w:ascii="Book Antiqua" w:hAnsi="Book Antiqua" w:cs="Arial"/>
        </w:rPr>
        <w:t xml:space="preserve"> </w:t>
      </w:r>
      <w:r w:rsidR="00957847" w:rsidRPr="00644ED5">
        <w:rPr>
          <w:rFonts w:ascii="Book Antiqua" w:hAnsi="Book Antiqua" w:cs="Arial"/>
        </w:rPr>
        <w:lastRenderedPageBreak/>
        <w:t xml:space="preserve">first line </w:t>
      </w:r>
      <w:r w:rsidR="00477BA5" w:rsidRPr="00644ED5">
        <w:rPr>
          <w:rFonts w:ascii="Book Antiqua" w:hAnsi="Book Antiqua" w:cs="Arial"/>
        </w:rPr>
        <w:t>therapy ever since</w:t>
      </w:r>
      <w:r w:rsidR="00641F92" w:rsidRPr="00644ED5">
        <w:rPr>
          <w:rFonts w:ascii="Book Antiqua" w:hAnsi="Book Antiqua" w:cs="Arial"/>
        </w:rPr>
        <w:t xml:space="preserve"> lactulose was shown to be equally as effective </w:t>
      </w:r>
      <w:r w:rsidR="00EB7859" w:rsidRPr="00644ED5">
        <w:rPr>
          <w:rFonts w:ascii="Book Antiqua" w:hAnsi="Book Antiqua" w:cs="Arial"/>
        </w:rPr>
        <w:t xml:space="preserve">but safer than </w:t>
      </w:r>
      <w:r w:rsidR="00641F92" w:rsidRPr="00644ED5">
        <w:rPr>
          <w:rFonts w:ascii="Book Antiqua" w:hAnsi="Book Antiqua" w:cs="Arial"/>
        </w:rPr>
        <w:t>neomycin</w:t>
      </w:r>
      <w:r w:rsidR="00BA0FDC" w:rsidRPr="00644ED5">
        <w:rPr>
          <w:rFonts w:ascii="Book Antiqua" w:hAnsi="Book Antiqua" w:cs="Arial"/>
          <w:vertAlign w:val="superscript"/>
        </w:rPr>
        <w:t>[50-52]</w:t>
      </w:r>
      <w:r w:rsidR="00957847" w:rsidRPr="00644ED5">
        <w:rPr>
          <w:rFonts w:ascii="Book Antiqua" w:hAnsi="Book Antiqua" w:cs="Arial"/>
        </w:rPr>
        <w:t>.</w:t>
      </w:r>
      <w:r w:rsidR="00B85E81" w:rsidRPr="00644ED5">
        <w:rPr>
          <w:rFonts w:ascii="Book Antiqua" w:hAnsi="Book Antiqua" w:cs="Arial"/>
        </w:rPr>
        <w:t xml:space="preserve"> The adverse effect profile of non-absorbable disaccharides is well</w:t>
      </w:r>
      <w:r w:rsidR="0033664A" w:rsidRPr="00644ED5">
        <w:rPr>
          <w:rFonts w:ascii="Book Antiqua" w:hAnsi="Book Antiqua" w:cs="Arial"/>
        </w:rPr>
        <w:t>-</w:t>
      </w:r>
      <w:r w:rsidR="00B85E81" w:rsidRPr="00644ED5">
        <w:rPr>
          <w:rFonts w:ascii="Book Antiqua" w:hAnsi="Book Antiqua" w:cs="Arial"/>
        </w:rPr>
        <w:t>characterised</w:t>
      </w:r>
      <w:r w:rsidR="0033664A" w:rsidRPr="00644ED5">
        <w:rPr>
          <w:rFonts w:ascii="Book Antiqua" w:hAnsi="Book Antiqua" w:cs="Arial"/>
        </w:rPr>
        <w:t>,</w:t>
      </w:r>
      <w:r w:rsidR="00B85E81" w:rsidRPr="00644ED5">
        <w:rPr>
          <w:rFonts w:ascii="Book Antiqua" w:hAnsi="Book Antiqua" w:cs="Arial"/>
        </w:rPr>
        <w:t xml:space="preserve"> and </w:t>
      </w:r>
      <w:r w:rsidR="0033664A" w:rsidRPr="00644ED5">
        <w:rPr>
          <w:rFonts w:ascii="Book Antiqua" w:hAnsi="Book Antiqua" w:cs="Arial"/>
        </w:rPr>
        <w:t xml:space="preserve">is predominantly characterised by </w:t>
      </w:r>
      <w:r w:rsidR="00B85E81" w:rsidRPr="00644ED5">
        <w:rPr>
          <w:rFonts w:ascii="Book Antiqua" w:hAnsi="Book Antiqua" w:cs="Arial"/>
        </w:rPr>
        <w:t>non-serious gastrointestinal side effects such as bloating, flatulence and diarrhoea</w:t>
      </w:r>
      <w:r w:rsidR="00BA0FDC" w:rsidRPr="00644ED5">
        <w:rPr>
          <w:rFonts w:ascii="Book Antiqua" w:hAnsi="Book Antiqua" w:cs="Arial"/>
          <w:vertAlign w:val="superscript"/>
        </w:rPr>
        <w:t>[52]</w:t>
      </w:r>
      <w:r w:rsidR="00B85E81" w:rsidRPr="00644ED5">
        <w:rPr>
          <w:rFonts w:ascii="Book Antiqua" w:hAnsi="Book Antiqua" w:cs="Arial"/>
        </w:rPr>
        <w:t>.</w:t>
      </w:r>
      <w:r w:rsidR="00957847" w:rsidRPr="00644ED5">
        <w:rPr>
          <w:rFonts w:ascii="Book Antiqua" w:hAnsi="Book Antiqua" w:cs="Arial"/>
        </w:rPr>
        <w:t xml:space="preserve"> </w:t>
      </w:r>
      <w:r w:rsidR="008349FD" w:rsidRPr="00644ED5">
        <w:rPr>
          <w:rFonts w:ascii="Book Antiqua" w:hAnsi="Book Antiqua" w:cs="Arial"/>
        </w:rPr>
        <w:t>Lac</w:t>
      </w:r>
      <w:r w:rsidR="00BD3C9B" w:rsidRPr="00644ED5">
        <w:rPr>
          <w:rFonts w:ascii="Book Antiqua" w:hAnsi="Book Antiqua" w:cs="Arial"/>
        </w:rPr>
        <w:t>tulose exerts its main effect through</w:t>
      </w:r>
      <w:r w:rsidR="008349FD" w:rsidRPr="00644ED5">
        <w:rPr>
          <w:rFonts w:ascii="Book Antiqua" w:hAnsi="Book Antiqua" w:cs="Arial"/>
        </w:rPr>
        <w:t xml:space="preserve"> reducing </w:t>
      </w:r>
      <w:r w:rsidR="0072067C" w:rsidRPr="00644ED5">
        <w:rPr>
          <w:rFonts w:ascii="Book Antiqua" w:hAnsi="Book Antiqua" w:cs="Arial"/>
        </w:rPr>
        <w:t>production of ammonia</w:t>
      </w:r>
      <w:r w:rsidR="007B0B5F" w:rsidRPr="00644ED5">
        <w:rPr>
          <w:rFonts w:ascii="Book Antiqua" w:hAnsi="Book Antiqua" w:cs="Arial"/>
        </w:rPr>
        <w:t>. Ammonia</w:t>
      </w:r>
      <w:r w:rsidR="008349FD" w:rsidRPr="00644ED5">
        <w:rPr>
          <w:rFonts w:ascii="Book Antiqua" w:hAnsi="Book Antiqua" w:cs="Arial"/>
        </w:rPr>
        <w:t xml:space="preserve"> has been implicated in the pathogenesis of HE </w:t>
      </w:r>
      <w:r w:rsidR="00BD3C9B" w:rsidRPr="00644ED5">
        <w:rPr>
          <w:rFonts w:ascii="Book Antiqua" w:hAnsi="Book Antiqua" w:cs="Arial"/>
        </w:rPr>
        <w:t>by</w:t>
      </w:r>
      <w:r w:rsidR="008349FD" w:rsidRPr="00644ED5">
        <w:rPr>
          <w:rFonts w:ascii="Book Antiqua" w:hAnsi="Book Antiqua" w:cs="Arial"/>
        </w:rPr>
        <w:t xml:space="preserve"> causing direct neurotoxicity and astrocytic </w:t>
      </w:r>
      <w:r w:rsidR="0072067C" w:rsidRPr="00644ED5">
        <w:rPr>
          <w:rFonts w:ascii="Book Antiqua" w:hAnsi="Book Antiqua" w:cs="Arial"/>
        </w:rPr>
        <w:t>swelling</w:t>
      </w:r>
      <w:r w:rsidR="008349FD" w:rsidRPr="00644ED5">
        <w:rPr>
          <w:rFonts w:ascii="Book Antiqua" w:hAnsi="Book Antiqua" w:cs="Arial"/>
        </w:rPr>
        <w:t xml:space="preserve">. </w:t>
      </w:r>
      <w:r w:rsidR="00BD3C9B" w:rsidRPr="00644ED5">
        <w:rPr>
          <w:rFonts w:ascii="Book Antiqua" w:hAnsi="Book Antiqua" w:cs="Arial"/>
        </w:rPr>
        <w:t xml:space="preserve">Lactulose is metabolised to lactic acid by colonic bacteria, resulting in intestinal acidification. The acidic environment both promotes the </w:t>
      </w:r>
      <w:r w:rsidR="0072067C" w:rsidRPr="00644ED5">
        <w:rPr>
          <w:rFonts w:ascii="Book Antiqua" w:hAnsi="Book Antiqua" w:cs="Arial"/>
        </w:rPr>
        <w:t xml:space="preserve">transfer </w:t>
      </w:r>
      <w:r w:rsidR="00BD3C9B" w:rsidRPr="00644ED5">
        <w:rPr>
          <w:rFonts w:ascii="Book Antiqua" w:hAnsi="Book Antiqua" w:cs="Arial"/>
        </w:rPr>
        <w:t xml:space="preserve">of ammonia from tissues into the intestinal lumen and impedes the growth of ammoniagenic coliforms. Additionally, the cathartic effects of lactulose </w:t>
      </w:r>
      <w:r w:rsidR="007B0B5F" w:rsidRPr="00644ED5">
        <w:rPr>
          <w:rFonts w:ascii="Book Antiqua" w:hAnsi="Book Antiqua" w:cs="Arial"/>
        </w:rPr>
        <w:t xml:space="preserve">aid in </w:t>
      </w:r>
      <w:r w:rsidR="003458A2" w:rsidRPr="00644ED5">
        <w:rPr>
          <w:rFonts w:ascii="Book Antiqua" w:hAnsi="Book Antiqua" w:cs="Arial"/>
        </w:rPr>
        <w:t xml:space="preserve">decreasing </w:t>
      </w:r>
      <w:r w:rsidR="0072067C" w:rsidRPr="00644ED5">
        <w:rPr>
          <w:rFonts w:ascii="Book Antiqua" w:hAnsi="Book Antiqua" w:cs="Arial"/>
        </w:rPr>
        <w:t xml:space="preserve">intestinal </w:t>
      </w:r>
      <w:r w:rsidR="00BD3C9B" w:rsidRPr="00644ED5">
        <w:rPr>
          <w:rFonts w:ascii="Book Antiqua" w:hAnsi="Book Antiqua" w:cs="Arial"/>
        </w:rPr>
        <w:t>bacterial load</w:t>
      </w:r>
      <w:r w:rsidR="00BA0FDC" w:rsidRPr="00644ED5">
        <w:rPr>
          <w:rFonts w:ascii="Book Antiqua" w:hAnsi="Book Antiqua" w:cs="Arial"/>
          <w:vertAlign w:val="superscript"/>
        </w:rPr>
        <w:t>[53]</w:t>
      </w:r>
      <w:r w:rsidR="00BD3C9B" w:rsidRPr="00644ED5">
        <w:rPr>
          <w:rFonts w:ascii="Book Antiqua" w:hAnsi="Book Antiqua" w:cs="Arial"/>
        </w:rPr>
        <w:t>.</w:t>
      </w:r>
    </w:p>
    <w:p w14:paraId="76DA2B25" w14:textId="3224FB15" w:rsidR="001B6AD6" w:rsidRPr="00644ED5" w:rsidRDefault="003F4C5A" w:rsidP="001B6AD6">
      <w:pPr>
        <w:spacing w:line="360" w:lineRule="auto"/>
        <w:ind w:firstLineChars="100" w:firstLine="240"/>
        <w:rPr>
          <w:rFonts w:ascii="Book Antiqua" w:hAnsi="Book Antiqua" w:cs="Arial"/>
          <w:lang w:eastAsia="zh-CN"/>
        </w:rPr>
      </w:pPr>
      <w:r w:rsidRPr="00644ED5">
        <w:rPr>
          <w:rFonts w:ascii="Book Antiqua" w:hAnsi="Book Antiqua" w:cs="Arial"/>
        </w:rPr>
        <w:t>In</w:t>
      </w:r>
      <w:r w:rsidR="0025045B" w:rsidRPr="00644ED5">
        <w:rPr>
          <w:rFonts w:ascii="Book Antiqua" w:hAnsi="Book Antiqua" w:cs="Arial"/>
        </w:rPr>
        <w:t xml:space="preserve"> 2004 a systematic review of 22 RCTs </w:t>
      </w:r>
      <w:r w:rsidRPr="00644ED5">
        <w:rPr>
          <w:rFonts w:ascii="Book Antiqua" w:hAnsi="Book Antiqua" w:cs="Arial"/>
        </w:rPr>
        <w:t xml:space="preserve">demonstrated </w:t>
      </w:r>
      <w:r w:rsidR="0025045B" w:rsidRPr="00644ED5">
        <w:rPr>
          <w:rFonts w:ascii="Book Antiqua" w:hAnsi="Book Antiqua" w:cs="Arial"/>
        </w:rPr>
        <w:t>that non-absorbable disaccharides had no significant effect on mortality or HE incidence after exclusion of trials with high risk of bias, and concluded that evidence to support the use of non-absorbable disaccharides in the treatment of HE was insufficient</w:t>
      </w:r>
      <w:r w:rsidR="00BA0FDC" w:rsidRPr="00644ED5">
        <w:rPr>
          <w:rFonts w:ascii="Book Antiqua" w:hAnsi="Book Antiqua" w:cs="Arial"/>
          <w:vertAlign w:val="superscript"/>
        </w:rPr>
        <w:t>[51]</w:t>
      </w:r>
      <w:r w:rsidR="0025045B" w:rsidRPr="00644ED5">
        <w:rPr>
          <w:rFonts w:ascii="Book Antiqua" w:hAnsi="Book Antiqua" w:cs="Arial"/>
        </w:rPr>
        <w:t xml:space="preserve">. </w:t>
      </w:r>
      <w:r w:rsidR="00A11BEA" w:rsidRPr="00644ED5">
        <w:rPr>
          <w:rFonts w:ascii="Book Antiqua" w:hAnsi="Book Antiqua" w:cs="Arial"/>
        </w:rPr>
        <w:t xml:space="preserve">As a consequence, further trials assessing the efficacy of lactulose in the management of HE were performed. </w:t>
      </w:r>
      <w:r w:rsidR="00B53875" w:rsidRPr="00644ED5">
        <w:rPr>
          <w:rFonts w:ascii="Book Antiqua" w:hAnsi="Book Antiqua" w:cs="Arial"/>
        </w:rPr>
        <w:t xml:space="preserve">A RCT of 140 patients </w:t>
      </w:r>
      <w:r w:rsidR="009C520F" w:rsidRPr="00644ED5">
        <w:rPr>
          <w:rFonts w:ascii="Book Antiqua" w:hAnsi="Book Antiqua" w:cs="Arial"/>
        </w:rPr>
        <w:t xml:space="preserve">by Sharma </w:t>
      </w:r>
      <w:r w:rsidR="009C520F" w:rsidRPr="00644ED5">
        <w:rPr>
          <w:rFonts w:ascii="Book Antiqua" w:hAnsi="Book Antiqua" w:cs="Arial"/>
          <w:i/>
        </w:rPr>
        <w:t>et al</w:t>
      </w:r>
      <w:r w:rsidR="001B6AD6" w:rsidRPr="00644ED5">
        <w:rPr>
          <w:rFonts w:ascii="Book Antiqua" w:hAnsi="Book Antiqua" w:cs="Arial"/>
          <w:vertAlign w:val="superscript"/>
        </w:rPr>
        <w:t>[54]</w:t>
      </w:r>
      <w:r w:rsidR="00B53875" w:rsidRPr="00644ED5">
        <w:rPr>
          <w:rFonts w:ascii="Book Antiqua" w:hAnsi="Book Antiqua" w:cs="Arial"/>
        </w:rPr>
        <w:t xml:space="preserve"> investigating the efficacy of lactulose for secondary prophylaxis of HE found that</w:t>
      </w:r>
      <w:r w:rsidR="00A03F81" w:rsidRPr="00644ED5">
        <w:rPr>
          <w:rFonts w:ascii="Book Antiqua" w:hAnsi="Book Antiqua" w:cs="Arial"/>
        </w:rPr>
        <w:t>, after 14-mo follow-up,</w:t>
      </w:r>
      <w:r w:rsidR="00B53875" w:rsidRPr="00644ED5">
        <w:rPr>
          <w:rFonts w:ascii="Book Antiqua" w:hAnsi="Book Antiqua" w:cs="Arial"/>
        </w:rPr>
        <w:t xml:space="preserve"> a significantly lower proportion of patients receiving lactulose (19.6%) redeveloped HE compared to patients receiving placebo (46.8%,</w:t>
      </w:r>
      <w:r w:rsidR="001B6AD6" w:rsidRPr="00644ED5">
        <w:rPr>
          <w:rFonts w:ascii="Book Antiqua" w:hAnsi="Book Antiqua" w:cs="Arial"/>
          <w:i/>
        </w:rPr>
        <w:t xml:space="preserve"> P</w:t>
      </w:r>
      <w:r w:rsidR="001B6AD6" w:rsidRPr="00644ED5">
        <w:rPr>
          <w:rFonts w:ascii="Book Antiqua" w:hAnsi="Book Antiqua" w:cs="Arial" w:hint="eastAsia"/>
          <w:lang w:eastAsia="zh-CN"/>
        </w:rPr>
        <w:t xml:space="preserve"> </w:t>
      </w:r>
      <w:r w:rsidR="00B53875" w:rsidRPr="00644ED5">
        <w:rPr>
          <w:rFonts w:ascii="Book Antiqua" w:hAnsi="Book Antiqua" w:cs="Arial"/>
        </w:rPr>
        <w:t>=</w:t>
      </w:r>
      <w:r w:rsidR="001B6AD6" w:rsidRPr="00644ED5">
        <w:rPr>
          <w:rFonts w:ascii="Book Antiqua" w:hAnsi="Book Antiqua" w:cs="Arial" w:hint="eastAsia"/>
          <w:lang w:eastAsia="zh-CN"/>
        </w:rPr>
        <w:t xml:space="preserve"> </w:t>
      </w:r>
      <w:r w:rsidR="00B53875" w:rsidRPr="00644ED5">
        <w:rPr>
          <w:rFonts w:ascii="Book Antiqua" w:hAnsi="Book Antiqua" w:cs="Arial"/>
        </w:rPr>
        <w:t>0.001).</w:t>
      </w:r>
      <w:r w:rsidR="0072014E" w:rsidRPr="00644ED5">
        <w:rPr>
          <w:rFonts w:ascii="Book Antiqua" w:hAnsi="Book Antiqua" w:cs="Arial"/>
        </w:rPr>
        <w:t xml:space="preserve"> </w:t>
      </w:r>
      <w:r w:rsidR="009B7BCB" w:rsidRPr="00644ED5">
        <w:rPr>
          <w:rFonts w:ascii="Book Antiqua" w:hAnsi="Book Antiqua" w:cs="Arial"/>
        </w:rPr>
        <w:t xml:space="preserve">Similarly, Agrawal </w:t>
      </w:r>
      <w:r w:rsidR="009B7BCB" w:rsidRPr="00644ED5">
        <w:rPr>
          <w:rFonts w:ascii="Book Antiqua" w:hAnsi="Book Antiqua" w:cs="Arial"/>
          <w:i/>
        </w:rPr>
        <w:t>et al</w:t>
      </w:r>
      <w:r w:rsidR="001B6AD6" w:rsidRPr="00644ED5">
        <w:rPr>
          <w:rFonts w:ascii="Book Antiqua" w:hAnsi="Book Antiqua" w:cs="Arial"/>
          <w:vertAlign w:val="superscript"/>
        </w:rPr>
        <w:t>[55]</w:t>
      </w:r>
      <w:r w:rsidR="009B7BCB" w:rsidRPr="00644ED5">
        <w:rPr>
          <w:rFonts w:ascii="Book Antiqua" w:hAnsi="Book Antiqua" w:cs="Arial"/>
        </w:rPr>
        <w:t xml:space="preserve"> </w:t>
      </w:r>
      <w:r w:rsidR="00A64E4B" w:rsidRPr="00644ED5">
        <w:rPr>
          <w:rFonts w:ascii="Book Antiqua" w:hAnsi="Book Antiqua" w:cs="Arial"/>
        </w:rPr>
        <w:t xml:space="preserve">also </w:t>
      </w:r>
      <w:r w:rsidR="009B7BCB" w:rsidRPr="00644ED5">
        <w:rPr>
          <w:rFonts w:ascii="Book Antiqua" w:hAnsi="Book Antiqua" w:cs="Arial"/>
        </w:rPr>
        <w:t xml:space="preserve">investigated the </w:t>
      </w:r>
      <w:r w:rsidR="00891A58" w:rsidRPr="00644ED5">
        <w:rPr>
          <w:rFonts w:ascii="Book Antiqua" w:hAnsi="Book Antiqua" w:cs="Arial"/>
        </w:rPr>
        <w:t xml:space="preserve">efficacy </w:t>
      </w:r>
      <w:r w:rsidR="00A64E4B" w:rsidRPr="00644ED5">
        <w:rPr>
          <w:rFonts w:ascii="Book Antiqua" w:hAnsi="Book Antiqua" w:cs="Arial"/>
        </w:rPr>
        <w:t>of lactulose</w:t>
      </w:r>
      <w:r w:rsidR="009B7BCB" w:rsidRPr="00644ED5">
        <w:rPr>
          <w:rFonts w:ascii="Book Antiqua" w:hAnsi="Book Antiqua" w:cs="Arial"/>
        </w:rPr>
        <w:t xml:space="preserve"> for secondary prevention of HE in a RCT </w:t>
      </w:r>
      <w:r w:rsidR="00A64E4B" w:rsidRPr="00644ED5">
        <w:rPr>
          <w:rFonts w:ascii="Book Antiqua" w:hAnsi="Book Antiqua" w:cs="Arial"/>
        </w:rPr>
        <w:t>(</w:t>
      </w:r>
      <w:r w:rsidR="00A64E4B" w:rsidRPr="00644ED5">
        <w:rPr>
          <w:rFonts w:ascii="Book Antiqua" w:hAnsi="Book Antiqua" w:cs="Arial"/>
          <w:i/>
        </w:rPr>
        <w:t>n</w:t>
      </w:r>
      <w:r w:rsidR="001B6AD6" w:rsidRPr="00644ED5">
        <w:rPr>
          <w:rFonts w:ascii="Book Antiqua" w:hAnsi="Book Antiqua" w:cs="Arial" w:hint="eastAsia"/>
          <w:lang w:eastAsia="zh-CN"/>
        </w:rPr>
        <w:t xml:space="preserve"> </w:t>
      </w:r>
      <w:r w:rsidR="00A64E4B" w:rsidRPr="00644ED5">
        <w:rPr>
          <w:rFonts w:ascii="Book Antiqua" w:hAnsi="Book Antiqua" w:cs="Arial"/>
        </w:rPr>
        <w:t>=</w:t>
      </w:r>
      <w:r w:rsidR="001B6AD6" w:rsidRPr="00644ED5">
        <w:rPr>
          <w:rFonts w:ascii="Book Antiqua" w:hAnsi="Book Antiqua" w:cs="Arial" w:hint="eastAsia"/>
          <w:lang w:eastAsia="zh-CN"/>
        </w:rPr>
        <w:t xml:space="preserve"> </w:t>
      </w:r>
      <w:r w:rsidR="00A64E4B" w:rsidRPr="00644ED5">
        <w:rPr>
          <w:rFonts w:ascii="Book Antiqua" w:hAnsi="Book Antiqua" w:cs="Arial"/>
        </w:rPr>
        <w:t>2</w:t>
      </w:r>
      <w:r w:rsidR="00FC3F8F" w:rsidRPr="00644ED5">
        <w:rPr>
          <w:rFonts w:ascii="Book Antiqua" w:hAnsi="Book Antiqua" w:cs="Arial"/>
        </w:rPr>
        <w:t xml:space="preserve">35), finding that lactulose therapy was associated with significantly </w:t>
      </w:r>
      <w:r w:rsidR="00A64E4B" w:rsidRPr="00644ED5">
        <w:rPr>
          <w:rFonts w:ascii="Book Antiqua" w:hAnsi="Book Antiqua" w:cs="Arial"/>
        </w:rPr>
        <w:t xml:space="preserve">reduced HE recurrence compared to no intervention (26.2% </w:t>
      </w:r>
      <w:r w:rsidR="00A64E4B" w:rsidRPr="00644ED5">
        <w:rPr>
          <w:rFonts w:ascii="Book Antiqua" w:hAnsi="Book Antiqua" w:cs="Arial"/>
          <w:i/>
        </w:rPr>
        <w:t>vs</w:t>
      </w:r>
      <w:r w:rsidR="00A64E4B" w:rsidRPr="00644ED5">
        <w:rPr>
          <w:rFonts w:ascii="Book Antiqua" w:hAnsi="Book Antiqua" w:cs="Arial"/>
        </w:rPr>
        <w:t xml:space="preserve"> 56.9%, </w:t>
      </w:r>
      <w:r w:rsidR="001B6AD6" w:rsidRPr="00644ED5">
        <w:rPr>
          <w:rFonts w:ascii="Book Antiqua" w:hAnsi="Book Antiqua" w:cs="Arial"/>
          <w:i/>
        </w:rPr>
        <w:t>P</w:t>
      </w:r>
      <w:r w:rsidR="001B6AD6" w:rsidRPr="00644ED5">
        <w:rPr>
          <w:rFonts w:ascii="Book Antiqua" w:hAnsi="Book Antiqua" w:cs="Arial" w:hint="eastAsia"/>
          <w:lang w:eastAsia="zh-CN"/>
        </w:rPr>
        <w:t xml:space="preserve"> </w:t>
      </w:r>
      <w:r w:rsidR="00A64E4B" w:rsidRPr="00644ED5">
        <w:rPr>
          <w:rFonts w:ascii="Book Antiqua" w:hAnsi="Book Antiqua" w:cs="Arial"/>
        </w:rPr>
        <w:t>=</w:t>
      </w:r>
      <w:r w:rsidR="001B6AD6" w:rsidRPr="00644ED5">
        <w:rPr>
          <w:rFonts w:ascii="Book Antiqua" w:hAnsi="Book Antiqua" w:cs="Arial" w:hint="eastAsia"/>
          <w:lang w:eastAsia="zh-CN"/>
        </w:rPr>
        <w:t xml:space="preserve"> </w:t>
      </w:r>
      <w:r w:rsidR="00A64E4B" w:rsidRPr="00644ED5">
        <w:rPr>
          <w:rFonts w:ascii="Book Antiqua" w:hAnsi="Book Antiqua" w:cs="Arial"/>
        </w:rPr>
        <w:t>0.001).</w:t>
      </w:r>
      <w:r w:rsidR="009B7BCB" w:rsidRPr="00644ED5">
        <w:rPr>
          <w:rFonts w:ascii="Book Antiqua" w:hAnsi="Book Antiqua" w:cs="Arial"/>
        </w:rPr>
        <w:t xml:space="preserve"> </w:t>
      </w:r>
      <w:r w:rsidR="0072014E" w:rsidRPr="00644ED5">
        <w:rPr>
          <w:rFonts w:ascii="Book Antiqua" w:hAnsi="Book Antiqua" w:cs="Arial"/>
        </w:rPr>
        <w:t xml:space="preserve">Another RCT by Sharma </w:t>
      </w:r>
      <w:r w:rsidR="0072014E" w:rsidRPr="00644ED5">
        <w:rPr>
          <w:rFonts w:ascii="Book Antiqua" w:hAnsi="Book Antiqua" w:cs="Arial"/>
          <w:i/>
        </w:rPr>
        <w:t>et al</w:t>
      </w:r>
      <w:r w:rsidR="001B6AD6" w:rsidRPr="00644ED5">
        <w:rPr>
          <w:rFonts w:ascii="Book Antiqua" w:hAnsi="Book Antiqua" w:cs="Arial"/>
          <w:vertAlign w:val="superscript"/>
        </w:rPr>
        <w:t>[56]</w:t>
      </w:r>
      <w:r w:rsidR="0072014E" w:rsidRPr="00644ED5">
        <w:rPr>
          <w:rFonts w:ascii="Book Antiqua" w:hAnsi="Book Antiqua" w:cs="Arial"/>
        </w:rPr>
        <w:t xml:space="preserve">, this time investigating the efficacy of lactulose for primary prophylaxis of HE, found that, after 12-mo follow-up, a significantly lower proportion of patients </w:t>
      </w:r>
      <w:r w:rsidR="0054512A" w:rsidRPr="00644ED5">
        <w:rPr>
          <w:rFonts w:ascii="Book Antiqua" w:hAnsi="Book Antiqua" w:cs="Arial"/>
        </w:rPr>
        <w:t>receiving</w:t>
      </w:r>
      <w:r w:rsidR="0072014E" w:rsidRPr="00644ED5">
        <w:rPr>
          <w:rFonts w:ascii="Book Antiqua" w:hAnsi="Book Antiqua" w:cs="Arial"/>
        </w:rPr>
        <w:t xml:space="preserve"> </w:t>
      </w:r>
      <w:r w:rsidR="006F55D7" w:rsidRPr="00644ED5">
        <w:rPr>
          <w:rFonts w:ascii="Book Antiqua" w:hAnsi="Book Antiqua" w:cs="Arial"/>
        </w:rPr>
        <w:t xml:space="preserve">lactulose </w:t>
      </w:r>
      <w:r w:rsidR="0072014E" w:rsidRPr="00644ED5">
        <w:rPr>
          <w:rFonts w:ascii="Book Antiqua" w:hAnsi="Book Antiqua" w:cs="Arial"/>
        </w:rPr>
        <w:t xml:space="preserve">(11%) developed overt HE compared to patients </w:t>
      </w:r>
      <w:r w:rsidR="0054512A" w:rsidRPr="00644ED5">
        <w:rPr>
          <w:rFonts w:ascii="Book Antiqua" w:hAnsi="Book Antiqua" w:cs="Arial"/>
        </w:rPr>
        <w:t>receiving placebo</w:t>
      </w:r>
      <w:r w:rsidR="0072014E" w:rsidRPr="00644ED5">
        <w:rPr>
          <w:rFonts w:ascii="Book Antiqua" w:hAnsi="Book Antiqua" w:cs="Arial"/>
        </w:rPr>
        <w:t xml:space="preserve"> (28%, </w:t>
      </w:r>
      <w:r w:rsidR="001B6AD6" w:rsidRPr="00644ED5">
        <w:rPr>
          <w:rFonts w:ascii="Book Antiqua" w:hAnsi="Book Antiqua" w:cs="Arial"/>
          <w:i/>
        </w:rPr>
        <w:t>P</w:t>
      </w:r>
      <w:r w:rsidR="001B6AD6" w:rsidRPr="00644ED5">
        <w:rPr>
          <w:rFonts w:ascii="Book Antiqua" w:hAnsi="Book Antiqua" w:cs="Arial"/>
        </w:rPr>
        <w:t xml:space="preserve"> </w:t>
      </w:r>
      <w:r w:rsidR="0072014E" w:rsidRPr="00644ED5">
        <w:rPr>
          <w:rFonts w:ascii="Book Antiqua" w:hAnsi="Book Antiqua" w:cs="Arial"/>
        </w:rPr>
        <w:t>=</w:t>
      </w:r>
      <w:r w:rsidR="001B6AD6" w:rsidRPr="00644ED5">
        <w:rPr>
          <w:rFonts w:ascii="Book Antiqua" w:hAnsi="Book Antiqua" w:cs="Arial" w:hint="eastAsia"/>
          <w:lang w:eastAsia="zh-CN"/>
        </w:rPr>
        <w:t xml:space="preserve"> </w:t>
      </w:r>
      <w:r w:rsidR="0072014E" w:rsidRPr="00644ED5">
        <w:rPr>
          <w:rFonts w:ascii="Book Antiqua" w:hAnsi="Book Antiqua" w:cs="Arial"/>
        </w:rPr>
        <w:t>0.02).</w:t>
      </w:r>
      <w:r w:rsidR="00BE17B6" w:rsidRPr="00644ED5">
        <w:rPr>
          <w:rFonts w:ascii="Book Antiqua" w:hAnsi="Book Antiqua" w:cs="Arial"/>
        </w:rPr>
        <w:t xml:space="preserve"> Furthermore, lactulose </w:t>
      </w:r>
      <w:r w:rsidR="00D4226C" w:rsidRPr="00644ED5">
        <w:rPr>
          <w:rFonts w:ascii="Book Antiqua" w:hAnsi="Book Antiqua" w:cs="Arial"/>
        </w:rPr>
        <w:t>therapy was associated with improvement in both cognitive function and health-related quality of life in patients with minimal HE</w:t>
      </w:r>
      <w:r w:rsidR="00BA0FDC" w:rsidRPr="00644ED5">
        <w:rPr>
          <w:rFonts w:ascii="Book Antiqua" w:hAnsi="Book Antiqua" w:cs="Arial"/>
          <w:vertAlign w:val="superscript"/>
        </w:rPr>
        <w:t>[57]</w:t>
      </w:r>
      <w:r w:rsidR="00D4226C" w:rsidRPr="00644ED5">
        <w:rPr>
          <w:rFonts w:ascii="Book Antiqua" w:hAnsi="Book Antiqua" w:cs="Arial"/>
        </w:rPr>
        <w:t>.</w:t>
      </w:r>
      <w:r w:rsidR="00B53875" w:rsidRPr="00644ED5">
        <w:rPr>
          <w:rFonts w:ascii="Book Antiqua" w:hAnsi="Book Antiqua" w:cs="Arial"/>
        </w:rPr>
        <w:t xml:space="preserve"> </w:t>
      </w:r>
      <w:r w:rsidR="00E77AC9" w:rsidRPr="00644ED5">
        <w:rPr>
          <w:rFonts w:ascii="Book Antiqua" w:hAnsi="Book Antiqua" w:cs="Arial"/>
        </w:rPr>
        <w:t xml:space="preserve">Mittal </w:t>
      </w:r>
      <w:r w:rsidR="00E77AC9" w:rsidRPr="00644ED5">
        <w:rPr>
          <w:rFonts w:ascii="Book Antiqua" w:hAnsi="Book Antiqua" w:cs="Arial"/>
          <w:i/>
        </w:rPr>
        <w:t>et al</w:t>
      </w:r>
      <w:r w:rsidR="001B6AD6" w:rsidRPr="00644ED5">
        <w:rPr>
          <w:rFonts w:ascii="Book Antiqua" w:hAnsi="Book Antiqua" w:cs="Arial"/>
          <w:vertAlign w:val="superscript"/>
        </w:rPr>
        <w:t>[58]</w:t>
      </w:r>
      <w:r w:rsidR="00E77AC9" w:rsidRPr="00644ED5">
        <w:rPr>
          <w:rFonts w:ascii="Book Antiqua" w:hAnsi="Book Antiqua" w:cs="Arial"/>
        </w:rPr>
        <w:t xml:space="preserve"> then assessed the effectiveness of lactulose in the treatment of minimal HE in the RCT setting (</w:t>
      </w:r>
      <w:r w:rsidR="00E77AC9" w:rsidRPr="00644ED5">
        <w:rPr>
          <w:rFonts w:ascii="Book Antiqua" w:hAnsi="Book Antiqua" w:cs="Arial"/>
          <w:i/>
        </w:rPr>
        <w:t>n</w:t>
      </w:r>
      <w:r w:rsidR="001B6AD6" w:rsidRPr="00644ED5">
        <w:rPr>
          <w:rFonts w:ascii="Book Antiqua" w:hAnsi="Book Antiqua" w:cs="Arial" w:hint="eastAsia"/>
          <w:lang w:eastAsia="zh-CN"/>
        </w:rPr>
        <w:t xml:space="preserve"> </w:t>
      </w:r>
      <w:r w:rsidR="00E77AC9" w:rsidRPr="00644ED5">
        <w:rPr>
          <w:rFonts w:ascii="Book Antiqua" w:hAnsi="Book Antiqua" w:cs="Arial"/>
        </w:rPr>
        <w:t>=</w:t>
      </w:r>
      <w:r w:rsidR="001B6AD6" w:rsidRPr="00644ED5">
        <w:rPr>
          <w:rFonts w:ascii="Book Antiqua" w:hAnsi="Book Antiqua" w:cs="Arial" w:hint="eastAsia"/>
          <w:lang w:eastAsia="zh-CN"/>
        </w:rPr>
        <w:t xml:space="preserve"> </w:t>
      </w:r>
      <w:r w:rsidR="00E77AC9" w:rsidRPr="00644ED5">
        <w:rPr>
          <w:rFonts w:ascii="Book Antiqua" w:hAnsi="Book Antiqua" w:cs="Arial"/>
        </w:rPr>
        <w:t xml:space="preserve">322), finding significant improvements in minimal HE in the lactulose group (47.5%) </w:t>
      </w:r>
      <w:r w:rsidR="00E77AC9" w:rsidRPr="00644ED5">
        <w:rPr>
          <w:rFonts w:ascii="Book Antiqua" w:hAnsi="Book Antiqua" w:cs="Arial"/>
        </w:rPr>
        <w:lastRenderedPageBreak/>
        <w:t xml:space="preserve">compared to the no intervention group (10%, </w:t>
      </w:r>
      <w:r w:rsidR="001B6AD6" w:rsidRPr="00644ED5">
        <w:rPr>
          <w:rFonts w:ascii="Book Antiqua" w:hAnsi="Book Antiqua" w:cs="Arial"/>
          <w:i/>
        </w:rPr>
        <w:t>P</w:t>
      </w:r>
      <w:r w:rsidR="001B6AD6" w:rsidRPr="00644ED5">
        <w:rPr>
          <w:rFonts w:ascii="Book Antiqua" w:hAnsi="Book Antiqua" w:cs="Arial"/>
        </w:rPr>
        <w:t xml:space="preserve"> </w:t>
      </w:r>
      <w:r w:rsidR="00E77AC9" w:rsidRPr="00644ED5">
        <w:rPr>
          <w:rFonts w:ascii="Book Antiqua" w:hAnsi="Book Antiqua" w:cs="Arial"/>
        </w:rPr>
        <w:t>=</w:t>
      </w:r>
      <w:r w:rsidR="001B6AD6" w:rsidRPr="00644ED5">
        <w:rPr>
          <w:rFonts w:ascii="Book Antiqua" w:hAnsi="Book Antiqua" w:cs="Arial" w:hint="eastAsia"/>
          <w:lang w:eastAsia="zh-CN"/>
        </w:rPr>
        <w:t xml:space="preserve"> </w:t>
      </w:r>
      <w:r w:rsidR="00E77AC9" w:rsidRPr="00644ED5">
        <w:rPr>
          <w:rFonts w:ascii="Book Antiqua" w:hAnsi="Book Antiqua" w:cs="Arial"/>
        </w:rPr>
        <w:t>0.006) as well as significant reductions in arterial ammonia levels (-</w:t>
      </w:r>
      <w:r w:rsidR="001B6AD6" w:rsidRPr="00644ED5">
        <w:rPr>
          <w:rFonts w:ascii="Book Antiqua" w:hAnsi="Book Antiqua" w:cs="Arial" w:hint="eastAsia"/>
          <w:lang w:eastAsia="zh-CN"/>
        </w:rPr>
        <w:t xml:space="preserve"> </w:t>
      </w:r>
      <w:r w:rsidR="00E77AC9" w:rsidRPr="00644ED5">
        <w:rPr>
          <w:rFonts w:ascii="Book Antiqua" w:hAnsi="Book Antiqua" w:cs="Arial"/>
        </w:rPr>
        <w:t xml:space="preserve">8.57 </w:t>
      </w:r>
      <w:r w:rsidR="00E77AC9" w:rsidRPr="00644ED5">
        <w:rPr>
          <w:rFonts w:ascii="Book Antiqua" w:hAnsi="Book Antiqua" w:cs="Arial"/>
          <w:i/>
        </w:rPr>
        <w:t>vs</w:t>
      </w:r>
      <w:r w:rsidR="00E77AC9" w:rsidRPr="00644ED5">
        <w:rPr>
          <w:rFonts w:ascii="Book Antiqua" w:hAnsi="Book Antiqua" w:cs="Arial"/>
        </w:rPr>
        <w:t xml:space="preserve"> -</w:t>
      </w:r>
      <w:r w:rsidR="001B6AD6" w:rsidRPr="00644ED5">
        <w:rPr>
          <w:rFonts w:ascii="Book Antiqua" w:hAnsi="Book Antiqua" w:cs="Arial" w:hint="eastAsia"/>
          <w:lang w:eastAsia="zh-CN"/>
        </w:rPr>
        <w:t xml:space="preserve"> </w:t>
      </w:r>
      <w:r w:rsidR="00E77AC9" w:rsidRPr="00644ED5">
        <w:rPr>
          <w:rFonts w:ascii="Book Antiqua" w:hAnsi="Book Antiqua" w:cs="Arial"/>
        </w:rPr>
        <w:t xml:space="preserve">0.52, </w:t>
      </w:r>
      <w:r w:rsidR="001B6AD6" w:rsidRPr="00644ED5">
        <w:rPr>
          <w:rFonts w:ascii="Book Antiqua" w:hAnsi="Book Antiqua" w:cs="Arial"/>
          <w:i/>
        </w:rPr>
        <w:t>P</w:t>
      </w:r>
      <w:r w:rsidR="001B6AD6" w:rsidRPr="00644ED5">
        <w:rPr>
          <w:rFonts w:ascii="Book Antiqua" w:hAnsi="Book Antiqua" w:cs="Arial"/>
        </w:rPr>
        <w:t xml:space="preserve"> </w:t>
      </w:r>
      <w:r w:rsidR="00E77AC9" w:rsidRPr="00644ED5">
        <w:rPr>
          <w:rFonts w:ascii="Book Antiqua" w:hAnsi="Book Antiqua" w:cs="Arial"/>
        </w:rPr>
        <w:t>=</w:t>
      </w:r>
      <w:r w:rsidR="001B6AD6" w:rsidRPr="00644ED5">
        <w:rPr>
          <w:rFonts w:ascii="Book Antiqua" w:hAnsi="Book Antiqua" w:cs="Arial" w:hint="eastAsia"/>
          <w:lang w:eastAsia="zh-CN"/>
        </w:rPr>
        <w:t xml:space="preserve"> </w:t>
      </w:r>
      <w:r w:rsidR="00E77AC9" w:rsidRPr="00644ED5">
        <w:rPr>
          <w:rFonts w:ascii="Book Antiqua" w:hAnsi="Book Antiqua" w:cs="Arial"/>
        </w:rPr>
        <w:t xml:space="preserve">0.0001). </w:t>
      </w:r>
      <w:r w:rsidR="00A11BEA" w:rsidRPr="00644ED5">
        <w:rPr>
          <w:rFonts w:ascii="Book Antiqua" w:hAnsi="Book Antiqua" w:cs="Arial"/>
        </w:rPr>
        <w:t>Incorporating the new evidence generated after 2004</w:t>
      </w:r>
      <w:r w:rsidR="00B9218C" w:rsidRPr="00644ED5">
        <w:rPr>
          <w:rFonts w:ascii="Book Antiqua" w:hAnsi="Book Antiqua" w:cs="Arial"/>
        </w:rPr>
        <w:t xml:space="preserve">, </w:t>
      </w:r>
      <w:r w:rsidR="00263865" w:rsidRPr="00644ED5">
        <w:rPr>
          <w:rFonts w:ascii="Book Antiqua" w:hAnsi="Book Antiqua" w:cs="Arial"/>
        </w:rPr>
        <w:t>a</w:t>
      </w:r>
      <w:r w:rsidR="00957847" w:rsidRPr="00644ED5">
        <w:rPr>
          <w:rFonts w:ascii="Book Antiqua" w:hAnsi="Book Antiqua" w:cs="Arial"/>
        </w:rPr>
        <w:t xml:space="preserve"> recent Cochrane review </w:t>
      </w:r>
      <w:r w:rsidR="002C534D" w:rsidRPr="00644ED5">
        <w:rPr>
          <w:rFonts w:ascii="Book Antiqua" w:hAnsi="Book Antiqua" w:cs="Arial"/>
        </w:rPr>
        <w:t xml:space="preserve">including </w:t>
      </w:r>
      <w:r w:rsidR="00957847" w:rsidRPr="00644ED5">
        <w:rPr>
          <w:rFonts w:ascii="Book Antiqua" w:hAnsi="Book Antiqua" w:cs="Arial"/>
        </w:rPr>
        <w:t>38 RCTs and 1828 patients</w:t>
      </w:r>
      <w:r w:rsidR="00263865" w:rsidRPr="00644ED5">
        <w:rPr>
          <w:rFonts w:ascii="Book Antiqua" w:hAnsi="Book Antiqua" w:cs="Arial"/>
        </w:rPr>
        <w:t xml:space="preserve"> found </w:t>
      </w:r>
      <w:r w:rsidR="0054512A" w:rsidRPr="00644ED5">
        <w:rPr>
          <w:rFonts w:ascii="Book Antiqua" w:hAnsi="Book Antiqua" w:cs="Arial"/>
        </w:rPr>
        <w:t xml:space="preserve">moderate quality evidence for </w:t>
      </w:r>
      <w:r w:rsidR="00263865" w:rsidRPr="00644ED5">
        <w:rPr>
          <w:rFonts w:ascii="Book Antiqua" w:hAnsi="Book Antiqua" w:cs="Arial"/>
        </w:rPr>
        <w:t>beneficial effects of non-absorbable disaccharides on mortality (</w:t>
      </w:r>
      <w:r w:rsidR="009A3EF3" w:rsidRPr="00644ED5">
        <w:rPr>
          <w:rFonts w:ascii="Book Antiqua" w:hAnsi="Book Antiqua" w:cs="Arial"/>
        </w:rPr>
        <w:t>RR 0.59,</w:t>
      </w:r>
      <w:r w:rsidR="002E7F8C" w:rsidRPr="00644ED5">
        <w:rPr>
          <w:rFonts w:ascii="Book Antiqua" w:hAnsi="Book Antiqua" w:cs="Arial"/>
        </w:rPr>
        <w:t xml:space="preserve"> 95%</w:t>
      </w:r>
      <w:r w:rsidR="001B6AD6" w:rsidRPr="00644ED5">
        <w:rPr>
          <w:rFonts w:ascii="Book Antiqua" w:hAnsi="Book Antiqua" w:cs="Arial"/>
        </w:rPr>
        <w:t xml:space="preserve"> CI 0.40</w:t>
      </w:r>
      <w:r w:rsidR="001B6AD6" w:rsidRPr="00644ED5">
        <w:rPr>
          <w:rFonts w:ascii="Book Antiqua" w:hAnsi="Book Antiqua" w:cs="Arial" w:hint="eastAsia"/>
          <w:lang w:eastAsia="zh-CN"/>
        </w:rPr>
        <w:t>-</w:t>
      </w:r>
      <w:r w:rsidR="009A3EF3" w:rsidRPr="00644ED5">
        <w:rPr>
          <w:rFonts w:ascii="Book Antiqua" w:hAnsi="Book Antiqua" w:cs="Arial"/>
        </w:rPr>
        <w:t xml:space="preserve">0.87), </w:t>
      </w:r>
      <w:r w:rsidR="00B6640C" w:rsidRPr="00644ED5">
        <w:rPr>
          <w:rFonts w:ascii="Book Antiqua" w:hAnsi="Book Antiqua" w:cs="Arial"/>
        </w:rPr>
        <w:t>HE</w:t>
      </w:r>
      <w:r w:rsidR="009A3EF3" w:rsidRPr="00644ED5">
        <w:rPr>
          <w:rFonts w:ascii="Book Antiqua" w:hAnsi="Book Antiqua" w:cs="Arial"/>
        </w:rPr>
        <w:t xml:space="preserve"> (RR 0.58, </w:t>
      </w:r>
      <w:r w:rsidR="002E7F8C" w:rsidRPr="00644ED5">
        <w:rPr>
          <w:rFonts w:ascii="Book Antiqua" w:hAnsi="Book Antiqua" w:cs="Arial"/>
        </w:rPr>
        <w:t xml:space="preserve">95% </w:t>
      </w:r>
      <w:r w:rsidR="001B6AD6" w:rsidRPr="00644ED5">
        <w:rPr>
          <w:rFonts w:ascii="Book Antiqua" w:hAnsi="Book Antiqua" w:cs="Arial"/>
        </w:rPr>
        <w:t>CI 0.50</w:t>
      </w:r>
      <w:r w:rsidR="001B6AD6" w:rsidRPr="00644ED5">
        <w:rPr>
          <w:rFonts w:ascii="Book Antiqua" w:hAnsi="Book Antiqua" w:cs="Arial" w:hint="eastAsia"/>
          <w:lang w:eastAsia="zh-CN"/>
        </w:rPr>
        <w:t>-</w:t>
      </w:r>
      <w:r w:rsidR="009A3EF3" w:rsidRPr="00644ED5">
        <w:rPr>
          <w:rFonts w:ascii="Book Antiqua" w:hAnsi="Book Antiqua" w:cs="Arial"/>
        </w:rPr>
        <w:t xml:space="preserve">0.69), and other complications of cirrhosis such as liver failure, variceal haemorrhage and </w:t>
      </w:r>
      <w:r w:rsidR="00F46243" w:rsidRPr="00644ED5">
        <w:rPr>
          <w:rFonts w:ascii="Book Antiqua" w:hAnsi="Book Antiqua" w:cs="Arial" w:hint="eastAsia"/>
          <w:lang w:eastAsia="zh-CN"/>
        </w:rPr>
        <w:t>HRS</w:t>
      </w:r>
      <w:r w:rsidR="009A3EF3" w:rsidRPr="00644ED5">
        <w:rPr>
          <w:rFonts w:ascii="Book Antiqua" w:hAnsi="Book Antiqua" w:cs="Arial"/>
        </w:rPr>
        <w:t xml:space="preserve"> (RR 0.47,</w:t>
      </w:r>
      <w:r w:rsidR="002E7F8C" w:rsidRPr="00644ED5">
        <w:rPr>
          <w:rFonts w:ascii="Book Antiqua" w:hAnsi="Book Antiqua" w:cs="Arial"/>
        </w:rPr>
        <w:t xml:space="preserve">95% </w:t>
      </w:r>
      <w:r w:rsidR="001B6AD6" w:rsidRPr="00644ED5">
        <w:rPr>
          <w:rFonts w:ascii="Book Antiqua" w:hAnsi="Book Antiqua" w:cs="Arial"/>
        </w:rPr>
        <w:t>CI 0.36</w:t>
      </w:r>
      <w:r w:rsidR="001B6AD6" w:rsidRPr="00644ED5">
        <w:rPr>
          <w:rFonts w:ascii="Book Antiqua" w:hAnsi="Book Antiqua" w:cs="Arial" w:hint="eastAsia"/>
          <w:lang w:eastAsia="zh-CN"/>
        </w:rPr>
        <w:t>-</w:t>
      </w:r>
      <w:r w:rsidR="005E3BAB" w:rsidRPr="00644ED5">
        <w:rPr>
          <w:rFonts w:ascii="Book Antiqua" w:hAnsi="Book Antiqua" w:cs="Arial"/>
        </w:rPr>
        <w:t>0.60)</w:t>
      </w:r>
      <w:r w:rsidR="00B9218C" w:rsidRPr="00644ED5">
        <w:rPr>
          <w:rFonts w:ascii="Book Antiqua" w:hAnsi="Book Antiqua" w:cs="Arial"/>
        </w:rPr>
        <w:t>, when compared to placebo or no intervention</w:t>
      </w:r>
      <w:r w:rsidR="00BA0FDC" w:rsidRPr="00644ED5">
        <w:rPr>
          <w:rFonts w:ascii="Book Antiqua" w:hAnsi="Book Antiqua" w:cs="Arial"/>
          <w:vertAlign w:val="superscript"/>
        </w:rPr>
        <w:t>[52]</w:t>
      </w:r>
      <w:r w:rsidR="005E3BAB" w:rsidRPr="00644ED5">
        <w:rPr>
          <w:rFonts w:ascii="Book Antiqua" w:hAnsi="Book Antiqua" w:cs="Arial"/>
        </w:rPr>
        <w:t xml:space="preserve">. </w:t>
      </w:r>
      <w:r w:rsidR="00DC77F3" w:rsidRPr="00644ED5">
        <w:rPr>
          <w:rFonts w:ascii="Book Antiqua" w:hAnsi="Book Antiqua" w:cs="Arial"/>
        </w:rPr>
        <w:t>In view of the current evidence</w:t>
      </w:r>
      <w:r w:rsidR="0054512A" w:rsidRPr="00644ED5">
        <w:rPr>
          <w:rFonts w:ascii="Book Antiqua" w:hAnsi="Book Antiqua" w:cs="Arial"/>
        </w:rPr>
        <w:t>-base for non-absorbable disaccharides</w:t>
      </w:r>
      <w:r w:rsidR="00DC77F3" w:rsidRPr="00644ED5">
        <w:rPr>
          <w:rFonts w:ascii="Book Antiqua" w:hAnsi="Book Antiqua" w:cs="Arial"/>
        </w:rPr>
        <w:t xml:space="preserve">, </w:t>
      </w:r>
      <w:r w:rsidR="006F55D7" w:rsidRPr="00644ED5">
        <w:rPr>
          <w:rFonts w:ascii="Book Antiqua" w:hAnsi="Book Antiqua" w:cs="Arial"/>
        </w:rPr>
        <w:t>EASL</w:t>
      </w:r>
      <w:r w:rsidR="006D056A" w:rsidRPr="00644ED5">
        <w:rPr>
          <w:rFonts w:ascii="Book Antiqua" w:hAnsi="Book Antiqua" w:cs="Arial"/>
        </w:rPr>
        <w:t xml:space="preserve"> and AASLD recommend</w:t>
      </w:r>
      <w:r w:rsidR="00DC77F3" w:rsidRPr="00644ED5">
        <w:rPr>
          <w:rFonts w:ascii="Book Antiqua" w:hAnsi="Book Antiqua" w:cs="Arial"/>
        </w:rPr>
        <w:t xml:space="preserve"> lactulose as the first-choice agent for the treatment of </w:t>
      </w:r>
      <w:r w:rsidR="006D056A" w:rsidRPr="00644ED5">
        <w:rPr>
          <w:rFonts w:ascii="Book Antiqua" w:hAnsi="Book Antiqua" w:cs="Arial"/>
        </w:rPr>
        <w:t xml:space="preserve">episodic </w:t>
      </w:r>
      <w:r w:rsidR="00DC77F3" w:rsidRPr="00644ED5">
        <w:rPr>
          <w:rFonts w:ascii="Book Antiqua" w:hAnsi="Book Antiqua" w:cs="Arial"/>
        </w:rPr>
        <w:t>overt HE and prevention of recurrent HE</w:t>
      </w:r>
      <w:r w:rsidR="00BA0FDC" w:rsidRPr="00644ED5">
        <w:rPr>
          <w:rFonts w:ascii="Book Antiqua" w:hAnsi="Book Antiqua" w:cs="Arial"/>
          <w:vertAlign w:val="superscript"/>
        </w:rPr>
        <w:t>[59]</w:t>
      </w:r>
      <w:r w:rsidR="00DC77F3" w:rsidRPr="00644ED5">
        <w:rPr>
          <w:rFonts w:ascii="Book Antiqua" w:hAnsi="Book Antiqua" w:cs="Arial"/>
        </w:rPr>
        <w:t>.</w:t>
      </w:r>
      <w:bookmarkStart w:id="41" w:name="_Toc497668315"/>
    </w:p>
    <w:p w14:paraId="29E509CF" w14:textId="77777777" w:rsidR="001B6AD6" w:rsidRPr="00644ED5" w:rsidRDefault="001B6AD6" w:rsidP="001B6AD6">
      <w:pPr>
        <w:spacing w:line="360" w:lineRule="auto"/>
        <w:rPr>
          <w:rFonts w:ascii="Book Antiqua" w:hAnsi="Book Antiqua" w:cs="Arial"/>
          <w:lang w:eastAsia="zh-CN"/>
        </w:rPr>
      </w:pPr>
    </w:p>
    <w:p w14:paraId="0C626D91" w14:textId="621AB343" w:rsidR="001B6AD6" w:rsidRPr="00644ED5" w:rsidRDefault="00AE20E2" w:rsidP="001B6AD6">
      <w:pPr>
        <w:spacing w:line="360" w:lineRule="auto"/>
        <w:rPr>
          <w:rFonts w:ascii="Book Antiqua" w:hAnsi="Book Antiqua" w:cs="Arial"/>
          <w:lang w:eastAsia="zh-CN"/>
        </w:rPr>
      </w:pPr>
      <w:r w:rsidRPr="00644ED5">
        <w:rPr>
          <w:rFonts w:ascii="Book Antiqua" w:hAnsi="Book Antiqua"/>
          <w:b/>
        </w:rPr>
        <w:t>Rifaximin</w:t>
      </w:r>
      <w:bookmarkEnd w:id="41"/>
      <w:r w:rsidR="001B6AD6" w:rsidRPr="00644ED5">
        <w:rPr>
          <w:rFonts w:ascii="Book Antiqua" w:hAnsi="Book Antiqua" w:hint="eastAsia"/>
          <w:b/>
          <w:lang w:eastAsia="zh-CN"/>
        </w:rPr>
        <w:t xml:space="preserve">: </w:t>
      </w:r>
      <w:r w:rsidR="0054512A" w:rsidRPr="00644ED5">
        <w:rPr>
          <w:rFonts w:ascii="Book Antiqua" w:hAnsi="Book Antiqua" w:cs="Arial"/>
        </w:rPr>
        <w:t>As described above, t</w:t>
      </w:r>
      <w:r w:rsidR="00F53374" w:rsidRPr="00644ED5">
        <w:rPr>
          <w:rFonts w:ascii="Book Antiqua" w:hAnsi="Book Antiqua" w:cs="Arial"/>
        </w:rPr>
        <w:t xml:space="preserve">he cathartic and ammonia-lowering effects of the non-absorbable disaccharide lactulose have been the cornerstone for treating acute, overt HE and maintaining remission in recurrent HE for </w:t>
      </w:r>
      <w:r w:rsidR="0054512A" w:rsidRPr="00644ED5">
        <w:rPr>
          <w:rFonts w:ascii="Book Antiqua" w:hAnsi="Book Antiqua" w:cs="Arial"/>
        </w:rPr>
        <w:t>decades</w:t>
      </w:r>
      <w:r w:rsidR="00BA0FDC" w:rsidRPr="00644ED5">
        <w:rPr>
          <w:rFonts w:ascii="Book Antiqua" w:hAnsi="Book Antiqua" w:cs="Arial"/>
          <w:vertAlign w:val="superscript"/>
        </w:rPr>
        <w:t>[60,61]</w:t>
      </w:r>
      <w:r w:rsidR="00F53374" w:rsidRPr="00644ED5">
        <w:rPr>
          <w:rFonts w:ascii="Book Antiqua" w:hAnsi="Book Antiqua" w:cs="Arial"/>
        </w:rPr>
        <w:t>.</w:t>
      </w:r>
      <w:r w:rsidR="00B17417" w:rsidRPr="00644ED5">
        <w:rPr>
          <w:rFonts w:ascii="Book Antiqua" w:hAnsi="Book Antiqua" w:cs="Arial"/>
        </w:rPr>
        <w:t xml:space="preserve"> However, its long-term </w:t>
      </w:r>
      <w:r w:rsidR="003852A6" w:rsidRPr="00644ED5">
        <w:rPr>
          <w:rFonts w:ascii="Book Antiqua" w:hAnsi="Book Antiqua" w:cs="Arial"/>
        </w:rPr>
        <w:t>therapeutic value</w:t>
      </w:r>
      <w:r w:rsidR="00B17417" w:rsidRPr="00644ED5">
        <w:rPr>
          <w:rFonts w:ascii="Book Antiqua" w:hAnsi="Book Antiqua" w:cs="Arial"/>
        </w:rPr>
        <w:t xml:space="preserve"> has been limited as a consequence of treatment non-adherence due </w:t>
      </w:r>
      <w:r w:rsidR="0054512A" w:rsidRPr="00644ED5">
        <w:rPr>
          <w:rFonts w:ascii="Book Antiqua" w:hAnsi="Book Antiqua" w:cs="Arial"/>
        </w:rPr>
        <w:t xml:space="preserve">to </w:t>
      </w:r>
      <w:r w:rsidR="003852A6" w:rsidRPr="00644ED5">
        <w:rPr>
          <w:rFonts w:ascii="Book Antiqua" w:hAnsi="Book Antiqua" w:cs="Arial"/>
        </w:rPr>
        <w:t>its numerous, unpleasant side effects</w:t>
      </w:r>
      <w:r w:rsidR="00BA0FDC" w:rsidRPr="00644ED5">
        <w:rPr>
          <w:rFonts w:ascii="Book Antiqua" w:hAnsi="Book Antiqua" w:cs="Arial"/>
          <w:vertAlign w:val="superscript"/>
        </w:rPr>
        <w:t>[62]</w:t>
      </w:r>
      <w:r w:rsidR="003852A6" w:rsidRPr="00644ED5">
        <w:rPr>
          <w:rFonts w:ascii="Book Antiqua" w:hAnsi="Book Antiqua" w:cs="Arial"/>
        </w:rPr>
        <w:t>.</w:t>
      </w:r>
      <w:r w:rsidR="00B17417" w:rsidRPr="00644ED5">
        <w:rPr>
          <w:rFonts w:ascii="Book Antiqua" w:hAnsi="Book Antiqua" w:cs="Arial"/>
        </w:rPr>
        <w:t xml:space="preserve"> </w:t>
      </w:r>
      <w:r w:rsidR="00F53374" w:rsidRPr="00644ED5">
        <w:rPr>
          <w:rFonts w:ascii="Book Antiqua" w:hAnsi="Book Antiqua" w:cs="Arial"/>
        </w:rPr>
        <w:t xml:space="preserve">Lately, the semi-synthetic, non-absorbable antibiotic rifaximin surged in popularity as an alternative or additive to lactulose based on its gut-selective antimicrobial activity favouring non-pathogenic species </w:t>
      </w:r>
      <w:r w:rsidR="00777063" w:rsidRPr="00644ED5">
        <w:rPr>
          <w:rFonts w:ascii="Book Antiqua" w:hAnsi="Book Antiqua" w:cs="Arial"/>
        </w:rPr>
        <w:t>and its favourable safety</w:t>
      </w:r>
      <w:r w:rsidR="00781921" w:rsidRPr="00644ED5">
        <w:rPr>
          <w:rFonts w:ascii="Book Antiqua" w:hAnsi="Book Antiqua" w:cs="Arial"/>
        </w:rPr>
        <w:t xml:space="preserve"> and tolerability</w:t>
      </w:r>
      <w:r w:rsidR="00777063" w:rsidRPr="00644ED5">
        <w:rPr>
          <w:rFonts w:ascii="Book Antiqua" w:hAnsi="Book Antiqua" w:cs="Arial"/>
        </w:rPr>
        <w:t xml:space="preserve"> profile</w:t>
      </w:r>
      <w:r w:rsidR="00BA0FDC" w:rsidRPr="00644ED5">
        <w:rPr>
          <w:rFonts w:ascii="Book Antiqua" w:hAnsi="Book Antiqua" w:cs="Arial"/>
          <w:vertAlign w:val="superscript"/>
        </w:rPr>
        <w:t>[61]</w:t>
      </w:r>
      <w:r w:rsidR="00F53374" w:rsidRPr="00644ED5">
        <w:rPr>
          <w:rFonts w:ascii="Book Antiqua" w:hAnsi="Book Antiqua" w:cs="Arial"/>
        </w:rPr>
        <w:t>. A randomized, double-blinded trial in 103 patients found the impact of rifaximin on the portosystemic encephalopathy index to be superior to the effect of lactitol</w:t>
      </w:r>
      <w:r w:rsidR="00BA0FDC" w:rsidRPr="00644ED5">
        <w:rPr>
          <w:rFonts w:ascii="Book Antiqua" w:hAnsi="Book Antiqua" w:cs="Arial"/>
          <w:vertAlign w:val="superscript"/>
        </w:rPr>
        <w:t>[60,63]</w:t>
      </w:r>
      <w:r w:rsidR="00F53374" w:rsidRPr="00644ED5">
        <w:rPr>
          <w:rFonts w:ascii="Book Antiqua" w:hAnsi="Book Antiqua" w:cs="Arial"/>
        </w:rPr>
        <w:t xml:space="preserve">. A further placebo-controlled RCT by Bass </w:t>
      </w:r>
      <w:r w:rsidR="00F53374" w:rsidRPr="00644ED5">
        <w:rPr>
          <w:rFonts w:ascii="Book Antiqua" w:hAnsi="Book Antiqua" w:cs="Arial"/>
          <w:i/>
        </w:rPr>
        <w:t>et al</w:t>
      </w:r>
      <w:r w:rsidR="001B6AD6" w:rsidRPr="00644ED5">
        <w:rPr>
          <w:rFonts w:ascii="Book Antiqua" w:hAnsi="Book Antiqua" w:cs="Arial"/>
          <w:vertAlign w:val="superscript"/>
        </w:rPr>
        <w:t>[64]</w:t>
      </w:r>
      <w:r w:rsidR="00F53374" w:rsidRPr="00644ED5">
        <w:rPr>
          <w:rFonts w:ascii="Book Antiqua" w:hAnsi="Book Antiqua" w:cs="Arial"/>
        </w:rPr>
        <w:t xml:space="preserve"> established the safety and efficacy of rifaximin therapy in the maintenance of remission in 299 patients with recurrent HE</w:t>
      </w:r>
      <w:r w:rsidR="00777063" w:rsidRPr="00644ED5">
        <w:rPr>
          <w:rFonts w:ascii="Book Antiqua" w:hAnsi="Book Antiqua" w:cs="Arial"/>
        </w:rPr>
        <w:t xml:space="preserve"> over a follow-up period of 6 mo</w:t>
      </w:r>
      <w:r w:rsidR="003B2B7C" w:rsidRPr="00644ED5">
        <w:rPr>
          <w:rFonts w:ascii="Book Antiqua" w:hAnsi="Book Antiqua" w:cs="Arial"/>
        </w:rPr>
        <w:t xml:space="preserve">, finding that </w:t>
      </w:r>
      <w:r w:rsidR="000A2AD7" w:rsidRPr="00644ED5">
        <w:rPr>
          <w:rFonts w:ascii="Book Antiqua" w:hAnsi="Book Antiqua" w:cs="Arial"/>
        </w:rPr>
        <w:t xml:space="preserve">a lower proportion of patients receiving rifaximin experienced an overt episode of HE (22.1%) and </w:t>
      </w:r>
      <w:r w:rsidR="006F55D7" w:rsidRPr="00644ED5">
        <w:rPr>
          <w:rFonts w:ascii="Book Antiqua" w:hAnsi="Book Antiqua" w:cs="Arial"/>
        </w:rPr>
        <w:t>were hospitalised</w:t>
      </w:r>
      <w:r w:rsidR="000A2AD7" w:rsidRPr="00644ED5">
        <w:rPr>
          <w:rFonts w:ascii="Book Antiqua" w:hAnsi="Book Antiqua" w:cs="Arial"/>
        </w:rPr>
        <w:t xml:space="preserve"> with HE (13.6%) compared to patients receiving placebo (45.9% and 22.6%, respectively)</w:t>
      </w:r>
      <w:r w:rsidR="00BA0FDC" w:rsidRPr="00644ED5">
        <w:rPr>
          <w:rFonts w:ascii="Book Antiqua" w:hAnsi="Book Antiqua" w:cs="Arial"/>
          <w:vertAlign w:val="superscript"/>
        </w:rPr>
        <w:t>[60,64]</w:t>
      </w:r>
      <w:r w:rsidR="00F53374" w:rsidRPr="00644ED5">
        <w:rPr>
          <w:rFonts w:ascii="Book Antiqua" w:hAnsi="Book Antiqua" w:cs="Arial"/>
        </w:rPr>
        <w:t>.</w:t>
      </w:r>
      <w:r w:rsidR="00461526" w:rsidRPr="00644ED5">
        <w:rPr>
          <w:rFonts w:ascii="Book Antiqua" w:hAnsi="Book Antiqua" w:cs="Arial"/>
        </w:rPr>
        <w:t xml:space="preserve"> As a sequel to this trial, Mullen </w:t>
      </w:r>
      <w:r w:rsidR="00461526" w:rsidRPr="00644ED5">
        <w:rPr>
          <w:rFonts w:ascii="Book Antiqua" w:hAnsi="Book Antiqua" w:cs="Arial"/>
          <w:i/>
        </w:rPr>
        <w:t>et al</w:t>
      </w:r>
      <w:r w:rsidR="001B6AD6" w:rsidRPr="00644ED5">
        <w:rPr>
          <w:rFonts w:ascii="Book Antiqua" w:hAnsi="Book Antiqua" w:cs="Arial"/>
          <w:vertAlign w:val="superscript"/>
        </w:rPr>
        <w:t>[62]</w:t>
      </w:r>
      <w:r w:rsidR="00461526" w:rsidRPr="00644ED5">
        <w:rPr>
          <w:rFonts w:ascii="Book Antiqua" w:hAnsi="Book Antiqua" w:cs="Arial"/>
        </w:rPr>
        <w:t xml:space="preserve"> performed an open-label, 24-mo maintenance study in 326 patients to investigate the long-term safety profile and treatment effect durability of rifaximin, finding that long-term rifaximin administration achieves a persistent reduction in HE-related and all-cause hospitalisat</w:t>
      </w:r>
      <w:r w:rsidR="008B7605" w:rsidRPr="00644ED5">
        <w:rPr>
          <w:rFonts w:ascii="Book Antiqua" w:hAnsi="Book Antiqua" w:cs="Arial"/>
        </w:rPr>
        <w:t>ion without a corresponding</w:t>
      </w:r>
      <w:r w:rsidR="00461526" w:rsidRPr="00644ED5">
        <w:rPr>
          <w:rFonts w:ascii="Book Antiqua" w:hAnsi="Book Antiqua" w:cs="Arial"/>
        </w:rPr>
        <w:t xml:space="preserve"> </w:t>
      </w:r>
      <w:r w:rsidR="008B7605" w:rsidRPr="00644ED5">
        <w:rPr>
          <w:rFonts w:ascii="Book Antiqua" w:hAnsi="Book Antiqua" w:cs="Arial"/>
        </w:rPr>
        <w:t>i</w:t>
      </w:r>
      <w:r w:rsidR="00E0761E" w:rsidRPr="00644ED5">
        <w:rPr>
          <w:rFonts w:ascii="Book Antiqua" w:hAnsi="Book Antiqua" w:cs="Arial"/>
        </w:rPr>
        <w:t>ncrease in infection or antibiotic resistance rates</w:t>
      </w:r>
      <w:r w:rsidR="008B7605" w:rsidRPr="00644ED5">
        <w:rPr>
          <w:rFonts w:ascii="Book Antiqua" w:hAnsi="Book Antiqua" w:cs="Arial"/>
        </w:rPr>
        <w:t>.</w:t>
      </w:r>
      <w:r w:rsidR="00F53374" w:rsidRPr="00644ED5">
        <w:rPr>
          <w:rFonts w:ascii="Book Antiqua" w:hAnsi="Book Antiqua" w:cs="Arial"/>
        </w:rPr>
        <w:t xml:space="preserve"> A meta-analysis of </w:t>
      </w:r>
      <w:r w:rsidR="00F53374" w:rsidRPr="00644ED5">
        <w:rPr>
          <w:rFonts w:ascii="Book Antiqua" w:hAnsi="Book Antiqua" w:cs="Arial"/>
        </w:rPr>
        <w:lastRenderedPageBreak/>
        <w:t>21 RCTs and 2258 patients demonstrated that rifaximin reduced mortality in overt HE, but not minimal HE, when compared to placebo, and had no effect on mortality when compared to non-absorbable disaccharides.</w:t>
      </w:r>
      <w:r w:rsidR="00DC5827" w:rsidRPr="00644ED5">
        <w:rPr>
          <w:rFonts w:ascii="Book Antiqua" w:hAnsi="Book Antiqua" w:cs="Arial"/>
        </w:rPr>
        <w:t xml:space="preserve"> In this study</w:t>
      </w:r>
      <w:r w:rsidR="00DB4973" w:rsidRPr="00644ED5">
        <w:rPr>
          <w:rFonts w:ascii="Book Antiqua" w:hAnsi="Book Antiqua" w:cs="Arial"/>
        </w:rPr>
        <w:t>,</w:t>
      </w:r>
      <w:r w:rsidR="00DC5827" w:rsidRPr="00644ED5">
        <w:rPr>
          <w:rFonts w:ascii="Book Antiqua" w:hAnsi="Book Antiqua" w:cs="Arial"/>
        </w:rPr>
        <w:t xml:space="preserve"> rifaximin also decreased the risk of serious adverse events and had a potential beneficial effect on quality of life</w:t>
      </w:r>
      <w:r w:rsidR="00BA0FDC" w:rsidRPr="00644ED5">
        <w:rPr>
          <w:rFonts w:ascii="Book Antiqua" w:hAnsi="Book Antiqua" w:cs="Arial"/>
          <w:vertAlign w:val="superscript"/>
        </w:rPr>
        <w:t>[65]</w:t>
      </w:r>
      <w:r w:rsidR="00DC5827" w:rsidRPr="00644ED5">
        <w:rPr>
          <w:rFonts w:ascii="Book Antiqua" w:hAnsi="Book Antiqua" w:cs="Arial"/>
        </w:rPr>
        <w:t xml:space="preserve">. </w:t>
      </w:r>
      <w:r w:rsidR="00F53374" w:rsidRPr="00644ED5">
        <w:rPr>
          <w:rFonts w:ascii="Book Antiqua" w:hAnsi="Book Antiqua" w:cs="Arial"/>
        </w:rPr>
        <w:t>However, the evidence analysed in this meta-analysis was of low-to-moderate quality</w:t>
      </w:r>
      <w:r w:rsidR="00BA0FDC" w:rsidRPr="00644ED5">
        <w:rPr>
          <w:rFonts w:ascii="Book Antiqua" w:hAnsi="Book Antiqua" w:cs="Arial"/>
          <w:vertAlign w:val="superscript"/>
        </w:rPr>
        <w:t>[65]</w:t>
      </w:r>
      <w:r w:rsidR="00F53374" w:rsidRPr="00644ED5">
        <w:rPr>
          <w:rFonts w:ascii="Book Antiqua" w:hAnsi="Book Antiqua" w:cs="Arial"/>
        </w:rPr>
        <w:t xml:space="preserve">. </w:t>
      </w:r>
      <w:r w:rsidR="00685F77" w:rsidRPr="00644ED5">
        <w:rPr>
          <w:rFonts w:ascii="Book Antiqua" w:hAnsi="Book Antiqua" w:cs="Arial"/>
        </w:rPr>
        <w:t>A</w:t>
      </w:r>
      <w:r w:rsidR="008B7605" w:rsidRPr="00644ED5">
        <w:rPr>
          <w:rFonts w:ascii="Book Antiqua" w:hAnsi="Book Antiqua" w:cs="Arial"/>
        </w:rPr>
        <w:t xml:space="preserve">nother </w:t>
      </w:r>
      <w:r w:rsidR="00F41C91" w:rsidRPr="00644ED5">
        <w:rPr>
          <w:rFonts w:ascii="Book Antiqua" w:hAnsi="Book Antiqua" w:cs="Arial"/>
        </w:rPr>
        <w:t xml:space="preserve">meta-analysis by </w:t>
      </w:r>
      <w:r w:rsidR="00D57E9E" w:rsidRPr="00644ED5">
        <w:rPr>
          <w:rFonts w:ascii="Book Antiqua" w:hAnsi="Book Antiqua" w:cs="Arial"/>
        </w:rPr>
        <w:t>Wu</w:t>
      </w:r>
      <w:r w:rsidR="00685F77" w:rsidRPr="00644ED5">
        <w:rPr>
          <w:rFonts w:ascii="Book Antiqua" w:hAnsi="Book Antiqua" w:cs="Arial"/>
        </w:rPr>
        <w:t xml:space="preserve"> </w:t>
      </w:r>
      <w:r w:rsidR="00685F77" w:rsidRPr="00644ED5">
        <w:rPr>
          <w:rFonts w:ascii="Book Antiqua" w:hAnsi="Book Antiqua" w:cs="Arial"/>
          <w:i/>
        </w:rPr>
        <w:t>et al</w:t>
      </w:r>
      <w:r w:rsidR="001B6AD6" w:rsidRPr="00644ED5">
        <w:rPr>
          <w:rFonts w:ascii="Book Antiqua" w:hAnsi="Book Antiqua" w:cs="Arial"/>
          <w:vertAlign w:val="superscript"/>
        </w:rPr>
        <w:t>[66]</w:t>
      </w:r>
      <w:r w:rsidR="00685F77" w:rsidRPr="00644ED5">
        <w:rPr>
          <w:rFonts w:ascii="Book Antiqua" w:hAnsi="Book Antiqua" w:cs="Arial"/>
        </w:rPr>
        <w:t xml:space="preserve"> </w:t>
      </w:r>
      <w:r w:rsidR="00C550EC" w:rsidRPr="00644ED5">
        <w:rPr>
          <w:rFonts w:ascii="Book Antiqua" w:hAnsi="Book Antiqua" w:cs="Arial"/>
        </w:rPr>
        <w:t>incorporating 8 RCTs</w:t>
      </w:r>
      <w:r w:rsidR="00685F77" w:rsidRPr="00644ED5">
        <w:rPr>
          <w:rFonts w:ascii="Book Antiqua" w:hAnsi="Book Antiqua" w:cs="Arial"/>
        </w:rPr>
        <w:t xml:space="preserve"> </w:t>
      </w:r>
      <w:r w:rsidR="00C550EC" w:rsidRPr="00644ED5">
        <w:rPr>
          <w:rFonts w:ascii="Book Antiqua" w:hAnsi="Book Antiqua" w:cs="Arial"/>
        </w:rPr>
        <w:t>outlined that there was no significant difference in the efficacy of preventing and treating HE between rifaximin and lactulose, but that rifaximin therapy was correlate</w:t>
      </w:r>
      <w:r w:rsidR="008B0AB0" w:rsidRPr="00644ED5">
        <w:rPr>
          <w:rFonts w:ascii="Book Antiqua" w:hAnsi="Book Antiqua" w:cs="Arial"/>
        </w:rPr>
        <w:t>d with less adverse events</w:t>
      </w:r>
      <w:r w:rsidR="00C550EC" w:rsidRPr="00644ED5">
        <w:rPr>
          <w:rFonts w:ascii="Book Antiqua" w:hAnsi="Book Antiqua" w:cs="Arial"/>
        </w:rPr>
        <w:t xml:space="preserve">. </w:t>
      </w:r>
      <w:r w:rsidR="00D46EAF" w:rsidRPr="00644ED5">
        <w:rPr>
          <w:rFonts w:ascii="Book Antiqua" w:hAnsi="Book Antiqua" w:cs="Arial"/>
        </w:rPr>
        <w:t xml:space="preserve">A recent retrospective analysis of 1042 patients with HE by Kang </w:t>
      </w:r>
      <w:r w:rsidR="00D46EAF" w:rsidRPr="00644ED5">
        <w:rPr>
          <w:rFonts w:ascii="Book Antiqua" w:hAnsi="Book Antiqua" w:cs="Arial"/>
          <w:i/>
        </w:rPr>
        <w:t>et al</w:t>
      </w:r>
      <w:r w:rsidR="001B6AD6" w:rsidRPr="00644ED5">
        <w:rPr>
          <w:rFonts w:ascii="Book Antiqua" w:hAnsi="Book Antiqua" w:cs="Arial"/>
          <w:vertAlign w:val="superscript"/>
        </w:rPr>
        <w:t>[67]</w:t>
      </w:r>
      <w:r w:rsidR="00D46EAF" w:rsidRPr="00644ED5">
        <w:rPr>
          <w:rFonts w:ascii="Book Antiqua" w:hAnsi="Book Antiqua" w:cs="Arial"/>
        </w:rPr>
        <w:t xml:space="preserve"> correlated rifaximin-lactulose combination therapy with significantly improved mortality (HR 0.67, </w:t>
      </w:r>
      <w:r w:rsidR="001B6AD6" w:rsidRPr="00644ED5">
        <w:rPr>
          <w:rFonts w:ascii="Book Antiqua" w:hAnsi="Book Antiqua" w:cs="Arial"/>
          <w:i/>
        </w:rPr>
        <w:t>P</w:t>
      </w:r>
      <w:r w:rsidR="001B6AD6" w:rsidRPr="00644ED5">
        <w:rPr>
          <w:rFonts w:ascii="Book Antiqua" w:hAnsi="Book Antiqua" w:cs="Arial" w:hint="eastAsia"/>
          <w:lang w:eastAsia="zh-CN"/>
        </w:rPr>
        <w:t xml:space="preserve"> </w:t>
      </w:r>
      <w:r w:rsidR="00D46EAF" w:rsidRPr="00644ED5">
        <w:rPr>
          <w:rFonts w:ascii="Book Antiqua" w:hAnsi="Book Antiqua" w:cs="Arial"/>
        </w:rPr>
        <w:t>=</w:t>
      </w:r>
      <w:r w:rsidR="001B6AD6" w:rsidRPr="00644ED5">
        <w:rPr>
          <w:rFonts w:ascii="Book Antiqua" w:hAnsi="Book Antiqua" w:cs="Arial" w:hint="eastAsia"/>
          <w:lang w:eastAsia="zh-CN"/>
        </w:rPr>
        <w:t xml:space="preserve"> </w:t>
      </w:r>
      <w:r w:rsidR="00D46EAF" w:rsidRPr="00644ED5">
        <w:rPr>
          <w:rFonts w:ascii="Book Antiqua" w:hAnsi="Book Antiqua" w:cs="Arial"/>
        </w:rPr>
        <w:t xml:space="preserve">0.024) and reduced risk of recurrent HE (HR 0.45, </w:t>
      </w:r>
      <w:r w:rsidR="001B6AD6" w:rsidRPr="00644ED5">
        <w:rPr>
          <w:rFonts w:ascii="Book Antiqua" w:hAnsi="Book Antiqua" w:cs="Arial"/>
          <w:i/>
        </w:rPr>
        <w:t>P</w:t>
      </w:r>
      <w:r w:rsidR="001B6AD6" w:rsidRPr="00644ED5">
        <w:rPr>
          <w:rFonts w:ascii="Book Antiqua" w:hAnsi="Book Antiqua" w:cs="Arial"/>
        </w:rPr>
        <w:t xml:space="preserve"> </w:t>
      </w:r>
      <w:r w:rsidR="00D46EAF" w:rsidRPr="00644ED5">
        <w:rPr>
          <w:rFonts w:ascii="Book Antiqua" w:hAnsi="Book Antiqua" w:cs="Arial"/>
        </w:rPr>
        <w:t>&lt;</w:t>
      </w:r>
      <w:r w:rsidR="001B6AD6" w:rsidRPr="00644ED5">
        <w:rPr>
          <w:rFonts w:ascii="Book Antiqua" w:hAnsi="Book Antiqua" w:cs="Arial" w:hint="eastAsia"/>
          <w:lang w:eastAsia="zh-CN"/>
        </w:rPr>
        <w:t xml:space="preserve"> </w:t>
      </w:r>
      <w:r w:rsidR="00D46EAF" w:rsidRPr="00644ED5">
        <w:rPr>
          <w:rFonts w:ascii="Book Antiqua" w:hAnsi="Book Antiqua" w:cs="Arial"/>
        </w:rPr>
        <w:t xml:space="preserve">0.001), variceal haemorrhage (HR 0.43, </w:t>
      </w:r>
      <w:r w:rsidR="001B6AD6" w:rsidRPr="00644ED5">
        <w:rPr>
          <w:rFonts w:ascii="Book Antiqua" w:hAnsi="Book Antiqua" w:cs="Arial"/>
          <w:i/>
        </w:rPr>
        <w:t>P</w:t>
      </w:r>
      <w:r w:rsidR="001B6AD6" w:rsidRPr="00644ED5">
        <w:rPr>
          <w:rFonts w:ascii="Book Antiqua" w:hAnsi="Book Antiqua" w:cs="Arial"/>
        </w:rPr>
        <w:t xml:space="preserve"> </w:t>
      </w:r>
      <w:r w:rsidR="00D46EAF" w:rsidRPr="00644ED5">
        <w:rPr>
          <w:rFonts w:ascii="Book Antiqua" w:hAnsi="Book Antiqua" w:cs="Arial"/>
        </w:rPr>
        <w:t>=</w:t>
      </w:r>
      <w:r w:rsidR="001B6AD6" w:rsidRPr="00644ED5">
        <w:rPr>
          <w:rFonts w:ascii="Book Antiqua" w:hAnsi="Book Antiqua" w:cs="Arial" w:hint="eastAsia"/>
          <w:lang w:eastAsia="zh-CN"/>
        </w:rPr>
        <w:t xml:space="preserve"> </w:t>
      </w:r>
      <w:r w:rsidR="00D46EAF" w:rsidRPr="00644ED5">
        <w:rPr>
          <w:rFonts w:ascii="Book Antiqua" w:hAnsi="Book Antiqua" w:cs="Arial"/>
        </w:rPr>
        <w:t xml:space="preserve">0.011), and SBP (HR 0.21, </w:t>
      </w:r>
      <w:r w:rsidR="001B6AD6" w:rsidRPr="00644ED5">
        <w:rPr>
          <w:rFonts w:ascii="Book Antiqua" w:hAnsi="Book Antiqua" w:cs="Arial"/>
          <w:i/>
        </w:rPr>
        <w:t>P</w:t>
      </w:r>
      <w:r w:rsidR="001B6AD6" w:rsidRPr="00644ED5">
        <w:rPr>
          <w:rFonts w:ascii="Book Antiqua" w:hAnsi="Book Antiqua" w:cs="Arial"/>
        </w:rPr>
        <w:t xml:space="preserve"> </w:t>
      </w:r>
      <w:r w:rsidR="00D46EAF" w:rsidRPr="00644ED5">
        <w:rPr>
          <w:rFonts w:ascii="Book Antiqua" w:hAnsi="Book Antiqua" w:cs="Arial"/>
        </w:rPr>
        <w:t>&lt;</w:t>
      </w:r>
      <w:r w:rsidR="001B6AD6" w:rsidRPr="00644ED5">
        <w:rPr>
          <w:rFonts w:ascii="Book Antiqua" w:hAnsi="Book Antiqua" w:cs="Arial" w:hint="eastAsia"/>
          <w:lang w:eastAsia="zh-CN"/>
        </w:rPr>
        <w:t xml:space="preserve"> </w:t>
      </w:r>
      <w:r w:rsidR="00D46EAF" w:rsidRPr="00644ED5">
        <w:rPr>
          <w:rFonts w:ascii="Book Antiqua" w:hAnsi="Book Antiqua" w:cs="Arial"/>
        </w:rPr>
        <w:t>0.001), compared to lactulose alone. This was only evident in the non-HCC cohort (</w:t>
      </w:r>
      <w:r w:rsidR="00D46EAF" w:rsidRPr="00644ED5">
        <w:rPr>
          <w:rFonts w:ascii="Book Antiqua" w:hAnsi="Book Antiqua" w:cs="Arial"/>
          <w:i/>
        </w:rPr>
        <w:t>n</w:t>
      </w:r>
      <w:r w:rsidR="001B6AD6" w:rsidRPr="00644ED5">
        <w:rPr>
          <w:rFonts w:ascii="Book Antiqua" w:hAnsi="Book Antiqua" w:cs="Arial" w:hint="eastAsia"/>
          <w:lang w:eastAsia="zh-CN"/>
        </w:rPr>
        <w:t xml:space="preserve"> </w:t>
      </w:r>
      <w:r w:rsidR="00D46EAF" w:rsidRPr="00644ED5">
        <w:rPr>
          <w:rFonts w:ascii="Book Antiqua" w:hAnsi="Book Antiqua" w:cs="Arial"/>
        </w:rPr>
        <w:t>=</w:t>
      </w:r>
      <w:r w:rsidR="001B6AD6" w:rsidRPr="00644ED5">
        <w:rPr>
          <w:rFonts w:ascii="Book Antiqua" w:hAnsi="Book Antiqua" w:cs="Arial" w:hint="eastAsia"/>
          <w:lang w:eastAsia="zh-CN"/>
        </w:rPr>
        <w:t xml:space="preserve"> </w:t>
      </w:r>
      <w:r w:rsidR="00D46EAF" w:rsidRPr="00644ED5">
        <w:rPr>
          <w:rFonts w:ascii="Book Antiqua" w:hAnsi="Book Antiqua" w:cs="Arial"/>
        </w:rPr>
        <w:t>421)</w:t>
      </w:r>
      <w:r w:rsidR="00964EF1" w:rsidRPr="00644ED5">
        <w:rPr>
          <w:rFonts w:ascii="Book Antiqua" w:hAnsi="Book Antiqua" w:cs="Arial"/>
        </w:rPr>
        <w:t>, however</w:t>
      </w:r>
      <w:r w:rsidR="00D46EAF" w:rsidRPr="00644ED5">
        <w:rPr>
          <w:rFonts w:ascii="Book Antiqua" w:hAnsi="Book Antiqua" w:cs="Arial"/>
        </w:rPr>
        <w:t>.</w:t>
      </w:r>
      <w:r w:rsidR="003474DD" w:rsidRPr="00644ED5">
        <w:rPr>
          <w:rFonts w:ascii="Book Antiqua" w:hAnsi="Book Antiqua" w:cs="Arial"/>
        </w:rPr>
        <w:t xml:space="preserve"> </w:t>
      </w:r>
      <w:r w:rsidR="000D79A2" w:rsidRPr="00644ED5">
        <w:rPr>
          <w:rFonts w:ascii="Book Antiqua" w:hAnsi="Book Antiqua" w:cs="Arial"/>
        </w:rPr>
        <w:t xml:space="preserve">Kabeshova </w:t>
      </w:r>
      <w:r w:rsidR="000D79A2" w:rsidRPr="00644ED5">
        <w:rPr>
          <w:rFonts w:ascii="Book Antiqua" w:hAnsi="Book Antiqua" w:cs="Arial"/>
          <w:i/>
        </w:rPr>
        <w:t>et al</w:t>
      </w:r>
      <w:r w:rsidR="001B6AD6" w:rsidRPr="00644ED5">
        <w:rPr>
          <w:rFonts w:ascii="Book Antiqua" w:hAnsi="Book Antiqua" w:cs="Arial"/>
          <w:vertAlign w:val="superscript"/>
        </w:rPr>
        <w:t>[68]</w:t>
      </w:r>
      <w:r w:rsidR="000D79A2" w:rsidRPr="00644ED5">
        <w:rPr>
          <w:rFonts w:ascii="Book Antiqua" w:hAnsi="Book Antiqua" w:cs="Arial"/>
        </w:rPr>
        <w:t xml:space="preserve"> evaluated the cost-effectiveness of long-term rifaximin-lactulose combination therapy comp</w:t>
      </w:r>
      <w:r w:rsidR="0054512A" w:rsidRPr="00644ED5">
        <w:rPr>
          <w:rFonts w:ascii="Book Antiqua" w:hAnsi="Book Antiqua" w:cs="Arial"/>
        </w:rPr>
        <w:t>ared to lactulose monotherapy for</w:t>
      </w:r>
      <w:r w:rsidR="000D79A2" w:rsidRPr="00644ED5">
        <w:rPr>
          <w:rFonts w:ascii="Book Antiqua" w:hAnsi="Book Antiqua" w:cs="Arial"/>
        </w:rPr>
        <w:t xml:space="preserve"> recurrent HE in the French healthcare system. This study found that rifaximin-lactulose combination therapy incurs a cost of 18517</w:t>
      </w:r>
      <w:r w:rsidR="009E212E" w:rsidRPr="00644ED5">
        <w:rPr>
          <w:rFonts w:ascii="Book Antiqua" w:hAnsi="Book Antiqua" w:cs="Arial"/>
        </w:rPr>
        <w:t xml:space="preserve"> EUR</w:t>
      </w:r>
      <w:r w:rsidR="000D79A2" w:rsidRPr="00644ED5">
        <w:rPr>
          <w:rFonts w:ascii="Book Antiqua" w:hAnsi="Book Antiqua" w:cs="Arial"/>
        </w:rPr>
        <w:t xml:space="preserve"> </w:t>
      </w:r>
      <w:r w:rsidR="009E212E" w:rsidRPr="00644ED5">
        <w:rPr>
          <w:rFonts w:ascii="Book Antiqua" w:hAnsi="Book Antiqua" w:cs="Arial"/>
        </w:rPr>
        <w:t>(</w:t>
      </w:r>
      <w:r w:rsidR="007D04FD" w:rsidRPr="00644ED5">
        <w:rPr>
          <w:rFonts w:ascii="Book Antiqua" w:hAnsi="Book Antiqua" w:cs="Arial"/>
        </w:rPr>
        <w:t>approximately 16</w:t>
      </w:r>
      <w:r w:rsidR="009E212E" w:rsidRPr="00644ED5">
        <w:rPr>
          <w:rFonts w:ascii="Book Antiqua" w:hAnsi="Book Antiqua" w:cs="Arial"/>
        </w:rPr>
        <w:t xml:space="preserve">000 GBP or 21000 USD) </w:t>
      </w:r>
      <w:r w:rsidR="000D79A2" w:rsidRPr="00644ED5">
        <w:rPr>
          <w:rFonts w:ascii="Book Antiqua" w:hAnsi="Book Antiqua" w:cs="Arial"/>
        </w:rPr>
        <w:t xml:space="preserve">to gain one additional QALY compared to lactulose monotherapy, concluding that rifaximin is a cost-effective treatment in the context of the cost-effectiveness threshold range of </w:t>
      </w:r>
      <w:r w:rsidR="001B6AD6" w:rsidRPr="00644ED5">
        <w:rPr>
          <w:rFonts w:ascii="Book Antiqua" w:hAnsi="Book Antiqua" w:cs="Arial"/>
        </w:rPr>
        <w:t>23000</w:t>
      </w:r>
      <w:r w:rsidR="001B6AD6" w:rsidRPr="00644ED5">
        <w:rPr>
          <w:rFonts w:ascii="Book Antiqua" w:hAnsi="Book Antiqua" w:cs="Arial" w:hint="eastAsia"/>
          <w:lang w:eastAsia="zh-CN"/>
        </w:rPr>
        <w:t>-</w:t>
      </w:r>
      <w:r w:rsidR="007B533A" w:rsidRPr="00644ED5">
        <w:rPr>
          <w:rFonts w:ascii="Book Antiqua" w:hAnsi="Book Antiqua" w:cs="Arial"/>
        </w:rPr>
        <w:t>34000 EUR (</w:t>
      </w:r>
      <w:r w:rsidR="001B6AD6" w:rsidRPr="00644ED5">
        <w:rPr>
          <w:rFonts w:ascii="Book Antiqua" w:hAnsi="Book Antiqua" w:cs="Arial"/>
        </w:rPr>
        <w:t>20000</w:t>
      </w:r>
      <w:r w:rsidR="001B6AD6" w:rsidRPr="00644ED5">
        <w:rPr>
          <w:rFonts w:ascii="Book Antiqua" w:hAnsi="Book Antiqua" w:cs="Arial" w:hint="eastAsia"/>
          <w:lang w:eastAsia="zh-CN"/>
        </w:rPr>
        <w:t>-</w:t>
      </w:r>
      <w:r w:rsidR="007D04FD" w:rsidRPr="00644ED5">
        <w:rPr>
          <w:rFonts w:ascii="Book Antiqua" w:hAnsi="Book Antiqua" w:cs="Arial"/>
        </w:rPr>
        <w:t>30</w:t>
      </w:r>
      <w:r w:rsidR="009E212E" w:rsidRPr="00644ED5">
        <w:rPr>
          <w:rFonts w:ascii="Book Antiqua" w:hAnsi="Book Antiqua" w:cs="Arial"/>
        </w:rPr>
        <w:t>000 GBP</w:t>
      </w:r>
      <w:r w:rsidR="007B533A" w:rsidRPr="00644ED5">
        <w:rPr>
          <w:rFonts w:ascii="Book Antiqua" w:hAnsi="Book Antiqua" w:cs="Arial"/>
        </w:rPr>
        <w:t>)</w:t>
      </w:r>
      <w:r w:rsidR="000D79A2" w:rsidRPr="00644ED5">
        <w:rPr>
          <w:rFonts w:ascii="Book Antiqua" w:hAnsi="Book Antiqua" w:cs="Arial"/>
        </w:rPr>
        <w:t xml:space="preserve"> adopted by NICE. </w:t>
      </w:r>
      <w:r w:rsidR="003474DD" w:rsidRPr="00644ED5">
        <w:rPr>
          <w:rFonts w:ascii="Book Antiqua" w:hAnsi="Book Antiqua" w:cs="Arial"/>
        </w:rPr>
        <w:t>In view of the current evidence, EASL</w:t>
      </w:r>
      <w:r w:rsidR="006D056A" w:rsidRPr="00644ED5">
        <w:rPr>
          <w:rFonts w:ascii="Book Antiqua" w:hAnsi="Book Antiqua" w:cs="Arial"/>
        </w:rPr>
        <w:t xml:space="preserve"> and AASLD</w:t>
      </w:r>
      <w:r w:rsidR="003474DD" w:rsidRPr="00644ED5">
        <w:rPr>
          <w:rFonts w:ascii="Book Antiqua" w:hAnsi="Book Antiqua" w:cs="Arial"/>
        </w:rPr>
        <w:t xml:space="preserve"> st</w:t>
      </w:r>
      <w:r w:rsidR="006D056A" w:rsidRPr="00644ED5">
        <w:rPr>
          <w:rFonts w:ascii="Book Antiqua" w:hAnsi="Book Antiqua" w:cs="Arial"/>
        </w:rPr>
        <w:t>ate</w:t>
      </w:r>
      <w:r w:rsidR="003474DD" w:rsidRPr="00644ED5">
        <w:rPr>
          <w:rFonts w:ascii="Book Antiqua" w:hAnsi="Book Antiqua" w:cs="Arial"/>
        </w:rPr>
        <w:t xml:space="preserve"> that rifaximin is effective as an add-on therapy to lactulose for </w:t>
      </w:r>
      <w:r w:rsidR="00B714B1" w:rsidRPr="00644ED5">
        <w:rPr>
          <w:rFonts w:ascii="Book Antiqua" w:hAnsi="Book Antiqua" w:cs="Arial"/>
        </w:rPr>
        <w:t>secondary prevention of HE recurrence</w:t>
      </w:r>
      <w:r w:rsidR="00BA0FDC" w:rsidRPr="00644ED5">
        <w:rPr>
          <w:rFonts w:ascii="Book Antiqua" w:hAnsi="Book Antiqua" w:cs="Arial"/>
          <w:vertAlign w:val="superscript"/>
        </w:rPr>
        <w:t>[59]</w:t>
      </w:r>
      <w:r w:rsidR="003474DD" w:rsidRPr="00644ED5">
        <w:rPr>
          <w:rFonts w:ascii="Book Antiqua" w:hAnsi="Book Antiqua" w:cs="Arial"/>
        </w:rPr>
        <w:t>.</w:t>
      </w:r>
      <w:bookmarkStart w:id="42" w:name="_Toc497668316"/>
    </w:p>
    <w:p w14:paraId="4CA2F291" w14:textId="77777777" w:rsidR="001B6AD6" w:rsidRPr="00644ED5" w:rsidRDefault="001B6AD6" w:rsidP="001B6AD6">
      <w:pPr>
        <w:spacing w:line="360" w:lineRule="auto"/>
        <w:rPr>
          <w:rFonts w:ascii="Book Antiqua" w:hAnsi="Book Antiqua" w:cs="Arial"/>
          <w:lang w:eastAsia="zh-CN"/>
        </w:rPr>
      </w:pPr>
    </w:p>
    <w:p w14:paraId="4BAA046D" w14:textId="2F3B9D5A" w:rsidR="00E859C9" w:rsidRPr="00644ED5" w:rsidRDefault="00FF68FA" w:rsidP="00E859C9">
      <w:pPr>
        <w:spacing w:line="360" w:lineRule="auto"/>
        <w:rPr>
          <w:rFonts w:ascii="Book Antiqua" w:hAnsi="Book Antiqua" w:cs="Arial"/>
          <w:lang w:eastAsia="zh-CN"/>
        </w:rPr>
      </w:pPr>
      <w:r w:rsidRPr="00644ED5">
        <w:rPr>
          <w:rFonts w:ascii="Book Antiqua" w:hAnsi="Book Antiqua"/>
          <w:b/>
        </w:rPr>
        <w:t>The</w:t>
      </w:r>
      <w:r w:rsidR="000D79A2" w:rsidRPr="00644ED5">
        <w:rPr>
          <w:rFonts w:ascii="Book Antiqua" w:hAnsi="Book Antiqua"/>
          <w:b/>
        </w:rPr>
        <w:t xml:space="preserve"> potential uses</w:t>
      </w:r>
      <w:r w:rsidRPr="00644ED5">
        <w:rPr>
          <w:rFonts w:ascii="Book Antiqua" w:hAnsi="Book Antiqua"/>
          <w:b/>
        </w:rPr>
        <w:t xml:space="preserve"> of rifaximin</w:t>
      </w:r>
      <w:r w:rsidR="000D79A2" w:rsidRPr="00644ED5">
        <w:rPr>
          <w:rFonts w:ascii="Book Antiqua" w:hAnsi="Book Antiqua"/>
          <w:b/>
        </w:rPr>
        <w:t xml:space="preserve"> beyond hepatic encephalopathy</w:t>
      </w:r>
      <w:bookmarkEnd w:id="42"/>
      <w:r w:rsidR="001B6AD6" w:rsidRPr="00644ED5">
        <w:rPr>
          <w:rFonts w:ascii="Book Antiqua" w:hAnsi="Book Antiqua" w:hint="eastAsia"/>
          <w:b/>
          <w:lang w:eastAsia="zh-CN"/>
        </w:rPr>
        <w:t xml:space="preserve">: </w:t>
      </w:r>
      <w:r w:rsidR="001B0FD6" w:rsidRPr="00644ED5">
        <w:rPr>
          <w:rFonts w:ascii="Book Antiqua" w:hAnsi="Book Antiqua" w:cs="Arial"/>
        </w:rPr>
        <w:t xml:space="preserve">Additionally, recent evidence has indicated that the therapeutic effects of rifaximin may </w:t>
      </w:r>
      <w:r w:rsidR="00803A38" w:rsidRPr="00644ED5">
        <w:rPr>
          <w:rFonts w:ascii="Book Antiqua" w:hAnsi="Book Antiqua" w:cs="Arial"/>
        </w:rPr>
        <w:t xml:space="preserve">extend </w:t>
      </w:r>
      <w:r w:rsidR="001B0FD6" w:rsidRPr="00644ED5">
        <w:rPr>
          <w:rFonts w:ascii="Book Antiqua" w:hAnsi="Book Antiqua" w:cs="Arial"/>
        </w:rPr>
        <w:t xml:space="preserve">beyond its original indication of treating </w:t>
      </w:r>
      <w:r w:rsidR="00B6640C" w:rsidRPr="00644ED5">
        <w:rPr>
          <w:rFonts w:ascii="Book Antiqua" w:hAnsi="Book Antiqua" w:cs="Arial"/>
        </w:rPr>
        <w:t>HE</w:t>
      </w:r>
      <w:r w:rsidR="001B0FD6" w:rsidRPr="00644ED5">
        <w:rPr>
          <w:rFonts w:ascii="Book Antiqua" w:hAnsi="Book Antiqua" w:cs="Arial"/>
        </w:rPr>
        <w:t xml:space="preserve">. </w:t>
      </w:r>
      <w:r w:rsidR="00D464CF" w:rsidRPr="00644ED5">
        <w:rPr>
          <w:rFonts w:ascii="Book Antiqua" w:hAnsi="Book Antiqua" w:cs="Arial"/>
        </w:rPr>
        <w:t>An initial,</w:t>
      </w:r>
      <w:r w:rsidR="00D46EAF" w:rsidRPr="00644ED5">
        <w:rPr>
          <w:rFonts w:ascii="Book Antiqua" w:hAnsi="Book Antiqua" w:cs="Arial"/>
        </w:rPr>
        <w:t xml:space="preserve"> prospective</w:t>
      </w:r>
      <w:r w:rsidR="00D464CF" w:rsidRPr="00644ED5">
        <w:rPr>
          <w:rFonts w:ascii="Book Antiqua" w:hAnsi="Book Antiqua" w:cs="Arial"/>
        </w:rPr>
        <w:t>,</w:t>
      </w:r>
      <w:r w:rsidR="00D46EAF" w:rsidRPr="00644ED5">
        <w:rPr>
          <w:rFonts w:ascii="Book Antiqua" w:hAnsi="Book Antiqua" w:cs="Arial"/>
        </w:rPr>
        <w:t xml:space="preserve"> observational study con</w:t>
      </w:r>
      <w:r w:rsidR="00D464CF" w:rsidRPr="00644ED5">
        <w:rPr>
          <w:rFonts w:ascii="Book Antiqua" w:hAnsi="Book Antiqua" w:cs="Arial"/>
        </w:rPr>
        <w:t xml:space="preserve">ducted by Vlachogiannakos </w:t>
      </w:r>
      <w:r w:rsidR="00D464CF" w:rsidRPr="00644ED5">
        <w:rPr>
          <w:rFonts w:ascii="Book Antiqua" w:hAnsi="Book Antiqua" w:cs="Arial"/>
          <w:i/>
        </w:rPr>
        <w:t>et al</w:t>
      </w:r>
      <w:r w:rsidR="00F46243" w:rsidRPr="00644ED5">
        <w:rPr>
          <w:rFonts w:ascii="Book Antiqua" w:hAnsi="Book Antiqua" w:cs="Arial"/>
          <w:vertAlign w:val="superscript"/>
        </w:rPr>
        <w:t>[69]</w:t>
      </w:r>
      <w:r w:rsidR="00D46EAF" w:rsidRPr="00644ED5">
        <w:rPr>
          <w:rFonts w:ascii="Book Antiqua" w:hAnsi="Book Antiqua" w:cs="Arial"/>
        </w:rPr>
        <w:t xml:space="preserve"> </w:t>
      </w:r>
      <w:r w:rsidR="00D464CF" w:rsidRPr="00644ED5">
        <w:rPr>
          <w:rFonts w:ascii="Book Antiqua" w:hAnsi="Book Antiqua" w:cs="Arial"/>
        </w:rPr>
        <w:t xml:space="preserve">observed </w:t>
      </w:r>
      <w:r w:rsidR="00D46EAF" w:rsidRPr="00644ED5">
        <w:rPr>
          <w:rFonts w:ascii="Book Antiqua" w:hAnsi="Book Antiqua" w:cs="Arial"/>
        </w:rPr>
        <w:t xml:space="preserve">reduced incidence of variceal haemorrhage, HE, SBP and HRS in 23 patients receiving rifaximin compared to controls. </w:t>
      </w:r>
      <w:r w:rsidR="00FE55D2" w:rsidRPr="00644ED5">
        <w:rPr>
          <w:rFonts w:ascii="Book Antiqua" w:hAnsi="Book Antiqua" w:cs="Arial"/>
        </w:rPr>
        <w:t xml:space="preserve">Similarly, </w:t>
      </w:r>
      <w:r w:rsidR="005D6AB9" w:rsidRPr="00644ED5">
        <w:rPr>
          <w:rFonts w:ascii="Book Antiqua" w:hAnsi="Book Antiqua" w:cs="Arial"/>
        </w:rPr>
        <w:t xml:space="preserve">Hanouneh </w:t>
      </w:r>
      <w:r w:rsidR="005D6AB9" w:rsidRPr="00644ED5">
        <w:rPr>
          <w:rFonts w:ascii="Book Antiqua" w:hAnsi="Book Antiqua" w:cs="Arial"/>
          <w:i/>
        </w:rPr>
        <w:t>et al</w:t>
      </w:r>
      <w:r w:rsidR="00E859C9" w:rsidRPr="00644ED5">
        <w:rPr>
          <w:rFonts w:ascii="Book Antiqua" w:hAnsi="Book Antiqua" w:cs="Arial"/>
          <w:vertAlign w:val="superscript"/>
        </w:rPr>
        <w:t>[70]</w:t>
      </w:r>
      <w:r w:rsidR="005D6AB9" w:rsidRPr="00644ED5">
        <w:rPr>
          <w:rFonts w:ascii="Book Antiqua" w:hAnsi="Book Antiqua" w:cs="Arial"/>
        </w:rPr>
        <w:t xml:space="preserve"> investigated 404 patients with cirrhotic ascites and demonstrated a 72% reduction in SBP incidence with rifaximin therapy </w:t>
      </w:r>
      <w:r w:rsidR="005D6AB9" w:rsidRPr="00644ED5">
        <w:rPr>
          <w:rFonts w:ascii="Book Antiqua" w:hAnsi="Book Antiqua" w:cs="Arial"/>
        </w:rPr>
        <w:lastRenderedPageBreak/>
        <w:t>compared to placebo.</w:t>
      </w:r>
      <w:r w:rsidR="00953F98" w:rsidRPr="00644ED5">
        <w:rPr>
          <w:rFonts w:ascii="Book Antiqua" w:hAnsi="Book Antiqua" w:cs="Arial"/>
        </w:rPr>
        <w:t xml:space="preserve"> </w:t>
      </w:r>
      <w:r w:rsidR="00E859C9" w:rsidRPr="00644ED5">
        <w:rPr>
          <w:rFonts w:ascii="Book Antiqua" w:hAnsi="Book Antiqua" w:cs="Arial"/>
        </w:rPr>
        <w:t>Norfloxacin is a systemic antibiotic, currently recommended as the first line agent in the prevention of SBP by both AASLD and EASL</w:t>
      </w:r>
      <w:r w:rsidR="00E859C9" w:rsidRPr="00644ED5">
        <w:rPr>
          <w:rFonts w:ascii="Book Antiqua" w:hAnsi="Book Antiqua" w:cs="Arial"/>
          <w:vertAlign w:val="superscript"/>
        </w:rPr>
        <w:t>[71,72]</w:t>
      </w:r>
      <w:r w:rsidR="00E859C9" w:rsidRPr="00644ED5">
        <w:rPr>
          <w:rFonts w:ascii="Book Antiqua" w:hAnsi="Book Antiqua" w:cs="Arial" w:hint="eastAsia"/>
          <w:lang w:eastAsia="zh-CN"/>
        </w:rPr>
        <w:t xml:space="preserve">. </w:t>
      </w:r>
      <w:r w:rsidR="00953F98" w:rsidRPr="00644ED5">
        <w:rPr>
          <w:rFonts w:ascii="Book Antiqua" w:hAnsi="Book Antiqua" w:cs="Arial"/>
        </w:rPr>
        <w:t xml:space="preserve">Recently, Praharaj </w:t>
      </w:r>
      <w:r w:rsidR="00953F98" w:rsidRPr="00644ED5">
        <w:rPr>
          <w:rFonts w:ascii="Book Antiqua" w:hAnsi="Book Antiqua" w:cs="Arial"/>
          <w:i/>
        </w:rPr>
        <w:t>et al</w:t>
      </w:r>
      <w:r w:rsidR="00E859C9" w:rsidRPr="00644ED5">
        <w:rPr>
          <w:rFonts w:ascii="Book Antiqua" w:hAnsi="Book Antiqua" w:cs="Arial"/>
          <w:vertAlign w:val="superscript"/>
        </w:rPr>
        <w:t>[73]</w:t>
      </w:r>
      <w:r w:rsidR="00953F98" w:rsidRPr="00644ED5">
        <w:rPr>
          <w:rFonts w:ascii="Book Antiqua" w:hAnsi="Book Antiqua" w:cs="Arial"/>
        </w:rPr>
        <w:t xml:space="preserve"> conducted a RCT (</w:t>
      </w:r>
      <w:r w:rsidR="00953F98" w:rsidRPr="00644ED5">
        <w:rPr>
          <w:rFonts w:ascii="Book Antiqua" w:hAnsi="Book Antiqua" w:cs="Arial"/>
          <w:i/>
        </w:rPr>
        <w:t>n</w:t>
      </w:r>
      <w:r w:rsidR="00E859C9" w:rsidRPr="00644ED5">
        <w:rPr>
          <w:rFonts w:ascii="Book Antiqua" w:hAnsi="Book Antiqua" w:cs="Arial" w:hint="eastAsia"/>
          <w:lang w:eastAsia="zh-CN"/>
        </w:rPr>
        <w:t xml:space="preserve"> </w:t>
      </w:r>
      <w:r w:rsidR="00953F98" w:rsidRPr="00644ED5">
        <w:rPr>
          <w:rFonts w:ascii="Book Antiqua" w:hAnsi="Book Antiqua" w:cs="Arial"/>
        </w:rPr>
        <w:t>=</w:t>
      </w:r>
      <w:r w:rsidR="00E859C9" w:rsidRPr="00644ED5">
        <w:rPr>
          <w:rFonts w:ascii="Book Antiqua" w:hAnsi="Book Antiqua" w:cs="Arial" w:hint="eastAsia"/>
          <w:lang w:eastAsia="zh-CN"/>
        </w:rPr>
        <w:t xml:space="preserve"> </w:t>
      </w:r>
      <w:r w:rsidR="00953F98" w:rsidRPr="00644ED5">
        <w:rPr>
          <w:rFonts w:ascii="Book Antiqua" w:hAnsi="Book Antiqua" w:cs="Arial"/>
        </w:rPr>
        <w:t xml:space="preserve">117) comparing rifaximin and norfloxacin for both primary </w:t>
      </w:r>
      <w:r w:rsidR="00E859C9" w:rsidRPr="00644ED5">
        <w:rPr>
          <w:rFonts w:ascii="Book Antiqua" w:hAnsi="Book Antiqua" w:cs="Arial"/>
        </w:rPr>
        <w:t>and secondary prevention of SBP</w:t>
      </w:r>
      <w:r w:rsidR="00953F98" w:rsidRPr="00644ED5">
        <w:rPr>
          <w:rFonts w:ascii="Book Antiqua" w:hAnsi="Book Antiqua" w:cs="Arial"/>
        </w:rPr>
        <w:t>.</w:t>
      </w:r>
      <w:r w:rsidR="00274D0D" w:rsidRPr="00644ED5">
        <w:rPr>
          <w:rFonts w:ascii="Book Antiqua" w:hAnsi="Book Antiqua" w:cs="Arial"/>
        </w:rPr>
        <w:t xml:space="preserve"> Praharaj </w:t>
      </w:r>
      <w:r w:rsidR="00274D0D" w:rsidRPr="00644ED5">
        <w:rPr>
          <w:rFonts w:ascii="Book Antiqua" w:hAnsi="Book Antiqua" w:cs="Arial"/>
          <w:i/>
        </w:rPr>
        <w:t>et al</w:t>
      </w:r>
      <w:r w:rsidR="00E859C9" w:rsidRPr="00644ED5">
        <w:rPr>
          <w:rFonts w:ascii="Book Antiqua" w:hAnsi="Book Antiqua" w:cs="Arial"/>
          <w:vertAlign w:val="superscript"/>
        </w:rPr>
        <w:t>[73]</w:t>
      </w:r>
      <w:r w:rsidR="00274D0D" w:rsidRPr="00644ED5">
        <w:rPr>
          <w:rFonts w:ascii="Book Antiqua" w:hAnsi="Book Antiqua" w:cs="Arial"/>
        </w:rPr>
        <w:t xml:space="preserve"> established that patients on norfloxacin had a significantly higher rate of SBP development compared to patients on rifaximin in secondary prophylaxis (39% </w:t>
      </w:r>
      <w:r w:rsidR="00274D0D" w:rsidRPr="00644ED5">
        <w:rPr>
          <w:rFonts w:ascii="Book Antiqua" w:hAnsi="Book Antiqua" w:cs="Arial"/>
          <w:i/>
        </w:rPr>
        <w:t>vs</w:t>
      </w:r>
      <w:r w:rsidR="00274D0D" w:rsidRPr="00644ED5">
        <w:rPr>
          <w:rFonts w:ascii="Book Antiqua" w:hAnsi="Book Antiqua" w:cs="Arial"/>
        </w:rPr>
        <w:t xml:space="preserve"> 7%, </w:t>
      </w:r>
      <w:r w:rsidR="00E859C9" w:rsidRPr="00644ED5">
        <w:rPr>
          <w:rFonts w:ascii="Book Antiqua" w:hAnsi="Book Antiqua" w:cs="Arial"/>
          <w:i/>
        </w:rPr>
        <w:t>P</w:t>
      </w:r>
      <w:r w:rsidR="00E859C9" w:rsidRPr="00644ED5">
        <w:rPr>
          <w:rFonts w:ascii="Book Antiqua" w:hAnsi="Book Antiqua" w:cs="Arial" w:hint="eastAsia"/>
          <w:lang w:eastAsia="zh-CN"/>
        </w:rPr>
        <w:t xml:space="preserve"> </w:t>
      </w:r>
      <w:r w:rsidR="00274D0D" w:rsidRPr="00644ED5">
        <w:rPr>
          <w:rFonts w:ascii="Book Antiqua" w:hAnsi="Book Antiqua" w:cs="Arial"/>
        </w:rPr>
        <w:t>=</w:t>
      </w:r>
      <w:r w:rsidR="00E859C9" w:rsidRPr="00644ED5">
        <w:rPr>
          <w:rFonts w:ascii="Book Antiqua" w:hAnsi="Book Antiqua" w:cs="Arial" w:hint="eastAsia"/>
          <w:lang w:eastAsia="zh-CN"/>
        </w:rPr>
        <w:t xml:space="preserve"> </w:t>
      </w:r>
      <w:r w:rsidR="00274D0D" w:rsidRPr="00644ED5">
        <w:rPr>
          <w:rFonts w:ascii="Book Antiqua" w:hAnsi="Book Antiqua" w:cs="Arial"/>
        </w:rPr>
        <w:t>0.007), while no significant diff</w:t>
      </w:r>
      <w:r w:rsidR="00D464CF" w:rsidRPr="00644ED5">
        <w:rPr>
          <w:rFonts w:ascii="Book Antiqua" w:hAnsi="Book Antiqua" w:cs="Arial"/>
        </w:rPr>
        <w:t>erence (20%</w:t>
      </w:r>
      <w:r w:rsidR="00D464CF" w:rsidRPr="00644ED5">
        <w:rPr>
          <w:rFonts w:ascii="Book Antiqua" w:hAnsi="Book Antiqua" w:cs="Arial"/>
          <w:i/>
        </w:rPr>
        <w:t xml:space="preserve"> vs</w:t>
      </w:r>
      <w:r w:rsidR="00D464CF" w:rsidRPr="00644ED5">
        <w:rPr>
          <w:rFonts w:ascii="Book Antiqua" w:hAnsi="Book Antiqua" w:cs="Arial"/>
        </w:rPr>
        <w:t xml:space="preserve"> 14%, </w:t>
      </w:r>
      <w:r w:rsidR="00E859C9" w:rsidRPr="00644ED5">
        <w:rPr>
          <w:rFonts w:ascii="Book Antiqua" w:hAnsi="Book Antiqua" w:cs="Arial"/>
          <w:i/>
        </w:rPr>
        <w:t>P</w:t>
      </w:r>
      <w:r w:rsidR="00E859C9" w:rsidRPr="00644ED5">
        <w:rPr>
          <w:rFonts w:ascii="Book Antiqua" w:hAnsi="Book Antiqua" w:cs="Arial"/>
        </w:rPr>
        <w:t xml:space="preserve"> </w:t>
      </w:r>
      <w:r w:rsidR="00D464CF" w:rsidRPr="00644ED5">
        <w:rPr>
          <w:rFonts w:ascii="Book Antiqua" w:hAnsi="Book Antiqua" w:cs="Arial"/>
        </w:rPr>
        <w:t>=</w:t>
      </w:r>
      <w:r w:rsidR="00E859C9" w:rsidRPr="00644ED5">
        <w:rPr>
          <w:rFonts w:ascii="Book Antiqua" w:hAnsi="Book Antiqua" w:cs="Arial" w:hint="eastAsia"/>
          <w:lang w:eastAsia="zh-CN"/>
        </w:rPr>
        <w:t xml:space="preserve"> </w:t>
      </w:r>
      <w:r w:rsidR="00D464CF" w:rsidRPr="00644ED5">
        <w:rPr>
          <w:rFonts w:ascii="Book Antiqua" w:hAnsi="Book Antiqua" w:cs="Arial"/>
        </w:rPr>
        <w:t xml:space="preserve">0.73) was manifested </w:t>
      </w:r>
      <w:r w:rsidR="00274D0D" w:rsidRPr="00644ED5">
        <w:rPr>
          <w:rFonts w:ascii="Book Antiqua" w:hAnsi="Book Antiqua" w:cs="Arial"/>
        </w:rPr>
        <w:t>in primary prophylaxis.</w:t>
      </w:r>
      <w:r w:rsidR="005D6AB9" w:rsidRPr="00644ED5">
        <w:rPr>
          <w:rFonts w:ascii="Book Antiqua" w:hAnsi="Book Antiqua" w:cs="Arial"/>
        </w:rPr>
        <w:t xml:space="preserve"> </w:t>
      </w:r>
      <w:r w:rsidR="003869F9" w:rsidRPr="00644ED5">
        <w:rPr>
          <w:rFonts w:ascii="Book Antiqua" w:hAnsi="Book Antiqua" w:cs="Arial"/>
        </w:rPr>
        <w:t>A meta-analysis performed by Si</w:t>
      </w:r>
      <w:r w:rsidR="008921A4" w:rsidRPr="00644ED5">
        <w:rPr>
          <w:rFonts w:ascii="Book Antiqua" w:hAnsi="Book Antiqua" w:cs="Arial"/>
        </w:rPr>
        <w:t xml:space="preserve">dhu </w:t>
      </w:r>
      <w:r w:rsidR="008921A4" w:rsidRPr="00644ED5">
        <w:rPr>
          <w:rFonts w:ascii="Book Antiqua" w:hAnsi="Book Antiqua" w:cs="Arial"/>
          <w:i/>
        </w:rPr>
        <w:t>et al</w:t>
      </w:r>
      <w:r w:rsidR="00E859C9" w:rsidRPr="00644ED5">
        <w:rPr>
          <w:rFonts w:ascii="Book Antiqua" w:hAnsi="Book Antiqua" w:cs="Arial"/>
          <w:vertAlign w:val="superscript"/>
        </w:rPr>
        <w:t>[74]</w:t>
      </w:r>
      <w:r w:rsidR="00E859C9" w:rsidRPr="00644ED5">
        <w:rPr>
          <w:rFonts w:ascii="Book Antiqua" w:hAnsi="Book Antiqua" w:cs="Arial"/>
          <w:lang w:eastAsia="zh-CN"/>
        </w:rPr>
        <w:t>—</w:t>
      </w:r>
      <w:r w:rsidR="008921A4" w:rsidRPr="00644ED5">
        <w:rPr>
          <w:rFonts w:ascii="Book Antiqua" w:hAnsi="Book Antiqua" w:cs="Arial"/>
        </w:rPr>
        <w:t>incorporating three</w:t>
      </w:r>
      <w:r w:rsidR="003869F9" w:rsidRPr="00644ED5">
        <w:rPr>
          <w:rFonts w:ascii="Book Antiqua" w:hAnsi="Book Antiqua" w:cs="Arial"/>
        </w:rPr>
        <w:t xml:space="preserve"> RCTs and </w:t>
      </w:r>
      <w:r w:rsidR="008921A4" w:rsidRPr="00644ED5">
        <w:rPr>
          <w:rFonts w:ascii="Book Antiqua" w:hAnsi="Book Antiqua" w:cs="Arial"/>
        </w:rPr>
        <w:t xml:space="preserve">one prospective observational study </w:t>
      </w:r>
      <w:r w:rsidR="00803A38" w:rsidRPr="00644ED5">
        <w:rPr>
          <w:rFonts w:ascii="Book Antiqua" w:hAnsi="Book Antiqua" w:cs="Arial"/>
        </w:rPr>
        <w:t xml:space="preserve">- </w:t>
      </w:r>
      <w:r w:rsidR="008921A4" w:rsidRPr="00644ED5">
        <w:rPr>
          <w:rFonts w:ascii="Book Antiqua" w:hAnsi="Book Antiqua" w:cs="Arial"/>
        </w:rPr>
        <w:t>compared norfloxacin and rifaximin with the primary outcome of SBP occurrence and secondary outcomes of mortality and adverse events. The included studies</w:t>
      </w:r>
      <w:r w:rsidR="00DB4973" w:rsidRPr="00644ED5">
        <w:rPr>
          <w:rFonts w:ascii="Book Antiqua" w:hAnsi="Book Antiqua" w:cs="Arial"/>
        </w:rPr>
        <w:t>,</w:t>
      </w:r>
      <w:r w:rsidR="008921A4" w:rsidRPr="00644ED5">
        <w:rPr>
          <w:rFonts w:ascii="Book Antiqua" w:hAnsi="Book Antiqua" w:cs="Arial"/>
        </w:rPr>
        <w:t xml:space="preserve"> of moderate quality evidence</w:t>
      </w:r>
      <w:r w:rsidR="00DB4973" w:rsidRPr="00644ED5">
        <w:rPr>
          <w:rFonts w:ascii="Book Antiqua" w:hAnsi="Book Antiqua" w:cs="Arial"/>
        </w:rPr>
        <w:t>,</w:t>
      </w:r>
      <w:r w:rsidR="008921A4" w:rsidRPr="00644ED5">
        <w:rPr>
          <w:rFonts w:ascii="Book Antiqua" w:hAnsi="Book Antiqua" w:cs="Arial"/>
        </w:rPr>
        <w:t xml:space="preserve"> either demonstrated superior efficacy of rifaximin or no significant difference between rifaximin and norfloxacin in SBP prevention, leading the authors to conclude that rifaximin could be a safe and efficacious alternative to norfloxacin in SBP prophylaxis for patients with hepatitis C</w:t>
      </w:r>
      <w:r w:rsidR="00DE0775" w:rsidRPr="00644ED5">
        <w:rPr>
          <w:rFonts w:ascii="Book Antiqua" w:hAnsi="Book Antiqua" w:cs="Arial"/>
        </w:rPr>
        <w:t xml:space="preserve"> </w:t>
      </w:r>
      <w:r w:rsidR="00E859C9" w:rsidRPr="00644ED5">
        <w:rPr>
          <w:rFonts w:ascii="Book Antiqua" w:hAnsi="Book Antiqua" w:cs="Arial" w:hint="eastAsia"/>
          <w:lang w:eastAsia="zh-CN"/>
        </w:rPr>
        <w:t xml:space="preserve">virus </w:t>
      </w:r>
      <w:r w:rsidR="00DE0775" w:rsidRPr="00644ED5">
        <w:rPr>
          <w:rFonts w:ascii="Book Antiqua" w:hAnsi="Book Antiqua" w:cs="Arial"/>
        </w:rPr>
        <w:t>(HCV)</w:t>
      </w:r>
      <w:r w:rsidR="008921A4" w:rsidRPr="00644ED5">
        <w:rPr>
          <w:rFonts w:ascii="Book Antiqua" w:hAnsi="Book Antiqua" w:cs="Arial"/>
        </w:rPr>
        <w:t xml:space="preserve"> cirrhosis. </w:t>
      </w:r>
      <w:r w:rsidR="00D464CF" w:rsidRPr="00644ED5">
        <w:rPr>
          <w:rFonts w:ascii="Book Antiqua" w:hAnsi="Book Antiqua" w:cs="Arial"/>
        </w:rPr>
        <w:t>Furthermore, a</w:t>
      </w:r>
      <w:r w:rsidR="00F53374" w:rsidRPr="00644ED5">
        <w:rPr>
          <w:rFonts w:ascii="Book Antiqua" w:hAnsi="Book Antiqua" w:cs="Arial"/>
        </w:rPr>
        <w:t xml:space="preserve"> small prospective study in 13 patients with advanced cirrhosis suggests improvement</w:t>
      </w:r>
      <w:r w:rsidR="00D464CF" w:rsidRPr="00644ED5">
        <w:rPr>
          <w:rFonts w:ascii="Book Antiqua" w:hAnsi="Book Antiqua" w:cs="Arial"/>
        </w:rPr>
        <w:t>s</w:t>
      </w:r>
      <w:r w:rsidR="00F53374" w:rsidRPr="00644ED5">
        <w:rPr>
          <w:rFonts w:ascii="Book Antiqua" w:hAnsi="Book Antiqua" w:cs="Arial"/>
        </w:rPr>
        <w:t xml:space="preserve"> in renal function after intestinal decontamination by rifaximin</w:t>
      </w:r>
      <w:r w:rsidR="00BA0FDC" w:rsidRPr="00644ED5">
        <w:rPr>
          <w:rFonts w:ascii="Book Antiqua" w:hAnsi="Book Antiqua" w:cs="Arial"/>
          <w:vertAlign w:val="superscript"/>
        </w:rPr>
        <w:t>[75]</w:t>
      </w:r>
      <w:r w:rsidR="00F53374" w:rsidRPr="00644ED5">
        <w:rPr>
          <w:rFonts w:ascii="Book Antiqua" w:hAnsi="Book Antiqua" w:cs="Arial"/>
        </w:rPr>
        <w:t xml:space="preserve">. Baik </w:t>
      </w:r>
      <w:r w:rsidR="00F53374" w:rsidRPr="00644ED5">
        <w:rPr>
          <w:rFonts w:ascii="Book Antiqua" w:hAnsi="Book Antiqua" w:cs="Arial"/>
          <w:i/>
        </w:rPr>
        <w:t>et al</w:t>
      </w:r>
      <w:r w:rsidR="00E859C9" w:rsidRPr="00644ED5">
        <w:rPr>
          <w:rFonts w:ascii="Book Antiqua" w:hAnsi="Book Antiqua" w:cs="Arial"/>
          <w:vertAlign w:val="superscript"/>
        </w:rPr>
        <w:t>[76]</w:t>
      </w:r>
      <w:r w:rsidR="00F53374" w:rsidRPr="00644ED5">
        <w:rPr>
          <w:rFonts w:ascii="Book Antiqua" w:hAnsi="Book Antiqua" w:cs="Arial"/>
        </w:rPr>
        <w:t xml:space="preserve"> compared propranolol monotherapy to propranolol-rifaximin combination therapy in 65 patients with advanced cirrhosis, finding amplification of mean HVPG reduction with combination therapy. However, a recent RCT investigating the haemodynamic effect of rifaximin in 54 patients with cirrhotic ascites observed no difference in HVPG, cardiac output or glomerular filtration rate compared to placebo</w:t>
      </w:r>
      <w:r w:rsidR="00BA0FDC" w:rsidRPr="00644ED5">
        <w:rPr>
          <w:rFonts w:ascii="Book Antiqua" w:hAnsi="Book Antiqua" w:cs="Arial"/>
          <w:vertAlign w:val="superscript"/>
        </w:rPr>
        <w:t>[77]</w:t>
      </w:r>
      <w:r w:rsidR="00F53374" w:rsidRPr="00644ED5">
        <w:rPr>
          <w:rFonts w:ascii="Book Antiqua" w:hAnsi="Book Antiqua" w:cs="Arial"/>
        </w:rPr>
        <w:t>.</w:t>
      </w:r>
      <w:r w:rsidR="00575571" w:rsidRPr="00644ED5">
        <w:rPr>
          <w:rFonts w:ascii="Book Antiqua" w:hAnsi="Book Antiqua" w:cs="Arial"/>
        </w:rPr>
        <w:t xml:space="preserve"> </w:t>
      </w:r>
      <w:r w:rsidR="00F53374" w:rsidRPr="00644ED5">
        <w:rPr>
          <w:rFonts w:ascii="Book Antiqua" w:hAnsi="Book Antiqua" w:cs="Arial"/>
        </w:rPr>
        <w:t>Due to its relative novelty, the evidence-base for the impact of rifaximin on outcomes in cirrhotic patients</w:t>
      </w:r>
      <w:r w:rsidR="000D79A2" w:rsidRPr="00644ED5">
        <w:rPr>
          <w:rFonts w:ascii="Book Antiqua" w:hAnsi="Book Antiqua" w:cs="Arial"/>
        </w:rPr>
        <w:t xml:space="preserve">, particularly regarding its effects outside </w:t>
      </w:r>
      <w:r w:rsidR="00D464CF" w:rsidRPr="00644ED5">
        <w:rPr>
          <w:rFonts w:ascii="Book Antiqua" w:hAnsi="Book Antiqua" w:cs="Arial"/>
        </w:rPr>
        <w:t>HE treatment</w:t>
      </w:r>
      <w:r w:rsidR="000D79A2" w:rsidRPr="00644ED5">
        <w:rPr>
          <w:rFonts w:ascii="Book Antiqua" w:hAnsi="Book Antiqua" w:cs="Arial"/>
        </w:rPr>
        <w:t>,</w:t>
      </w:r>
      <w:r w:rsidR="00F53374" w:rsidRPr="00644ED5">
        <w:rPr>
          <w:rFonts w:ascii="Book Antiqua" w:hAnsi="Book Antiqua" w:cs="Arial"/>
        </w:rPr>
        <w:t xml:space="preserve"> is lacking in robustness, with the majority of conducted studies featuring very limited sample sizes.</w:t>
      </w:r>
      <w:r w:rsidR="00D464CF" w:rsidRPr="00644ED5">
        <w:rPr>
          <w:rFonts w:ascii="Book Antiqua" w:hAnsi="Book Antiqua" w:cs="Arial"/>
        </w:rPr>
        <w:t xml:space="preserve"> </w:t>
      </w:r>
      <w:r w:rsidR="00DE2992" w:rsidRPr="00644ED5">
        <w:rPr>
          <w:rFonts w:ascii="Book Antiqua" w:hAnsi="Book Antiqua" w:cs="Arial"/>
        </w:rPr>
        <w:t>A</w:t>
      </w:r>
      <w:r w:rsidR="00F72B2E" w:rsidRPr="00644ED5">
        <w:rPr>
          <w:rFonts w:ascii="Book Antiqua" w:hAnsi="Book Antiqua" w:cs="Arial"/>
        </w:rPr>
        <w:t xml:space="preserve"> </w:t>
      </w:r>
      <w:r w:rsidR="00E859C9" w:rsidRPr="00644ED5">
        <w:rPr>
          <w:rFonts w:ascii="Book Antiqua" w:hAnsi="Book Antiqua" w:cs="Arial" w:hint="eastAsia"/>
          <w:lang w:eastAsia="zh-CN"/>
        </w:rPr>
        <w:t>United Kingdom</w:t>
      </w:r>
      <w:r w:rsidR="00F72B2E" w:rsidRPr="00644ED5">
        <w:rPr>
          <w:rFonts w:ascii="Book Antiqua" w:hAnsi="Book Antiqua" w:cs="Arial"/>
        </w:rPr>
        <w:t xml:space="preserve"> based</w:t>
      </w:r>
      <w:r w:rsidR="00DE2992" w:rsidRPr="00644ED5">
        <w:rPr>
          <w:rFonts w:ascii="Book Antiqua" w:hAnsi="Book Antiqua" w:cs="Arial"/>
        </w:rPr>
        <w:t>,</w:t>
      </w:r>
      <w:r w:rsidR="00F72B2E" w:rsidRPr="00644ED5">
        <w:rPr>
          <w:rFonts w:ascii="Book Antiqua" w:hAnsi="Book Antiqua" w:cs="Arial"/>
        </w:rPr>
        <w:t xml:space="preserve"> multicentre RCT evaluating the role of rifaximin in preventing secondary infections in cirrhotic patients</w:t>
      </w:r>
      <w:r w:rsidR="00EF6590" w:rsidRPr="00644ED5">
        <w:rPr>
          <w:rFonts w:ascii="Book Antiqua" w:hAnsi="Book Antiqua" w:cs="Arial"/>
        </w:rPr>
        <w:t>, including both community and hospital acquired infections,</w:t>
      </w:r>
      <w:r w:rsidR="00F72B2E" w:rsidRPr="00644ED5">
        <w:rPr>
          <w:rFonts w:ascii="Book Antiqua" w:hAnsi="Book Antiqua" w:cs="Arial"/>
        </w:rPr>
        <w:t xml:space="preserve"> is currently being undertaken</w:t>
      </w:r>
      <w:r w:rsidR="00EF6590" w:rsidRPr="00644ED5">
        <w:rPr>
          <w:rFonts w:ascii="Book Antiqua" w:hAnsi="Book Antiqua" w:cs="Arial"/>
        </w:rPr>
        <w:t xml:space="preserve"> and its results are awaited</w:t>
      </w:r>
      <w:r w:rsidR="00BA0FDC" w:rsidRPr="00644ED5">
        <w:rPr>
          <w:rFonts w:ascii="Book Antiqua" w:hAnsi="Book Antiqua" w:cs="Arial"/>
          <w:vertAlign w:val="superscript"/>
        </w:rPr>
        <w:t>[78]</w:t>
      </w:r>
      <w:r w:rsidR="00EF6590" w:rsidRPr="00644ED5">
        <w:rPr>
          <w:rFonts w:ascii="Book Antiqua" w:hAnsi="Book Antiqua" w:cs="Arial"/>
        </w:rPr>
        <w:t xml:space="preserve">. </w:t>
      </w:r>
      <w:bookmarkStart w:id="43" w:name="_Hlk535415085"/>
      <w:bookmarkStart w:id="44" w:name="_Toc497668317"/>
    </w:p>
    <w:p w14:paraId="344DC3E9" w14:textId="77777777" w:rsidR="00E859C9" w:rsidRPr="00644ED5" w:rsidRDefault="00E859C9" w:rsidP="00E859C9">
      <w:pPr>
        <w:spacing w:line="360" w:lineRule="auto"/>
        <w:rPr>
          <w:rFonts w:ascii="Book Antiqua" w:hAnsi="Book Antiqua" w:cs="Arial"/>
          <w:lang w:eastAsia="zh-CN"/>
        </w:rPr>
      </w:pPr>
    </w:p>
    <w:p w14:paraId="4B60BEE9" w14:textId="07952AF0" w:rsidR="00F93EC0" w:rsidRPr="00644ED5" w:rsidRDefault="00EB20FA" w:rsidP="00667231">
      <w:pPr>
        <w:spacing w:line="360" w:lineRule="auto"/>
        <w:rPr>
          <w:rFonts w:ascii="Book Antiqua" w:hAnsi="Book Antiqua" w:cs="Arial"/>
          <w:b/>
          <w:lang w:eastAsia="zh-CN"/>
        </w:rPr>
      </w:pPr>
      <w:r w:rsidRPr="00644ED5">
        <w:rPr>
          <w:rFonts w:ascii="Book Antiqua" w:hAnsi="Book Antiqua"/>
          <w:b/>
        </w:rPr>
        <w:lastRenderedPageBreak/>
        <w:t>L-ornithine L-aspartate</w:t>
      </w:r>
      <w:r w:rsidR="007441AF" w:rsidRPr="00644ED5">
        <w:rPr>
          <w:rFonts w:ascii="Book Antiqua" w:hAnsi="Book Antiqua"/>
          <w:b/>
        </w:rPr>
        <w:t xml:space="preserve"> and acarbose</w:t>
      </w:r>
      <w:r w:rsidR="00E859C9" w:rsidRPr="00644ED5">
        <w:rPr>
          <w:rFonts w:ascii="Book Antiqua" w:hAnsi="Book Antiqua" w:hint="eastAsia"/>
          <w:b/>
          <w:lang w:eastAsia="zh-CN"/>
        </w:rPr>
        <w:t xml:space="preserve">: </w:t>
      </w:r>
      <w:r w:rsidR="00715B0F" w:rsidRPr="00644ED5">
        <w:rPr>
          <w:rFonts w:ascii="Book Antiqua" w:hAnsi="Book Antiqua" w:cs="Arial"/>
        </w:rPr>
        <w:t xml:space="preserve">As outlined, ammonia has been identified as </w:t>
      </w:r>
      <w:r w:rsidR="00B75266" w:rsidRPr="00644ED5">
        <w:rPr>
          <w:rFonts w:ascii="Book Antiqua" w:hAnsi="Book Antiqua" w:cs="Arial"/>
        </w:rPr>
        <w:t>the</w:t>
      </w:r>
      <w:r w:rsidR="00715B0F" w:rsidRPr="00644ED5">
        <w:rPr>
          <w:rFonts w:ascii="Book Antiqua" w:hAnsi="Book Antiqua" w:cs="Arial"/>
        </w:rPr>
        <w:t xml:space="preserve"> pivotal neurotoxin implicated in the pathogenesis of HE and its reduction is a central objective in the therapeutic approach to HE management. </w:t>
      </w:r>
      <w:r w:rsidR="00E859C9" w:rsidRPr="00644ED5">
        <w:rPr>
          <w:rFonts w:ascii="Book Antiqua" w:hAnsi="Book Antiqua" w:cs="Arial"/>
        </w:rPr>
        <w:t>LOLA</w:t>
      </w:r>
      <w:r w:rsidR="00715B0F" w:rsidRPr="00644ED5">
        <w:rPr>
          <w:rFonts w:ascii="Book Antiqua" w:hAnsi="Book Antiqua" w:cs="Arial"/>
        </w:rPr>
        <w:t xml:space="preserve"> has demonstrated ammonia-lowering properties by enhancing residual hepatic urea cycle activity and skeletal muscle glutamine synthesis</w:t>
      </w:r>
      <w:r w:rsidR="00BA0FDC" w:rsidRPr="00644ED5">
        <w:rPr>
          <w:rFonts w:ascii="Book Antiqua" w:hAnsi="Book Antiqua" w:cs="Arial"/>
          <w:vertAlign w:val="superscript"/>
        </w:rPr>
        <w:t>[79,80]</w:t>
      </w:r>
      <w:r w:rsidR="00715B0F" w:rsidRPr="00644ED5">
        <w:rPr>
          <w:rFonts w:ascii="Book Antiqua" w:hAnsi="Book Antiqua" w:cs="Arial"/>
        </w:rPr>
        <w:t xml:space="preserve">. </w:t>
      </w:r>
      <w:r w:rsidR="00B00A64" w:rsidRPr="00644ED5">
        <w:rPr>
          <w:rFonts w:ascii="Book Antiqua" w:hAnsi="Book Antiqua" w:cs="Arial"/>
        </w:rPr>
        <w:t xml:space="preserve">Goh </w:t>
      </w:r>
      <w:r w:rsidR="00B00A64" w:rsidRPr="00644ED5">
        <w:rPr>
          <w:rFonts w:ascii="Book Antiqua" w:hAnsi="Book Antiqua" w:cs="Arial"/>
          <w:i/>
        </w:rPr>
        <w:t>et al</w:t>
      </w:r>
      <w:r w:rsidR="00E859C9" w:rsidRPr="00644ED5">
        <w:rPr>
          <w:rFonts w:ascii="Book Antiqua" w:hAnsi="Book Antiqua" w:cs="Arial"/>
          <w:vertAlign w:val="superscript"/>
        </w:rPr>
        <w:t>[79]</w:t>
      </w:r>
      <w:r w:rsidR="00B00A64" w:rsidRPr="00644ED5">
        <w:rPr>
          <w:rFonts w:ascii="Book Antiqua" w:hAnsi="Book Antiqua" w:cs="Arial"/>
        </w:rPr>
        <w:t xml:space="preserve"> performed a recent Cochrane systematic review of 36 RCTs and 2377 patients summarising the evidence of </w:t>
      </w:r>
      <w:r w:rsidR="00CF02EB" w:rsidRPr="00644ED5">
        <w:rPr>
          <w:rFonts w:ascii="Book Antiqua" w:hAnsi="Book Antiqua" w:cs="Arial"/>
        </w:rPr>
        <w:t>LOLA</w:t>
      </w:r>
      <w:r w:rsidR="00B00A64" w:rsidRPr="00644ED5">
        <w:rPr>
          <w:rFonts w:ascii="Book Antiqua" w:hAnsi="Book Antiqua" w:cs="Arial"/>
        </w:rPr>
        <w:t xml:space="preserve"> in the prevention and treatment of HE. The authors found very low quality evidence that </w:t>
      </w:r>
      <w:r w:rsidR="00CF02EB" w:rsidRPr="00644ED5">
        <w:rPr>
          <w:rFonts w:ascii="Book Antiqua" w:hAnsi="Book Antiqua" w:cs="Arial"/>
        </w:rPr>
        <w:t>LOLA</w:t>
      </w:r>
      <w:r w:rsidR="00BA7787" w:rsidRPr="00644ED5">
        <w:rPr>
          <w:rFonts w:ascii="Book Antiqua" w:hAnsi="Book Antiqua" w:cs="Arial"/>
        </w:rPr>
        <w:t xml:space="preserve"> </w:t>
      </w:r>
      <w:r w:rsidR="00B00A64" w:rsidRPr="00644ED5">
        <w:rPr>
          <w:rFonts w:ascii="Book Antiqua" w:hAnsi="Book Antiqua" w:cs="Arial"/>
        </w:rPr>
        <w:t>had beneficial effects on mortality, HE and serious adverse events</w:t>
      </w:r>
      <w:r w:rsidR="00BA7787" w:rsidRPr="00644ED5">
        <w:rPr>
          <w:rFonts w:ascii="Book Antiqua" w:hAnsi="Book Antiqua" w:cs="Arial"/>
        </w:rPr>
        <w:t xml:space="preserve"> compared to placebo. However, these findings were not upheld when only trials with low risk of bias were considered.</w:t>
      </w:r>
      <w:r w:rsidR="00CC1C8E" w:rsidRPr="00644ED5">
        <w:rPr>
          <w:rFonts w:ascii="Book Antiqua" w:hAnsi="Book Antiqua" w:cs="Arial"/>
        </w:rPr>
        <w:t xml:space="preserve"> On subgroup analysis, there was no difference between intravenous a</w:t>
      </w:r>
      <w:r w:rsidR="006C6790" w:rsidRPr="00644ED5">
        <w:rPr>
          <w:rFonts w:ascii="Book Antiqua" w:hAnsi="Book Antiqua" w:cs="Arial"/>
        </w:rPr>
        <w:t xml:space="preserve">nd oral </w:t>
      </w:r>
      <w:r w:rsidR="00CF02EB" w:rsidRPr="00644ED5">
        <w:rPr>
          <w:rFonts w:ascii="Book Antiqua" w:hAnsi="Book Antiqua" w:cs="Arial"/>
        </w:rPr>
        <w:t>LOLA</w:t>
      </w:r>
      <w:r w:rsidR="006C6790" w:rsidRPr="00644ED5">
        <w:rPr>
          <w:rFonts w:ascii="Book Antiqua" w:hAnsi="Book Antiqua" w:cs="Arial"/>
        </w:rPr>
        <w:t xml:space="preserve"> administration or between minimal and overt HE.</w:t>
      </w:r>
      <w:r w:rsidR="00BA7787" w:rsidRPr="00644ED5">
        <w:rPr>
          <w:rFonts w:ascii="Book Antiqua" w:hAnsi="Book Antiqua" w:cs="Arial"/>
        </w:rPr>
        <w:t xml:space="preserve"> In comparison to lactulose and rifaximin, </w:t>
      </w:r>
      <w:r w:rsidR="00CF02EB" w:rsidRPr="00644ED5">
        <w:rPr>
          <w:rFonts w:ascii="Book Antiqua" w:hAnsi="Book Antiqua" w:cs="Arial"/>
        </w:rPr>
        <w:t>LOLA</w:t>
      </w:r>
      <w:r w:rsidR="00BA7787" w:rsidRPr="00644ED5">
        <w:rPr>
          <w:rFonts w:ascii="Book Antiqua" w:hAnsi="Book Antiqua" w:cs="Arial"/>
        </w:rPr>
        <w:t xml:space="preserve"> demonstrated no effect on mortality, HE and serious adverse events</w:t>
      </w:r>
      <w:r w:rsidR="006C6790" w:rsidRPr="00644ED5">
        <w:rPr>
          <w:rFonts w:ascii="Book Antiqua" w:hAnsi="Book Antiqua" w:cs="Arial"/>
        </w:rPr>
        <w:t>. The</w:t>
      </w:r>
      <w:r w:rsidR="00AC1DB5" w:rsidRPr="00644ED5">
        <w:rPr>
          <w:rFonts w:ascii="Book Antiqua" w:hAnsi="Book Antiqua" w:cs="Arial"/>
        </w:rPr>
        <w:t xml:space="preserve"> </w:t>
      </w:r>
      <w:r w:rsidR="006C6790" w:rsidRPr="00644ED5">
        <w:rPr>
          <w:rFonts w:ascii="Book Antiqua" w:hAnsi="Book Antiqua" w:cs="Arial"/>
        </w:rPr>
        <w:t xml:space="preserve">uncertainty </w:t>
      </w:r>
      <w:r w:rsidR="00AC1DB5" w:rsidRPr="00644ED5">
        <w:rPr>
          <w:rFonts w:ascii="Book Antiqua" w:hAnsi="Book Antiqua" w:cs="Arial"/>
        </w:rPr>
        <w:t>stemming from data quality concerns led</w:t>
      </w:r>
      <w:r w:rsidR="00BA7787" w:rsidRPr="00644ED5">
        <w:rPr>
          <w:rFonts w:ascii="Book Antiqua" w:hAnsi="Book Antiqua" w:cs="Arial"/>
        </w:rPr>
        <w:t xml:space="preserve"> the authors to conclude that new, high-quality RCTs are required for </w:t>
      </w:r>
      <w:r w:rsidR="00E27F03" w:rsidRPr="00644ED5">
        <w:rPr>
          <w:rFonts w:ascii="Book Antiqua" w:hAnsi="Book Antiqua" w:cs="Arial"/>
        </w:rPr>
        <w:t xml:space="preserve">the </w:t>
      </w:r>
      <w:r w:rsidR="00BA7787" w:rsidRPr="00644ED5">
        <w:rPr>
          <w:rFonts w:ascii="Book Antiqua" w:hAnsi="Book Antiqua" w:cs="Arial"/>
        </w:rPr>
        <w:t xml:space="preserve">definitive </w:t>
      </w:r>
      <w:r w:rsidR="00E27F03" w:rsidRPr="00644ED5">
        <w:rPr>
          <w:rFonts w:ascii="Book Antiqua" w:hAnsi="Book Antiqua" w:cs="Arial"/>
        </w:rPr>
        <w:t>evaluation of evidence</w:t>
      </w:r>
      <w:r w:rsidR="00BA0FDC" w:rsidRPr="00644ED5">
        <w:rPr>
          <w:rFonts w:ascii="Book Antiqua" w:hAnsi="Book Antiqua" w:cs="Arial"/>
          <w:vertAlign w:val="superscript"/>
        </w:rPr>
        <w:t>[79]</w:t>
      </w:r>
      <w:r w:rsidR="00BA7787" w:rsidRPr="00644ED5">
        <w:rPr>
          <w:rFonts w:ascii="Book Antiqua" w:hAnsi="Book Antiqua" w:cs="Arial"/>
        </w:rPr>
        <w:t>. A randomised, placebo-controlled, quadruple blinded</w:t>
      </w:r>
      <w:r w:rsidR="00E27F03" w:rsidRPr="00644ED5">
        <w:rPr>
          <w:rFonts w:ascii="Book Antiqua" w:hAnsi="Book Antiqua" w:cs="Arial"/>
        </w:rPr>
        <w:t xml:space="preserve">, phase IV trial investigating the efficacy of </w:t>
      </w:r>
      <w:r w:rsidR="00CF02EB" w:rsidRPr="00644ED5">
        <w:rPr>
          <w:rFonts w:ascii="Book Antiqua" w:hAnsi="Book Antiqua" w:cs="Arial"/>
        </w:rPr>
        <w:t>LOLA</w:t>
      </w:r>
      <w:r w:rsidR="00E27F03" w:rsidRPr="00644ED5">
        <w:rPr>
          <w:rFonts w:ascii="Book Antiqua" w:hAnsi="Book Antiqua" w:cs="Arial"/>
        </w:rPr>
        <w:t xml:space="preserve"> in treating overt HE is currently in progress and its results are awaited</w:t>
      </w:r>
      <w:r w:rsidR="00BA0FDC" w:rsidRPr="00644ED5">
        <w:rPr>
          <w:rFonts w:ascii="Book Antiqua" w:hAnsi="Book Antiqua" w:cs="Arial"/>
          <w:vertAlign w:val="superscript"/>
        </w:rPr>
        <w:t>[81]</w:t>
      </w:r>
      <w:r w:rsidR="00E27F03" w:rsidRPr="00644ED5">
        <w:rPr>
          <w:rFonts w:ascii="Book Antiqua" w:hAnsi="Book Antiqua" w:cs="Arial"/>
        </w:rPr>
        <w:t xml:space="preserve">. </w:t>
      </w:r>
    </w:p>
    <w:p w14:paraId="2E306AE3" w14:textId="414EB288" w:rsidR="00CC7C05" w:rsidRPr="00644ED5" w:rsidRDefault="00243721" w:rsidP="00CC7C05">
      <w:pPr>
        <w:spacing w:line="360" w:lineRule="auto"/>
        <w:ind w:firstLineChars="100" w:firstLine="240"/>
        <w:rPr>
          <w:rFonts w:ascii="Book Antiqua" w:hAnsi="Book Antiqua" w:cs="Arial"/>
          <w:lang w:eastAsia="zh-CN"/>
        </w:rPr>
      </w:pPr>
      <w:r w:rsidRPr="00644ED5">
        <w:rPr>
          <w:rFonts w:ascii="Book Antiqua" w:hAnsi="Book Antiqua" w:cs="Arial"/>
        </w:rPr>
        <w:t xml:space="preserve">One randomised, double-blinded, placebo-controlled trial </w:t>
      </w:r>
      <w:r w:rsidR="007F6482" w:rsidRPr="00644ED5">
        <w:rPr>
          <w:rFonts w:ascii="Book Antiqua" w:hAnsi="Book Antiqua" w:cs="Arial"/>
        </w:rPr>
        <w:t>in 107 cirrhotic patients with HE and type 2 diabetes mellitus</w:t>
      </w:r>
      <w:r w:rsidR="001C2DFE" w:rsidRPr="00644ED5">
        <w:rPr>
          <w:rFonts w:ascii="Book Antiqua" w:hAnsi="Book Antiqua" w:cs="Arial"/>
        </w:rPr>
        <w:t xml:space="preserve"> provided encouraging data for the safety and efficacy of acarbose in </w:t>
      </w:r>
      <w:r w:rsidR="003254E6" w:rsidRPr="00644ED5">
        <w:rPr>
          <w:rFonts w:ascii="Book Antiqua" w:hAnsi="Book Antiqua" w:cs="Arial"/>
        </w:rPr>
        <w:t>treating</w:t>
      </w:r>
      <w:r w:rsidR="001C2DFE" w:rsidRPr="00644ED5">
        <w:rPr>
          <w:rFonts w:ascii="Book Antiqua" w:hAnsi="Book Antiqua" w:cs="Arial"/>
        </w:rPr>
        <w:t xml:space="preserve"> HE with the intervention group demonstrating lower blood ammonia levels, improved encephalopathy global score and reduced Child-Pugh score</w:t>
      </w:r>
      <w:r w:rsidR="00BA0FDC" w:rsidRPr="00644ED5">
        <w:rPr>
          <w:rFonts w:ascii="Book Antiqua" w:hAnsi="Book Antiqua" w:cs="Arial"/>
          <w:vertAlign w:val="superscript"/>
        </w:rPr>
        <w:t>[82]</w:t>
      </w:r>
      <w:r w:rsidR="001C2DFE" w:rsidRPr="00644ED5">
        <w:rPr>
          <w:rFonts w:ascii="Book Antiqua" w:hAnsi="Book Antiqua" w:cs="Arial"/>
        </w:rPr>
        <w:t>.</w:t>
      </w:r>
      <w:r w:rsidR="007441AF" w:rsidRPr="00644ED5">
        <w:rPr>
          <w:rFonts w:ascii="Book Antiqua" w:hAnsi="Book Antiqua" w:cs="Arial"/>
        </w:rPr>
        <w:t xml:space="preserve"> However, </w:t>
      </w:r>
      <w:r w:rsidR="003254E6" w:rsidRPr="00644ED5">
        <w:rPr>
          <w:rFonts w:ascii="Book Antiqua" w:hAnsi="Book Antiqua" w:cs="Arial"/>
        </w:rPr>
        <w:t xml:space="preserve">the generalisability of these findings is diminished by </w:t>
      </w:r>
      <w:r w:rsidR="007441AF" w:rsidRPr="00644ED5">
        <w:rPr>
          <w:rFonts w:ascii="Book Antiqua" w:hAnsi="Book Antiqua" w:cs="Arial"/>
        </w:rPr>
        <w:t xml:space="preserve">the highly selective study population of </w:t>
      </w:r>
      <w:r w:rsidR="003254E6" w:rsidRPr="00644ED5">
        <w:rPr>
          <w:rFonts w:ascii="Book Antiqua" w:hAnsi="Book Antiqua" w:cs="Arial"/>
        </w:rPr>
        <w:t xml:space="preserve">compensated </w:t>
      </w:r>
      <w:r w:rsidR="007441AF" w:rsidRPr="00644ED5">
        <w:rPr>
          <w:rFonts w:ascii="Book Antiqua" w:hAnsi="Book Antiqua" w:cs="Arial"/>
        </w:rPr>
        <w:t>Child-Pugh A cirrhotics</w:t>
      </w:r>
      <w:r w:rsidR="003254E6" w:rsidRPr="00644ED5">
        <w:rPr>
          <w:rFonts w:ascii="Book Antiqua" w:hAnsi="Book Antiqua" w:cs="Arial"/>
        </w:rPr>
        <w:t xml:space="preserve"> </w:t>
      </w:r>
      <w:r w:rsidR="007441AF" w:rsidRPr="00644ED5">
        <w:rPr>
          <w:rFonts w:ascii="Book Antiqua" w:hAnsi="Book Antiqua" w:cs="Arial"/>
        </w:rPr>
        <w:t xml:space="preserve">with </w:t>
      </w:r>
      <w:r w:rsidR="003254E6" w:rsidRPr="00644ED5">
        <w:rPr>
          <w:rFonts w:ascii="Book Antiqua" w:hAnsi="Book Antiqua" w:cs="Arial"/>
        </w:rPr>
        <w:t xml:space="preserve">predominantly </w:t>
      </w:r>
      <w:r w:rsidR="007441AF" w:rsidRPr="00644ED5">
        <w:rPr>
          <w:rFonts w:ascii="Book Antiqua" w:hAnsi="Book Antiqua" w:cs="Arial"/>
        </w:rPr>
        <w:t>Grade 2 encephalopathy</w:t>
      </w:r>
      <w:r w:rsidR="00F03F4E" w:rsidRPr="00644ED5">
        <w:rPr>
          <w:rFonts w:ascii="Book Antiqua" w:hAnsi="Book Antiqua" w:cs="Arial"/>
        </w:rPr>
        <w:t>,</w:t>
      </w:r>
      <w:r w:rsidR="007441AF" w:rsidRPr="00644ED5">
        <w:rPr>
          <w:rFonts w:ascii="Book Antiqua" w:hAnsi="Book Antiqua" w:cs="Arial"/>
        </w:rPr>
        <w:t xml:space="preserve"> </w:t>
      </w:r>
      <w:r w:rsidR="003254E6" w:rsidRPr="00644ED5">
        <w:rPr>
          <w:rFonts w:ascii="Book Antiqua" w:hAnsi="Book Antiqua" w:cs="Arial"/>
        </w:rPr>
        <w:t>as well as</w:t>
      </w:r>
      <w:r w:rsidR="007441AF" w:rsidRPr="00644ED5">
        <w:rPr>
          <w:rFonts w:ascii="Book Antiqua" w:hAnsi="Book Antiqua" w:cs="Arial"/>
        </w:rPr>
        <w:t xml:space="preserve"> the scarcity of further studies investigating the efficacy of acarbose in treating HE</w:t>
      </w:r>
      <w:r w:rsidR="00BA0FDC" w:rsidRPr="00644ED5">
        <w:rPr>
          <w:rFonts w:ascii="Book Antiqua" w:hAnsi="Book Antiqua" w:cs="Arial"/>
          <w:vertAlign w:val="superscript"/>
        </w:rPr>
        <w:t>[83]</w:t>
      </w:r>
      <w:r w:rsidR="007441AF" w:rsidRPr="00644ED5">
        <w:rPr>
          <w:rFonts w:ascii="Book Antiqua" w:hAnsi="Book Antiqua" w:cs="Arial"/>
        </w:rPr>
        <w:t xml:space="preserve">. Acarbose is not mentioned in current EASL and AASLD guidelines for HE management. </w:t>
      </w:r>
      <w:bookmarkEnd w:id="43"/>
    </w:p>
    <w:p w14:paraId="084CE287" w14:textId="77777777" w:rsidR="00CC7C05" w:rsidRPr="00644ED5" w:rsidRDefault="00CC7C05" w:rsidP="00CC7C05">
      <w:pPr>
        <w:spacing w:line="360" w:lineRule="auto"/>
        <w:rPr>
          <w:rFonts w:ascii="Book Antiqua" w:hAnsi="Book Antiqua" w:cs="Arial"/>
          <w:lang w:eastAsia="zh-CN"/>
        </w:rPr>
      </w:pPr>
    </w:p>
    <w:p w14:paraId="1A909BF4" w14:textId="12816002" w:rsidR="00AA42A6" w:rsidRPr="00644ED5" w:rsidRDefault="00AA42A6" w:rsidP="00CC7C05">
      <w:pPr>
        <w:spacing w:line="360" w:lineRule="auto"/>
        <w:rPr>
          <w:rFonts w:ascii="Book Antiqua" w:hAnsi="Book Antiqua"/>
          <w:b/>
          <w:i/>
        </w:rPr>
      </w:pPr>
      <w:r w:rsidRPr="00644ED5">
        <w:rPr>
          <w:rFonts w:ascii="Book Antiqua" w:hAnsi="Book Antiqua"/>
          <w:b/>
          <w:i/>
        </w:rPr>
        <w:t>Diuretics</w:t>
      </w:r>
      <w:bookmarkEnd w:id="44"/>
      <w:r w:rsidRPr="00644ED5">
        <w:rPr>
          <w:rFonts w:ascii="Book Antiqua" w:hAnsi="Book Antiqua"/>
          <w:b/>
          <w:i/>
        </w:rPr>
        <w:t xml:space="preserve"> </w:t>
      </w:r>
    </w:p>
    <w:p w14:paraId="2FEFF2E7" w14:textId="6672CD5A" w:rsidR="00CC7C05" w:rsidRPr="00644ED5" w:rsidRDefault="00EF6590" w:rsidP="00CC7C05">
      <w:pPr>
        <w:pStyle w:val="a3"/>
        <w:spacing w:before="0" w:beforeAutospacing="0" w:after="0" w:afterAutospacing="0" w:line="360" w:lineRule="auto"/>
        <w:rPr>
          <w:rFonts w:ascii="Book Antiqua" w:hAnsi="Book Antiqua" w:cs="Arial"/>
          <w:lang w:eastAsia="zh-CN"/>
        </w:rPr>
      </w:pPr>
      <w:r w:rsidRPr="00644ED5">
        <w:rPr>
          <w:rFonts w:ascii="Book Antiqua" w:hAnsi="Book Antiqua" w:cs="Arial"/>
        </w:rPr>
        <w:t>The most common complicati</w:t>
      </w:r>
      <w:r w:rsidR="000B41BE" w:rsidRPr="00644ED5">
        <w:rPr>
          <w:rFonts w:ascii="Book Antiqua" w:hAnsi="Book Antiqua" w:cs="Arial"/>
        </w:rPr>
        <w:t>on of cirrhosis is ascites</w:t>
      </w:r>
      <w:r w:rsidR="00BA0FDC" w:rsidRPr="00644ED5">
        <w:rPr>
          <w:rFonts w:ascii="Book Antiqua" w:hAnsi="Book Antiqua" w:cs="Arial"/>
          <w:vertAlign w:val="superscript"/>
        </w:rPr>
        <w:t>[84]</w:t>
      </w:r>
      <w:r w:rsidR="000B41BE" w:rsidRPr="00644ED5">
        <w:rPr>
          <w:rFonts w:ascii="Book Antiqua" w:hAnsi="Book Antiqua" w:cs="Arial"/>
        </w:rPr>
        <w:t xml:space="preserve">. </w:t>
      </w:r>
      <w:r w:rsidR="00AA42A6" w:rsidRPr="00644ED5">
        <w:rPr>
          <w:rFonts w:ascii="Book Antiqua" w:hAnsi="Book Antiqua" w:cs="Arial"/>
        </w:rPr>
        <w:t>Diuretics are the mainstay of treatment for moderate ascites</w:t>
      </w:r>
      <w:r w:rsidR="00812F37" w:rsidRPr="00644ED5">
        <w:rPr>
          <w:rFonts w:ascii="Book Antiqua" w:hAnsi="Book Antiqua" w:cs="Arial"/>
        </w:rPr>
        <w:t xml:space="preserve"> (Grade 2)</w:t>
      </w:r>
      <w:r w:rsidR="00BA0FDC" w:rsidRPr="00644ED5">
        <w:rPr>
          <w:rFonts w:ascii="Book Antiqua" w:hAnsi="Book Antiqua" w:cs="Arial"/>
          <w:vertAlign w:val="superscript"/>
        </w:rPr>
        <w:t>[72,85]</w:t>
      </w:r>
      <w:r w:rsidR="00AA42A6" w:rsidRPr="00644ED5">
        <w:rPr>
          <w:rFonts w:ascii="Book Antiqua" w:hAnsi="Book Antiqua" w:cs="Arial"/>
        </w:rPr>
        <w:t xml:space="preserve">. </w:t>
      </w:r>
      <w:r w:rsidR="006C54E5" w:rsidRPr="00644ED5">
        <w:rPr>
          <w:rFonts w:ascii="Book Antiqua" w:hAnsi="Book Antiqua" w:cs="Arial"/>
        </w:rPr>
        <w:t>Excessive aldosterone generation</w:t>
      </w:r>
      <w:r w:rsidR="000B41BE" w:rsidRPr="00644ED5">
        <w:rPr>
          <w:rFonts w:ascii="Book Antiqua" w:hAnsi="Book Antiqua" w:cs="Arial"/>
        </w:rPr>
        <w:t xml:space="preserve"> secondary to splanchnic vasodilatation and systemic hypotension</w:t>
      </w:r>
      <w:r w:rsidR="006C54E5" w:rsidRPr="00644ED5">
        <w:rPr>
          <w:rFonts w:ascii="Book Antiqua" w:hAnsi="Book Antiqua" w:cs="Arial"/>
        </w:rPr>
        <w:t xml:space="preserve"> is considered the primary causative factor for increased sodium reabsorption in the kidneys of patients </w:t>
      </w:r>
      <w:r w:rsidR="006C54E5" w:rsidRPr="00644ED5">
        <w:rPr>
          <w:rFonts w:ascii="Book Antiqua" w:hAnsi="Book Antiqua" w:cs="Arial"/>
        </w:rPr>
        <w:lastRenderedPageBreak/>
        <w:t>with cirrhotic ascites</w:t>
      </w:r>
      <w:r w:rsidR="00BA0FDC" w:rsidRPr="00644ED5">
        <w:rPr>
          <w:rFonts w:ascii="Book Antiqua" w:hAnsi="Book Antiqua" w:cs="Arial"/>
          <w:vertAlign w:val="superscript"/>
        </w:rPr>
        <w:t>[86]</w:t>
      </w:r>
      <w:r w:rsidR="006C54E5" w:rsidRPr="00644ED5">
        <w:rPr>
          <w:rFonts w:ascii="Book Antiqua" w:hAnsi="Book Antiqua" w:cs="Arial"/>
        </w:rPr>
        <w:t>. Consequently, s</w:t>
      </w:r>
      <w:r w:rsidR="00AA42A6" w:rsidRPr="00644ED5">
        <w:rPr>
          <w:rFonts w:ascii="Book Antiqua" w:hAnsi="Book Antiqua" w:cs="Arial"/>
        </w:rPr>
        <w:t>pironolactone monotherapy was shown superior to loop diuretics for initial ascites management, with furosemide frequently used as an addition to potentiate diuresis</w:t>
      </w:r>
      <w:r w:rsidR="004261A4" w:rsidRPr="00644ED5">
        <w:rPr>
          <w:rFonts w:ascii="Book Antiqua" w:hAnsi="Book Antiqua" w:cs="Arial"/>
        </w:rPr>
        <w:t xml:space="preserve"> in recurrent ascites</w:t>
      </w:r>
      <w:r w:rsidR="00BA0FDC" w:rsidRPr="00644ED5">
        <w:rPr>
          <w:rFonts w:ascii="Book Antiqua" w:hAnsi="Book Antiqua" w:cs="Arial"/>
          <w:vertAlign w:val="superscript"/>
        </w:rPr>
        <w:t>[72]</w:t>
      </w:r>
      <w:r w:rsidR="00AA42A6" w:rsidRPr="00644ED5">
        <w:rPr>
          <w:rFonts w:ascii="Book Antiqua" w:hAnsi="Book Antiqua" w:cs="Arial"/>
        </w:rPr>
        <w:t>. Side-effects may result from excessive diuresis causing hypovolaemia and renal dysfunction along with electrolyte disturbances such as hyponatraemia, hypokalaemia and hyperkalaemia</w:t>
      </w:r>
      <w:r w:rsidR="00BA0FDC" w:rsidRPr="00644ED5">
        <w:rPr>
          <w:rFonts w:ascii="Book Antiqua" w:hAnsi="Book Antiqua" w:cs="Arial"/>
          <w:vertAlign w:val="superscript"/>
        </w:rPr>
        <w:t>[72,87,88]</w:t>
      </w:r>
      <w:r w:rsidR="00AA42A6" w:rsidRPr="00644ED5">
        <w:rPr>
          <w:rFonts w:ascii="Book Antiqua" w:hAnsi="Book Antiqua" w:cs="Arial"/>
        </w:rPr>
        <w:t xml:space="preserve">. Furthermore, diuretic therapy may precipitate </w:t>
      </w:r>
      <w:r w:rsidR="00B6640C" w:rsidRPr="00644ED5">
        <w:rPr>
          <w:rFonts w:ascii="Book Antiqua" w:hAnsi="Book Antiqua" w:cs="Arial"/>
        </w:rPr>
        <w:t>HE</w:t>
      </w:r>
      <w:r w:rsidR="001153C4" w:rsidRPr="00644ED5">
        <w:rPr>
          <w:rFonts w:ascii="Book Antiqua" w:hAnsi="Book Antiqua" w:cs="Arial"/>
        </w:rPr>
        <w:t>;</w:t>
      </w:r>
      <w:r w:rsidR="004261A4" w:rsidRPr="00644ED5">
        <w:rPr>
          <w:rFonts w:ascii="Book Antiqua" w:hAnsi="Book Antiqua" w:cs="Arial"/>
        </w:rPr>
        <w:t xml:space="preserve"> although the underlying mechanism remains unk</w:t>
      </w:r>
      <w:r w:rsidR="00E8329F" w:rsidRPr="00644ED5">
        <w:rPr>
          <w:rFonts w:ascii="Book Antiqua" w:hAnsi="Book Antiqua" w:cs="Arial"/>
        </w:rPr>
        <w:t>n</w:t>
      </w:r>
      <w:r w:rsidR="004261A4" w:rsidRPr="00644ED5">
        <w:rPr>
          <w:rFonts w:ascii="Book Antiqua" w:hAnsi="Book Antiqua" w:cs="Arial"/>
        </w:rPr>
        <w:t>own</w:t>
      </w:r>
      <w:r w:rsidR="00BA0FDC" w:rsidRPr="00644ED5">
        <w:rPr>
          <w:rFonts w:ascii="Book Antiqua" w:hAnsi="Book Antiqua" w:cs="Arial"/>
          <w:vertAlign w:val="superscript"/>
        </w:rPr>
        <w:t>[72,89,90]</w:t>
      </w:r>
      <w:r w:rsidR="00F72B2E" w:rsidRPr="00644ED5">
        <w:rPr>
          <w:rFonts w:ascii="Book Antiqua" w:hAnsi="Book Antiqua" w:cs="Arial"/>
        </w:rPr>
        <w:t xml:space="preserve">, </w:t>
      </w:r>
      <w:r w:rsidR="001153C4" w:rsidRPr="00644ED5">
        <w:rPr>
          <w:rFonts w:ascii="Book Antiqua" w:hAnsi="Book Antiqua" w:cs="Arial"/>
        </w:rPr>
        <w:t xml:space="preserve">this </w:t>
      </w:r>
      <w:r w:rsidR="00F72B2E" w:rsidRPr="00644ED5">
        <w:rPr>
          <w:rFonts w:ascii="Book Antiqua" w:hAnsi="Book Antiqua" w:cs="Arial"/>
        </w:rPr>
        <w:t>is likely re</w:t>
      </w:r>
      <w:r w:rsidR="000F0A77" w:rsidRPr="00644ED5">
        <w:rPr>
          <w:rFonts w:ascii="Book Antiqua" w:hAnsi="Book Antiqua" w:cs="Arial"/>
        </w:rPr>
        <w:t>la</w:t>
      </w:r>
      <w:r w:rsidR="00F72B2E" w:rsidRPr="00644ED5">
        <w:rPr>
          <w:rFonts w:ascii="Book Antiqua" w:hAnsi="Book Antiqua" w:cs="Arial"/>
        </w:rPr>
        <w:t>ted to a combination of electrolyte disturbance and hypovolaemia</w:t>
      </w:r>
      <w:r w:rsidR="00AA42A6" w:rsidRPr="00644ED5">
        <w:rPr>
          <w:rFonts w:ascii="Book Antiqua" w:hAnsi="Book Antiqua" w:cs="Arial"/>
        </w:rPr>
        <w:t>.</w:t>
      </w:r>
      <w:r w:rsidR="004261A4" w:rsidRPr="00644ED5">
        <w:rPr>
          <w:rFonts w:ascii="Book Antiqua" w:hAnsi="Book Antiqua" w:cs="Arial"/>
        </w:rPr>
        <w:t xml:space="preserve"> To forestall these adverse effects, it is recommended to adjust diuretic dosage so that daily weight loss does not exceed </w:t>
      </w:r>
      <w:r w:rsidR="00D96823" w:rsidRPr="00644ED5">
        <w:rPr>
          <w:rFonts w:ascii="Book Antiqua" w:hAnsi="Book Antiqua" w:cs="Arial"/>
        </w:rPr>
        <w:t>800 g</w:t>
      </w:r>
      <w:r w:rsidR="00BA0FDC" w:rsidRPr="00644ED5">
        <w:rPr>
          <w:rFonts w:ascii="Book Antiqua" w:hAnsi="Book Antiqua" w:cs="Arial"/>
          <w:vertAlign w:val="superscript"/>
        </w:rPr>
        <w:t>[91]</w:t>
      </w:r>
      <w:r w:rsidR="004261A4" w:rsidRPr="00644ED5">
        <w:rPr>
          <w:rFonts w:ascii="Book Antiqua" w:hAnsi="Book Antiqua" w:cs="Arial"/>
        </w:rPr>
        <w:t xml:space="preserve">. </w:t>
      </w:r>
      <w:r w:rsidR="00AA42A6" w:rsidRPr="00644ED5">
        <w:rPr>
          <w:rFonts w:ascii="Book Antiqua" w:hAnsi="Book Antiqua" w:cs="Arial"/>
        </w:rPr>
        <w:t>In cirrhotic patients who develop ascites, one-year survival ranges from 60 to 85%</w:t>
      </w:r>
      <w:r w:rsidR="00BA0FDC" w:rsidRPr="00644ED5">
        <w:rPr>
          <w:rFonts w:ascii="Book Antiqua" w:hAnsi="Book Antiqua" w:cs="Arial"/>
          <w:vertAlign w:val="superscript"/>
        </w:rPr>
        <w:t>[92]</w:t>
      </w:r>
      <w:r w:rsidR="00AA42A6" w:rsidRPr="00644ED5">
        <w:rPr>
          <w:rFonts w:ascii="Book Antiqua" w:hAnsi="Book Antiqua" w:cs="Arial"/>
        </w:rPr>
        <w:t xml:space="preserve">. Sodium restriction and diuretic therapy enable mobilisation of ascites in approximately 90% of those patients. </w:t>
      </w:r>
    </w:p>
    <w:p w14:paraId="5CE7CF3E" w14:textId="77777777" w:rsidR="00CC7C05" w:rsidRPr="00644ED5" w:rsidRDefault="00CC7C05" w:rsidP="00CC7C05">
      <w:pPr>
        <w:pStyle w:val="a3"/>
        <w:spacing w:before="0" w:beforeAutospacing="0" w:after="0" w:afterAutospacing="0" w:line="360" w:lineRule="auto"/>
        <w:rPr>
          <w:rFonts w:ascii="Book Antiqua" w:hAnsi="Book Antiqua" w:cs="Arial"/>
          <w:lang w:eastAsia="zh-CN"/>
        </w:rPr>
      </w:pPr>
    </w:p>
    <w:p w14:paraId="629F90D4" w14:textId="1C4B98F3" w:rsidR="00627827" w:rsidRPr="00644ED5" w:rsidRDefault="00B15C78" w:rsidP="00627827">
      <w:pPr>
        <w:pStyle w:val="a3"/>
        <w:spacing w:before="0" w:beforeAutospacing="0" w:after="0" w:afterAutospacing="0" w:line="360" w:lineRule="auto"/>
        <w:rPr>
          <w:rFonts w:ascii="Book Antiqua" w:hAnsi="Book Antiqua" w:cs="Arial"/>
          <w:lang w:eastAsia="zh-CN"/>
        </w:rPr>
      </w:pPr>
      <w:r w:rsidRPr="00644ED5">
        <w:rPr>
          <w:rFonts w:ascii="Book Antiqua" w:hAnsi="Book Antiqua" w:cs="Arial"/>
          <w:b/>
        </w:rPr>
        <w:t>α-1 and α-2 adrenergic agonists</w:t>
      </w:r>
      <w:r w:rsidR="00CC7C05" w:rsidRPr="00644ED5">
        <w:rPr>
          <w:rFonts w:ascii="Book Antiqua" w:hAnsi="Book Antiqua" w:cs="Arial" w:hint="eastAsia"/>
          <w:b/>
          <w:lang w:eastAsia="zh-CN"/>
        </w:rPr>
        <w:t>:</w:t>
      </w:r>
      <w:r w:rsidR="00CC7C05" w:rsidRPr="00644ED5">
        <w:rPr>
          <w:rFonts w:ascii="Book Antiqua" w:hAnsi="Book Antiqua" w:cs="Arial" w:hint="eastAsia"/>
          <w:lang w:eastAsia="zh-CN"/>
        </w:rPr>
        <w:t xml:space="preserve"> </w:t>
      </w:r>
      <w:r w:rsidR="006A4E9F" w:rsidRPr="00644ED5">
        <w:rPr>
          <w:rFonts w:ascii="Book Antiqua" w:hAnsi="Book Antiqua" w:cs="Arial"/>
        </w:rPr>
        <w:t>O</w:t>
      </w:r>
      <w:r w:rsidR="000E4A5C" w:rsidRPr="00644ED5">
        <w:rPr>
          <w:rFonts w:ascii="Book Antiqua" w:hAnsi="Book Antiqua" w:cs="Arial"/>
        </w:rPr>
        <w:t xml:space="preserve">ne-year survival substantially declines to 25% with the </w:t>
      </w:r>
      <w:r w:rsidR="00AA42A6" w:rsidRPr="00644ED5">
        <w:rPr>
          <w:rFonts w:ascii="Book Antiqua" w:hAnsi="Book Antiqua" w:cs="Arial"/>
        </w:rPr>
        <w:t xml:space="preserve">development of </w:t>
      </w:r>
      <w:r w:rsidR="00E17244" w:rsidRPr="00644ED5">
        <w:rPr>
          <w:rFonts w:ascii="Book Antiqua" w:hAnsi="Book Antiqua" w:cs="Arial"/>
        </w:rPr>
        <w:t>refractory ascites (</w:t>
      </w:r>
      <w:r w:rsidR="00AA42A6" w:rsidRPr="00644ED5">
        <w:rPr>
          <w:rFonts w:ascii="Book Antiqua" w:hAnsi="Book Antiqua" w:cs="Arial"/>
        </w:rPr>
        <w:t>diuretic-resistant</w:t>
      </w:r>
      <w:r w:rsidR="000E4A5C" w:rsidRPr="00644ED5">
        <w:rPr>
          <w:rFonts w:ascii="Book Antiqua" w:hAnsi="Book Antiqua" w:cs="Arial"/>
        </w:rPr>
        <w:t xml:space="preserve"> or diuretic-intractable</w:t>
      </w:r>
      <w:r w:rsidR="00E17244" w:rsidRPr="00644ED5">
        <w:rPr>
          <w:rFonts w:ascii="Book Antiqua" w:hAnsi="Book Antiqua" w:cs="Arial"/>
        </w:rPr>
        <w:t>)</w:t>
      </w:r>
      <w:r w:rsidR="000E4A5C" w:rsidRPr="00644ED5">
        <w:rPr>
          <w:rFonts w:ascii="Book Antiqua" w:hAnsi="Book Antiqua" w:cs="Arial"/>
        </w:rPr>
        <w:t xml:space="preserve">, </w:t>
      </w:r>
      <w:r w:rsidR="00EC61B3" w:rsidRPr="00644ED5">
        <w:rPr>
          <w:rFonts w:ascii="Book Antiqua" w:hAnsi="Book Antiqua" w:cs="Arial"/>
        </w:rPr>
        <w:t>when</w:t>
      </w:r>
      <w:r w:rsidR="000E4A5C" w:rsidRPr="00644ED5">
        <w:rPr>
          <w:rFonts w:ascii="Book Antiqua" w:hAnsi="Book Antiqua" w:cs="Arial"/>
        </w:rPr>
        <w:t xml:space="preserve"> ascites </w:t>
      </w:r>
      <w:r w:rsidR="00E17244" w:rsidRPr="00644ED5">
        <w:rPr>
          <w:rFonts w:ascii="Book Antiqua" w:hAnsi="Book Antiqua" w:cs="Arial"/>
        </w:rPr>
        <w:t>mobilis</w:t>
      </w:r>
      <w:r w:rsidR="000E4A5C" w:rsidRPr="00644ED5">
        <w:rPr>
          <w:rFonts w:ascii="Book Antiqua" w:hAnsi="Book Antiqua" w:cs="Arial"/>
        </w:rPr>
        <w:t>ation fails due to</w:t>
      </w:r>
      <w:r w:rsidR="00E17244" w:rsidRPr="00644ED5">
        <w:rPr>
          <w:rFonts w:ascii="Book Antiqua" w:hAnsi="Book Antiqua" w:cs="Arial"/>
        </w:rPr>
        <w:t xml:space="preserve"> a lack of effect or advent of complications such as SBP, hyponatraemia and renal impairment</w:t>
      </w:r>
      <w:r w:rsidR="00BA0FDC" w:rsidRPr="00644ED5">
        <w:rPr>
          <w:rFonts w:ascii="Book Antiqua" w:hAnsi="Book Antiqua" w:cs="Arial"/>
          <w:vertAlign w:val="superscript"/>
        </w:rPr>
        <w:t>[84,93]</w:t>
      </w:r>
      <w:r w:rsidR="00AA42A6" w:rsidRPr="00644ED5">
        <w:rPr>
          <w:rFonts w:ascii="Book Antiqua" w:hAnsi="Book Antiqua" w:cs="Arial"/>
        </w:rPr>
        <w:t xml:space="preserve">. </w:t>
      </w:r>
      <w:r w:rsidR="006A4E9F" w:rsidRPr="00644ED5">
        <w:rPr>
          <w:rFonts w:ascii="Book Antiqua" w:hAnsi="Book Antiqua" w:cs="Arial"/>
        </w:rPr>
        <w:t xml:space="preserve">First-line management for refractory ascites is </w:t>
      </w:r>
      <w:r w:rsidR="003B5FF2" w:rsidRPr="00644ED5">
        <w:rPr>
          <w:rFonts w:ascii="Book Antiqua" w:hAnsi="Book Antiqua" w:cs="Arial"/>
        </w:rPr>
        <w:t xml:space="preserve">serial </w:t>
      </w:r>
      <w:r w:rsidR="006A4E9F" w:rsidRPr="00644ED5">
        <w:rPr>
          <w:rFonts w:ascii="Book Antiqua" w:hAnsi="Book Antiqua" w:cs="Arial"/>
        </w:rPr>
        <w:t>large-volume paracentesis</w:t>
      </w:r>
      <w:r w:rsidR="00BA0FDC" w:rsidRPr="00644ED5">
        <w:rPr>
          <w:rFonts w:ascii="Book Antiqua" w:hAnsi="Book Antiqua" w:cs="Arial"/>
          <w:vertAlign w:val="superscript"/>
        </w:rPr>
        <w:t>[49]</w:t>
      </w:r>
      <w:r w:rsidR="006A4E9F" w:rsidRPr="00644ED5">
        <w:rPr>
          <w:rFonts w:ascii="Book Antiqua" w:hAnsi="Book Antiqua" w:cs="Arial"/>
        </w:rPr>
        <w:t xml:space="preserve">. However, recent </w:t>
      </w:r>
      <w:r w:rsidR="00B73D6A" w:rsidRPr="00644ED5">
        <w:rPr>
          <w:rFonts w:ascii="Book Antiqua" w:hAnsi="Book Antiqua" w:cs="Arial"/>
        </w:rPr>
        <w:t>evidence has</w:t>
      </w:r>
      <w:r w:rsidR="006A4E9F" w:rsidRPr="00644ED5">
        <w:rPr>
          <w:rFonts w:ascii="Book Antiqua" w:hAnsi="Book Antiqua" w:cs="Arial"/>
        </w:rPr>
        <w:t xml:space="preserve"> prop</w:t>
      </w:r>
      <w:r w:rsidR="003B5FF2" w:rsidRPr="00644ED5">
        <w:rPr>
          <w:rFonts w:ascii="Book Antiqua" w:hAnsi="Book Antiqua" w:cs="Arial"/>
        </w:rPr>
        <w:t>osed a role for α1 and α2-</w:t>
      </w:r>
      <w:r w:rsidR="006A4E9F" w:rsidRPr="00644ED5">
        <w:rPr>
          <w:rFonts w:ascii="Book Antiqua" w:hAnsi="Book Antiqua" w:cs="Arial"/>
        </w:rPr>
        <w:t>adrenergic agonists in managing refractory ascites.</w:t>
      </w:r>
      <w:r w:rsidR="00B73D6A" w:rsidRPr="00644ED5">
        <w:rPr>
          <w:rFonts w:ascii="Book Antiqua" w:hAnsi="Book Antiqua" w:cs="Arial"/>
        </w:rPr>
        <w:t xml:space="preserve"> A group of heterogenous studies </w:t>
      </w:r>
      <w:r w:rsidR="00604780" w:rsidRPr="00644ED5">
        <w:rPr>
          <w:rFonts w:ascii="Book Antiqua" w:hAnsi="Book Antiqua" w:cs="Arial"/>
        </w:rPr>
        <w:t xml:space="preserve">with </w:t>
      </w:r>
      <w:r w:rsidR="00DD603E" w:rsidRPr="00644ED5">
        <w:rPr>
          <w:rFonts w:ascii="Book Antiqua" w:hAnsi="Book Antiqua" w:cs="Arial"/>
        </w:rPr>
        <w:t>differing</w:t>
      </w:r>
      <w:r w:rsidR="00604780" w:rsidRPr="00644ED5">
        <w:rPr>
          <w:rFonts w:ascii="Book Antiqua" w:hAnsi="Book Antiqua" w:cs="Arial"/>
        </w:rPr>
        <w:t xml:space="preserve"> dosing and follow-up regimes demonstrated</w:t>
      </w:r>
      <w:r w:rsidR="00B73D6A" w:rsidRPr="00644ED5">
        <w:rPr>
          <w:rFonts w:ascii="Book Antiqua" w:hAnsi="Book Antiqua" w:cs="Arial"/>
        </w:rPr>
        <w:t xml:space="preserve"> that m</w:t>
      </w:r>
      <w:r w:rsidR="003B5FF2" w:rsidRPr="00644ED5">
        <w:rPr>
          <w:rFonts w:ascii="Book Antiqua" w:hAnsi="Book Antiqua" w:cs="Arial"/>
        </w:rPr>
        <w:t xml:space="preserve">idodrine, a peripheral α1-adrenergic agonist </w:t>
      </w:r>
      <w:r w:rsidR="00691D74" w:rsidRPr="00644ED5">
        <w:rPr>
          <w:rFonts w:ascii="Book Antiqua" w:hAnsi="Book Antiqua" w:cs="Arial"/>
        </w:rPr>
        <w:t>acting as a splanchnic vasoconstrictor</w:t>
      </w:r>
      <w:r w:rsidR="003B5FF2" w:rsidRPr="00644ED5">
        <w:rPr>
          <w:rFonts w:ascii="Book Antiqua" w:hAnsi="Book Antiqua" w:cs="Arial"/>
        </w:rPr>
        <w:t>, increase</w:t>
      </w:r>
      <w:r w:rsidR="00B73D6A" w:rsidRPr="00644ED5">
        <w:rPr>
          <w:rFonts w:ascii="Book Antiqua" w:hAnsi="Book Antiqua" w:cs="Arial"/>
        </w:rPr>
        <w:t>s</w:t>
      </w:r>
      <w:r w:rsidR="003B5FF2" w:rsidRPr="00644ED5">
        <w:rPr>
          <w:rFonts w:ascii="Book Antiqua" w:hAnsi="Book Antiqua" w:cs="Arial"/>
        </w:rPr>
        <w:t xml:space="preserve"> mean arterial pressure, urine o</w:t>
      </w:r>
      <w:r w:rsidR="00604780" w:rsidRPr="00644ED5">
        <w:rPr>
          <w:rFonts w:ascii="Book Antiqua" w:hAnsi="Book Antiqua" w:cs="Arial"/>
        </w:rPr>
        <w:t>utput as well as</w:t>
      </w:r>
      <w:r w:rsidR="003B5FF2" w:rsidRPr="00644ED5">
        <w:rPr>
          <w:rFonts w:ascii="Book Antiqua" w:hAnsi="Book Antiqua" w:cs="Arial"/>
        </w:rPr>
        <w:t xml:space="preserve"> urine sodium output, </w:t>
      </w:r>
      <w:r w:rsidR="00604780" w:rsidRPr="00644ED5">
        <w:rPr>
          <w:rFonts w:ascii="Book Antiqua" w:hAnsi="Book Antiqua" w:cs="Arial"/>
        </w:rPr>
        <w:t>and</w:t>
      </w:r>
      <w:r w:rsidR="003B5FF2" w:rsidRPr="00644ED5">
        <w:rPr>
          <w:rFonts w:ascii="Book Antiqua" w:hAnsi="Book Antiqua" w:cs="Arial"/>
        </w:rPr>
        <w:t xml:space="preserve"> decrease</w:t>
      </w:r>
      <w:r w:rsidR="00B73D6A" w:rsidRPr="00644ED5">
        <w:rPr>
          <w:rFonts w:ascii="Book Antiqua" w:hAnsi="Book Antiqua" w:cs="Arial"/>
        </w:rPr>
        <w:t>s</w:t>
      </w:r>
      <w:r w:rsidR="003B5FF2" w:rsidRPr="00644ED5">
        <w:rPr>
          <w:rFonts w:ascii="Book Antiqua" w:hAnsi="Book Antiqua" w:cs="Arial"/>
        </w:rPr>
        <w:t xml:space="preserve"> plasma renin and aldosterone activity in </w:t>
      </w:r>
      <w:r w:rsidR="00B73D6A" w:rsidRPr="00644ED5">
        <w:rPr>
          <w:rFonts w:ascii="Book Antiqua" w:hAnsi="Book Antiqua" w:cs="Arial"/>
        </w:rPr>
        <w:t>patients with refractory ascites</w:t>
      </w:r>
      <w:r w:rsidR="00BA0FDC" w:rsidRPr="00644ED5">
        <w:rPr>
          <w:rFonts w:ascii="Book Antiqua" w:hAnsi="Book Antiqua" w:cs="Arial"/>
          <w:vertAlign w:val="superscript"/>
        </w:rPr>
        <w:t>[84]</w:t>
      </w:r>
      <w:r w:rsidR="00B73D6A" w:rsidRPr="00644ED5">
        <w:rPr>
          <w:rFonts w:ascii="Book Antiqua" w:hAnsi="Book Antiqua" w:cs="Arial"/>
        </w:rPr>
        <w:t xml:space="preserve">. Two small randomised pilot studies </w:t>
      </w:r>
      <w:r w:rsidR="00604780" w:rsidRPr="00644ED5">
        <w:rPr>
          <w:rFonts w:ascii="Book Antiqua" w:hAnsi="Book Antiqua" w:cs="Arial"/>
        </w:rPr>
        <w:t xml:space="preserve">found that midodrine plus standard medical therapy </w:t>
      </w:r>
      <w:r w:rsidR="00601E0A" w:rsidRPr="00644ED5">
        <w:rPr>
          <w:rFonts w:ascii="Book Antiqua" w:hAnsi="Book Antiqua" w:cs="Arial"/>
        </w:rPr>
        <w:t>transiently</w:t>
      </w:r>
      <w:r w:rsidR="000E208E" w:rsidRPr="00644ED5">
        <w:rPr>
          <w:rFonts w:ascii="Book Antiqua" w:hAnsi="Book Antiqua" w:cs="Arial"/>
        </w:rPr>
        <w:t xml:space="preserve"> (3 mo)</w:t>
      </w:r>
      <w:r w:rsidR="00601E0A" w:rsidRPr="00644ED5">
        <w:rPr>
          <w:rFonts w:ascii="Book Antiqua" w:hAnsi="Book Antiqua" w:cs="Arial"/>
        </w:rPr>
        <w:t xml:space="preserve"> improves</w:t>
      </w:r>
      <w:r w:rsidR="000E208E" w:rsidRPr="00644ED5">
        <w:rPr>
          <w:rFonts w:ascii="Book Antiqua" w:hAnsi="Book Antiqua" w:cs="Arial"/>
        </w:rPr>
        <w:t xml:space="preserve"> </w:t>
      </w:r>
      <w:r w:rsidR="00601E0A" w:rsidRPr="00644ED5">
        <w:rPr>
          <w:rFonts w:ascii="Book Antiqua" w:hAnsi="Book Antiqua" w:cs="Arial"/>
        </w:rPr>
        <w:t>the mobilisation of</w:t>
      </w:r>
      <w:r w:rsidR="00604780" w:rsidRPr="00644ED5">
        <w:rPr>
          <w:rFonts w:ascii="Book Antiqua" w:hAnsi="Book Antiqua" w:cs="Arial"/>
        </w:rPr>
        <w:t xml:space="preserve"> refractory ascites</w:t>
      </w:r>
      <w:r w:rsidR="00601E0A" w:rsidRPr="00644ED5">
        <w:rPr>
          <w:rFonts w:ascii="Book Antiqua" w:hAnsi="Book Antiqua" w:cs="Arial"/>
        </w:rPr>
        <w:t xml:space="preserve"> compared to</w:t>
      </w:r>
      <w:r w:rsidR="00604780" w:rsidRPr="00644ED5">
        <w:rPr>
          <w:rFonts w:ascii="Book Antiqua" w:hAnsi="Book Antiqua" w:cs="Arial"/>
        </w:rPr>
        <w:t xml:space="preserve"> </w:t>
      </w:r>
      <w:r w:rsidR="00601E0A" w:rsidRPr="00644ED5">
        <w:rPr>
          <w:rFonts w:ascii="Book Antiqua" w:hAnsi="Book Antiqua" w:cs="Arial"/>
        </w:rPr>
        <w:t>diuretic</w:t>
      </w:r>
      <w:r w:rsidR="00604780" w:rsidRPr="00644ED5">
        <w:rPr>
          <w:rFonts w:ascii="Book Antiqua" w:hAnsi="Book Antiqua" w:cs="Arial"/>
        </w:rPr>
        <w:t xml:space="preserve"> </w:t>
      </w:r>
      <w:r w:rsidR="00601E0A" w:rsidRPr="00644ED5">
        <w:rPr>
          <w:rFonts w:ascii="Book Antiqua" w:hAnsi="Book Antiqua" w:cs="Arial"/>
        </w:rPr>
        <w:t xml:space="preserve">therapy </w:t>
      </w:r>
      <w:r w:rsidR="00604780" w:rsidRPr="00644ED5">
        <w:rPr>
          <w:rFonts w:ascii="Book Antiqua" w:hAnsi="Book Antiqua" w:cs="Arial"/>
        </w:rPr>
        <w:t>alone</w:t>
      </w:r>
      <w:r w:rsidR="00BA0FDC" w:rsidRPr="00644ED5">
        <w:rPr>
          <w:rFonts w:ascii="Book Antiqua" w:hAnsi="Book Antiqua" w:cs="Arial"/>
          <w:vertAlign w:val="superscript"/>
        </w:rPr>
        <w:t>[94,95]</w:t>
      </w:r>
      <w:r w:rsidR="00604780" w:rsidRPr="00644ED5">
        <w:rPr>
          <w:rFonts w:ascii="Book Antiqua" w:hAnsi="Book Antiqua" w:cs="Arial"/>
        </w:rPr>
        <w:t xml:space="preserve">. </w:t>
      </w:r>
      <w:r w:rsidR="000D63AF" w:rsidRPr="00644ED5">
        <w:rPr>
          <w:rFonts w:ascii="Book Antiqua" w:hAnsi="Book Antiqua" w:cs="Arial"/>
        </w:rPr>
        <w:t xml:space="preserve">Guo </w:t>
      </w:r>
      <w:r w:rsidR="000D63AF" w:rsidRPr="00644ED5">
        <w:rPr>
          <w:rFonts w:ascii="Book Antiqua" w:hAnsi="Book Antiqua" w:cs="Arial"/>
          <w:i/>
        </w:rPr>
        <w:t>et al</w:t>
      </w:r>
      <w:r w:rsidR="00627827" w:rsidRPr="00644ED5">
        <w:rPr>
          <w:rFonts w:ascii="Book Antiqua" w:hAnsi="Book Antiqua" w:cs="Arial"/>
          <w:vertAlign w:val="superscript"/>
        </w:rPr>
        <w:t>[96]</w:t>
      </w:r>
      <w:r w:rsidR="000D63AF" w:rsidRPr="00644ED5">
        <w:rPr>
          <w:rFonts w:ascii="Book Antiqua" w:hAnsi="Book Antiqua" w:cs="Arial"/>
        </w:rPr>
        <w:t xml:space="preserve"> performed a</w:t>
      </w:r>
      <w:r w:rsidR="00EC61B3" w:rsidRPr="00644ED5">
        <w:rPr>
          <w:rFonts w:ascii="Book Antiqua" w:hAnsi="Book Antiqua" w:cs="Arial"/>
        </w:rPr>
        <w:t xml:space="preserve"> meta-analysis of 10 RCTs (</w:t>
      </w:r>
      <w:r w:rsidR="00EC61B3" w:rsidRPr="00644ED5">
        <w:rPr>
          <w:rFonts w:ascii="Book Antiqua" w:hAnsi="Book Antiqua" w:cs="Arial"/>
          <w:i/>
        </w:rPr>
        <w:t>n</w:t>
      </w:r>
      <w:r w:rsidR="00627827" w:rsidRPr="00644ED5">
        <w:rPr>
          <w:rFonts w:ascii="Book Antiqua" w:hAnsi="Book Antiqua" w:cs="Arial" w:hint="eastAsia"/>
          <w:lang w:eastAsia="zh-CN"/>
        </w:rPr>
        <w:t xml:space="preserve"> </w:t>
      </w:r>
      <w:r w:rsidR="00EC61B3" w:rsidRPr="00644ED5">
        <w:rPr>
          <w:rFonts w:ascii="Book Antiqua" w:hAnsi="Book Antiqua" w:cs="Arial"/>
        </w:rPr>
        <w:t>=</w:t>
      </w:r>
      <w:r w:rsidR="00627827" w:rsidRPr="00644ED5">
        <w:rPr>
          <w:rFonts w:ascii="Book Antiqua" w:hAnsi="Book Antiqua" w:cs="Arial" w:hint="eastAsia"/>
          <w:lang w:eastAsia="zh-CN"/>
        </w:rPr>
        <w:t xml:space="preserve"> </w:t>
      </w:r>
      <w:r w:rsidR="00EC61B3" w:rsidRPr="00644ED5">
        <w:rPr>
          <w:rFonts w:ascii="Book Antiqua" w:hAnsi="Book Antiqua" w:cs="Arial"/>
        </w:rPr>
        <w:t xml:space="preserve">462) </w:t>
      </w:r>
      <w:r w:rsidR="000D63AF" w:rsidRPr="00644ED5">
        <w:rPr>
          <w:rFonts w:ascii="Book Antiqua" w:hAnsi="Book Antiqua" w:cs="Arial"/>
        </w:rPr>
        <w:t xml:space="preserve">finding that midodrine </w:t>
      </w:r>
      <w:r w:rsidR="00C817FC" w:rsidRPr="00644ED5">
        <w:rPr>
          <w:rFonts w:ascii="Book Antiqua" w:hAnsi="Book Antiqua" w:cs="Arial"/>
        </w:rPr>
        <w:t>enhances</w:t>
      </w:r>
      <w:r w:rsidR="000D63AF" w:rsidRPr="00644ED5">
        <w:rPr>
          <w:rFonts w:ascii="Book Antiqua" w:hAnsi="Book Antiqua" w:cs="Arial"/>
        </w:rPr>
        <w:t xml:space="preserve"> response rates to diuretics, but does not increase survival in patients with refractory ascites. </w:t>
      </w:r>
      <w:r w:rsidR="00C731C9" w:rsidRPr="00644ED5">
        <w:rPr>
          <w:rFonts w:ascii="Book Antiqua" w:hAnsi="Book Antiqua" w:cs="Arial"/>
        </w:rPr>
        <w:t xml:space="preserve">A recent small-scale prospective observational study also suggests that oral midodrine and subcutaneous octreotide combination therapy could ameliorate cirrhosis-induced hyponatraemia (pre-treatment serum Na: 124 mmol/L </w:t>
      </w:r>
      <w:r w:rsidR="00C731C9" w:rsidRPr="00644ED5">
        <w:rPr>
          <w:rFonts w:ascii="Book Antiqua" w:hAnsi="Book Antiqua" w:cs="Arial"/>
          <w:i/>
        </w:rPr>
        <w:t>vs</w:t>
      </w:r>
      <w:r w:rsidR="00C731C9" w:rsidRPr="00644ED5">
        <w:rPr>
          <w:rFonts w:ascii="Book Antiqua" w:hAnsi="Book Antiqua" w:cs="Arial"/>
        </w:rPr>
        <w:t xml:space="preserve"> post-treatment serum Na: </w:t>
      </w:r>
      <w:r w:rsidR="00C731C9" w:rsidRPr="00644ED5">
        <w:rPr>
          <w:rFonts w:ascii="Book Antiqua" w:hAnsi="Book Antiqua" w:cs="Arial"/>
        </w:rPr>
        <w:lastRenderedPageBreak/>
        <w:t xml:space="preserve">130 mmol/L, </w:t>
      </w:r>
      <w:r w:rsidR="00627827" w:rsidRPr="00644ED5">
        <w:rPr>
          <w:rFonts w:ascii="Book Antiqua" w:hAnsi="Book Antiqua" w:cs="Arial"/>
          <w:i/>
        </w:rPr>
        <w:t>P</w:t>
      </w:r>
      <w:r w:rsidR="00627827" w:rsidRPr="00644ED5">
        <w:rPr>
          <w:rFonts w:ascii="Book Antiqua" w:hAnsi="Book Antiqua" w:cs="Arial" w:hint="eastAsia"/>
          <w:lang w:eastAsia="zh-CN"/>
        </w:rPr>
        <w:t xml:space="preserve"> </w:t>
      </w:r>
      <w:r w:rsidR="00C731C9" w:rsidRPr="00644ED5">
        <w:rPr>
          <w:rFonts w:ascii="Book Antiqua" w:hAnsi="Book Antiqua" w:cs="Arial"/>
        </w:rPr>
        <w:t>=</w:t>
      </w:r>
      <w:r w:rsidR="00627827" w:rsidRPr="00644ED5">
        <w:rPr>
          <w:rFonts w:ascii="Book Antiqua" w:hAnsi="Book Antiqua" w:cs="Arial" w:hint="eastAsia"/>
          <w:lang w:eastAsia="zh-CN"/>
        </w:rPr>
        <w:t xml:space="preserve"> </w:t>
      </w:r>
      <w:r w:rsidR="00C731C9" w:rsidRPr="00644ED5">
        <w:rPr>
          <w:rFonts w:ascii="Book Antiqua" w:hAnsi="Book Antiqua" w:cs="Arial"/>
        </w:rPr>
        <w:t>0.00001)</w:t>
      </w:r>
      <w:r w:rsidR="00BA0FDC" w:rsidRPr="00644ED5">
        <w:rPr>
          <w:rFonts w:ascii="Book Antiqua" w:hAnsi="Book Antiqua" w:cs="Arial"/>
          <w:vertAlign w:val="superscript"/>
        </w:rPr>
        <w:t>[97]</w:t>
      </w:r>
      <w:r w:rsidR="00C731C9" w:rsidRPr="00644ED5">
        <w:rPr>
          <w:rFonts w:ascii="Book Antiqua" w:hAnsi="Book Antiqua" w:cs="Arial"/>
        </w:rPr>
        <w:t xml:space="preserve">. </w:t>
      </w:r>
      <w:r w:rsidR="00AF79BD" w:rsidRPr="00644ED5">
        <w:rPr>
          <w:rFonts w:ascii="Book Antiqua" w:hAnsi="Book Antiqua" w:cs="Arial"/>
        </w:rPr>
        <w:t xml:space="preserve">AASLD </w:t>
      </w:r>
      <w:r w:rsidRPr="00644ED5">
        <w:rPr>
          <w:rFonts w:ascii="Book Antiqua" w:hAnsi="Book Antiqua" w:cs="Arial"/>
        </w:rPr>
        <w:t>advise to</w:t>
      </w:r>
      <w:r w:rsidR="00AF79BD" w:rsidRPr="00644ED5">
        <w:rPr>
          <w:rFonts w:ascii="Book Antiqua" w:hAnsi="Book Antiqua" w:cs="Arial"/>
        </w:rPr>
        <w:t xml:space="preserve"> </w:t>
      </w:r>
      <w:r w:rsidRPr="00644ED5">
        <w:rPr>
          <w:rFonts w:ascii="Book Antiqua" w:hAnsi="Book Antiqua" w:cs="Arial"/>
        </w:rPr>
        <w:t>consider</w:t>
      </w:r>
      <w:r w:rsidR="00601E0A" w:rsidRPr="00644ED5">
        <w:rPr>
          <w:rFonts w:ascii="Book Antiqua" w:hAnsi="Book Antiqua" w:cs="Arial"/>
        </w:rPr>
        <w:t xml:space="preserve"> the administration of midodrine in patients with refractory ascites, while EASL have not recommended its use </w:t>
      </w:r>
      <w:r w:rsidR="000E208E" w:rsidRPr="00644ED5">
        <w:rPr>
          <w:rFonts w:ascii="Book Antiqua" w:hAnsi="Book Antiqua" w:cs="Arial"/>
        </w:rPr>
        <w:t>in view of</w:t>
      </w:r>
      <w:r w:rsidR="00601E0A" w:rsidRPr="00644ED5">
        <w:rPr>
          <w:rFonts w:ascii="Book Antiqua" w:hAnsi="Book Antiqua" w:cs="Arial"/>
        </w:rPr>
        <w:t xml:space="preserve"> limited sample size of existing trials</w:t>
      </w:r>
      <w:r w:rsidR="00BA0FDC" w:rsidRPr="00644ED5">
        <w:rPr>
          <w:rFonts w:ascii="Book Antiqua" w:hAnsi="Book Antiqua" w:cs="Arial"/>
          <w:vertAlign w:val="superscript"/>
        </w:rPr>
        <w:t>[49,71]</w:t>
      </w:r>
      <w:r w:rsidR="00601E0A" w:rsidRPr="00644ED5">
        <w:rPr>
          <w:rFonts w:ascii="Book Antiqua" w:hAnsi="Book Antiqua" w:cs="Arial"/>
        </w:rPr>
        <w:t>.</w:t>
      </w:r>
      <w:r w:rsidR="00643BAA" w:rsidRPr="00644ED5">
        <w:rPr>
          <w:rFonts w:ascii="Book Antiqua" w:hAnsi="Book Antiqua" w:cs="Arial"/>
        </w:rPr>
        <w:t xml:space="preserve"> </w:t>
      </w:r>
      <w:r w:rsidR="00691D74" w:rsidRPr="00644ED5">
        <w:rPr>
          <w:rFonts w:ascii="Book Antiqua" w:hAnsi="Book Antiqua" w:cs="Arial"/>
        </w:rPr>
        <w:t xml:space="preserve">Clonidine, a central α2-adrenergic agonist with sympatholytic activity, </w:t>
      </w:r>
      <w:r w:rsidR="000D63AF" w:rsidRPr="00644ED5">
        <w:rPr>
          <w:rFonts w:ascii="Book Antiqua" w:hAnsi="Book Antiqua" w:cs="Arial"/>
        </w:rPr>
        <w:t>is thought to ameliorate</w:t>
      </w:r>
      <w:r w:rsidR="00691D74" w:rsidRPr="00644ED5">
        <w:rPr>
          <w:rFonts w:ascii="Book Antiqua" w:hAnsi="Book Antiqua" w:cs="Arial"/>
        </w:rPr>
        <w:t xml:space="preserve"> sympathetic nervous system</w:t>
      </w:r>
      <w:r w:rsidR="00827310" w:rsidRPr="00644ED5">
        <w:rPr>
          <w:rFonts w:ascii="Book Antiqua" w:hAnsi="Book Antiqua" w:cs="Arial"/>
        </w:rPr>
        <w:t xml:space="preserve"> overstimulation</w:t>
      </w:r>
      <w:r w:rsidR="00691D74" w:rsidRPr="00644ED5">
        <w:rPr>
          <w:rFonts w:ascii="Book Antiqua" w:hAnsi="Book Antiqua" w:cs="Arial"/>
        </w:rPr>
        <w:t xml:space="preserve"> which leads to renal hypoperfusion and excessive renin-a</w:t>
      </w:r>
      <w:r w:rsidR="000D63AF" w:rsidRPr="00644ED5">
        <w:rPr>
          <w:rFonts w:ascii="Book Antiqua" w:hAnsi="Book Antiqua" w:cs="Arial"/>
        </w:rPr>
        <w:t>ngiotensin system activation in refractory ascites</w:t>
      </w:r>
      <w:r w:rsidR="00BA0FDC" w:rsidRPr="00644ED5">
        <w:rPr>
          <w:rFonts w:ascii="Book Antiqua" w:hAnsi="Book Antiqua" w:cs="Arial"/>
          <w:vertAlign w:val="superscript"/>
        </w:rPr>
        <w:t>[84,98]</w:t>
      </w:r>
      <w:r w:rsidR="00691D74" w:rsidRPr="00644ED5">
        <w:rPr>
          <w:rFonts w:ascii="Book Antiqua" w:hAnsi="Book Antiqua" w:cs="Arial"/>
        </w:rPr>
        <w:t xml:space="preserve">. </w:t>
      </w:r>
      <w:r w:rsidR="000D63AF" w:rsidRPr="00644ED5">
        <w:rPr>
          <w:rFonts w:ascii="Book Antiqua" w:hAnsi="Book Antiqua" w:cs="Arial"/>
        </w:rPr>
        <w:t>Similar to midodrine, clonidine has</w:t>
      </w:r>
      <w:r w:rsidR="003421AE" w:rsidRPr="00644ED5">
        <w:rPr>
          <w:rFonts w:ascii="Book Antiqua" w:hAnsi="Book Antiqua" w:cs="Arial"/>
        </w:rPr>
        <w:t xml:space="preserve"> been shown to improve urine output and urine sodium output, while lowering plasma aldosterone and renin activity</w:t>
      </w:r>
      <w:r w:rsidR="00BD4C5E" w:rsidRPr="00644ED5">
        <w:rPr>
          <w:rFonts w:ascii="Book Antiqua" w:hAnsi="Book Antiqua" w:cs="Arial"/>
        </w:rPr>
        <w:t xml:space="preserve"> in patients with refractory ascites</w:t>
      </w:r>
      <w:r w:rsidR="003421AE" w:rsidRPr="00644ED5">
        <w:rPr>
          <w:rFonts w:ascii="Book Antiqua" w:hAnsi="Book Antiqua" w:cs="Arial"/>
        </w:rPr>
        <w:t xml:space="preserve">. Multiple small-scale RCTs with limited follow-up investigated the clinical efficacy of clonidine in </w:t>
      </w:r>
      <w:r w:rsidR="00BD4C5E" w:rsidRPr="00644ED5">
        <w:rPr>
          <w:rFonts w:ascii="Book Antiqua" w:hAnsi="Book Antiqua" w:cs="Arial"/>
        </w:rPr>
        <w:t>such patients</w:t>
      </w:r>
      <w:r w:rsidR="003421AE" w:rsidRPr="00644ED5">
        <w:rPr>
          <w:rFonts w:ascii="Book Antiqua" w:hAnsi="Book Antiqua" w:cs="Arial"/>
        </w:rPr>
        <w:t>, demonstrating that clonidine reduced diuretic requirements and induced earlier diuretic response</w:t>
      </w:r>
      <w:r w:rsidR="00BA0FDC" w:rsidRPr="00644ED5">
        <w:rPr>
          <w:rFonts w:ascii="Book Antiqua" w:hAnsi="Book Antiqua" w:cs="Arial"/>
          <w:vertAlign w:val="superscript"/>
        </w:rPr>
        <w:t>[94,98]</w:t>
      </w:r>
      <w:r w:rsidR="00BD4C5E" w:rsidRPr="00644ED5">
        <w:rPr>
          <w:rFonts w:ascii="Book Antiqua" w:hAnsi="Book Antiqua" w:cs="Arial"/>
        </w:rPr>
        <w:t xml:space="preserve">. In animal models of cirrhosis, clonidine improved renal function at low doses, but </w:t>
      </w:r>
      <w:r w:rsidR="00951E5E" w:rsidRPr="00644ED5">
        <w:rPr>
          <w:rFonts w:ascii="Book Antiqua" w:hAnsi="Book Antiqua" w:cs="Arial"/>
        </w:rPr>
        <w:t>negatively influenced mean arterial pressure and urine sodium output at high doses</w:t>
      </w:r>
      <w:r w:rsidR="00BA0FDC" w:rsidRPr="00644ED5">
        <w:rPr>
          <w:rFonts w:ascii="Book Antiqua" w:hAnsi="Book Antiqua" w:cs="Arial"/>
          <w:vertAlign w:val="superscript"/>
        </w:rPr>
        <w:t>[99]</w:t>
      </w:r>
      <w:r w:rsidR="00951E5E" w:rsidRPr="00644ED5">
        <w:rPr>
          <w:rFonts w:ascii="Book Antiqua" w:hAnsi="Book Antiqua" w:cs="Arial"/>
        </w:rPr>
        <w:t>. Clonidine is currently not recommended by AASLD or EASL as an adjunct to diuretics in refractory asc</w:t>
      </w:r>
      <w:r w:rsidR="00C817FC" w:rsidRPr="00644ED5">
        <w:rPr>
          <w:rFonts w:ascii="Book Antiqua" w:hAnsi="Book Antiqua" w:cs="Arial"/>
        </w:rPr>
        <w:t>ites management due to the non-existence</w:t>
      </w:r>
      <w:r w:rsidR="00951E5E" w:rsidRPr="00644ED5">
        <w:rPr>
          <w:rFonts w:ascii="Book Antiqua" w:hAnsi="Book Antiqua" w:cs="Arial"/>
        </w:rPr>
        <w:t xml:space="preserve"> of sufficiently powered, long-term studies</w:t>
      </w:r>
      <w:r w:rsidR="00BA0FDC" w:rsidRPr="00644ED5">
        <w:rPr>
          <w:rFonts w:ascii="Book Antiqua" w:hAnsi="Book Antiqua" w:cs="Arial"/>
          <w:vertAlign w:val="superscript"/>
        </w:rPr>
        <w:t>[49,71]</w:t>
      </w:r>
      <w:r w:rsidR="00951E5E" w:rsidRPr="00644ED5">
        <w:rPr>
          <w:rFonts w:ascii="Book Antiqua" w:hAnsi="Book Antiqua" w:cs="Arial"/>
        </w:rPr>
        <w:t xml:space="preserve">. </w:t>
      </w:r>
      <w:bookmarkStart w:id="45" w:name="_Toc497668318"/>
    </w:p>
    <w:p w14:paraId="4A90E9A3" w14:textId="77777777" w:rsidR="00627827" w:rsidRPr="00644ED5" w:rsidRDefault="00627827" w:rsidP="00627827">
      <w:pPr>
        <w:pStyle w:val="a3"/>
        <w:spacing w:before="0" w:beforeAutospacing="0" w:after="0" w:afterAutospacing="0" w:line="360" w:lineRule="auto"/>
        <w:rPr>
          <w:rFonts w:ascii="Book Antiqua" w:hAnsi="Book Antiqua" w:cs="Arial"/>
          <w:lang w:eastAsia="zh-CN"/>
        </w:rPr>
      </w:pPr>
    </w:p>
    <w:p w14:paraId="5FAD3CC9" w14:textId="745A1D8B" w:rsidR="0042408E" w:rsidRPr="00644ED5" w:rsidRDefault="004261A4" w:rsidP="0042408E">
      <w:pPr>
        <w:pStyle w:val="a3"/>
        <w:spacing w:before="0" w:beforeAutospacing="0" w:after="0" w:afterAutospacing="0" w:line="360" w:lineRule="auto"/>
        <w:rPr>
          <w:rFonts w:ascii="Book Antiqua" w:hAnsi="Book Antiqua" w:cs="Arial"/>
          <w:lang w:eastAsia="zh-CN"/>
        </w:rPr>
      </w:pPr>
      <w:r w:rsidRPr="00644ED5">
        <w:rPr>
          <w:rFonts w:ascii="Book Antiqua" w:hAnsi="Book Antiqua"/>
          <w:b/>
        </w:rPr>
        <w:t>Vaptans</w:t>
      </w:r>
      <w:bookmarkEnd w:id="45"/>
      <w:r w:rsidR="00627827" w:rsidRPr="00644ED5">
        <w:rPr>
          <w:rFonts w:ascii="Book Antiqua" w:hAnsi="Book Antiqua" w:hint="eastAsia"/>
          <w:b/>
          <w:lang w:eastAsia="zh-CN"/>
        </w:rPr>
        <w:t>:</w:t>
      </w:r>
      <w:r w:rsidR="00627827" w:rsidRPr="00644ED5">
        <w:rPr>
          <w:rFonts w:ascii="Book Antiqua" w:hAnsi="Book Antiqua" w:hint="eastAsia"/>
          <w:lang w:eastAsia="zh-CN"/>
        </w:rPr>
        <w:t xml:space="preserve"> </w:t>
      </w:r>
      <w:r w:rsidR="00B75323" w:rsidRPr="00644ED5">
        <w:rPr>
          <w:rFonts w:ascii="Book Antiqua" w:hAnsi="Book Antiqua" w:cs="Arial"/>
        </w:rPr>
        <w:t>To avoid the increased incidence of adverse effects with high-dose conven</w:t>
      </w:r>
      <w:r w:rsidR="00BD77DC" w:rsidRPr="00644ED5">
        <w:rPr>
          <w:rFonts w:ascii="Book Antiqua" w:hAnsi="Book Antiqua" w:cs="Arial"/>
        </w:rPr>
        <w:t>tional diuretic therapy, the so-</w:t>
      </w:r>
      <w:r w:rsidR="00B75323" w:rsidRPr="00644ED5">
        <w:rPr>
          <w:rFonts w:ascii="Book Antiqua" w:hAnsi="Book Antiqua" w:cs="Arial"/>
        </w:rPr>
        <w:t xml:space="preserve">called vaptans, </w:t>
      </w:r>
      <w:r w:rsidR="00354D68" w:rsidRPr="00644ED5">
        <w:rPr>
          <w:rFonts w:ascii="Book Antiqua" w:hAnsi="Book Antiqua" w:cs="Arial"/>
        </w:rPr>
        <w:t xml:space="preserve">selective antagonists to the vasopressin V2 receptors </w:t>
      </w:r>
      <w:r w:rsidR="00BD77DC" w:rsidRPr="00644ED5">
        <w:rPr>
          <w:rFonts w:ascii="Book Antiqua" w:hAnsi="Book Antiqua" w:cs="Arial"/>
        </w:rPr>
        <w:t>in principal cells of collecting ducts</w:t>
      </w:r>
      <w:r w:rsidR="00B75323" w:rsidRPr="00644ED5">
        <w:rPr>
          <w:rFonts w:ascii="Book Antiqua" w:hAnsi="Book Antiqua" w:cs="Arial"/>
        </w:rPr>
        <w:t>, have gained interest in recent decades as they are able to achieve a highly hypotonic diuresis without impacting on the electrolyte balance</w:t>
      </w:r>
      <w:r w:rsidR="00BA0FDC" w:rsidRPr="00644ED5">
        <w:rPr>
          <w:rFonts w:ascii="Book Antiqua" w:hAnsi="Book Antiqua" w:cs="Arial"/>
          <w:vertAlign w:val="superscript"/>
        </w:rPr>
        <w:t>[100]</w:t>
      </w:r>
      <w:r w:rsidR="00B75323" w:rsidRPr="00644ED5">
        <w:rPr>
          <w:rFonts w:ascii="Book Antiqua" w:hAnsi="Book Antiqua" w:cs="Arial"/>
        </w:rPr>
        <w:t xml:space="preserve">. Thus </w:t>
      </w:r>
      <w:r w:rsidR="00225D5A" w:rsidRPr="00644ED5">
        <w:rPr>
          <w:rFonts w:ascii="Book Antiqua" w:hAnsi="Book Antiqua" w:cs="Arial"/>
        </w:rPr>
        <w:t>vaptans</w:t>
      </w:r>
      <w:r w:rsidR="00B75323" w:rsidRPr="00644ED5">
        <w:rPr>
          <w:rFonts w:ascii="Book Antiqua" w:hAnsi="Book Antiqua" w:cs="Arial"/>
        </w:rPr>
        <w:t xml:space="preserve"> might be valuable in the correction of hyponatraemia</w:t>
      </w:r>
      <w:r w:rsidR="002433AD" w:rsidRPr="00644ED5">
        <w:rPr>
          <w:rFonts w:ascii="Book Antiqua" w:hAnsi="Book Antiqua" w:cs="Arial"/>
        </w:rPr>
        <w:t>, an important predictor of mortality</w:t>
      </w:r>
      <w:r w:rsidR="00B75323" w:rsidRPr="00644ED5">
        <w:rPr>
          <w:rFonts w:ascii="Book Antiqua" w:hAnsi="Book Antiqua" w:cs="Arial"/>
        </w:rPr>
        <w:t xml:space="preserve"> in cirrhotic patients with ascites. However, controversies exist with regards to the</w:t>
      </w:r>
      <w:r w:rsidR="00225D5A" w:rsidRPr="00644ED5">
        <w:rPr>
          <w:rFonts w:ascii="Book Antiqua" w:hAnsi="Book Antiqua" w:cs="Arial"/>
        </w:rPr>
        <w:t>ir expense and their</w:t>
      </w:r>
      <w:r w:rsidR="00B75323" w:rsidRPr="00644ED5">
        <w:rPr>
          <w:rFonts w:ascii="Book Antiqua" w:hAnsi="Book Antiqua" w:cs="Arial"/>
        </w:rPr>
        <w:t xml:space="preserve"> effect on </w:t>
      </w:r>
      <w:r w:rsidR="00225D5A" w:rsidRPr="00644ED5">
        <w:rPr>
          <w:rFonts w:ascii="Book Antiqua" w:hAnsi="Book Antiqua" w:cs="Arial"/>
        </w:rPr>
        <w:t>clinically relevant outcomes</w:t>
      </w:r>
      <w:r w:rsidR="00B75323" w:rsidRPr="00644ED5">
        <w:rPr>
          <w:rFonts w:ascii="Book Antiqua" w:hAnsi="Book Antiqua" w:cs="Arial"/>
        </w:rPr>
        <w:t xml:space="preserve"> and prognosis in patients with cirrhosis</w:t>
      </w:r>
      <w:r w:rsidR="00BA0FDC" w:rsidRPr="00644ED5">
        <w:rPr>
          <w:rFonts w:ascii="Book Antiqua" w:hAnsi="Book Antiqua" w:cs="Arial"/>
          <w:vertAlign w:val="superscript"/>
        </w:rPr>
        <w:t>[100]</w:t>
      </w:r>
      <w:r w:rsidR="00B75323" w:rsidRPr="00644ED5">
        <w:rPr>
          <w:rFonts w:ascii="Book Antiqua" w:hAnsi="Book Antiqua" w:cs="Arial"/>
        </w:rPr>
        <w:t xml:space="preserve">. </w:t>
      </w:r>
      <w:r w:rsidR="00FD470A" w:rsidRPr="00644ED5">
        <w:rPr>
          <w:rFonts w:ascii="Book Antiqua" w:hAnsi="Book Antiqua" w:cs="Arial"/>
        </w:rPr>
        <w:t>In their meta-analysis (16 RCTs,</w:t>
      </w:r>
      <w:r w:rsidR="00FD470A" w:rsidRPr="00644ED5">
        <w:rPr>
          <w:rFonts w:ascii="Book Antiqua" w:hAnsi="Book Antiqua" w:cs="Arial"/>
          <w:i/>
        </w:rPr>
        <w:t xml:space="preserve"> n</w:t>
      </w:r>
      <w:r w:rsidR="0042408E" w:rsidRPr="00644ED5">
        <w:rPr>
          <w:rFonts w:ascii="Book Antiqua" w:hAnsi="Book Antiqua" w:cs="Arial" w:hint="eastAsia"/>
          <w:lang w:eastAsia="zh-CN"/>
        </w:rPr>
        <w:t xml:space="preserve"> </w:t>
      </w:r>
      <w:r w:rsidR="00FD470A" w:rsidRPr="00644ED5">
        <w:rPr>
          <w:rFonts w:ascii="Book Antiqua" w:hAnsi="Book Antiqua" w:cs="Arial"/>
        </w:rPr>
        <w:t>=</w:t>
      </w:r>
      <w:r w:rsidR="0042408E" w:rsidRPr="00644ED5">
        <w:rPr>
          <w:rFonts w:ascii="Book Antiqua" w:hAnsi="Book Antiqua" w:cs="Arial" w:hint="eastAsia"/>
          <w:lang w:eastAsia="zh-CN"/>
        </w:rPr>
        <w:t xml:space="preserve"> </w:t>
      </w:r>
      <w:r w:rsidR="00FD470A" w:rsidRPr="00644ED5">
        <w:rPr>
          <w:rFonts w:ascii="Book Antiqua" w:hAnsi="Book Antiqua" w:cs="Arial"/>
        </w:rPr>
        <w:t xml:space="preserve">2620) Yan </w:t>
      </w:r>
      <w:r w:rsidR="00FD470A" w:rsidRPr="00644ED5">
        <w:rPr>
          <w:rFonts w:ascii="Book Antiqua" w:hAnsi="Book Antiqua" w:cs="Arial"/>
          <w:i/>
        </w:rPr>
        <w:t>et al</w:t>
      </w:r>
      <w:r w:rsidR="0042408E" w:rsidRPr="00644ED5">
        <w:rPr>
          <w:rFonts w:ascii="Book Antiqua" w:hAnsi="Book Antiqua" w:cs="Arial"/>
          <w:vertAlign w:val="superscript"/>
        </w:rPr>
        <w:t>[100]</w:t>
      </w:r>
      <w:r w:rsidR="00FD470A" w:rsidRPr="00644ED5">
        <w:rPr>
          <w:rFonts w:ascii="Book Antiqua" w:hAnsi="Book Antiqua" w:cs="Arial"/>
        </w:rPr>
        <w:t xml:space="preserve"> found that vaptans showed a significant aquaretic effect</w:t>
      </w:r>
      <w:r w:rsidR="002433AD" w:rsidRPr="00644ED5">
        <w:rPr>
          <w:rFonts w:ascii="Book Antiqua" w:hAnsi="Book Antiqua" w:cs="Arial"/>
        </w:rPr>
        <w:t xml:space="preserve"> and increased serum sodium significantly</w:t>
      </w:r>
      <w:r w:rsidR="00FD470A" w:rsidRPr="00644ED5">
        <w:rPr>
          <w:rFonts w:ascii="Book Antiqua" w:hAnsi="Book Antiqua" w:cs="Arial"/>
        </w:rPr>
        <w:t xml:space="preserve"> both when used alone and when used in combination with traditional diuretics, and concluded that vaptans could play a major role in the pharmacological treatment of refractory ascites with insufficient response to traditional diuretics in order to alleviate ascites volume and the need for paracentesis without incurring a higher rate of adverse events. </w:t>
      </w:r>
      <w:r w:rsidR="002433AD" w:rsidRPr="00644ED5">
        <w:rPr>
          <w:rFonts w:ascii="Book Antiqua" w:hAnsi="Book Antiqua" w:cs="Arial"/>
        </w:rPr>
        <w:t xml:space="preserve">Yet, </w:t>
      </w:r>
      <w:r w:rsidR="002433AD" w:rsidRPr="00644ED5">
        <w:rPr>
          <w:rFonts w:ascii="Book Antiqua" w:hAnsi="Book Antiqua" w:cs="Arial"/>
        </w:rPr>
        <w:lastRenderedPageBreak/>
        <w:t>despite the substantial beneficial impact of vaptans on diuresis and hyponatraemia, vaptan therapy made no significant difference to short-term or long-term survival in these cirrhotic patients.</w:t>
      </w:r>
      <w:r w:rsidR="00C72E7E" w:rsidRPr="00644ED5">
        <w:rPr>
          <w:rFonts w:ascii="Book Antiqua" w:hAnsi="Book Antiqua" w:cs="Arial"/>
        </w:rPr>
        <w:t xml:space="preserve"> </w:t>
      </w:r>
      <w:r w:rsidR="00035A09" w:rsidRPr="00644ED5">
        <w:rPr>
          <w:rFonts w:ascii="Book Antiqua" w:hAnsi="Book Antiqua" w:cs="Arial"/>
        </w:rPr>
        <w:t>An adverse effect of vaptan treatment observed in the included trials was excessive correction of serum sodium, which may lead to osmotic demyelination, thus necessitating monitoring when administering vaptans</w:t>
      </w:r>
      <w:r w:rsidR="00BA0FDC" w:rsidRPr="00644ED5">
        <w:rPr>
          <w:rFonts w:ascii="Book Antiqua" w:hAnsi="Book Antiqua" w:cs="Arial"/>
          <w:vertAlign w:val="superscript"/>
        </w:rPr>
        <w:t>[100]</w:t>
      </w:r>
      <w:r w:rsidR="00035A09" w:rsidRPr="00644ED5">
        <w:rPr>
          <w:rFonts w:ascii="Book Antiqua" w:hAnsi="Book Antiqua" w:cs="Arial"/>
        </w:rPr>
        <w:t xml:space="preserve">. Furthermore, the </w:t>
      </w:r>
      <w:r w:rsidR="0042408E" w:rsidRPr="00644ED5">
        <w:rPr>
          <w:rFonts w:ascii="Book Antiqua" w:hAnsi="Book Antiqua" w:cs="Arial"/>
        </w:rPr>
        <w:t>Food and Drug Administration</w:t>
      </w:r>
      <w:r w:rsidR="00035A09" w:rsidRPr="00644ED5">
        <w:rPr>
          <w:rFonts w:ascii="Book Antiqua" w:hAnsi="Book Antiqua" w:cs="Arial"/>
        </w:rPr>
        <w:t xml:space="preserve"> has recommended to avoid the use of vaptans in patients with chronic liver disease, as tolvaptan has the potential to induce serious liver injury</w:t>
      </w:r>
      <w:r w:rsidR="00BA0FDC" w:rsidRPr="00644ED5">
        <w:rPr>
          <w:rFonts w:ascii="Book Antiqua" w:hAnsi="Book Antiqua" w:cs="Arial"/>
          <w:vertAlign w:val="superscript"/>
        </w:rPr>
        <w:t>[101]</w:t>
      </w:r>
      <w:r w:rsidR="00035A09" w:rsidRPr="00644ED5">
        <w:rPr>
          <w:rFonts w:ascii="Book Antiqua" w:hAnsi="Book Antiqua" w:cs="Arial"/>
        </w:rPr>
        <w:t xml:space="preserve">. </w:t>
      </w:r>
      <w:r w:rsidR="00C72E7E" w:rsidRPr="00644ED5">
        <w:rPr>
          <w:rFonts w:ascii="Book Antiqua" w:hAnsi="Book Antiqua" w:cs="Arial"/>
        </w:rPr>
        <w:t xml:space="preserve">In a phase 3, placebo-controlled, randomized trial </w:t>
      </w:r>
      <w:r w:rsidR="007F7651" w:rsidRPr="00644ED5">
        <w:rPr>
          <w:rFonts w:ascii="Book Antiqua" w:hAnsi="Book Antiqua" w:cs="Arial"/>
        </w:rPr>
        <w:t>(</w:t>
      </w:r>
      <w:r w:rsidR="007F7651" w:rsidRPr="00644ED5">
        <w:rPr>
          <w:rFonts w:ascii="Book Antiqua" w:hAnsi="Book Antiqua" w:cs="Arial"/>
          <w:i/>
        </w:rPr>
        <w:t>n</w:t>
      </w:r>
      <w:r w:rsidR="0042408E" w:rsidRPr="00644ED5">
        <w:rPr>
          <w:rFonts w:ascii="Book Antiqua" w:hAnsi="Book Antiqua" w:cs="Arial" w:hint="eastAsia"/>
          <w:lang w:eastAsia="zh-CN"/>
        </w:rPr>
        <w:t xml:space="preserve"> </w:t>
      </w:r>
      <w:r w:rsidR="007F7651" w:rsidRPr="00644ED5">
        <w:rPr>
          <w:rFonts w:ascii="Book Antiqua" w:hAnsi="Book Antiqua" w:cs="Arial"/>
        </w:rPr>
        <w:t>=</w:t>
      </w:r>
      <w:r w:rsidR="0042408E" w:rsidRPr="00644ED5">
        <w:rPr>
          <w:rFonts w:ascii="Book Antiqua" w:hAnsi="Book Antiqua" w:cs="Arial" w:hint="eastAsia"/>
          <w:lang w:eastAsia="zh-CN"/>
        </w:rPr>
        <w:t xml:space="preserve"> </w:t>
      </w:r>
      <w:r w:rsidR="007F7651" w:rsidRPr="00644ED5">
        <w:rPr>
          <w:rFonts w:ascii="Book Antiqua" w:hAnsi="Book Antiqua" w:cs="Arial"/>
        </w:rPr>
        <w:t>1200)</w:t>
      </w:r>
      <w:r w:rsidR="001153C4" w:rsidRPr="00644ED5">
        <w:rPr>
          <w:rFonts w:ascii="Book Antiqua" w:hAnsi="Book Antiqua" w:cs="Arial"/>
        </w:rPr>
        <w:t>,</w:t>
      </w:r>
      <w:r w:rsidR="007F7651" w:rsidRPr="00644ED5">
        <w:rPr>
          <w:rFonts w:ascii="Book Antiqua" w:hAnsi="Book Antiqua" w:cs="Arial"/>
        </w:rPr>
        <w:t xml:space="preserve"> satavaptan therapy showed no difference to placebo regarding ascites control, but was superior to placebo in improving serum sodium of hyponatraemic patients. However, in one of the trial groups</w:t>
      </w:r>
      <w:r w:rsidR="001153C4" w:rsidRPr="00644ED5">
        <w:rPr>
          <w:rFonts w:ascii="Book Antiqua" w:hAnsi="Book Antiqua" w:cs="Arial"/>
        </w:rPr>
        <w:t>,</w:t>
      </w:r>
      <w:r w:rsidR="007F7651" w:rsidRPr="00644ED5">
        <w:rPr>
          <w:rFonts w:ascii="Book Antiqua" w:hAnsi="Book Antiqua" w:cs="Arial"/>
        </w:rPr>
        <w:t xml:space="preserve"> satavaptan therapy was associated with increased mo</w:t>
      </w:r>
      <w:r w:rsidR="0042408E" w:rsidRPr="00644ED5">
        <w:rPr>
          <w:rFonts w:ascii="Book Antiqua" w:hAnsi="Book Antiqua" w:cs="Arial"/>
        </w:rPr>
        <w:t>rtality (HR 1.47; 95% CI 1.01</w:t>
      </w:r>
      <w:r w:rsidR="0042408E" w:rsidRPr="00644ED5">
        <w:rPr>
          <w:rFonts w:ascii="Book Antiqua" w:hAnsi="Book Antiqua" w:cs="Arial" w:hint="eastAsia"/>
          <w:lang w:eastAsia="zh-CN"/>
        </w:rPr>
        <w:t>-</w:t>
      </w:r>
      <w:r w:rsidR="007F7651" w:rsidRPr="00644ED5">
        <w:rPr>
          <w:rFonts w:ascii="Book Antiqua" w:hAnsi="Book Antiqua" w:cs="Arial"/>
        </w:rPr>
        <w:t>2.15). No specific causes for this mortality increase were identified, but the majority of deaths were attributed to known complications of cirrhosis</w:t>
      </w:r>
      <w:r w:rsidR="00035A09" w:rsidRPr="00644ED5">
        <w:rPr>
          <w:rFonts w:ascii="Book Antiqua" w:hAnsi="Book Antiqua" w:cs="Arial"/>
        </w:rPr>
        <w:t>.</w:t>
      </w:r>
      <w:r w:rsidR="00C72E7E" w:rsidRPr="00644ED5">
        <w:rPr>
          <w:rFonts w:ascii="Book Antiqua" w:hAnsi="Book Antiqua" w:cs="Arial"/>
        </w:rPr>
        <w:t xml:space="preserve"> </w:t>
      </w:r>
      <w:r w:rsidR="00035A09" w:rsidRPr="00644ED5">
        <w:rPr>
          <w:rFonts w:ascii="Book Antiqua" w:hAnsi="Book Antiqua" w:cs="Arial"/>
        </w:rPr>
        <w:t>The authors concluded that vaptan therapy is ineffective in controlling ascites, but may have a role in managing hypervolaemic hyponatraemia in cirrhotic patients</w:t>
      </w:r>
      <w:r w:rsidR="00BA0FDC" w:rsidRPr="00644ED5">
        <w:rPr>
          <w:rFonts w:ascii="Book Antiqua" w:hAnsi="Book Antiqua" w:cs="Arial"/>
          <w:vertAlign w:val="superscript"/>
        </w:rPr>
        <w:t>[102]</w:t>
      </w:r>
      <w:r w:rsidR="00035A09" w:rsidRPr="00644ED5">
        <w:rPr>
          <w:rFonts w:ascii="Book Antiqua" w:hAnsi="Book Antiqua" w:cs="Arial"/>
        </w:rPr>
        <w:t>.</w:t>
      </w:r>
      <w:r w:rsidR="005D6E8B" w:rsidRPr="00644ED5">
        <w:rPr>
          <w:rFonts w:ascii="Book Antiqua" w:hAnsi="Book Antiqua" w:cs="Arial"/>
        </w:rPr>
        <w:t xml:space="preserve"> </w:t>
      </w:r>
      <w:r w:rsidR="0015258A" w:rsidRPr="00644ED5">
        <w:rPr>
          <w:rFonts w:ascii="Book Antiqua" w:hAnsi="Book Antiqua" w:cs="Arial"/>
        </w:rPr>
        <w:t xml:space="preserve">Current </w:t>
      </w:r>
      <w:r w:rsidR="005D6E8B" w:rsidRPr="00644ED5">
        <w:rPr>
          <w:rFonts w:ascii="Book Antiqua" w:hAnsi="Book Antiqua" w:cs="Arial"/>
        </w:rPr>
        <w:t xml:space="preserve">EASL and AASLD guidelines </w:t>
      </w:r>
      <w:r w:rsidR="0015258A" w:rsidRPr="00644ED5">
        <w:rPr>
          <w:rFonts w:ascii="Book Antiqua" w:hAnsi="Book Antiqua" w:cs="Arial"/>
        </w:rPr>
        <w:t>do not endorse the use of vaptans in cirrhotic patients in light of their costs, risks and lacking efficacy in clinical settings</w:t>
      </w:r>
      <w:r w:rsidR="00BA0FDC" w:rsidRPr="00644ED5">
        <w:rPr>
          <w:rFonts w:ascii="Book Antiqua" w:hAnsi="Book Antiqua" w:cs="Arial"/>
          <w:vertAlign w:val="superscript"/>
        </w:rPr>
        <w:t>[49,71]</w:t>
      </w:r>
      <w:r w:rsidR="0015258A" w:rsidRPr="00644ED5">
        <w:rPr>
          <w:rFonts w:ascii="Book Antiqua" w:hAnsi="Book Antiqua" w:cs="Arial"/>
        </w:rPr>
        <w:t>.</w:t>
      </w:r>
      <w:r w:rsidR="00505026" w:rsidRPr="00644ED5">
        <w:rPr>
          <w:rFonts w:ascii="Book Antiqua" w:hAnsi="Book Antiqua" w:cs="Arial"/>
        </w:rPr>
        <w:t xml:space="preserve"> </w:t>
      </w:r>
      <w:bookmarkStart w:id="46" w:name="_Toc497668319"/>
    </w:p>
    <w:p w14:paraId="2290E19B" w14:textId="77777777" w:rsidR="0042408E" w:rsidRPr="00644ED5" w:rsidRDefault="0042408E" w:rsidP="0042408E">
      <w:pPr>
        <w:pStyle w:val="a3"/>
        <w:spacing w:before="0" w:beforeAutospacing="0" w:after="0" w:afterAutospacing="0" w:line="360" w:lineRule="auto"/>
        <w:rPr>
          <w:rFonts w:ascii="Book Antiqua" w:hAnsi="Book Antiqua" w:cs="Arial"/>
          <w:lang w:eastAsia="zh-CN"/>
        </w:rPr>
      </w:pPr>
    </w:p>
    <w:p w14:paraId="43B17C8D" w14:textId="1401C28A" w:rsidR="00784392" w:rsidRPr="00644ED5" w:rsidRDefault="00784392" w:rsidP="0042408E">
      <w:pPr>
        <w:pStyle w:val="a3"/>
        <w:spacing w:before="0" w:beforeAutospacing="0" w:after="0" w:afterAutospacing="0" w:line="360" w:lineRule="auto"/>
        <w:rPr>
          <w:rFonts w:ascii="Book Antiqua" w:hAnsi="Book Antiqua" w:cs="Arial"/>
          <w:b/>
          <w:i/>
          <w:lang w:eastAsia="zh-CN"/>
        </w:rPr>
      </w:pPr>
      <w:r w:rsidRPr="00644ED5">
        <w:rPr>
          <w:rFonts w:ascii="Book Antiqua" w:hAnsi="Book Antiqua"/>
          <w:b/>
          <w:i/>
        </w:rPr>
        <w:t>Statins</w:t>
      </w:r>
      <w:bookmarkEnd w:id="46"/>
    </w:p>
    <w:p w14:paraId="71EC42A5" w14:textId="68AF2DD0" w:rsidR="000D79A2" w:rsidRPr="00644ED5" w:rsidRDefault="009216A2" w:rsidP="00667231">
      <w:pPr>
        <w:spacing w:line="360" w:lineRule="auto"/>
        <w:rPr>
          <w:rFonts w:ascii="Book Antiqua" w:hAnsi="Book Antiqua" w:cs="Arial"/>
          <w:lang w:eastAsia="zh-CN"/>
        </w:rPr>
      </w:pPr>
      <w:r w:rsidRPr="00644ED5">
        <w:rPr>
          <w:rFonts w:ascii="Book Antiqua" w:hAnsi="Book Antiqua" w:cs="Arial"/>
        </w:rPr>
        <w:t>Although statins are the mainstay for preventing atherosclerosis and have well-defined beneficial effects on cardiovascular health, they are under-prescribed in cirrhotic patients due to concerns over hepatotoxicity</w:t>
      </w:r>
      <w:r w:rsidR="00BA0FDC" w:rsidRPr="00644ED5">
        <w:rPr>
          <w:rFonts w:ascii="Book Antiqua" w:hAnsi="Book Antiqua" w:cs="Arial"/>
          <w:vertAlign w:val="superscript"/>
        </w:rPr>
        <w:t>[103]</w:t>
      </w:r>
      <w:r w:rsidRPr="00644ED5">
        <w:rPr>
          <w:rFonts w:ascii="Book Antiqua" w:hAnsi="Book Antiqua" w:cs="Arial"/>
        </w:rPr>
        <w:t xml:space="preserve">. However, recent evidence points towards an unexpected, potentially beneficial impact of statins on cirrhosis </w:t>
      </w:r>
      <w:r w:rsidR="00081348" w:rsidRPr="00644ED5">
        <w:rPr>
          <w:rFonts w:ascii="Book Antiqua" w:hAnsi="Book Antiqua" w:cs="Arial"/>
        </w:rPr>
        <w:t>resulting from their</w:t>
      </w:r>
      <w:r w:rsidRPr="00644ED5">
        <w:rPr>
          <w:rFonts w:ascii="Book Antiqua" w:hAnsi="Book Antiqua" w:cs="Arial"/>
        </w:rPr>
        <w:t xml:space="preserve"> pleiotropic properties which comprise antioxidant, anti-fibrotic</w:t>
      </w:r>
      <w:r w:rsidR="00FE63E0" w:rsidRPr="00644ED5">
        <w:rPr>
          <w:rFonts w:ascii="Book Antiqua" w:hAnsi="Book Antiqua" w:cs="Arial"/>
        </w:rPr>
        <w:t>, anti-infective</w:t>
      </w:r>
      <w:r w:rsidRPr="00644ED5">
        <w:rPr>
          <w:rFonts w:ascii="Book Antiqua" w:hAnsi="Book Antiqua" w:cs="Arial"/>
        </w:rPr>
        <w:t xml:space="preserve"> and anti-inflammatory </w:t>
      </w:r>
      <w:r w:rsidR="00081348" w:rsidRPr="00644ED5">
        <w:rPr>
          <w:rFonts w:ascii="Book Antiqua" w:hAnsi="Book Antiqua" w:cs="Arial"/>
        </w:rPr>
        <w:t>effects</w:t>
      </w:r>
      <w:r w:rsidR="00BA0FDC" w:rsidRPr="00644ED5">
        <w:rPr>
          <w:rFonts w:ascii="Book Antiqua" w:hAnsi="Book Antiqua" w:cs="Arial"/>
          <w:vertAlign w:val="superscript"/>
        </w:rPr>
        <w:t>[103,104]</w:t>
      </w:r>
      <w:r w:rsidRPr="00644ED5">
        <w:rPr>
          <w:rFonts w:ascii="Book Antiqua" w:hAnsi="Book Antiqua" w:cs="Arial"/>
        </w:rPr>
        <w:t xml:space="preserve">. </w:t>
      </w:r>
      <w:r w:rsidR="00784392" w:rsidRPr="00644ED5">
        <w:rPr>
          <w:rFonts w:ascii="Book Antiqua" w:hAnsi="Book Antiqua" w:cs="Arial"/>
        </w:rPr>
        <w:t>Endothelial dysfunction and diminished nitric oxide generation play essential roles in the establishment of the pro-inflammatory and pro-fibrotic microenvironment of cirrhosis</w:t>
      </w:r>
      <w:r w:rsidR="00BA0FDC" w:rsidRPr="00644ED5">
        <w:rPr>
          <w:rFonts w:ascii="Book Antiqua" w:hAnsi="Book Antiqua" w:cs="Arial"/>
          <w:vertAlign w:val="superscript"/>
        </w:rPr>
        <w:t>[104]</w:t>
      </w:r>
      <w:r w:rsidR="00784392" w:rsidRPr="00644ED5">
        <w:rPr>
          <w:rFonts w:ascii="Book Antiqua" w:hAnsi="Book Antiqua" w:cs="Arial"/>
        </w:rPr>
        <w:t>.</w:t>
      </w:r>
      <w:r w:rsidR="00081348" w:rsidRPr="00644ED5">
        <w:rPr>
          <w:rFonts w:ascii="Book Antiqua" w:hAnsi="Book Antiqua" w:cs="Arial"/>
        </w:rPr>
        <w:t xml:space="preserve"> Numerous pre-clinical studies </w:t>
      </w:r>
      <w:r w:rsidR="00081348" w:rsidRPr="00644ED5">
        <w:rPr>
          <w:rFonts w:ascii="Book Antiqua" w:hAnsi="Book Antiqua" w:cs="Arial"/>
          <w:i/>
        </w:rPr>
        <w:t>in vitro</w:t>
      </w:r>
      <w:r w:rsidR="00081348" w:rsidRPr="00644ED5">
        <w:rPr>
          <w:rFonts w:ascii="Book Antiqua" w:hAnsi="Book Antiqua" w:cs="Arial"/>
        </w:rPr>
        <w:t xml:space="preserve"> and </w:t>
      </w:r>
      <w:r w:rsidR="00081348" w:rsidRPr="00644ED5">
        <w:rPr>
          <w:rFonts w:ascii="Book Antiqua" w:hAnsi="Book Antiqua" w:cs="Arial"/>
          <w:i/>
        </w:rPr>
        <w:t>in vivo</w:t>
      </w:r>
      <w:r w:rsidR="00081348" w:rsidRPr="00644ED5">
        <w:rPr>
          <w:rFonts w:ascii="Book Antiqua" w:hAnsi="Book Antiqua" w:cs="Arial"/>
        </w:rPr>
        <w:t xml:space="preserve"> have </w:t>
      </w:r>
      <w:r w:rsidR="00532929" w:rsidRPr="00644ED5">
        <w:rPr>
          <w:rFonts w:ascii="Book Antiqua" w:hAnsi="Book Antiqua" w:cs="Arial"/>
        </w:rPr>
        <w:t xml:space="preserve">demonstrated </w:t>
      </w:r>
      <w:r w:rsidR="00081348" w:rsidRPr="00644ED5">
        <w:rPr>
          <w:rFonts w:ascii="Book Antiqua" w:hAnsi="Book Antiqua" w:cs="Arial"/>
        </w:rPr>
        <w:t>that statins u</w:t>
      </w:r>
      <w:r w:rsidR="0042408E" w:rsidRPr="00644ED5">
        <w:rPr>
          <w:rFonts w:ascii="Book Antiqua" w:hAnsi="Book Antiqua" w:cs="Arial"/>
        </w:rPr>
        <w:t>pregulate Kruppel-like factor 2</w:t>
      </w:r>
      <w:r w:rsidR="00081348" w:rsidRPr="00644ED5">
        <w:rPr>
          <w:rFonts w:ascii="Book Antiqua" w:hAnsi="Book Antiqua" w:cs="Arial"/>
        </w:rPr>
        <w:t xml:space="preserve"> and nitric oxide</w:t>
      </w:r>
      <w:r w:rsidR="00532929" w:rsidRPr="00644ED5">
        <w:rPr>
          <w:rFonts w:ascii="Book Antiqua" w:hAnsi="Book Antiqua" w:cs="Arial"/>
        </w:rPr>
        <w:t xml:space="preserve"> (NO)</w:t>
      </w:r>
      <w:r w:rsidR="00081348" w:rsidRPr="00644ED5">
        <w:rPr>
          <w:rFonts w:ascii="Book Antiqua" w:hAnsi="Book Antiqua" w:cs="Arial"/>
        </w:rPr>
        <w:t xml:space="preserve"> </w:t>
      </w:r>
      <w:r w:rsidR="000A54F3" w:rsidRPr="00644ED5">
        <w:rPr>
          <w:rFonts w:ascii="Book Antiqua" w:hAnsi="Book Antiqua" w:cs="Arial"/>
        </w:rPr>
        <w:t>availability</w:t>
      </w:r>
      <w:r w:rsidR="00081348" w:rsidRPr="00644ED5">
        <w:rPr>
          <w:rFonts w:ascii="Book Antiqua" w:hAnsi="Book Antiqua" w:cs="Arial"/>
        </w:rPr>
        <w:t xml:space="preserve"> as well as down</w:t>
      </w:r>
      <w:r w:rsidR="0042408E" w:rsidRPr="00644ED5">
        <w:rPr>
          <w:rFonts w:ascii="Book Antiqua" w:hAnsi="Book Antiqua" w:cs="Arial"/>
        </w:rPr>
        <w:t>-regulate hepatic stellate cell</w:t>
      </w:r>
      <w:r w:rsidR="00081348" w:rsidRPr="00644ED5">
        <w:rPr>
          <w:rFonts w:ascii="Book Antiqua" w:hAnsi="Book Antiqua" w:cs="Arial"/>
        </w:rPr>
        <w:t xml:space="preserve"> activation</w:t>
      </w:r>
      <w:r w:rsidR="00001AC9" w:rsidRPr="00644ED5">
        <w:rPr>
          <w:rFonts w:ascii="Book Antiqua" w:hAnsi="Book Antiqua" w:cs="Arial"/>
        </w:rPr>
        <w:t>, thus exerting favourable effects on fibrogenesis, endothelial function and portal hypertension</w:t>
      </w:r>
      <w:r w:rsidR="00BA0FDC" w:rsidRPr="00644ED5">
        <w:rPr>
          <w:rFonts w:ascii="Book Antiqua" w:hAnsi="Book Antiqua" w:cs="Arial"/>
          <w:vertAlign w:val="superscript"/>
        </w:rPr>
        <w:t>[103]</w:t>
      </w:r>
      <w:r w:rsidR="00001AC9" w:rsidRPr="00644ED5">
        <w:rPr>
          <w:rFonts w:ascii="Book Antiqua" w:hAnsi="Book Antiqua" w:cs="Arial"/>
        </w:rPr>
        <w:t>.</w:t>
      </w:r>
      <w:r w:rsidR="00D0300E" w:rsidRPr="00644ED5">
        <w:rPr>
          <w:rFonts w:ascii="Book Antiqua" w:hAnsi="Book Antiqua" w:cs="Arial"/>
        </w:rPr>
        <w:t xml:space="preserve"> In addition to findings from pre-</w:t>
      </w:r>
      <w:r w:rsidR="00D0300E" w:rsidRPr="00644ED5">
        <w:rPr>
          <w:rFonts w:ascii="Book Antiqua" w:hAnsi="Book Antiqua" w:cs="Arial"/>
        </w:rPr>
        <w:lastRenderedPageBreak/>
        <w:t xml:space="preserve">clinical studies, </w:t>
      </w:r>
      <w:r w:rsidR="00784392" w:rsidRPr="00644ED5">
        <w:rPr>
          <w:rFonts w:ascii="Book Antiqua" w:hAnsi="Book Antiqua" w:cs="Arial"/>
        </w:rPr>
        <w:t xml:space="preserve">simvastatin enhanced hepatosplanchnic NO output and reduced intrahepatic vascular resistance </w:t>
      </w:r>
      <w:r w:rsidR="00D0300E" w:rsidRPr="00644ED5">
        <w:rPr>
          <w:rFonts w:ascii="Book Antiqua" w:hAnsi="Book Antiqua" w:cs="Arial"/>
        </w:rPr>
        <w:t>in a study involving 30 cirrhotic patients</w:t>
      </w:r>
      <w:r w:rsidR="00BA0FDC" w:rsidRPr="00644ED5">
        <w:rPr>
          <w:rFonts w:ascii="Book Antiqua" w:hAnsi="Book Antiqua" w:cs="Arial"/>
          <w:vertAlign w:val="superscript"/>
        </w:rPr>
        <w:t>[105]</w:t>
      </w:r>
      <w:r w:rsidR="00784392" w:rsidRPr="00644ED5">
        <w:rPr>
          <w:rFonts w:ascii="Book Antiqua" w:hAnsi="Book Antiqua" w:cs="Arial"/>
        </w:rPr>
        <w:t>. A multicent</w:t>
      </w:r>
      <w:r w:rsidR="0085332A" w:rsidRPr="00644ED5">
        <w:rPr>
          <w:rFonts w:ascii="Book Antiqua" w:hAnsi="Book Antiqua" w:cs="Arial"/>
        </w:rPr>
        <w:t>re</w:t>
      </w:r>
      <w:r w:rsidR="00784392" w:rsidRPr="00644ED5">
        <w:rPr>
          <w:rFonts w:ascii="Book Antiqua" w:hAnsi="Book Antiqua" w:cs="Arial"/>
        </w:rPr>
        <w:t xml:space="preserve"> RCT conducted b</w:t>
      </w:r>
      <w:r w:rsidR="00D0300E" w:rsidRPr="00644ED5">
        <w:rPr>
          <w:rFonts w:ascii="Book Antiqua" w:hAnsi="Book Antiqua" w:cs="Arial"/>
        </w:rPr>
        <w:t xml:space="preserve">y Abraldes </w:t>
      </w:r>
      <w:r w:rsidR="00D0300E" w:rsidRPr="00644ED5">
        <w:rPr>
          <w:rFonts w:ascii="Book Antiqua" w:hAnsi="Book Antiqua" w:cs="Arial"/>
          <w:i/>
        </w:rPr>
        <w:t>et al</w:t>
      </w:r>
      <w:r w:rsidR="0042408E" w:rsidRPr="00644ED5">
        <w:rPr>
          <w:rFonts w:ascii="Book Antiqua" w:hAnsi="Book Antiqua" w:cs="Arial"/>
          <w:vertAlign w:val="superscript"/>
        </w:rPr>
        <w:t>[106]</w:t>
      </w:r>
      <w:r w:rsidR="00D0300E" w:rsidRPr="00644ED5">
        <w:rPr>
          <w:rFonts w:ascii="Book Antiqua" w:hAnsi="Book Antiqua" w:cs="Arial"/>
        </w:rPr>
        <w:t xml:space="preserve"> in 59 cirrhotic patients with </w:t>
      </w:r>
      <w:r w:rsidR="00784392" w:rsidRPr="00644ED5">
        <w:rPr>
          <w:rFonts w:ascii="Book Antiqua" w:hAnsi="Book Antiqua" w:cs="Arial"/>
        </w:rPr>
        <w:t xml:space="preserve">portal hypertension </w:t>
      </w:r>
      <w:r w:rsidR="00D0300E" w:rsidRPr="00644ED5">
        <w:rPr>
          <w:rFonts w:ascii="Book Antiqua" w:hAnsi="Book Antiqua" w:cs="Arial"/>
        </w:rPr>
        <w:t>described</w:t>
      </w:r>
      <w:r w:rsidR="00784392" w:rsidRPr="00644ED5">
        <w:rPr>
          <w:rFonts w:ascii="Book Antiqua" w:hAnsi="Book Antiqua" w:cs="Arial"/>
        </w:rPr>
        <w:t xml:space="preserve"> that simvastatin significantly decreased HVPG by 8.3% </w:t>
      </w:r>
      <w:r w:rsidR="00D0300E" w:rsidRPr="00644ED5">
        <w:rPr>
          <w:rFonts w:ascii="Book Antiqua" w:hAnsi="Book Antiqua" w:cs="Arial"/>
        </w:rPr>
        <w:t xml:space="preserve">and improved hepatocyte perfusion </w:t>
      </w:r>
      <w:r w:rsidR="00784392" w:rsidRPr="00644ED5">
        <w:rPr>
          <w:rFonts w:ascii="Book Antiqua" w:hAnsi="Book Antiqua" w:cs="Arial"/>
        </w:rPr>
        <w:t xml:space="preserve">without </w:t>
      </w:r>
      <w:r w:rsidR="00D0300E" w:rsidRPr="00644ED5">
        <w:rPr>
          <w:rFonts w:ascii="Book Antiqua" w:hAnsi="Book Antiqua" w:cs="Arial"/>
        </w:rPr>
        <w:t xml:space="preserve">discernible </w:t>
      </w:r>
      <w:r w:rsidR="00784392" w:rsidRPr="00644ED5">
        <w:rPr>
          <w:rFonts w:ascii="Book Antiqua" w:hAnsi="Book Antiqua" w:cs="Arial"/>
        </w:rPr>
        <w:t>harmful effects on the systemic circulation</w:t>
      </w:r>
      <w:r w:rsidR="00BA0FDC" w:rsidRPr="00644ED5">
        <w:rPr>
          <w:rFonts w:ascii="Book Antiqua" w:hAnsi="Book Antiqua" w:cs="Arial"/>
          <w:vertAlign w:val="superscript"/>
        </w:rPr>
        <w:t>[103,104,106]</w:t>
      </w:r>
      <w:r w:rsidR="00784392" w:rsidRPr="00644ED5">
        <w:rPr>
          <w:rFonts w:ascii="Book Antiqua" w:hAnsi="Book Antiqua" w:cs="Arial"/>
        </w:rPr>
        <w:t xml:space="preserve">. </w:t>
      </w:r>
    </w:p>
    <w:p w14:paraId="59D55C5A" w14:textId="2597A13C" w:rsidR="0026105F" w:rsidRPr="00644ED5" w:rsidRDefault="00784392" w:rsidP="0042408E">
      <w:pPr>
        <w:spacing w:line="360" w:lineRule="auto"/>
        <w:ind w:firstLineChars="100" w:firstLine="240"/>
        <w:rPr>
          <w:rFonts w:ascii="Book Antiqua" w:hAnsi="Book Antiqua" w:cs="Arial"/>
          <w:lang w:eastAsia="zh-CN"/>
        </w:rPr>
      </w:pPr>
      <w:r w:rsidRPr="00644ED5">
        <w:rPr>
          <w:rFonts w:ascii="Book Antiqua" w:hAnsi="Book Antiqua" w:cs="Arial"/>
        </w:rPr>
        <w:t xml:space="preserve">In a retrospective study of patients with </w:t>
      </w:r>
      <w:r w:rsidR="00815391" w:rsidRPr="00644ED5">
        <w:rPr>
          <w:rFonts w:ascii="Book Antiqua" w:hAnsi="Book Antiqua" w:cs="Arial"/>
        </w:rPr>
        <w:t xml:space="preserve">predominantly Child-Pugh A </w:t>
      </w:r>
      <w:r w:rsidRPr="00644ED5">
        <w:rPr>
          <w:rFonts w:ascii="Book Antiqua" w:hAnsi="Book Antiqua" w:cs="Arial"/>
        </w:rPr>
        <w:t xml:space="preserve">cirrhosis (81 statin users and 162 controls), </w:t>
      </w:r>
      <w:r w:rsidR="00815391" w:rsidRPr="00644ED5">
        <w:rPr>
          <w:rFonts w:ascii="Book Antiqua" w:hAnsi="Book Antiqua" w:cs="Arial"/>
        </w:rPr>
        <w:t>statin use was associated with lower mortality (HR 0.56)</w:t>
      </w:r>
      <w:r w:rsidRPr="00644ED5">
        <w:rPr>
          <w:rFonts w:ascii="Book Antiqua" w:hAnsi="Book Antiqua" w:cs="Arial"/>
        </w:rPr>
        <w:t xml:space="preserve"> and decompensation </w:t>
      </w:r>
      <w:r w:rsidR="00815391" w:rsidRPr="00644ED5">
        <w:rPr>
          <w:rFonts w:ascii="Book Antiqua" w:hAnsi="Book Antiqua" w:cs="Arial"/>
        </w:rPr>
        <w:t xml:space="preserve">(HR 0.55) </w:t>
      </w:r>
      <w:r w:rsidRPr="00644ED5">
        <w:rPr>
          <w:rFonts w:ascii="Book Antiqua" w:hAnsi="Book Antiqua" w:cs="Arial"/>
        </w:rPr>
        <w:t xml:space="preserve">on multivariate analysis </w:t>
      </w:r>
      <w:r w:rsidR="00815391" w:rsidRPr="00644ED5">
        <w:rPr>
          <w:rFonts w:ascii="Book Antiqua" w:hAnsi="Book Antiqua" w:cs="Arial"/>
        </w:rPr>
        <w:t>after 36-mo follow-up</w:t>
      </w:r>
      <w:r w:rsidR="00BA0FDC" w:rsidRPr="00644ED5">
        <w:rPr>
          <w:rFonts w:ascii="Book Antiqua" w:hAnsi="Book Antiqua" w:cs="Arial"/>
          <w:vertAlign w:val="superscript"/>
        </w:rPr>
        <w:t>[107]</w:t>
      </w:r>
      <w:r w:rsidRPr="00644ED5">
        <w:rPr>
          <w:rFonts w:ascii="Book Antiqua" w:hAnsi="Book Antiqua" w:cs="Arial"/>
        </w:rPr>
        <w:t xml:space="preserve">. </w:t>
      </w:r>
      <w:r w:rsidR="00815391" w:rsidRPr="00644ED5">
        <w:rPr>
          <w:rFonts w:ascii="Book Antiqua" w:hAnsi="Book Antiqua" w:cs="Arial"/>
        </w:rPr>
        <w:t>Similarly, another</w:t>
      </w:r>
      <w:r w:rsidRPr="00644ED5">
        <w:rPr>
          <w:rFonts w:ascii="Book Antiqua" w:hAnsi="Book Antiqua" w:cs="Arial"/>
        </w:rPr>
        <w:t xml:space="preserve"> recent retrospective analysis of patients with compensated HCV cirrhosis (685 statin users and 2062 controls) also</w:t>
      </w:r>
      <w:r w:rsidR="00815391" w:rsidRPr="00644ED5">
        <w:rPr>
          <w:rFonts w:ascii="Book Antiqua" w:hAnsi="Book Antiqua" w:cs="Arial"/>
        </w:rPr>
        <w:t xml:space="preserve"> described statin use to be associated with lower mortality (HR 0.56) and decompensation rates (</w:t>
      </w:r>
      <w:r w:rsidR="00E8329F" w:rsidRPr="00644ED5">
        <w:rPr>
          <w:rFonts w:ascii="Book Antiqua" w:hAnsi="Book Antiqua" w:cs="Arial"/>
        </w:rPr>
        <w:t xml:space="preserve">HR </w:t>
      </w:r>
      <w:r w:rsidR="00815391" w:rsidRPr="00644ED5">
        <w:rPr>
          <w:rFonts w:ascii="Book Antiqua" w:hAnsi="Book Antiqua" w:cs="Arial"/>
        </w:rPr>
        <w:t xml:space="preserve">0.55) at 10-year follow-up after adjusting for age, serum albumin, </w:t>
      </w:r>
      <w:r w:rsidR="00467AD8" w:rsidRPr="00644ED5">
        <w:rPr>
          <w:rFonts w:ascii="Book Antiqua" w:hAnsi="Book Antiqua" w:cs="Arial" w:hint="eastAsia"/>
          <w:lang w:eastAsia="zh-CN"/>
        </w:rPr>
        <w:t>model for end stage liver disease (</w:t>
      </w:r>
      <w:r w:rsidR="00815391" w:rsidRPr="00644ED5">
        <w:rPr>
          <w:rFonts w:ascii="Book Antiqua" w:hAnsi="Book Antiqua" w:cs="Arial"/>
        </w:rPr>
        <w:t>MELD</w:t>
      </w:r>
      <w:r w:rsidR="00467AD8" w:rsidRPr="00644ED5">
        <w:rPr>
          <w:rFonts w:ascii="Book Antiqua" w:hAnsi="Book Antiqua" w:cs="Arial" w:hint="eastAsia"/>
          <w:lang w:eastAsia="zh-CN"/>
        </w:rPr>
        <w:t>)</w:t>
      </w:r>
      <w:r w:rsidR="00815391" w:rsidRPr="00644ED5">
        <w:rPr>
          <w:rFonts w:ascii="Book Antiqua" w:hAnsi="Book Antiqua" w:cs="Arial"/>
        </w:rPr>
        <w:t xml:space="preserve"> and Child-Pugh scores</w:t>
      </w:r>
      <w:r w:rsidR="00BA0FDC" w:rsidRPr="00644ED5">
        <w:rPr>
          <w:rFonts w:ascii="Book Antiqua" w:hAnsi="Book Antiqua" w:cs="Arial"/>
          <w:vertAlign w:val="superscript"/>
        </w:rPr>
        <w:t>[108]</w:t>
      </w:r>
      <w:r w:rsidRPr="00644ED5">
        <w:rPr>
          <w:rFonts w:ascii="Book Antiqua" w:hAnsi="Book Antiqua" w:cs="Arial"/>
        </w:rPr>
        <w:t xml:space="preserve">. </w:t>
      </w:r>
      <w:r w:rsidR="00222F7C" w:rsidRPr="00644ED5">
        <w:rPr>
          <w:rFonts w:ascii="Book Antiqua" w:hAnsi="Book Antiqua" w:cs="Arial"/>
        </w:rPr>
        <w:t xml:space="preserve">Using the Taiwanese National Health Insurance database, Chang </w:t>
      </w:r>
      <w:r w:rsidR="00222F7C" w:rsidRPr="00644ED5">
        <w:rPr>
          <w:rFonts w:ascii="Book Antiqua" w:hAnsi="Book Antiqua" w:cs="Arial"/>
          <w:i/>
        </w:rPr>
        <w:t>et al</w:t>
      </w:r>
      <w:r w:rsidR="0042408E" w:rsidRPr="00644ED5">
        <w:rPr>
          <w:rFonts w:ascii="Book Antiqua" w:hAnsi="Book Antiqua" w:cs="Arial"/>
          <w:vertAlign w:val="superscript"/>
        </w:rPr>
        <w:t>[109]</w:t>
      </w:r>
      <w:r w:rsidR="00222F7C" w:rsidRPr="00644ED5">
        <w:rPr>
          <w:rFonts w:ascii="Book Antiqua" w:hAnsi="Book Antiqua" w:cs="Arial"/>
        </w:rPr>
        <w:t xml:space="preserve"> conducted a nested case-control study with 13-year follow-up, matching 675 statin users with 675 statin non-users. </w:t>
      </w:r>
      <w:r w:rsidR="00D00704" w:rsidRPr="00644ED5">
        <w:rPr>
          <w:rFonts w:ascii="Book Antiqua" w:hAnsi="Book Antiqua" w:cs="Arial"/>
        </w:rPr>
        <w:t xml:space="preserve">Following a dose-response relationship, statin use correlated with a significantly decreased risk of decompensation (HR 0.39), HCC development (HR 0.52), and mortality (HR 0.46). </w:t>
      </w:r>
      <w:r w:rsidRPr="00644ED5">
        <w:rPr>
          <w:rFonts w:ascii="Book Antiqua" w:hAnsi="Book Antiqua" w:cs="Arial"/>
        </w:rPr>
        <w:t>The most robust evidence regarding the therapeutic benefit of statins in cirrhosis comes from a multicent</w:t>
      </w:r>
      <w:r w:rsidR="0085332A" w:rsidRPr="00644ED5">
        <w:rPr>
          <w:rFonts w:ascii="Book Antiqua" w:hAnsi="Book Antiqua" w:cs="Arial"/>
        </w:rPr>
        <w:t>re</w:t>
      </w:r>
      <w:r w:rsidRPr="00644ED5">
        <w:rPr>
          <w:rFonts w:ascii="Book Antiqua" w:hAnsi="Book Antiqua" w:cs="Arial"/>
        </w:rPr>
        <w:t xml:space="preserve"> RCT of 158 cirrhotic patients who received either standard therapy (beta-blocker and band ligation) after variceal haemorrhage, or standard therapy plus simvastatin. </w:t>
      </w:r>
      <w:r w:rsidR="00D0300E" w:rsidRPr="00644ED5">
        <w:rPr>
          <w:rFonts w:ascii="Book Antiqua" w:hAnsi="Book Antiqua" w:cs="Arial"/>
        </w:rPr>
        <w:t>After 24-mo follow-up, a</w:t>
      </w:r>
      <w:r w:rsidRPr="00644ED5">
        <w:rPr>
          <w:rFonts w:ascii="Book Antiqua" w:hAnsi="Book Antiqua" w:cs="Arial"/>
        </w:rPr>
        <w:t>ddition of simvastatin had no effect on the rate of re</w:t>
      </w:r>
      <w:r w:rsidR="0085332A" w:rsidRPr="00644ED5">
        <w:rPr>
          <w:rFonts w:ascii="Book Antiqua" w:hAnsi="Book Antiqua" w:cs="Arial"/>
        </w:rPr>
        <w:t>-</w:t>
      </w:r>
      <w:r w:rsidRPr="00644ED5">
        <w:rPr>
          <w:rFonts w:ascii="Book Antiqua" w:hAnsi="Book Antiqua" w:cs="Arial"/>
        </w:rPr>
        <w:t xml:space="preserve">bleeding but significantly reduced </w:t>
      </w:r>
      <w:r w:rsidR="00D00704" w:rsidRPr="00644ED5">
        <w:rPr>
          <w:rFonts w:ascii="Book Antiqua" w:hAnsi="Book Antiqua" w:cs="Arial"/>
        </w:rPr>
        <w:t xml:space="preserve">all-cause </w:t>
      </w:r>
      <w:r w:rsidRPr="00644ED5">
        <w:rPr>
          <w:rFonts w:ascii="Book Antiqua" w:hAnsi="Book Antiqua" w:cs="Arial"/>
        </w:rPr>
        <w:t xml:space="preserve">mortality </w:t>
      </w:r>
      <w:r w:rsidR="00E8329F" w:rsidRPr="00644ED5">
        <w:rPr>
          <w:rFonts w:ascii="Book Antiqua" w:hAnsi="Book Antiqua" w:cs="Arial"/>
        </w:rPr>
        <w:t xml:space="preserve">compared to the control group </w:t>
      </w:r>
      <w:r w:rsidRPr="00644ED5">
        <w:rPr>
          <w:rFonts w:ascii="Book Antiqua" w:hAnsi="Book Antiqua" w:cs="Arial"/>
        </w:rPr>
        <w:t xml:space="preserve">(9% </w:t>
      </w:r>
      <w:r w:rsidRPr="00644ED5">
        <w:rPr>
          <w:rFonts w:ascii="Book Antiqua" w:hAnsi="Book Antiqua" w:cs="Arial"/>
          <w:i/>
        </w:rPr>
        <w:t>vs</w:t>
      </w:r>
      <w:r w:rsidRPr="00644ED5">
        <w:rPr>
          <w:rFonts w:ascii="Book Antiqua" w:hAnsi="Book Antiqua" w:cs="Arial"/>
        </w:rPr>
        <w:t xml:space="preserve"> 22%</w:t>
      </w:r>
      <w:r w:rsidR="00D03BFA" w:rsidRPr="00644ED5">
        <w:rPr>
          <w:rFonts w:ascii="Book Antiqua" w:hAnsi="Book Antiqua" w:cs="Arial"/>
        </w:rPr>
        <w:t xml:space="preserve">, </w:t>
      </w:r>
      <w:r w:rsidR="0042408E" w:rsidRPr="00644ED5">
        <w:rPr>
          <w:rFonts w:ascii="Book Antiqua" w:hAnsi="Book Antiqua" w:cs="Arial"/>
          <w:i/>
        </w:rPr>
        <w:t>P</w:t>
      </w:r>
      <w:r w:rsidR="0042408E" w:rsidRPr="00644ED5">
        <w:rPr>
          <w:rFonts w:ascii="Book Antiqua" w:hAnsi="Book Antiqua" w:cs="Arial" w:hint="eastAsia"/>
          <w:lang w:eastAsia="zh-CN"/>
        </w:rPr>
        <w:t xml:space="preserve"> </w:t>
      </w:r>
      <w:r w:rsidR="00D03BFA" w:rsidRPr="00644ED5">
        <w:rPr>
          <w:rFonts w:ascii="Book Antiqua" w:hAnsi="Book Antiqua" w:cs="Arial"/>
        </w:rPr>
        <w:t>=</w:t>
      </w:r>
      <w:r w:rsidR="0042408E" w:rsidRPr="00644ED5">
        <w:rPr>
          <w:rFonts w:ascii="Book Antiqua" w:hAnsi="Book Antiqua" w:cs="Arial" w:hint="eastAsia"/>
          <w:lang w:eastAsia="zh-CN"/>
        </w:rPr>
        <w:t xml:space="preserve"> </w:t>
      </w:r>
      <w:r w:rsidR="00D03BFA" w:rsidRPr="00644ED5">
        <w:rPr>
          <w:rFonts w:ascii="Book Antiqua" w:hAnsi="Book Antiqua" w:cs="Arial"/>
        </w:rPr>
        <w:t>0.03</w:t>
      </w:r>
      <w:r w:rsidRPr="00644ED5">
        <w:rPr>
          <w:rFonts w:ascii="Book Antiqua" w:hAnsi="Book Antiqua" w:cs="Arial"/>
        </w:rPr>
        <w:t>)</w:t>
      </w:r>
      <w:r w:rsidR="00D03BFA" w:rsidRPr="00644ED5">
        <w:rPr>
          <w:rFonts w:ascii="Book Antiqua" w:hAnsi="Book Antiqua" w:cs="Arial"/>
        </w:rPr>
        <w:t>. However, this survival benefit was only observed in the Child-Pugh A/B cohort, not in Child-Pugh C patients, and no difference was</w:t>
      </w:r>
      <w:r w:rsidR="00E8329F" w:rsidRPr="00644ED5">
        <w:rPr>
          <w:rFonts w:ascii="Book Antiqua" w:hAnsi="Book Antiqua" w:cs="Arial"/>
        </w:rPr>
        <w:t xml:space="preserve"> found in the rate of cirrhosis-</w:t>
      </w:r>
      <w:r w:rsidR="00D03BFA" w:rsidRPr="00644ED5">
        <w:rPr>
          <w:rFonts w:ascii="Book Antiqua" w:hAnsi="Book Antiqua" w:cs="Arial"/>
        </w:rPr>
        <w:t>related complications between the intervention and control groups. Notably, two patients with decompensated cirrhosis developed rhabdomyolysis, thus</w:t>
      </w:r>
      <w:r w:rsidR="00E8329F" w:rsidRPr="00644ED5">
        <w:rPr>
          <w:rFonts w:ascii="Book Antiqua" w:hAnsi="Book Antiqua" w:cs="Arial"/>
        </w:rPr>
        <w:t xml:space="preserve"> again</w:t>
      </w:r>
      <w:r w:rsidR="00D03BFA" w:rsidRPr="00644ED5">
        <w:rPr>
          <w:rFonts w:ascii="Book Antiqua" w:hAnsi="Book Antiqua" w:cs="Arial"/>
        </w:rPr>
        <w:t xml:space="preserve"> raising questions about the safety of statin use in advanced cirrhosis</w:t>
      </w:r>
      <w:r w:rsidR="00BA0FDC" w:rsidRPr="00644ED5">
        <w:rPr>
          <w:rFonts w:ascii="Book Antiqua" w:hAnsi="Book Antiqua" w:cs="Arial"/>
          <w:vertAlign w:val="superscript"/>
        </w:rPr>
        <w:t>[103,104,110]</w:t>
      </w:r>
      <w:r w:rsidRPr="00644ED5">
        <w:rPr>
          <w:rFonts w:ascii="Book Antiqua" w:hAnsi="Book Antiqua" w:cs="Arial"/>
        </w:rPr>
        <w:t>.</w:t>
      </w:r>
      <w:r w:rsidR="00843742" w:rsidRPr="00644ED5">
        <w:rPr>
          <w:rFonts w:ascii="Book Antiqua" w:hAnsi="Book Antiqua" w:cs="Arial"/>
        </w:rPr>
        <w:t xml:space="preserve"> </w:t>
      </w:r>
    </w:p>
    <w:p w14:paraId="697998BF" w14:textId="0A05C388" w:rsidR="00787541" w:rsidRPr="00644ED5" w:rsidRDefault="00843742" w:rsidP="00F1081E">
      <w:pPr>
        <w:spacing w:line="360" w:lineRule="auto"/>
        <w:ind w:firstLineChars="100" w:firstLine="240"/>
        <w:rPr>
          <w:rFonts w:ascii="Book Antiqua" w:hAnsi="Book Antiqua" w:cs="Arial"/>
          <w:lang w:eastAsia="zh-CN"/>
        </w:rPr>
      </w:pPr>
      <w:r w:rsidRPr="00644ED5">
        <w:rPr>
          <w:rFonts w:ascii="Book Antiqua" w:hAnsi="Book Antiqua" w:cs="Arial"/>
        </w:rPr>
        <w:t xml:space="preserve">Recently, the evidence regarding the impact of statin use on cirrhosis and its complications was summarized by three meta-analyses. Kamal </w:t>
      </w:r>
      <w:r w:rsidRPr="00644ED5">
        <w:rPr>
          <w:rFonts w:ascii="Book Antiqua" w:hAnsi="Book Antiqua" w:cs="Arial"/>
          <w:i/>
        </w:rPr>
        <w:t>et al</w:t>
      </w:r>
      <w:r w:rsidR="0042408E" w:rsidRPr="00644ED5">
        <w:rPr>
          <w:rFonts w:ascii="Book Antiqua" w:hAnsi="Book Antiqua" w:cs="Arial"/>
          <w:vertAlign w:val="superscript"/>
        </w:rPr>
        <w:t>[111]</w:t>
      </w:r>
      <w:r w:rsidRPr="00644ED5">
        <w:rPr>
          <w:rFonts w:ascii="Book Antiqua" w:hAnsi="Book Antiqua" w:cs="Arial"/>
        </w:rPr>
        <w:t xml:space="preserve"> performed </w:t>
      </w:r>
      <w:r w:rsidRPr="00644ED5">
        <w:rPr>
          <w:rFonts w:ascii="Book Antiqua" w:hAnsi="Book Antiqua" w:cs="Arial"/>
        </w:rPr>
        <w:lastRenderedPageBreak/>
        <w:t>one meta-analysis of 9 studies (2 RCTs, 7</w:t>
      </w:r>
      <w:r w:rsidR="0042408E" w:rsidRPr="00644ED5">
        <w:rPr>
          <w:rFonts w:ascii="Book Antiqua" w:hAnsi="Book Antiqua" w:cs="Arial"/>
        </w:rPr>
        <w:t xml:space="preserve"> observational studies) and 166</w:t>
      </w:r>
      <w:r w:rsidRPr="00644ED5">
        <w:rPr>
          <w:rFonts w:ascii="Book Antiqua" w:hAnsi="Book Antiqua" w:cs="Arial"/>
        </w:rPr>
        <w:t xml:space="preserve">000 patients </w:t>
      </w:r>
      <w:r w:rsidR="0042408E" w:rsidRPr="00644ED5">
        <w:rPr>
          <w:rFonts w:ascii="Book Antiqua" w:hAnsi="Book Antiqua" w:cs="Arial"/>
        </w:rPr>
        <w:t>(40</w:t>
      </w:r>
      <w:r w:rsidRPr="00644ED5">
        <w:rPr>
          <w:rFonts w:ascii="Book Antiqua" w:hAnsi="Book Antiqua" w:cs="Arial"/>
        </w:rPr>
        <w:t xml:space="preserve">950 statin users) </w:t>
      </w:r>
      <w:r w:rsidR="00E8329F" w:rsidRPr="00644ED5">
        <w:rPr>
          <w:rFonts w:ascii="Book Antiqua" w:hAnsi="Book Antiqua" w:cs="Arial"/>
        </w:rPr>
        <w:t>finding</w:t>
      </w:r>
      <w:r w:rsidRPr="00644ED5">
        <w:rPr>
          <w:rFonts w:ascii="Book Antiqua" w:hAnsi="Book Antiqua" w:cs="Arial"/>
        </w:rPr>
        <w:t xml:space="preserve"> moderate-quality evidence </w:t>
      </w:r>
      <w:r w:rsidR="009449EA" w:rsidRPr="00644ED5">
        <w:rPr>
          <w:rFonts w:ascii="Book Antiqua" w:hAnsi="Book Antiqua" w:cs="Arial"/>
        </w:rPr>
        <w:t xml:space="preserve">that statin use is associated with reduced fibrosis progression (HR 0.55, </w:t>
      </w:r>
      <w:r w:rsidR="002E7F8C" w:rsidRPr="00644ED5">
        <w:rPr>
          <w:rFonts w:ascii="Book Antiqua" w:hAnsi="Book Antiqua" w:cs="Arial"/>
        </w:rPr>
        <w:t xml:space="preserve">95% </w:t>
      </w:r>
      <w:r w:rsidR="0042408E" w:rsidRPr="00644ED5">
        <w:rPr>
          <w:rFonts w:ascii="Book Antiqua" w:hAnsi="Book Antiqua" w:cs="Arial"/>
        </w:rPr>
        <w:t>CI 0.49</w:t>
      </w:r>
      <w:r w:rsidR="0042408E" w:rsidRPr="00644ED5">
        <w:rPr>
          <w:rFonts w:ascii="Book Antiqua" w:hAnsi="Book Antiqua" w:cs="Arial" w:hint="eastAsia"/>
          <w:lang w:eastAsia="zh-CN"/>
        </w:rPr>
        <w:t>-</w:t>
      </w:r>
      <w:r w:rsidR="009449EA" w:rsidRPr="00644ED5">
        <w:rPr>
          <w:rFonts w:ascii="Book Antiqua" w:hAnsi="Book Antiqua" w:cs="Arial"/>
        </w:rPr>
        <w:t xml:space="preserve">0.61) and rate of decompensation (HR 0.54, </w:t>
      </w:r>
      <w:r w:rsidR="002E7F8C" w:rsidRPr="00644ED5">
        <w:rPr>
          <w:rFonts w:ascii="Book Antiqua" w:hAnsi="Book Antiqua" w:cs="Arial"/>
        </w:rPr>
        <w:t xml:space="preserve">95% </w:t>
      </w:r>
      <w:r w:rsidR="0042408E" w:rsidRPr="00644ED5">
        <w:rPr>
          <w:rFonts w:ascii="Book Antiqua" w:hAnsi="Book Antiqua" w:cs="Arial"/>
        </w:rPr>
        <w:t>CI 0.46</w:t>
      </w:r>
      <w:r w:rsidR="0042408E" w:rsidRPr="00644ED5">
        <w:rPr>
          <w:rFonts w:ascii="Book Antiqua" w:hAnsi="Book Antiqua" w:cs="Arial" w:hint="eastAsia"/>
          <w:lang w:eastAsia="zh-CN"/>
        </w:rPr>
        <w:t>-</w:t>
      </w:r>
      <w:r w:rsidR="009449EA" w:rsidRPr="00644ED5">
        <w:rPr>
          <w:rFonts w:ascii="Book Antiqua" w:hAnsi="Book Antiqua" w:cs="Arial"/>
        </w:rPr>
        <w:t xml:space="preserve">0.65) as well as low-quality </w:t>
      </w:r>
      <w:r w:rsidR="00E8329F" w:rsidRPr="00644ED5">
        <w:rPr>
          <w:rFonts w:ascii="Book Antiqua" w:hAnsi="Book Antiqua" w:cs="Arial"/>
        </w:rPr>
        <w:t xml:space="preserve">evidence </w:t>
      </w:r>
      <w:r w:rsidR="009449EA" w:rsidRPr="00644ED5">
        <w:rPr>
          <w:rFonts w:ascii="Book Antiqua" w:hAnsi="Book Antiqua" w:cs="Arial"/>
        </w:rPr>
        <w:t xml:space="preserve">that statin use is associated with reduced mortality (0.62, </w:t>
      </w:r>
      <w:r w:rsidR="002E7F8C" w:rsidRPr="00644ED5">
        <w:rPr>
          <w:rFonts w:ascii="Book Antiqua" w:hAnsi="Book Antiqua" w:cs="Arial"/>
        </w:rPr>
        <w:t xml:space="preserve">95% </w:t>
      </w:r>
      <w:r w:rsidR="0042408E" w:rsidRPr="00644ED5">
        <w:rPr>
          <w:rFonts w:ascii="Book Antiqua" w:hAnsi="Book Antiqua" w:cs="Arial"/>
        </w:rPr>
        <w:t>CI 0.43</w:t>
      </w:r>
      <w:r w:rsidR="0042408E" w:rsidRPr="00644ED5">
        <w:rPr>
          <w:rFonts w:ascii="Book Antiqua" w:hAnsi="Book Antiqua" w:cs="Arial" w:hint="eastAsia"/>
          <w:lang w:eastAsia="zh-CN"/>
        </w:rPr>
        <w:t>-</w:t>
      </w:r>
      <w:r w:rsidR="009449EA" w:rsidRPr="00644ED5">
        <w:rPr>
          <w:rFonts w:ascii="Book Antiqua" w:hAnsi="Book Antiqua" w:cs="Arial"/>
        </w:rPr>
        <w:t xml:space="preserve">0.91). The second meta-analysis by Kim </w:t>
      </w:r>
      <w:r w:rsidR="009449EA" w:rsidRPr="00644ED5">
        <w:rPr>
          <w:rFonts w:ascii="Book Antiqua" w:hAnsi="Book Antiqua" w:cs="Arial"/>
          <w:i/>
        </w:rPr>
        <w:t>et al</w:t>
      </w:r>
      <w:r w:rsidR="0042408E" w:rsidRPr="00644ED5">
        <w:rPr>
          <w:rFonts w:ascii="Book Antiqua" w:hAnsi="Book Antiqua" w:cs="Arial"/>
          <w:vertAlign w:val="superscript"/>
        </w:rPr>
        <w:t>[112]</w:t>
      </w:r>
      <w:r w:rsidR="0042408E" w:rsidRPr="00644ED5">
        <w:rPr>
          <w:rFonts w:ascii="Book Antiqua" w:hAnsi="Book Antiqua" w:cs="Arial"/>
        </w:rPr>
        <w:t xml:space="preserve"> included 121</w:t>
      </w:r>
      <w:r w:rsidR="009449EA" w:rsidRPr="00644ED5">
        <w:rPr>
          <w:rFonts w:ascii="Book Antiqua" w:hAnsi="Book Antiqua" w:cs="Arial"/>
        </w:rPr>
        <w:t>000 patients (46% statin users) and found moderate-quality evidence of an association between statin use and decreased risk of deco</w:t>
      </w:r>
      <w:r w:rsidR="00CB758E" w:rsidRPr="00644ED5">
        <w:rPr>
          <w:rFonts w:ascii="Book Antiqua" w:hAnsi="Book Antiqua" w:cs="Arial"/>
        </w:rPr>
        <w:t xml:space="preserve">mpensation (RR 0.54, </w:t>
      </w:r>
      <w:r w:rsidR="002E7F8C" w:rsidRPr="00644ED5">
        <w:rPr>
          <w:rFonts w:ascii="Book Antiqua" w:hAnsi="Book Antiqua" w:cs="Arial"/>
        </w:rPr>
        <w:t xml:space="preserve">95% </w:t>
      </w:r>
      <w:r w:rsidR="0042408E" w:rsidRPr="00644ED5">
        <w:rPr>
          <w:rFonts w:ascii="Book Antiqua" w:hAnsi="Book Antiqua" w:cs="Arial"/>
        </w:rPr>
        <w:t>CI 0.47</w:t>
      </w:r>
      <w:r w:rsidR="0042408E" w:rsidRPr="00644ED5">
        <w:rPr>
          <w:rFonts w:ascii="Book Antiqua" w:hAnsi="Book Antiqua" w:cs="Arial" w:hint="eastAsia"/>
          <w:lang w:eastAsia="zh-CN"/>
        </w:rPr>
        <w:t>-</w:t>
      </w:r>
      <w:r w:rsidR="00CB758E" w:rsidRPr="00644ED5">
        <w:rPr>
          <w:rFonts w:ascii="Book Antiqua" w:hAnsi="Book Antiqua" w:cs="Arial"/>
        </w:rPr>
        <w:t xml:space="preserve">0.61), mortality (RR 0.54, </w:t>
      </w:r>
      <w:r w:rsidR="002E7F8C" w:rsidRPr="00644ED5">
        <w:rPr>
          <w:rFonts w:ascii="Book Antiqua" w:hAnsi="Book Antiqua" w:cs="Arial"/>
        </w:rPr>
        <w:t xml:space="preserve">95% </w:t>
      </w:r>
      <w:r w:rsidR="0042408E" w:rsidRPr="00644ED5">
        <w:rPr>
          <w:rFonts w:ascii="Book Antiqua" w:hAnsi="Book Antiqua" w:cs="Arial"/>
        </w:rPr>
        <w:t>CI 0.47</w:t>
      </w:r>
      <w:r w:rsidR="0042408E" w:rsidRPr="00644ED5">
        <w:rPr>
          <w:rFonts w:ascii="Book Antiqua" w:hAnsi="Book Antiqua" w:cs="Arial" w:hint="eastAsia"/>
          <w:lang w:eastAsia="zh-CN"/>
        </w:rPr>
        <w:t>-</w:t>
      </w:r>
      <w:r w:rsidR="00CB758E" w:rsidRPr="00644ED5">
        <w:rPr>
          <w:rFonts w:ascii="Book Antiqua" w:hAnsi="Book Antiqua" w:cs="Arial"/>
        </w:rPr>
        <w:t xml:space="preserve">0.61) and variceal bleeding (RR 0.73, </w:t>
      </w:r>
      <w:r w:rsidR="002E7F8C" w:rsidRPr="00644ED5">
        <w:rPr>
          <w:rFonts w:ascii="Book Antiqua" w:hAnsi="Book Antiqua" w:cs="Arial"/>
        </w:rPr>
        <w:t xml:space="preserve">95% </w:t>
      </w:r>
      <w:r w:rsidR="0042408E" w:rsidRPr="00644ED5">
        <w:rPr>
          <w:rFonts w:ascii="Book Antiqua" w:hAnsi="Book Antiqua" w:cs="Arial"/>
        </w:rPr>
        <w:t>CI 0.59</w:t>
      </w:r>
      <w:r w:rsidR="0042408E" w:rsidRPr="00644ED5">
        <w:rPr>
          <w:rFonts w:ascii="Book Antiqua" w:hAnsi="Book Antiqua" w:cs="Arial" w:hint="eastAsia"/>
          <w:lang w:eastAsia="zh-CN"/>
        </w:rPr>
        <w:t>-</w:t>
      </w:r>
      <w:r w:rsidR="00CB758E" w:rsidRPr="00644ED5">
        <w:rPr>
          <w:rFonts w:ascii="Book Antiqua" w:hAnsi="Book Antiqua" w:cs="Arial"/>
        </w:rPr>
        <w:t>0.91). Thirdly,</w:t>
      </w:r>
      <w:r w:rsidR="009449EA" w:rsidRPr="00644ED5">
        <w:rPr>
          <w:rFonts w:ascii="Book Antiqua" w:hAnsi="Book Antiqua" w:cs="Arial"/>
        </w:rPr>
        <w:t xml:space="preserve"> </w:t>
      </w:r>
      <w:r w:rsidR="00160CEE" w:rsidRPr="00644ED5">
        <w:rPr>
          <w:rFonts w:ascii="Book Antiqua" w:hAnsi="Book Antiqua" w:cs="Arial"/>
        </w:rPr>
        <w:t xml:space="preserve">Singh </w:t>
      </w:r>
      <w:r w:rsidR="00160CEE" w:rsidRPr="00644ED5">
        <w:rPr>
          <w:rFonts w:ascii="Book Antiqua" w:hAnsi="Book Antiqua" w:cs="Arial"/>
          <w:i/>
        </w:rPr>
        <w:t>et al</w:t>
      </w:r>
      <w:r w:rsidR="0042408E" w:rsidRPr="00644ED5">
        <w:rPr>
          <w:rFonts w:ascii="Book Antiqua" w:hAnsi="Book Antiqua" w:cs="Arial"/>
          <w:vertAlign w:val="superscript"/>
        </w:rPr>
        <w:t>[113]</w:t>
      </w:r>
      <w:r w:rsidR="00160CEE" w:rsidRPr="00644ED5">
        <w:rPr>
          <w:rFonts w:ascii="Book Antiqua" w:hAnsi="Book Antiqua" w:cs="Arial"/>
        </w:rPr>
        <w:t xml:space="preserve"> performed a large meta-analysis including 1.4 million patients with 4298 cases of HCC, associating statin use with a 37% risk reduction</w:t>
      </w:r>
      <w:r w:rsidR="00467AD8" w:rsidRPr="00644ED5">
        <w:rPr>
          <w:rFonts w:ascii="Book Antiqua" w:hAnsi="Book Antiqua" w:cs="Arial"/>
        </w:rPr>
        <w:t xml:space="preserve"> </w:t>
      </w:r>
      <w:r w:rsidR="00467AD8" w:rsidRPr="00644ED5">
        <w:rPr>
          <w:rFonts w:ascii="Book Antiqua" w:hAnsi="Book Antiqua" w:cs="Arial" w:hint="eastAsia"/>
          <w:lang w:eastAsia="zh-CN"/>
        </w:rPr>
        <w:t>[</w:t>
      </w:r>
      <w:r w:rsidR="00467AD8" w:rsidRPr="00644ED5">
        <w:rPr>
          <w:rFonts w:ascii="Book Antiqua" w:hAnsi="Book Antiqua" w:cs="Arial"/>
          <w:lang w:val="en-US"/>
        </w:rPr>
        <w:t>odds ratio</w:t>
      </w:r>
      <w:r w:rsidR="00467AD8" w:rsidRPr="00644ED5">
        <w:rPr>
          <w:rFonts w:ascii="Book Antiqua" w:hAnsi="Book Antiqua" w:cs="Arial"/>
        </w:rPr>
        <w:t xml:space="preserve"> </w:t>
      </w:r>
      <w:r w:rsidR="00467AD8" w:rsidRPr="00644ED5">
        <w:rPr>
          <w:rFonts w:ascii="Book Antiqua" w:hAnsi="Book Antiqua" w:cs="Arial" w:hint="eastAsia"/>
          <w:lang w:eastAsia="zh-CN"/>
        </w:rPr>
        <w:t>(</w:t>
      </w:r>
      <w:r w:rsidR="002B2C94" w:rsidRPr="00644ED5">
        <w:rPr>
          <w:rFonts w:ascii="Book Antiqua" w:hAnsi="Book Antiqua" w:cs="Arial"/>
        </w:rPr>
        <w:t>OR</w:t>
      </w:r>
      <w:r w:rsidR="00467AD8" w:rsidRPr="00644ED5">
        <w:rPr>
          <w:rFonts w:ascii="Book Antiqua" w:hAnsi="Book Antiqua" w:cs="Arial" w:hint="eastAsia"/>
          <w:lang w:eastAsia="zh-CN"/>
        </w:rPr>
        <w:t>)</w:t>
      </w:r>
      <w:r w:rsidR="002B2C94" w:rsidRPr="00644ED5">
        <w:rPr>
          <w:rFonts w:ascii="Book Antiqua" w:hAnsi="Book Antiqua" w:cs="Arial"/>
        </w:rPr>
        <w:t xml:space="preserve"> 0.63, </w:t>
      </w:r>
      <w:r w:rsidR="002E7F8C" w:rsidRPr="00644ED5">
        <w:rPr>
          <w:rFonts w:ascii="Book Antiqua" w:hAnsi="Book Antiqua" w:cs="Arial"/>
        </w:rPr>
        <w:t xml:space="preserve">95% </w:t>
      </w:r>
      <w:r w:rsidR="0042408E" w:rsidRPr="00644ED5">
        <w:rPr>
          <w:rFonts w:ascii="Book Antiqua" w:hAnsi="Book Antiqua" w:cs="Arial"/>
        </w:rPr>
        <w:t>CI 0.52</w:t>
      </w:r>
      <w:r w:rsidR="0042408E" w:rsidRPr="00644ED5">
        <w:rPr>
          <w:rFonts w:ascii="Book Antiqua" w:hAnsi="Book Antiqua" w:cs="Arial" w:hint="eastAsia"/>
          <w:lang w:eastAsia="zh-CN"/>
        </w:rPr>
        <w:t>-</w:t>
      </w:r>
      <w:r w:rsidR="00467AD8" w:rsidRPr="00644ED5">
        <w:rPr>
          <w:rFonts w:ascii="Book Antiqua" w:hAnsi="Book Antiqua" w:cs="Arial"/>
        </w:rPr>
        <w:t>0.76</w:t>
      </w:r>
      <w:r w:rsidR="00467AD8" w:rsidRPr="00644ED5">
        <w:rPr>
          <w:rFonts w:ascii="Book Antiqua" w:hAnsi="Book Antiqua" w:cs="Arial" w:hint="eastAsia"/>
          <w:lang w:eastAsia="zh-CN"/>
        </w:rPr>
        <w:t>]</w:t>
      </w:r>
      <w:r w:rsidR="00160CEE" w:rsidRPr="00644ED5">
        <w:rPr>
          <w:rFonts w:ascii="Book Antiqua" w:hAnsi="Book Antiqua" w:cs="Arial"/>
        </w:rPr>
        <w:t xml:space="preserve"> of HCC development. </w:t>
      </w:r>
      <w:r w:rsidR="002B2C94" w:rsidRPr="00644ED5">
        <w:rPr>
          <w:rFonts w:ascii="Book Antiqua" w:hAnsi="Book Antiqua" w:cs="Arial"/>
        </w:rPr>
        <w:t xml:space="preserve">This risk reduction was significantly more pronounced in the Asian population, in which chronic </w:t>
      </w:r>
      <w:r w:rsidR="0042408E" w:rsidRPr="00644ED5">
        <w:rPr>
          <w:rFonts w:ascii="Book Antiqua" w:hAnsi="Book Antiqua" w:cs="Arial"/>
        </w:rPr>
        <w:t>hepatitis B virus</w:t>
      </w:r>
      <w:r w:rsidR="002B2C94" w:rsidRPr="00644ED5">
        <w:rPr>
          <w:rFonts w:ascii="Book Antiqua" w:hAnsi="Book Antiqua" w:cs="Arial"/>
        </w:rPr>
        <w:t xml:space="preserve"> infection is the predominant risk factor for HCC development. In this population, the </w:t>
      </w:r>
      <w:r w:rsidR="00A64CEE" w:rsidRPr="00644ED5">
        <w:rPr>
          <w:rFonts w:ascii="Book Antiqua" w:hAnsi="Book Antiqua" w:cs="Arial"/>
        </w:rPr>
        <w:t>NNT</w:t>
      </w:r>
      <w:r w:rsidR="002B2C94" w:rsidRPr="00644ED5">
        <w:rPr>
          <w:rFonts w:ascii="Book Antiqua" w:hAnsi="Book Antiqua" w:cs="Arial"/>
        </w:rPr>
        <w:t xml:space="preserve"> to prevent one case of HCC per year was estimated at 5209. As a consequence of this high NNT in combination with the significant heterogeneity between included studies, the authors conclude that they cannot recommend statins for chemoprevention of HCC</w:t>
      </w:r>
      <w:r w:rsidR="00BA0FDC" w:rsidRPr="00644ED5">
        <w:rPr>
          <w:rFonts w:ascii="Book Antiqua" w:hAnsi="Book Antiqua" w:cs="Arial"/>
          <w:vertAlign w:val="superscript"/>
        </w:rPr>
        <w:t>[103,113]</w:t>
      </w:r>
      <w:r w:rsidR="002B2C94" w:rsidRPr="00644ED5">
        <w:rPr>
          <w:rFonts w:ascii="Book Antiqua" w:hAnsi="Book Antiqua" w:cs="Arial"/>
        </w:rPr>
        <w:t xml:space="preserve">. </w:t>
      </w:r>
      <w:r w:rsidR="00C619D8" w:rsidRPr="00644ED5">
        <w:rPr>
          <w:rFonts w:ascii="Book Antiqua" w:hAnsi="Book Antiqua" w:cs="Arial"/>
        </w:rPr>
        <w:t>In the context of increasingly stretched healthcare budgets, the inexpensiveness of statins and the encouraging evidence presented above calls for the implementation of a phase 3 RCT in patients with Child-Pugh A/B cirrhosis with the primary endpoint of decompensation or death</w:t>
      </w:r>
      <w:r w:rsidR="00BA0FDC" w:rsidRPr="00644ED5">
        <w:rPr>
          <w:rFonts w:ascii="Book Antiqua" w:hAnsi="Book Antiqua" w:cs="Arial"/>
          <w:vertAlign w:val="superscript"/>
        </w:rPr>
        <w:t>[114]</w:t>
      </w:r>
      <w:r w:rsidR="00C619D8" w:rsidRPr="00644ED5">
        <w:rPr>
          <w:rFonts w:ascii="Book Antiqua" w:hAnsi="Book Antiqua" w:cs="Arial"/>
        </w:rPr>
        <w:t>.</w:t>
      </w:r>
      <w:r w:rsidR="00BB1167" w:rsidRPr="00644ED5">
        <w:rPr>
          <w:rFonts w:ascii="Book Antiqua" w:hAnsi="Book Antiqua" w:cs="Arial"/>
        </w:rPr>
        <w:t xml:space="preserve"> </w:t>
      </w:r>
    </w:p>
    <w:p w14:paraId="570AA335" w14:textId="459E5B03" w:rsidR="00467AD8" w:rsidRPr="00644ED5" w:rsidRDefault="00787541" w:rsidP="00467AD8">
      <w:pPr>
        <w:spacing w:line="360" w:lineRule="auto"/>
        <w:ind w:firstLineChars="100" w:firstLine="240"/>
        <w:rPr>
          <w:rFonts w:ascii="Book Antiqua" w:hAnsi="Book Antiqua" w:cs="Arial"/>
          <w:lang w:eastAsia="zh-CN"/>
        </w:rPr>
      </w:pPr>
      <w:r w:rsidRPr="00644ED5">
        <w:rPr>
          <w:rFonts w:ascii="Book Antiqua" w:hAnsi="Book Antiqua" w:cs="Arial"/>
        </w:rPr>
        <w:t>While the use of statins in cirrhotic patients remains disputed due to safety concerns, multiple studies have demonstrated that statins are safe to use in patients with compensated non-alcoholic fatty liver disease (NAFLD) irrespective of liver enzyme elevations</w:t>
      </w:r>
      <w:r w:rsidR="00BA0FDC" w:rsidRPr="00644ED5">
        <w:rPr>
          <w:rFonts w:ascii="Book Antiqua" w:hAnsi="Book Antiqua" w:cs="Arial"/>
          <w:vertAlign w:val="superscript"/>
        </w:rPr>
        <w:t>[115,116]</w:t>
      </w:r>
      <w:r w:rsidRPr="00644ED5">
        <w:rPr>
          <w:rFonts w:ascii="Book Antiqua" w:hAnsi="Book Antiqua" w:cs="Arial"/>
        </w:rPr>
        <w:t>. Due to the strong association between NAFLD and cardiovascular morbidity and mortality, both EASL and AASLD guidelines recommend the initiation of cholesterol-lowering therapy with statins in patients with</w:t>
      </w:r>
      <w:r w:rsidR="002171A5" w:rsidRPr="00644ED5">
        <w:rPr>
          <w:rFonts w:ascii="Book Antiqua" w:hAnsi="Book Antiqua" w:cs="Arial"/>
        </w:rPr>
        <w:t xml:space="preserve"> compensated</w:t>
      </w:r>
      <w:r w:rsidRPr="00644ED5">
        <w:rPr>
          <w:rFonts w:ascii="Book Antiqua" w:hAnsi="Book Antiqua" w:cs="Arial"/>
        </w:rPr>
        <w:t xml:space="preserve"> NAFLD</w:t>
      </w:r>
      <w:r w:rsidR="00BA0FDC" w:rsidRPr="00644ED5">
        <w:rPr>
          <w:rFonts w:ascii="Book Antiqua" w:hAnsi="Book Antiqua" w:cs="Arial"/>
          <w:vertAlign w:val="superscript"/>
        </w:rPr>
        <w:t>[117,118]</w:t>
      </w:r>
      <w:r w:rsidRPr="00644ED5">
        <w:rPr>
          <w:rFonts w:ascii="Book Antiqua" w:hAnsi="Book Antiqua" w:cs="Arial"/>
        </w:rPr>
        <w:t xml:space="preserve">. However, </w:t>
      </w:r>
      <w:r w:rsidR="00C746E9" w:rsidRPr="00644ED5">
        <w:rPr>
          <w:rFonts w:ascii="Book Antiqua" w:hAnsi="Book Antiqua" w:cs="Arial"/>
        </w:rPr>
        <w:t>current</w:t>
      </w:r>
      <w:r w:rsidRPr="00644ED5">
        <w:rPr>
          <w:rFonts w:ascii="Book Antiqua" w:hAnsi="Book Antiqua" w:cs="Arial"/>
        </w:rPr>
        <w:t xml:space="preserve"> AASLD guidelines </w:t>
      </w:r>
      <w:r w:rsidR="00C746E9" w:rsidRPr="00644ED5">
        <w:rPr>
          <w:rFonts w:ascii="Book Antiqua" w:hAnsi="Book Antiqua" w:cs="Arial"/>
        </w:rPr>
        <w:t>advise against</w:t>
      </w:r>
      <w:r w:rsidRPr="00644ED5">
        <w:rPr>
          <w:rFonts w:ascii="Book Antiqua" w:hAnsi="Book Antiqua" w:cs="Arial"/>
        </w:rPr>
        <w:t xml:space="preserve"> the use of statins in patients with decompensated cirrhosis in view of the potentially deleterious complications in </w:t>
      </w:r>
      <w:r w:rsidR="00C746E9" w:rsidRPr="00644ED5">
        <w:rPr>
          <w:rFonts w:ascii="Book Antiqua" w:hAnsi="Book Antiqua" w:cs="Arial"/>
        </w:rPr>
        <w:t>this population of patients</w:t>
      </w:r>
      <w:r w:rsidR="00BA0FDC" w:rsidRPr="00644ED5">
        <w:rPr>
          <w:rFonts w:ascii="Book Antiqua" w:hAnsi="Book Antiqua" w:cs="Arial"/>
          <w:vertAlign w:val="superscript"/>
        </w:rPr>
        <w:t>[117]</w:t>
      </w:r>
      <w:r w:rsidRPr="00644ED5">
        <w:rPr>
          <w:rFonts w:ascii="Book Antiqua" w:hAnsi="Book Antiqua" w:cs="Arial"/>
        </w:rPr>
        <w:t>.</w:t>
      </w:r>
      <w:bookmarkStart w:id="47" w:name="_Toc497668320"/>
      <w:r w:rsidR="00243721" w:rsidRPr="00644ED5">
        <w:rPr>
          <w:rFonts w:ascii="Book Antiqua" w:hAnsi="Book Antiqua" w:cs="Arial"/>
        </w:rPr>
        <w:t xml:space="preserve"> Since the majority of evidence regarding the pleiotropic effects of statins in chronic liver </w:t>
      </w:r>
      <w:r w:rsidR="00243721" w:rsidRPr="00644ED5">
        <w:rPr>
          <w:rFonts w:ascii="Book Antiqua" w:hAnsi="Book Antiqua" w:cs="Arial"/>
        </w:rPr>
        <w:lastRenderedPageBreak/>
        <w:t>disease is derived from observational studies and small-scale trials, adequately powered RCTs are required to assess whether the pleiotropic properties of statins can modulate clinical endpoints in cirrhotic patients</w:t>
      </w:r>
      <w:r w:rsidR="00BA0FDC" w:rsidRPr="00644ED5">
        <w:rPr>
          <w:rFonts w:ascii="Book Antiqua" w:hAnsi="Book Antiqua" w:cs="Arial"/>
          <w:vertAlign w:val="superscript"/>
        </w:rPr>
        <w:t>[119]</w:t>
      </w:r>
      <w:r w:rsidR="00243721" w:rsidRPr="00644ED5">
        <w:rPr>
          <w:rFonts w:ascii="Book Antiqua" w:hAnsi="Book Antiqua" w:cs="Arial"/>
        </w:rPr>
        <w:t>.</w:t>
      </w:r>
    </w:p>
    <w:p w14:paraId="56A4E210" w14:textId="77777777" w:rsidR="00467AD8" w:rsidRPr="00644ED5" w:rsidRDefault="00467AD8" w:rsidP="00467AD8">
      <w:pPr>
        <w:spacing w:line="360" w:lineRule="auto"/>
        <w:rPr>
          <w:rFonts w:ascii="Book Antiqua" w:hAnsi="Book Antiqua" w:cs="Arial"/>
          <w:lang w:eastAsia="zh-CN"/>
        </w:rPr>
      </w:pPr>
    </w:p>
    <w:p w14:paraId="2179DD41" w14:textId="6CF83F5E" w:rsidR="00784392" w:rsidRPr="00644ED5" w:rsidRDefault="00784392" w:rsidP="00467AD8">
      <w:pPr>
        <w:spacing w:line="360" w:lineRule="auto"/>
        <w:rPr>
          <w:rFonts w:ascii="Book Antiqua" w:hAnsi="Book Antiqua" w:cs="Arial"/>
          <w:b/>
          <w:i/>
        </w:rPr>
      </w:pPr>
      <w:r w:rsidRPr="00644ED5">
        <w:rPr>
          <w:rFonts w:ascii="Book Antiqua" w:hAnsi="Book Antiqua"/>
          <w:b/>
          <w:i/>
        </w:rPr>
        <w:t xml:space="preserve">Proton </w:t>
      </w:r>
      <w:r w:rsidR="00467AD8" w:rsidRPr="00644ED5">
        <w:rPr>
          <w:rFonts w:ascii="Book Antiqua" w:hAnsi="Book Antiqua"/>
          <w:b/>
          <w:i/>
        </w:rPr>
        <w:t>pump i</w:t>
      </w:r>
      <w:r w:rsidRPr="00644ED5">
        <w:rPr>
          <w:rFonts w:ascii="Book Antiqua" w:hAnsi="Book Antiqua"/>
          <w:b/>
          <w:i/>
        </w:rPr>
        <w:t xml:space="preserve">nhibitors </w:t>
      </w:r>
      <w:bookmarkEnd w:id="47"/>
    </w:p>
    <w:p w14:paraId="356F86D6" w14:textId="28B055A3" w:rsidR="0026105F" w:rsidRPr="00644ED5" w:rsidRDefault="00784392" w:rsidP="00667231">
      <w:pPr>
        <w:spacing w:line="360" w:lineRule="auto"/>
        <w:rPr>
          <w:rFonts w:ascii="Book Antiqua" w:hAnsi="Book Antiqua" w:cs="Arial"/>
          <w:lang w:eastAsia="zh-CN"/>
        </w:rPr>
      </w:pPr>
      <w:r w:rsidRPr="00644ED5">
        <w:rPr>
          <w:rFonts w:ascii="Book Antiqua" w:hAnsi="Book Antiqua" w:cs="Arial"/>
        </w:rPr>
        <w:t xml:space="preserve">Despite suboptimal evidence for their efficacy in cirrhosis and growing concerns over their promotion of bacterial overgrowth and translocation, proton pump inhibitors (PPI) are frequently prescribed to patients with cirrhosis receiving multidrug treatment for variceal haemorrhage or </w:t>
      </w:r>
      <w:r w:rsidR="00955864" w:rsidRPr="00644ED5">
        <w:rPr>
          <w:rFonts w:ascii="Book Antiqua" w:hAnsi="Book Antiqua" w:cs="Arial"/>
        </w:rPr>
        <w:t xml:space="preserve">portal </w:t>
      </w:r>
      <w:r w:rsidRPr="00644ED5">
        <w:rPr>
          <w:rFonts w:ascii="Book Antiqua" w:hAnsi="Book Antiqua" w:cs="Arial"/>
        </w:rPr>
        <w:t>hypertensive gastropathy in order to forestall peptic complications</w:t>
      </w:r>
      <w:r w:rsidR="00BA0FDC" w:rsidRPr="00644ED5">
        <w:rPr>
          <w:rFonts w:ascii="Book Antiqua" w:hAnsi="Book Antiqua" w:cs="Arial"/>
          <w:vertAlign w:val="superscript"/>
        </w:rPr>
        <w:t>[120]</w:t>
      </w:r>
      <w:r w:rsidRPr="00644ED5">
        <w:rPr>
          <w:rFonts w:ascii="Book Antiqua" w:hAnsi="Book Antiqua" w:cs="Arial"/>
        </w:rPr>
        <w:t xml:space="preserve">. </w:t>
      </w:r>
      <w:r w:rsidR="00692DD6" w:rsidRPr="00644ED5">
        <w:rPr>
          <w:rFonts w:ascii="Book Antiqua" w:hAnsi="Book Antiqua" w:cs="Arial"/>
        </w:rPr>
        <w:t>In fact, 46</w:t>
      </w:r>
      <w:r w:rsidR="00467AD8" w:rsidRPr="00644ED5">
        <w:rPr>
          <w:rFonts w:ascii="Book Antiqua" w:hAnsi="Book Antiqua" w:cs="Arial" w:hint="eastAsia"/>
          <w:lang w:eastAsia="zh-CN"/>
        </w:rPr>
        <w:t>%</w:t>
      </w:r>
      <w:r w:rsidR="00692DD6" w:rsidRPr="00644ED5">
        <w:rPr>
          <w:rFonts w:ascii="Book Antiqua" w:hAnsi="Book Antiqua" w:cs="Arial"/>
        </w:rPr>
        <w:t>-78% of cirrhotic patients are reported to use PPIs</w:t>
      </w:r>
      <w:r w:rsidR="00BA0FDC" w:rsidRPr="00644ED5">
        <w:rPr>
          <w:rFonts w:ascii="Book Antiqua" w:hAnsi="Book Antiqua" w:cs="Arial"/>
          <w:vertAlign w:val="superscript"/>
        </w:rPr>
        <w:t>[121]</w:t>
      </w:r>
      <w:r w:rsidR="00692DD6" w:rsidRPr="00644ED5">
        <w:rPr>
          <w:rFonts w:ascii="Book Antiqua" w:hAnsi="Book Antiqua" w:cs="Arial"/>
        </w:rPr>
        <w:t xml:space="preserve">. </w:t>
      </w:r>
      <w:r w:rsidR="001439CB" w:rsidRPr="00644ED5">
        <w:rPr>
          <w:rFonts w:ascii="Book Antiqua" w:hAnsi="Book Antiqua" w:cs="Arial"/>
        </w:rPr>
        <w:t xml:space="preserve">Initially, concerns about the safety of PPI use in cirrhosis were raised by a variety of low-powered observational studies. </w:t>
      </w:r>
      <w:r w:rsidRPr="00644ED5">
        <w:rPr>
          <w:rFonts w:ascii="Book Antiqua" w:hAnsi="Book Antiqua" w:cs="Arial"/>
        </w:rPr>
        <w:t>A prospective study of 272 patients with overall survival as the primary endpoint demonstrated that PPI treatment was associated with higher MELD scores, ascites and mortality</w:t>
      </w:r>
      <w:r w:rsidR="00BA0FDC" w:rsidRPr="00644ED5">
        <w:rPr>
          <w:rFonts w:ascii="Book Antiqua" w:hAnsi="Book Antiqua" w:cs="Arial"/>
          <w:vertAlign w:val="superscript"/>
        </w:rPr>
        <w:t>[122]</w:t>
      </w:r>
      <w:r w:rsidRPr="00644ED5">
        <w:rPr>
          <w:rFonts w:ascii="Book Antiqua" w:hAnsi="Book Antiqua" w:cs="Arial"/>
        </w:rPr>
        <w:t>. In addition, a meta-analysis of four studies and 772 patients identified a significant correlation between PPI use and SBP development (OR 2.77)</w:t>
      </w:r>
      <w:r w:rsidR="00BA0FDC" w:rsidRPr="00644ED5">
        <w:rPr>
          <w:rFonts w:ascii="Book Antiqua" w:hAnsi="Book Antiqua" w:cs="Arial"/>
          <w:vertAlign w:val="superscript"/>
        </w:rPr>
        <w:t>[123]</w:t>
      </w:r>
      <w:r w:rsidRPr="00644ED5">
        <w:rPr>
          <w:rFonts w:ascii="Book Antiqua" w:hAnsi="Book Antiqua" w:cs="Arial"/>
        </w:rPr>
        <w:t>. A prospective cohort study of 400 patients hospitalized with cirrhosis established that PPI use was an independent risk factor for the development of infection (OR 2.0), while beta-blocker use was a protective factor (OR 0.46)</w:t>
      </w:r>
      <w:r w:rsidR="00BA0FDC" w:rsidRPr="00644ED5">
        <w:rPr>
          <w:rFonts w:ascii="Book Antiqua" w:hAnsi="Book Antiqua" w:cs="Arial"/>
          <w:vertAlign w:val="superscript"/>
        </w:rPr>
        <w:t>[36]</w:t>
      </w:r>
      <w:r w:rsidRPr="00644ED5">
        <w:rPr>
          <w:rFonts w:ascii="Book Antiqua" w:hAnsi="Book Antiqua" w:cs="Arial"/>
        </w:rPr>
        <w:t xml:space="preserve">. </w:t>
      </w:r>
    </w:p>
    <w:p w14:paraId="66E67C8E" w14:textId="2D094A20" w:rsidR="0026105F" w:rsidRPr="00644ED5" w:rsidRDefault="001439CB" w:rsidP="00946584">
      <w:pPr>
        <w:spacing w:line="360" w:lineRule="auto"/>
        <w:ind w:firstLineChars="100" w:firstLine="240"/>
        <w:rPr>
          <w:rFonts w:ascii="Book Antiqua" w:hAnsi="Book Antiqua" w:cs="Arial"/>
          <w:lang w:eastAsia="zh-CN"/>
        </w:rPr>
      </w:pPr>
      <w:r w:rsidRPr="00644ED5">
        <w:rPr>
          <w:rFonts w:ascii="Book Antiqua" w:hAnsi="Book Antiqua" w:cs="Arial"/>
        </w:rPr>
        <w:t>Recently, two large, retrospective analyses fuel</w:t>
      </w:r>
      <w:r w:rsidR="0085332A" w:rsidRPr="00644ED5">
        <w:rPr>
          <w:rFonts w:ascii="Book Antiqua" w:hAnsi="Book Antiqua" w:cs="Arial"/>
        </w:rPr>
        <w:t>l</w:t>
      </w:r>
      <w:r w:rsidRPr="00644ED5">
        <w:rPr>
          <w:rFonts w:ascii="Book Antiqua" w:hAnsi="Book Antiqua" w:cs="Arial"/>
        </w:rPr>
        <w:t xml:space="preserve">ed the established fear over the impact of PPI use on SBP and HE development. </w:t>
      </w:r>
      <w:r w:rsidR="00C12BA1" w:rsidRPr="00644ED5">
        <w:rPr>
          <w:rFonts w:ascii="Book Antiqua" w:hAnsi="Book Antiqua" w:cs="Arial"/>
        </w:rPr>
        <w:t xml:space="preserve">Dam </w:t>
      </w:r>
      <w:r w:rsidR="00C12BA1" w:rsidRPr="00644ED5">
        <w:rPr>
          <w:rFonts w:ascii="Book Antiqua" w:hAnsi="Book Antiqua" w:cs="Arial"/>
          <w:i/>
        </w:rPr>
        <w:t>et al</w:t>
      </w:r>
      <w:r w:rsidR="00946584" w:rsidRPr="00644ED5">
        <w:rPr>
          <w:rFonts w:ascii="Book Antiqua" w:hAnsi="Book Antiqua" w:cs="Arial"/>
          <w:vertAlign w:val="superscript"/>
        </w:rPr>
        <w:t>[121]</w:t>
      </w:r>
      <w:r w:rsidR="00C12BA1" w:rsidRPr="00644ED5">
        <w:rPr>
          <w:rFonts w:ascii="Book Antiqua" w:hAnsi="Book Antiqua" w:cs="Arial"/>
        </w:rPr>
        <w:t xml:space="preserve"> retrospectively analysed data from three large, multicent</w:t>
      </w:r>
      <w:r w:rsidR="0085332A" w:rsidRPr="00644ED5">
        <w:rPr>
          <w:rFonts w:ascii="Book Antiqua" w:hAnsi="Book Antiqua" w:cs="Arial"/>
        </w:rPr>
        <w:t>re</w:t>
      </w:r>
      <w:r w:rsidR="00C12BA1" w:rsidRPr="00644ED5">
        <w:rPr>
          <w:rFonts w:ascii="Book Antiqua" w:hAnsi="Book Antiqua" w:cs="Arial"/>
        </w:rPr>
        <w:t xml:space="preserve"> RCTs (</w:t>
      </w:r>
      <w:r w:rsidR="00C12BA1" w:rsidRPr="00644ED5">
        <w:rPr>
          <w:rFonts w:ascii="Book Antiqua" w:hAnsi="Book Antiqua" w:cs="Arial"/>
          <w:i/>
        </w:rPr>
        <w:t>n</w:t>
      </w:r>
      <w:r w:rsidR="00467AD8" w:rsidRPr="00644ED5">
        <w:rPr>
          <w:rFonts w:ascii="Book Antiqua" w:hAnsi="Book Antiqua" w:cs="Arial" w:hint="eastAsia"/>
          <w:lang w:eastAsia="zh-CN"/>
        </w:rPr>
        <w:t xml:space="preserve"> </w:t>
      </w:r>
      <w:r w:rsidR="00C12BA1" w:rsidRPr="00644ED5">
        <w:rPr>
          <w:rFonts w:ascii="Book Antiqua" w:hAnsi="Book Antiqua" w:cs="Arial"/>
        </w:rPr>
        <w:t>=</w:t>
      </w:r>
      <w:r w:rsidR="00467AD8" w:rsidRPr="00644ED5">
        <w:rPr>
          <w:rFonts w:ascii="Book Antiqua" w:hAnsi="Book Antiqua" w:cs="Arial" w:hint="eastAsia"/>
          <w:lang w:eastAsia="zh-CN"/>
        </w:rPr>
        <w:t xml:space="preserve"> </w:t>
      </w:r>
      <w:r w:rsidR="00C12BA1" w:rsidRPr="00644ED5">
        <w:rPr>
          <w:rFonts w:ascii="Book Antiqua" w:hAnsi="Book Antiqua" w:cs="Arial"/>
        </w:rPr>
        <w:t xml:space="preserve">865) for the use of satavaptan in cirrhotic ascites, describing that current PPI use was associated with an increased risk of HE (HR 1.36, </w:t>
      </w:r>
      <w:r w:rsidR="002E7F8C" w:rsidRPr="00644ED5">
        <w:rPr>
          <w:rFonts w:ascii="Book Antiqua" w:hAnsi="Book Antiqua" w:cs="Arial"/>
        </w:rPr>
        <w:t xml:space="preserve">95% </w:t>
      </w:r>
      <w:r w:rsidR="00946584" w:rsidRPr="00644ED5">
        <w:rPr>
          <w:rFonts w:ascii="Book Antiqua" w:hAnsi="Book Antiqua" w:cs="Arial"/>
        </w:rPr>
        <w:t>CI 1.01</w:t>
      </w:r>
      <w:r w:rsidR="00946584" w:rsidRPr="00644ED5">
        <w:rPr>
          <w:rFonts w:ascii="Book Antiqua" w:hAnsi="Book Antiqua" w:cs="Arial" w:hint="eastAsia"/>
          <w:lang w:eastAsia="zh-CN"/>
        </w:rPr>
        <w:t>-</w:t>
      </w:r>
      <w:r w:rsidR="00C12BA1" w:rsidRPr="00644ED5">
        <w:rPr>
          <w:rFonts w:ascii="Book Antiqua" w:hAnsi="Book Antiqua" w:cs="Arial"/>
        </w:rPr>
        <w:t xml:space="preserve">1.84) and SBP development (HR 1.72, </w:t>
      </w:r>
      <w:r w:rsidR="002E7F8C" w:rsidRPr="00644ED5">
        <w:rPr>
          <w:rFonts w:ascii="Book Antiqua" w:hAnsi="Book Antiqua" w:cs="Arial"/>
        </w:rPr>
        <w:t xml:space="preserve">95% </w:t>
      </w:r>
      <w:r w:rsidR="00946584" w:rsidRPr="00644ED5">
        <w:rPr>
          <w:rFonts w:ascii="Book Antiqua" w:hAnsi="Book Antiqua" w:cs="Arial"/>
        </w:rPr>
        <w:t>CI 1.10</w:t>
      </w:r>
      <w:r w:rsidR="00946584" w:rsidRPr="00644ED5">
        <w:rPr>
          <w:rFonts w:ascii="Book Antiqua" w:hAnsi="Book Antiqua" w:cs="Arial" w:hint="eastAsia"/>
          <w:lang w:eastAsia="zh-CN"/>
        </w:rPr>
        <w:t>-</w:t>
      </w:r>
      <w:r w:rsidR="00C12BA1" w:rsidRPr="00644ED5">
        <w:rPr>
          <w:rFonts w:ascii="Book Antiqua" w:hAnsi="Book Antiqua" w:cs="Arial"/>
        </w:rPr>
        <w:t xml:space="preserve">2.69) compared to </w:t>
      </w:r>
      <w:r w:rsidR="00507E30" w:rsidRPr="00644ED5">
        <w:rPr>
          <w:rFonts w:ascii="Book Antiqua" w:hAnsi="Book Antiqua" w:cs="Arial"/>
        </w:rPr>
        <w:t>non-users</w:t>
      </w:r>
      <w:r w:rsidR="00C12BA1" w:rsidRPr="00644ED5">
        <w:rPr>
          <w:rFonts w:ascii="Book Antiqua" w:hAnsi="Book Antiqua" w:cs="Arial"/>
        </w:rPr>
        <w:t xml:space="preserve">. Additionally, the authors described that </w:t>
      </w:r>
      <w:r w:rsidR="00955864" w:rsidRPr="00644ED5">
        <w:rPr>
          <w:rFonts w:ascii="Book Antiqua" w:hAnsi="Book Antiqua" w:cs="Arial"/>
        </w:rPr>
        <w:t xml:space="preserve">only </w:t>
      </w:r>
      <w:r w:rsidR="00C12BA1" w:rsidRPr="00644ED5">
        <w:rPr>
          <w:rFonts w:ascii="Book Antiqua" w:hAnsi="Book Antiqua" w:cs="Arial"/>
        </w:rPr>
        <w:t>56% of PPI users had a valid indication for PPI prescription</w:t>
      </w:r>
      <w:r w:rsidR="00BA0FDC" w:rsidRPr="00644ED5">
        <w:rPr>
          <w:rFonts w:ascii="Book Antiqua" w:hAnsi="Book Antiqua" w:cs="Arial"/>
          <w:vertAlign w:val="superscript"/>
        </w:rPr>
        <w:t>[121,124]</w:t>
      </w:r>
      <w:r w:rsidR="00C12BA1" w:rsidRPr="00644ED5">
        <w:rPr>
          <w:rFonts w:ascii="Book Antiqua" w:hAnsi="Book Antiqua" w:cs="Arial"/>
        </w:rPr>
        <w:t xml:space="preserve">. </w:t>
      </w:r>
      <w:r w:rsidR="000977A1" w:rsidRPr="00644ED5">
        <w:rPr>
          <w:rFonts w:ascii="Book Antiqua" w:hAnsi="Book Antiqua" w:cs="Arial"/>
        </w:rPr>
        <w:t>Using data from the Taiwan National Health</w:t>
      </w:r>
      <w:r w:rsidR="009C520F" w:rsidRPr="00644ED5">
        <w:rPr>
          <w:rFonts w:ascii="Book Antiqua" w:hAnsi="Book Antiqua" w:cs="Arial"/>
        </w:rPr>
        <w:t xml:space="preserve"> Insurance database, Tsai </w:t>
      </w:r>
      <w:r w:rsidR="009C520F" w:rsidRPr="00644ED5">
        <w:rPr>
          <w:rFonts w:ascii="Book Antiqua" w:hAnsi="Book Antiqua" w:cs="Arial"/>
          <w:i/>
        </w:rPr>
        <w:t>et al</w:t>
      </w:r>
      <w:r w:rsidR="00946584" w:rsidRPr="00644ED5">
        <w:rPr>
          <w:rFonts w:ascii="Book Antiqua" w:hAnsi="Book Antiqua" w:cs="Arial"/>
          <w:vertAlign w:val="superscript"/>
        </w:rPr>
        <w:t>[125]</w:t>
      </w:r>
      <w:r w:rsidR="000977A1" w:rsidRPr="00644ED5">
        <w:rPr>
          <w:rFonts w:ascii="Book Antiqua" w:hAnsi="Book Antiqua" w:cs="Arial"/>
        </w:rPr>
        <w:t xml:space="preserve"> conducted a nested case-control study of 1166 cirrhotic patients with HE matched to 1166 cirrhotic patients without HE, observing a dose-response relationship between PPI use and risk o</w:t>
      </w:r>
      <w:r w:rsidR="00E21687" w:rsidRPr="00644ED5">
        <w:rPr>
          <w:rFonts w:ascii="Book Antiqua" w:hAnsi="Book Antiqua" w:cs="Arial"/>
        </w:rPr>
        <w:t>f HE development. The pathophysiological mechanism hypothesized to underlie this observed association between PP</w:t>
      </w:r>
      <w:r w:rsidR="00B60E91" w:rsidRPr="00644ED5">
        <w:rPr>
          <w:rFonts w:ascii="Book Antiqua" w:hAnsi="Book Antiqua" w:cs="Arial"/>
        </w:rPr>
        <w:t xml:space="preserve">I use and SBP/HE development is </w:t>
      </w:r>
      <w:r w:rsidR="00E21687" w:rsidRPr="00644ED5">
        <w:rPr>
          <w:rFonts w:ascii="Book Antiqua" w:hAnsi="Book Antiqua" w:cs="Arial"/>
        </w:rPr>
        <w:t xml:space="preserve">based on PPIs weakening the </w:t>
      </w:r>
      <w:r w:rsidR="00B60E91" w:rsidRPr="00644ED5">
        <w:rPr>
          <w:rFonts w:ascii="Book Antiqua" w:hAnsi="Book Antiqua" w:cs="Arial"/>
        </w:rPr>
        <w:t>stomach</w:t>
      </w:r>
      <w:r w:rsidR="00E21687" w:rsidRPr="00644ED5">
        <w:rPr>
          <w:rFonts w:ascii="Book Antiqua" w:hAnsi="Book Antiqua" w:cs="Arial"/>
        </w:rPr>
        <w:t xml:space="preserve"> acid barrier by increasing </w:t>
      </w:r>
      <w:r w:rsidR="00B60E91" w:rsidRPr="00644ED5">
        <w:rPr>
          <w:rFonts w:ascii="Book Antiqua" w:hAnsi="Book Antiqua" w:cs="Arial"/>
        </w:rPr>
        <w:t>gastric pH</w:t>
      </w:r>
      <w:r w:rsidR="00E21687" w:rsidRPr="00644ED5">
        <w:rPr>
          <w:rFonts w:ascii="Book Antiqua" w:hAnsi="Book Antiqua" w:cs="Arial"/>
        </w:rPr>
        <w:t xml:space="preserve">, thus promoting </w:t>
      </w:r>
      <w:r w:rsidR="009968AA" w:rsidRPr="00644ED5">
        <w:rPr>
          <w:rFonts w:ascii="Book Antiqua" w:hAnsi="Book Antiqua" w:cs="Arial"/>
        </w:rPr>
        <w:lastRenderedPageBreak/>
        <w:t xml:space="preserve">bacterial dysbiosis, </w:t>
      </w:r>
      <w:r w:rsidR="00E21687" w:rsidRPr="00644ED5">
        <w:rPr>
          <w:rFonts w:ascii="Book Antiqua" w:hAnsi="Book Antiqua" w:cs="Arial"/>
        </w:rPr>
        <w:t xml:space="preserve">translocation </w:t>
      </w:r>
      <w:r w:rsidR="009968AA" w:rsidRPr="00644ED5">
        <w:rPr>
          <w:rFonts w:ascii="Book Antiqua" w:hAnsi="Book Antiqua" w:cs="Arial"/>
        </w:rPr>
        <w:t xml:space="preserve">and </w:t>
      </w:r>
      <w:r w:rsidR="00946584" w:rsidRPr="00644ED5">
        <w:rPr>
          <w:rFonts w:ascii="Book Antiqua" w:hAnsi="Book Antiqua" w:cs="Arial"/>
        </w:rPr>
        <w:t>small intestinal bacterial overgrowth</w:t>
      </w:r>
      <w:r w:rsidR="009968AA" w:rsidRPr="00644ED5">
        <w:rPr>
          <w:rFonts w:ascii="Book Antiqua" w:hAnsi="Book Antiqua" w:cs="Arial"/>
        </w:rPr>
        <w:t xml:space="preserve"> (SIBO)</w:t>
      </w:r>
      <w:r w:rsidR="00BA0FDC" w:rsidRPr="00644ED5">
        <w:rPr>
          <w:rFonts w:ascii="Book Antiqua" w:hAnsi="Book Antiqua" w:cs="Arial"/>
          <w:vertAlign w:val="superscript"/>
        </w:rPr>
        <w:t>[121,124]</w:t>
      </w:r>
      <w:r w:rsidR="00E21687" w:rsidRPr="00644ED5">
        <w:rPr>
          <w:rFonts w:ascii="Book Antiqua" w:hAnsi="Book Antiqua" w:cs="Arial"/>
        </w:rPr>
        <w:t>.</w:t>
      </w:r>
      <w:r w:rsidR="00B60E91" w:rsidRPr="00644ED5">
        <w:rPr>
          <w:rFonts w:ascii="Book Antiqua" w:hAnsi="Book Antiqua" w:cs="Arial"/>
        </w:rPr>
        <w:t xml:space="preserve"> Since the majority of hepatic blood supply is derived from the gut, there is an intimate relationship between the liver and the intestinal microbiome. Gut dysbiosis with consequent translocation of pathogenic bacterial taxa and endotoxins into the portal and systemic circulation </w:t>
      </w:r>
      <w:r w:rsidR="003F483D" w:rsidRPr="00644ED5">
        <w:rPr>
          <w:rFonts w:ascii="Book Antiqua" w:hAnsi="Book Antiqua" w:cs="Arial"/>
        </w:rPr>
        <w:t>promotes</w:t>
      </w:r>
      <w:r w:rsidR="007A5212" w:rsidRPr="00644ED5">
        <w:rPr>
          <w:rFonts w:ascii="Book Antiqua" w:hAnsi="Book Antiqua" w:cs="Arial"/>
        </w:rPr>
        <w:t xml:space="preserve"> immune system dysfunction as well as</w:t>
      </w:r>
      <w:r w:rsidR="003F483D" w:rsidRPr="00644ED5">
        <w:rPr>
          <w:rFonts w:ascii="Book Antiqua" w:hAnsi="Book Antiqua" w:cs="Arial"/>
        </w:rPr>
        <w:t xml:space="preserve"> hepatic inflammation and injury</w:t>
      </w:r>
      <w:r w:rsidR="00BA0FDC" w:rsidRPr="00644ED5">
        <w:rPr>
          <w:rFonts w:ascii="Book Antiqua" w:hAnsi="Book Antiqua" w:cs="Arial"/>
          <w:vertAlign w:val="superscript"/>
        </w:rPr>
        <w:t>[126]</w:t>
      </w:r>
      <w:r w:rsidR="003F483D" w:rsidRPr="00644ED5">
        <w:rPr>
          <w:rFonts w:ascii="Book Antiqua" w:hAnsi="Book Antiqua" w:cs="Arial"/>
        </w:rPr>
        <w:t>.</w:t>
      </w:r>
      <w:r w:rsidR="00E21687" w:rsidRPr="00644ED5">
        <w:rPr>
          <w:rFonts w:ascii="Book Antiqua" w:hAnsi="Book Antiqua" w:cs="Arial"/>
        </w:rPr>
        <w:t xml:space="preserve"> </w:t>
      </w:r>
      <w:r w:rsidR="0097126B" w:rsidRPr="00644ED5">
        <w:rPr>
          <w:rFonts w:ascii="Book Antiqua" w:hAnsi="Book Antiqua" w:cs="Arial"/>
        </w:rPr>
        <w:t>In line with this hypothesis,</w:t>
      </w:r>
      <w:r w:rsidR="0062560D" w:rsidRPr="00644ED5">
        <w:rPr>
          <w:rFonts w:ascii="Book Antiqua" w:hAnsi="Book Antiqua" w:cs="Arial"/>
        </w:rPr>
        <w:t xml:space="preserve"> Bajaj </w:t>
      </w:r>
      <w:r w:rsidR="0062560D" w:rsidRPr="00644ED5">
        <w:rPr>
          <w:rFonts w:ascii="Book Antiqua" w:hAnsi="Book Antiqua" w:cs="Arial"/>
          <w:i/>
        </w:rPr>
        <w:t>et al</w:t>
      </w:r>
      <w:r w:rsidR="00946584" w:rsidRPr="00644ED5">
        <w:rPr>
          <w:rFonts w:ascii="Book Antiqua" w:hAnsi="Book Antiqua" w:cs="Arial"/>
          <w:vertAlign w:val="superscript"/>
        </w:rPr>
        <w:t>[127]</w:t>
      </w:r>
      <w:r w:rsidR="0062560D" w:rsidRPr="00644ED5">
        <w:rPr>
          <w:rFonts w:ascii="Book Antiqua" w:hAnsi="Book Antiqua" w:cs="Arial"/>
        </w:rPr>
        <w:t xml:space="preserve"> recently conducted a cohort stu</w:t>
      </w:r>
      <w:r w:rsidR="0097126B" w:rsidRPr="00644ED5">
        <w:rPr>
          <w:rFonts w:ascii="Book Antiqua" w:hAnsi="Book Antiqua" w:cs="Arial"/>
        </w:rPr>
        <w:t xml:space="preserve">dy, observing the readmission rates in </w:t>
      </w:r>
      <w:r w:rsidR="0062560D" w:rsidRPr="00644ED5">
        <w:rPr>
          <w:rFonts w:ascii="Book Antiqua" w:hAnsi="Book Antiqua" w:cs="Arial"/>
        </w:rPr>
        <w:t xml:space="preserve">343 cirrhotic </w:t>
      </w:r>
      <w:r w:rsidR="00FC6549" w:rsidRPr="00644ED5">
        <w:rPr>
          <w:rFonts w:ascii="Book Antiqua" w:hAnsi="Book Antiqua" w:cs="Arial"/>
        </w:rPr>
        <w:t>inpatients and</w:t>
      </w:r>
      <w:r w:rsidR="0097126B" w:rsidRPr="00644ED5">
        <w:rPr>
          <w:rFonts w:ascii="Book Antiqua" w:hAnsi="Book Antiqua" w:cs="Arial"/>
        </w:rPr>
        <w:t xml:space="preserve"> conducting stool microbiota analyses in 137 cirrhotic outpatients. In the inpatient cohort, PPI use was independently associated with higher readmission rates, while in the outpatient cohort, the microbiota composition of PPI users showed increased oral-origin taxa and decreased </w:t>
      </w:r>
      <w:r w:rsidR="00C04D2F" w:rsidRPr="00644ED5">
        <w:rPr>
          <w:rFonts w:ascii="Book Antiqua" w:hAnsi="Book Antiqua" w:cs="Arial"/>
        </w:rPr>
        <w:t xml:space="preserve">beneficial </w:t>
      </w:r>
      <w:r w:rsidR="0097126B" w:rsidRPr="00644ED5">
        <w:rPr>
          <w:rFonts w:ascii="Book Antiqua" w:hAnsi="Book Antiqua" w:cs="Arial"/>
        </w:rPr>
        <w:t xml:space="preserve">autochthonous taxa. </w:t>
      </w:r>
      <w:r w:rsidR="00C04D2F" w:rsidRPr="00644ED5">
        <w:rPr>
          <w:rFonts w:ascii="Book Antiqua" w:hAnsi="Book Antiqua" w:cs="Arial"/>
        </w:rPr>
        <w:t>In contrast</w:t>
      </w:r>
      <w:r w:rsidR="009968AA" w:rsidRPr="00644ED5">
        <w:rPr>
          <w:rFonts w:ascii="Book Antiqua" w:hAnsi="Book Antiqua" w:cs="Arial"/>
        </w:rPr>
        <w:t>, a large (</w:t>
      </w:r>
      <w:r w:rsidR="009968AA" w:rsidRPr="00644ED5">
        <w:rPr>
          <w:rFonts w:ascii="Book Antiqua" w:hAnsi="Book Antiqua" w:cs="Arial"/>
          <w:i/>
        </w:rPr>
        <w:t>n</w:t>
      </w:r>
      <w:r w:rsidR="00946584" w:rsidRPr="00644ED5">
        <w:rPr>
          <w:rFonts w:ascii="Book Antiqua" w:hAnsi="Book Antiqua" w:cs="Arial" w:hint="eastAsia"/>
          <w:lang w:eastAsia="zh-CN"/>
        </w:rPr>
        <w:t xml:space="preserve"> </w:t>
      </w:r>
      <w:r w:rsidR="009968AA" w:rsidRPr="00644ED5">
        <w:rPr>
          <w:rFonts w:ascii="Book Antiqua" w:hAnsi="Book Antiqua" w:cs="Arial"/>
        </w:rPr>
        <w:t>=</w:t>
      </w:r>
      <w:r w:rsidR="00946584" w:rsidRPr="00644ED5">
        <w:rPr>
          <w:rFonts w:ascii="Book Antiqua" w:hAnsi="Book Antiqua" w:cs="Arial" w:hint="eastAsia"/>
          <w:lang w:eastAsia="zh-CN"/>
        </w:rPr>
        <w:t xml:space="preserve"> </w:t>
      </w:r>
      <w:r w:rsidR="009968AA" w:rsidRPr="00644ED5">
        <w:rPr>
          <w:rFonts w:ascii="Book Antiqua" w:hAnsi="Book Antiqua" w:cs="Arial"/>
        </w:rPr>
        <w:t xml:space="preserve">1191), retrospective analysis by Ratuapli </w:t>
      </w:r>
      <w:r w:rsidR="009968AA" w:rsidRPr="00644ED5">
        <w:rPr>
          <w:rFonts w:ascii="Book Antiqua" w:hAnsi="Book Antiqua" w:cs="Arial"/>
          <w:i/>
        </w:rPr>
        <w:t>et al</w:t>
      </w:r>
      <w:r w:rsidR="00946584" w:rsidRPr="00644ED5">
        <w:rPr>
          <w:rFonts w:ascii="Book Antiqua" w:hAnsi="Book Antiqua" w:cs="Arial"/>
          <w:vertAlign w:val="superscript"/>
        </w:rPr>
        <w:t>[128]</w:t>
      </w:r>
      <w:r w:rsidR="009968AA" w:rsidRPr="00644ED5">
        <w:rPr>
          <w:rFonts w:ascii="Book Antiqua" w:hAnsi="Book Antiqua" w:cs="Arial"/>
        </w:rPr>
        <w:t xml:space="preserve"> described no significant difference in</w:t>
      </w:r>
      <w:r w:rsidR="00507E30" w:rsidRPr="00644ED5">
        <w:rPr>
          <w:rFonts w:ascii="Book Antiqua" w:hAnsi="Book Antiqua" w:cs="Arial"/>
        </w:rPr>
        <w:t xml:space="preserve"> the frequency of</w:t>
      </w:r>
      <w:r w:rsidR="009968AA" w:rsidRPr="00644ED5">
        <w:rPr>
          <w:rFonts w:ascii="Book Antiqua" w:hAnsi="Book Antiqua" w:cs="Arial"/>
        </w:rPr>
        <w:t xml:space="preserve"> SIBO diagnosis, as established by glucose hydrogen breath testing, between PPI users and non-users. </w:t>
      </w:r>
      <w:r w:rsidR="00E21687" w:rsidRPr="00644ED5">
        <w:rPr>
          <w:rFonts w:ascii="Book Antiqua" w:hAnsi="Book Antiqua" w:cs="Arial"/>
        </w:rPr>
        <w:t xml:space="preserve">Alternatively, Assaraf </w:t>
      </w:r>
      <w:r w:rsidR="00E21687" w:rsidRPr="00644ED5">
        <w:rPr>
          <w:rFonts w:ascii="Book Antiqua" w:hAnsi="Book Antiqua" w:cs="Arial"/>
          <w:i/>
        </w:rPr>
        <w:t>et al</w:t>
      </w:r>
      <w:r w:rsidR="00946584" w:rsidRPr="00644ED5">
        <w:rPr>
          <w:rFonts w:ascii="Book Antiqua" w:hAnsi="Book Antiqua" w:cs="Arial"/>
          <w:vertAlign w:val="superscript"/>
        </w:rPr>
        <w:t>[129]</w:t>
      </w:r>
      <w:r w:rsidR="00E21687" w:rsidRPr="00644ED5">
        <w:rPr>
          <w:rFonts w:ascii="Book Antiqua" w:hAnsi="Book Antiqua" w:cs="Arial"/>
        </w:rPr>
        <w:t xml:space="preserve"> hypothesise that PPI use and HE development may be linked to a cerebral build-up of toxic </w:t>
      </w:r>
      <w:r w:rsidR="00373725" w:rsidRPr="00644ED5">
        <w:rPr>
          <w:rFonts w:ascii="Book Antiqua" w:hAnsi="Book Antiqua" w:cs="Arial"/>
        </w:rPr>
        <w:t xml:space="preserve">metabolites as PPIs act as agonists to ATP-binding cassette efflux transporters found on the blood-brain barrier. </w:t>
      </w:r>
    </w:p>
    <w:p w14:paraId="60F2C33B" w14:textId="06C40EA0" w:rsidR="00101D59" w:rsidRPr="00644ED5" w:rsidRDefault="001269B2" w:rsidP="00946584">
      <w:pPr>
        <w:spacing w:line="360" w:lineRule="auto"/>
        <w:ind w:firstLineChars="100" w:firstLine="240"/>
        <w:rPr>
          <w:rFonts w:ascii="Book Antiqua" w:hAnsi="Book Antiqua" w:cs="Arial"/>
        </w:rPr>
      </w:pPr>
      <w:r w:rsidRPr="00644ED5">
        <w:rPr>
          <w:rFonts w:ascii="Book Antiqua" w:hAnsi="Book Antiqua" w:cs="Arial"/>
        </w:rPr>
        <w:t>However, this negative trend for PPI use in cirrhosis has recently come under question. Khan and colleagues published two articles highlighting the limitations of the retrospective analyses by Dam</w:t>
      </w:r>
      <w:r w:rsidR="00C62944" w:rsidRPr="00644ED5">
        <w:rPr>
          <w:rFonts w:ascii="Book Antiqua" w:hAnsi="Book Antiqua" w:cs="Arial" w:hint="eastAsia"/>
          <w:lang w:eastAsia="zh-CN"/>
        </w:rPr>
        <w:t xml:space="preserve"> </w:t>
      </w:r>
      <w:r w:rsidR="00C62944" w:rsidRPr="00644ED5">
        <w:rPr>
          <w:rFonts w:ascii="Book Antiqua" w:hAnsi="Book Antiqua" w:cs="Arial" w:hint="eastAsia"/>
          <w:i/>
          <w:lang w:eastAsia="zh-CN"/>
        </w:rPr>
        <w:t>et al</w:t>
      </w:r>
      <w:r w:rsidR="00C62944" w:rsidRPr="00644ED5">
        <w:rPr>
          <w:rFonts w:ascii="Book Antiqua" w:hAnsi="Book Antiqua" w:cs="Arial"/>
          <w:vertAlign w:val="superscript"/>
        </w:rPr>
        <w:t>[12</w:t>
      </w:r>
      <w:r w:rsidR="00C62944" w:rsidRPr="00644ED5">
        <w:rPr>
          <w:rFonts w:ascii="Book Antiqua" w:hAnsi="Book Antiqua" w:cs="Arial" w:hint="eastAsia"/>
          <w:vertAlign w:val="superscript"/>
          <w:lang w:eastAsia="zh-CN"/>
        </w:rPr>
        <w:t>1</w:t>
      </w:r>
      <w:r w:rsidR="00C62944" w:rsidRPr="00644ED5">
        <w:rPr>
          <w:rFonts w:ascii="Book Antiqua" w:hAnsi="Book Antiqua" w:cs="Arial"/>
          <w:vertAlign w:val="superscript"/>
        </w:rPr>
        <w:t>]</w:t>
      </w:r>
      <w:r w:rsidRPr="00644ED5">
        <w:rPr>
          <w:rFonts w:ascii="Book Antiqua" w:hAnsi="Book Antiqua" w:cs="Arial"/>
        </w:rPr>
        <w:t xml:space="preserve"> and Tsai</w:t>
      </w:r>
      <w:r w:rsidR="009C520F" w:rsidRPr="00644ED5">
        <w:rPr>
          <w:rFonts w:ascii="Book Antiqua" w:hAnsi="Book Antiqua" w:cs="Arial"/>
        </w:rPr>
        <w:t xml:space="preserve"> </w:t>
      </w:r>
      <w:r w:rsidR="009C520F" w:rsidRPr="00644ED5">
        <w:rPr>
          <w:rFonts w:ascii="Book Antiqua" w:hAnsi="Book Antiqua" w:cs="Arial"/>
          <w:i/>
        </w:rPr>
        <w:t>et al</w:t>
      </w:r>
      <w:r w:rsidR="00946584" w:rsidRPr="00644ED5">
        <w:rPr>
          <w:rFonts w:ascii="Book Antiqua" w:hAnsi="Book Antiqua" w:cs="Arial"/>
          <w:vertAlign w:val="superscript"/>
        </w:rPr>
        <w:t>[</w:t>
      </w:r>
      <w:r w:rsidR="00467AD8" w:rsidRPr="00644ED5">
        <w:rPr>
          <w:rFonts w:ascii="Book Antiqua" w:hAnsi="Book Antiqua" w:cs="Arial"/>
          <w:vertAlign w:val="superscript"/>
        </w:rPr>
        <w:t>1</w:t>
      </w:r>
      <w:r w:rsidR="00467AD8" w:rsidRPr="00644ED5">
        <w:rPr>
          <w:rFonts w:ascii="Book Antiqua" w:hAnsi="Book Antiqua" w:cs="Arial" w:hint="eastAsia"/>
          <w:vertAlign w:val="superscript"/>
          <w:lang w:eastAsia="zh-CN"/>
        </w:rPr>
        <w:t>25</w:t>
      </w:r>
      <w:r w:rsidR="00467AD8" w:rsidRPr="00644ED5">
        <w:rPr>
          <w:rFonts w:ascii="Book Antiqua" w:hAnsi="Book Antiqua" w:cs="Arial"/>
          <w:vertAlign w:val="superscript"/>
        </w:rPr>
        <w:t>]</w:t>
      </w:r>
      <w:r w:rsidRPr="00644ED5">
        <w:rPr>
          <w:rFonts w:ascii="Book Antiqua" w:hAnsi="Book Antiqua" w:cs="Arial"/>
        </w:rPr>
        <w:t xml:space="preserve">. In both studies, the </w:t>
      </w:r>
      <w:r w:rsidR="00467AD8" w:rsidRPr="00644ED5">
        <w:rPr>
          <w:rFonts w:ascii="Book Antiqua" w:hAnsi="Book Antiqua" w:cs="Arial" w:hint="eastAsia"/>
          <w:lang w:eastAsia="zh-CN"/>
        </w:rPr>
        <w:t>ORs</w:t>
      </w:r>
      <w:r w:rsidRPr="00644ED5">
        <w:rPr>
          <w:rFonts w:ascii="Book Antiqua" w:hAnsi="Book Antiqua" w:cs="Arial"/>
        </w:rPr>
        <w:t xml:space="preserve"> achieved were below 3, an indication that the observed associations may be due to residual confounding </w:t>
      </w:r>
      <w:r w:rsidR="0097152D" w:rsidRPr="00644ED5">
        <w:rPr>
          <w:rFonts w:ascii="Book Antiqua" w:hAnsi="Book Antiqua" w:cs="Arial"/>
        </w:rPr>
        <w:t>rather than causality</w:t>
      </w:r>
      <w:r w:rsidR="00BA0FDC" w:rsidRPr="00644ED5">
        <w:rPr>
          <w:rFonts w:ascii="Book Antiqua" w:hAnsi="Book Antiqua" w:cs="Arial"/>
          <w:vertAlign w:val="superscript"/>
        </w:rPr>
        <w:t>[124,130]</w:t>
      </w:r>
      <w:r w:rsidRPr="00644ED5">
        <w:rPr>
          <w:rFonts w:ascii="Book Antiqua" w:hAnsi="Book Antiqua" w:cs="Arial"/>
        </w:rPr>
        <w:t>. In the Tsai study, patients receiving PPIs had higher rates of comorbidities, thus representing a potential source of channel</w:t>
      </w:r>
      <w:r w:rsidR="0085332A" w:rsidRPr="00644ED5">
        <w:rPr>
          <w:rFonts w:ascii="Book Antiqua" w:hAnsi="Book Antiqua" w:cs="Arial"/>
        </w:rPr>
        <w:t>l</w:t>
      </w:r>
      <w:r w:rsidRPr="00644ED5">
        <w:rPr>
          <w:rFonts w:ascii="Book Antiqua" w:hAnsi="Book Antiqua" w:cs="Arial"/>
        </w:rPr>
        <w:t>ing bias</w:t>
      </w:r>
      <w:r w:rsidR="00BA0FDC" w:rsidRPr="00644ED5">
        <w:rPr>
          <w:rFonts w:ascii="Book Antiqua" w:hAnsi="Book Antiqua" w:cs="Arial"/>
          <w:vertAlign w:val="superscript"/>
        </w:rPr>
        <w:t>[130]</w:t>
      </w:r>
      <w:r w:rsidRPr="00644ED5">
        <w:rPr>
          <w:rFonts w:ascii="Book Antiqua" w:hAnsi="Book Antiqua" w:cs="Arial"/>
        </w:rPr>
        <w:t xml:space="preserve">. </w:t>
      </w:r>
      <w:r w:rsidR="0097152D" w:rsidRPr="00644ED5">
        <w:rPr>
          <w:rFonts w:ascii="Book Antiqua" w:hAnsi="Book Antiqua" w:cs="Arial"/>
        </w:rPr>
        <w:t>The Dam study analysed data not collected specifically for the purpose of assessing the impact of PPIs on SBP and HE incidence and could thus not account for all potential confounders</w:t>
      </w:r>
      <w:r w:rsidR="00C62944" w:rsidRPr="00644ED5">
        <w:rPr>
          <w:rFonts w:ascii="Book Antiqua" w:hAnsi="Book Antiqua" w:cs="Arial"/>
          <w:vertAlign w:val="superscript"/>
        </w:rPr>
        <w:t>[12</w:t>
      </w:r>
      <w:r w:rsidR="00C62944" w:rsidRPr="00644ED5">
        <w:rPr>
          <w:rFonts w:ascii="Book Antiqua" w:hAnsi="Book Antiqua" w:cs="Arial" w:hint="eastAsia"/>
          <w:vertAlign w:val="superscript"/>
          <w:lang w:eastAsia="zh-CN"/>
        </w:rPr>
        <w:t>1</w:t>
      </w:r>
      <w:r w:rsidR="00BA0FDC" w:rsidRPr="00644ED5">
        <w:rPr>
          <w:rFonts w:ascii="Book Antiqua" w:hAnsi="Book Antiqua" w:cs="Arial"/>
          <w:vertAlign w:val="superscript"/>
        </w:rPr>
        <w:t>]</w:t>
      </w:r>
      <w:r w:rsidR="0097152D" w:rsidRPr="00644ED5">
        <w:rPr>
          <w:rFonts w:ascii="Book Antiqua" w:hAnsi="Book Antiqua" w:cs="Arial"/>
        </w:rPr>
        <w:t xml:space="preserve">. </w:t>
      </w:r>
      <w:r w:rsidR="00CF1C2B" w:rsidRPr="00644ED5">
        <w:rPr>
          <w:rFonts w:ascii="Book Antiqua" w:hAnsi="Book Antiqua" w:cs="Arial"/>
        </w:rPr>
        <w:t xml:space="preserve">Therefore, Khan </w:t>
      </w:r>
      <w:r w:rsidR="00CF1C2B" w:rsidRPr="00644ED5">
        <w:rPr>
          <w:rFonts w:ascii="Book Antiqua" w:hAnsi="Book Antiqua" w:cs="Arial"/>
          <w:i/>
        </w:rPr>
        <w:t>et al</w:t>
      </w:r>
      <w:r w:rsidR="00C62944" w:rsidRPr="00644ED5">
        <w:rPr>
          <w:rFonts w:ascii="Book Antiqua" w:hAnsi="Book Antiqua" w:cs="Arial"/>
          <w:vertAlign w:val="superscript"/>
        </w:rPr>
        <w:t>[124,130]</w:t>
      </w:r>
      <w:r w:rsidR="00CF1C2B" w:rsidRPr="00644ED5">
        <w:rPr>
          <w:rFonts w:ascii="Book Antiqua" w:hAnsi="Book Antiqua" w:cs="Arial"/>
        </w:rPr>
        <w:t xml:space="preserve"> concluded that the current evidence-base against PPIs is not of sufficient quality to withhold PPIs from cirrhotic patients with a reasonable indication for PPI treatment. </w:t>
      </w:r>
      <w:r w:rsidR="00801043" w:rsidRPr="00644ED5">
        <w:rPr>
          <w:rFonts w:ascii="Book Antiqua" w:hAnsi="Book Antiqua" w:cs="Arial"/>
        </w:rPr>
        <w:t>A large (</w:t>
      </w:r>
      <w:r w:rsidR="00801043" w:rsidRPr="00644ED5">
        <w:rPr>
          <w:rFonts w:ascii="Book Antiqua" w:hAnsi="Book Antiqua" w:cs="Arial"/>
          <w:i/>
        </w:rPr>
        <w:t>n</w:t>
      </w:r>
      <w:r w:rsidR="00C62944" w:rsidRPr="00644ED5">
        <w:rPr>
          <w:rFonts w:ascii="Book Antiqua" w:hAnsi="Book Antiqua" w:cs="Arial" w:hint="eastAsia"/>
          <w:lang w:eastAsia="zh-CN"/>
        </w:rPr>
        <w:t xml:space="preserve"> </w:t>
      </w:r>
      <w:r w:rsidR="00801043" w:rsidRPr="00644ED5">
        <w:rPr>
          <w:rFonts w:ascii="Book Antiqua" w:hAnsi="Book Antiqua" w:cs="Arial"/>
        </w:rPr>
        <w:t>=</w:t>
      </w:r>
      <w:r w:rsidR="00C62944" w:rsidRPr="00644ED5">
        <w:rPr>
          <w:rFonts w:ascii="Book Antiqua" w:hAnsi="Book Antiqua" w:cs="Arial" w:hint="eastAsia"/>
          <w:lang w:eastAsia="zh-CN"/>
        </w:rPr>
        <w:t xml:space="preserve"> </w:t>
      </w:r>
      <w:r w:rsidR="00801043" w:rsidRPr="00644ED5">
        <w:rPr>
          <w:rFonts w:ascii="Book Antiqua" w:hAnsi="Book Antiqua" w:cs="Arial"/>
        </w:rPr>
        <w:t>519), prospective, multicent</w:t>
      </w:r>
      <w:r w:rsidR="0085332A" w:rsidRPr="00644ED5">
        <w:rPr>
          <w:rFonts w:ascii="Book Antiqua" w:hAnsi="Book Antiqua" w:cs="Arial"/>
        </w:rPr>
        <w:t>re</w:t>
      </w:r>
      <w:r w:rsidR="00801043" w:rsidRPr="00644ED5">
        <w:rPr>
          <w:rFonts w:ascii="Book Antiqua" w:hAnsi="Book Antiqua" w:cs="Arial"/>
        </w:rPr>
        <w:t xml:space="preserve"> study by Terg </w:t>
      </w:r>
      <w:r w:rsidR="00801043" w:rsidRPr="00644ED5">
        <w:rPr>
          <w:rFonts w:ascii="Book Antiqua" w:hAnsi="Book Antiqua" w:cs="Arial"/>
          <w:i/>
        </w:rPr>
        <w:t>et al</w:t>
      </w:r>
      <w:r w:rsidR="00C62944" w:rsidRPr="00644ED5">
        <w:rPr>
          <w:rFonts w:ascii="Book Antiqua" w:hAnsi="Book Antiqua" w:cs="Arial"/>
          <w:vertAlign w:val="superscript"/>
        </w:rPr>
        <w:t>[131]</w:t>
      </w:r>
      <w:r w:rsidR="00801043" w:rsidRPr="00644ED5">
        <w:rPr>
          <w:rFonts w:ascii="Book Antiqua" w:hAnsi="Book Antiqua" w:cs="Arial"/>
        </w:rPr>
        <w:t xml:space="preserve"> observed no significant difference in PPI use between infected and non-infected patients (44.3% </w:t>
      </w:r>
      <w:r w:rsidR="00801043" w:rsidRPr="00644ED5">
        <w:rPr>
          <w:rFonts w:ascii="Book Antiqua" w:hAnsi="Book Antiqua" w:cs="Arial"/>
          <w:i/>
        </w:rPr>
        <w:t>vs</w:t>
      </w:r>
      <w:r w:rsidR="00801043" w:rsidRPr="00644ED5">
        <w:rPr>
          <w:rFonts w:ascii="Book Antiqua" w:hAnsi="Book Antiqua" w:cs="Arial"/>
        </w:rPr>
        <w:t xml:space="preserve"> 42.8%) or between patients with SBP and patients with ascites and no SBP (46% </w:t>
      </w:r>
      <w:r w:rsidR="00801043" w:rsidRPr="00644ED5">
        <w:rPr>
          <w:rFonts w:ascii="Book Antiqua" w:hAnsi="Book Antiqua" w:cs="Arial"/>
          <w:i/>
        </w:rPr>
        <w:t>vs</w:t>
      </w:r>
      <w:r w:rsidR="00801043" w:rsidRPr="00644ED5">
        <w:rPr>
          <w:rFonts w:ascii="Book Antiqua" w:hAnsi="Book Antiqua" w:cs="Arial"/>
        </w:rPr>
        <w:t xml:space="preserve"> 42%). </w:t>
      </w:r>
      <w:r w:rsidR="00801043" w:rsidRPr="00644ED5">
        <w:rPr>
          <w:rFonts w:ascii="Book Antiqua" w:hAnsi="Book Antiqua" w:cs="Arial"/>
        </w:rPr>
        <w:lastRenderedPageBreak/>
        <w:t>Furthermore, no difference was observed in the causative species or infection origin between PPI users and non-users who developed SBP</w:t>
      </w:r>
      <w:r w:rsidR="00BA0FDC" w:rsidRPr="00644ED5">
        <w:rPr>
          <w:rFonts w:ascii="Book Antiqua" w:hAnsi="Book Antiqua" w:cs="Arial"/>
          <w:vertAlign w:val="superscript"/>
        </w:rPr>
        <w:t>[131]</w:t>
      </w:r>
      <w:r w:rsidR="00801043" w:rsidRPr="00644ED5">
        <w:rPr>
          <w:rFonts w:ascii="Book Antiqua" w:hAnsi="Book Antiqua" w:cs="Arial"/>
        </w:rPr>
        <w:t xml:space="preserve">. </w:t>
      </w:r>
      <w:r w:rsidR="00D85A09" w:rsidRPr="00644ED5">
        <w:rPr>
          <w:rFonts w:ascii="Book Antiqua" w:hAnsi="Book Antiqua" w:cs="Arial"/>
        </w:rPr>
        <w:t xml:space="preserve">The largest meta-analysis (16 studies, 10 case-control/6 cohort, </w:t>
      </w:r>
      <w:r w:rsidR="00D85A09" w:rsidRPr="00644ED5">
        <w:rPr>
          <w:rFonts w:ascii="Book Antiqua" w:hAnsi="Book Antiqua" w:cs="Arial"/>
          <w:i/>
        </w:rPr>
        <w:t>n</w:t>
      </w:r>
      <w:r w:rsidR="00C62944" w:rsidRPr="00644ED5">
        <w:rPr>
          <w:rFonts w:ascii="Book Antiqua" w:hAnsi="Book Antiqua" w:cs="Arial" w:hint="eastAsia"/>
          <w:lang w:eastAsia="zh-CN"/>
        </w:rPr>
        <w:t xml:space="preserve"> </w:t>
      </w:r>
      <w:r w:rsidR="00D85A09" w:rsidRPr="00644ED5">
        <w:rPr>
          <w:rFonts w:ascii="Book Antiqua" w:hAnsi="Book Antiqua" w:cs="Arial"/>
        </w:rPr>
        <w:t>=</w:t>
      </w:r>
      <w:r w:rsidR="00C62944" w:rsidRPr="00644ED5">
        <w:rPr>
          <w:rFonts w:ascii="Book Antiqua" w:hAnsi="Book Antiqua" w:cs="Arial" w:hint="eastAsia"/>
          <w:lang w:eastAsia="zh-CN"/>
        </w:rPr>
        <w:t xml:space="preserve"> </w:t>
      </w:r>
      <w:r w:rsidR="00D85A09" w:rsidRPr="00644ED5">
        <w:rPr>
          <w:rFonts w:ascii="Book Antiqua" w:hAnsi="Book Antiqua" w:cs="Arial"/>
        </w:rPr>
        <w:t xml:space="preserve">8145) on this issue by Yu </w:t>
      </w:r>
      <w:r w:rsidR="00D85A09" w:rsidRPr="00644ED5">
        <w:rPr>
          <w:rFonts w:ascii="Book Antiqua" w:hAnsi="Book Antiqua" w:cs="Arial"/>
          <w:i/>
        </w:rPr>
        <w:t>et al</w:t>
      </w:r>
      <w:r w:rsidR="00C62944" w:rsidRPr="00644ED5">
        <w:rPr>
          <w:rFonts w:ascii="Book Antiqua" w:hAnsi="Book Antiqua" w:cs="Arial"/>
          <w:vertAlign w:val="superscript"/>
        </w:rPr>
        <w:t>[132]</w:t>
      </w:r>
      <w:r w:rsidR="00D85A09" w:rsidRPr="00644ED5">
        <w:rPr>
          <w:rFonts w:ascii="Book Antiqua" w:hAnsi="Book Antiqua" w:cs="Arial"/>
        </w:rPr>
        <w:t xml:space="preserve"> found that the harmful association between PPI use and SBP incidence was present in case-control studies, but not cohort studies, and that there was no association between PPI use and mortality during hospitali</w:t>
      </w:r>
      <w:r w:rsidR="0085332A" w:rsidRPr="00644ED5">
        <w:rPr>
          <w:rFonts w:ascii="Book Antiqua" w:hAnsi="Book Antiqua" w:cs="Arial"/>
        </w:rPr>
        <w:t>s</w:t>
      </w:r>
      <w:r w:rsidR="00D85A09" w:rsidRPr="00644ED5">
        <w:rPr>
          <w:rFonts w:ascii="Book Antiqua" w:hAnsi="Book Antiqua" w:cs="Arial"/>
        </w:rPr>
        <w:t xml:space="preserve">ation in both case-control and cohort studies. The authors therefore concluded that </w:t>
      </w:r>
      <w:r w:rsidR="00EF642A" w:rsidRPr="00644ED5">
        <w:rPr>
          <w:rFonts w:ascii="Book Antiqua" w:hAnsi="Book Antiqua" w:cs="Arial"/>
        </w:rPr>
        <w:t>causality between PPI administration and increased SBP incidence and mortality could not be established</w:t>
      </w:r>
      <w:r w:rsidR="00BA0FDC" w:rsidRPr="00644ED5">
        <w:rPr>
          <w:rFonts w:ascii="Book Antiqua" w:hAnsi="Book Antiqua" w:cs="Arial"/>
          <w:vertAlign w:val="superscript"/>
        </w:rPr>
        <w:t>[132]</w:t>
      </w:r>
      <w:r w:rsidR="00EF642A" w:rsidRPr="00644ED5">
        <w:rPr>
          <w:rFonts w:ascii="Book Antiqua" w:hAnsi="Book Antiqua" w:cs="Arial"/>
        </w:rPr>
        <w:t xml:space="preserve">. </w:t>
      </w:r>
      <w:r w:rsidR="009968AA" w:rsidRPr="00644ED5">
        <w:rPr>
          <w:rFonts w:ascii="Book Antiqua" w:hAnsi="Book Antiqua" w:cs="Arial"/>
        </w:rPr>
        <w:t xml:space="preserve">In view of the conflicting evidence and substantial limitations of the conducted studies outlined above, there is the need for a </w:t>
      </w:r>
      <w:r w:rsidR="00BD69A6" w:rsidRPr="00644ED5">
        <w:rPr>
          <w:rFonts w:ascii="Book Antiqua" w:hAnsi="Book Antiqua" w:cs="Arial"/>
        </w:rPr>
        <w:t xml:space="preserve">randomized, </w:t>
      </w:r>
      <w:r w:rsidR="0026105F" w:rsidRPr="00644ED5">
        <w:rPr>
          <w:rFonts w:ascii="Book Antiqua" w:hAnsi="Book Antiqua" w:cs="Arial"/>
        </w:rPr>
        <w:t>placebo-</w:t>
      </w:r>
      <w:r w:rsidR="00BD69A6" w:rsidRPr="00644ED5">
        <w:rPr>
          <w:rFonts w:ascii="Book Antiqua" w:hAnsi="Book Antiqua" w:cs="Arial"/>
        </w:rPr>
        <w:t>controlled, adequately powered trial investigating the effects of long-term PPI administration in cirrhotic patients with the primary outcomes of HE and SBP occurrence.</w:t>
      </w:r>
      <w:r w:rsidR="00101D59" w:rsidRPr="00644ED5">
        <w:rPr>
          <w:rFonts w:ascii="Book Antiqua" w:hAnsi="Book Antiqua" w:cs="Arial"/>
        </w:rPr>
        <w:t xml:space="preserve"> </w:t>
      </w:r>
    </w:p>
    <w:p w14:paraId="62A1800F" w14:textId="77777777" w:rsidR="00E04F54" w:rsidRPr="00644ED5" w:rsidRDefault="00E04F54" w:rsidP="00667231">
      <w:pPr>
        <w:spacing w:line="360" w:lineRule="auto"/>
        <w:rPr>
          <w:rFonts w:ascii="Book Antiqua" w:hAnsi="Book Antiqua" w:cs="Arial"/>
        </w:rPr>
      </w:pPr>
    </w:p>
    <w:p w14:paraId="2AB65483" w14:textId="603E2F24" w:rsidR="00EB4371" w:rsidRPr="00644ED5" w:rsidRDefault="004A4E63" w:rsidP="00667231">
      <w:pPr>
        <w:spacing w:line="360" w:lineRule="auto"/>
        <w:rPr>
          <w:rFonts w:ascii="Book Antiqua" w:hAnsi="Book Antiqua" w:cs="Arial"/>
          <w:b/>
          <w:i/>
        </w:rPr>
      </w:pPr>
      <w:r w:rsidRPr="00644ED5">
        <w:rPr>
          <w:rFonts w:ascii="Book Antiqua" w:hAnsi="Book Antiqua" w:cs="Arial"/>
          <w:b/>
          <w:i/>
        </w:rPr>
        <w:t>Anticoagulation</w:t>
      </w:r>
    </w:p>
    <w:p w14:paraId="1FF3C518" w14:textId="5BB9EDC6" w:rsidR="00E04F54" w:rsidRPr="00644ED5" w:rsidRDefault="004A4E63" w:rsidP="00667231">
      <w:pPr>
        <w:spacing w:line="360" w:lineRule="auto"/>
        <w:rPr>
          <w:rFonts w:ascii="Book Antiqua" w:hAnsi="Book Antiqua" w:cs="Arial"/>
          <w:lang w:eastAsia="zh-CN"/>
        </w:rPr>
      </w:pPr>
      <w:r w:rsidRPr="00644ED5">
        <w:rPr>
          <w:rFonts w:ascii="Book Antiqua" w:hAnsi="Book Antiqua" w:cs="Arial"/>
        </w:rPr>
        <w:t>Historically, cirrhotic patients were viewed as ‘auto-anticoagulated’, since cirrhosis is associated with a global impairmen</w:t>
      </w:r>
      <w:r w:rsidR="00570DD8" w:rsidRPr="00644ED5">
        <w:rPr>
          <w:rFonts w:ascii="Book Antiqua" w:hAnsi="Book Antiqua" w:cs="Arial"/>
        </w:rPr>
        <w:t xml:space="preserve">t in clotting factor synthesis excluding </w:t>
      </w:r>
      <w:r w:rsidRPr="00644ED5">
        <w:rPr>
          <w:rFonts w:ascii="Book Antiqua" w:hAnsi="Book Antiqua" w:cs="Arial"/>
        </w:rPr>
        <w:t xml:space="preserve">factor VII and von Willebrand factor. More recently, it has been recognized that the relationship between cirrhosis and the coagulation cascade is more complex and that routine haemostatic tests, </w:t>
      </w:r>
      <w:r w:rsidR="00E63BB0" w:rsidRPr="00644ED5">
        <w:rPr>
          <w:rFonts w:ascii="Book Antiqua" w:hAnsi="Book Antiqua" w:cs="Arial"/>
        </w:rPr>
        <w:t>such as</w:t>
      </w:r>
      <w:r w:rsidRPr="00644ED5">
        <w:rPr>
          <w:rFonts w:ascii="Book Antiqua" w:hAnsi="Book Antiqua" w:cs="Arial"/>
        </w:rPr>
        <w:t xml:space="preserve"> the</w:t>
      </w:r>
      <w:r w:rsidR="00C62944" w:rsidRPr="00644ED5">
        <w:rPr>
          <w:rFonts w:ascii="Book Antiqua" w:hAnsi="Book Antiqua" w:cs="Arial"/>
        </w:rPr>
        <w:t xml:space="preserve"> international normalized ratio</w:t>
      </w:r>
      <w:r w:rsidRPr="00644ED5">
        <w:rPr>
          <w:rFonts w:ascii="Book Antiqua" w:hAnsi="Book Antiqua" w:cs="Arial"/>
        </w:rPr>
        <w:t xml:space="preserve"> or </w:t>
      </w:r>
      <w:r w:rsidR="00C62944" w:rsidRPr="00644ED5">
        <w:rPr>
          <w:rFonts w:ascii="Book Antiqua" w:hAnsi="Book Antiqua" w:cs="Arial"/>
        </w:rPr>
        <w:t>activated partial thromboplastin time</w:t>
      </w:r>
      <w:r w:rsidR="00E63BB0" w:rsidRPr="00644ED5">
        <w:rPr>
          <w:rFonts w:ascii="Book Antiqua" w:hAnsi="Book Antiqua" w:cs="Arial"/>
        </w:rPr>
        <w:t>,</w:t>
      </w:r>
      <w:r w:rsidRPr="00644ED5">
        <w:rPr>
          <w:rFonts w:ascii="Book Antiqua" w:hAnsi="Book Antiqua" w:cs="Arial"/>
        </w:rPr>
        <w:t xml:space="preserve"> lack accuracy in predicting coagulation status in </w:t>
      </w:r>
      <w:r w:rsidR="00570DD8" w:rsidRPr="00644ED5">
        <w:rPr>
          <w:rFonts w:ascii="Book Antiqua" w:hAnsi="Book Antiqua" w:cs="Arial"/>
        </w:rPr>
        <w:t>these</w:t>
      </w:r>
      <w:r w:rsidRPr="00644ED5">
        <w:rPr>
          <w:rFonts w:ascii="Book Antiqua" w:hAnsi="Book Antiqua" w:cs="Arial"/>
        </w:rPr>
        <w:t xml:space="preserve"> patients. </w:t>
      </w:r>
      <w:r w:rsidR="00570DD8" w:rsidRPr="00644ED5">
        <w:rPr>
          <w:rFonts w:ascii="Book Antiqua" w:hAnsi="Book Antiqua" w:cs="Arial"/>
        </w:rPr>
        <w:t xml:space="preserve">In light of a </w:t>
      </w:r>
      <w:r w:rsidR="00E04F54" w:rsidRPr="00644ED5">
        <w:rPr>
          <w:rFonts w:ascii="Book Antiqua" w:hAnsi="Book Antiqua" w:cs="Arial"/>
        </w:rPr>
        <w:t xml:space="preserve">coexisting </w:t>
      </w:r>
      <w:r w:rsidR="00570DD8" w:rsidRPr="00644ED5">
        <w:rPr>
          <w:rFonts w:ascii="Book Antiqua" w:hAnsi="Book Antiqua" w:cs="Arial"/>
        </w:rPr>
        <w:t>reduction in anticoagulant factors (namely antithrombin III, protein S and C),</w:t>
      </w:r>
      <w:r w:rsidRPr="00644ED5">
        <w:rPr>
          <w:rFonts w:ascii="Book Antiqua" w:hAnsi="Book Antiqua" w:cs="Arial"/>
        </w:rPr>
        <w:t xml:space="preserve"> recent studies have highlighted the importance of procoagulant complications in cirrhotic patients, with higher rates of venous thromboembolism (VTE) and splanchnic vein thrombosis being observed. These findings have </w:t>
      </w:r>
      <w:r w:rsidR="00E63BB0" w:rsidRPr="00644ED5">
        <w:rPr>
          <w:rFonts w:ascii="Book Antiqua" w:hAnsi="Book Antiqua" w:cs="Arial"/>
        </w:rPr>
        <w:t>suggested</w:t>
      </w:r>
      <w:r w:rsidRPr="00644ED5">
        <w:rPr>
          <w:rFonts w:ascii="Book Antiqua" w:hAnsi="Book Antiqua" w:cs="Arial"/>
        </w:rPr>
        <w:t xml:space="preserve"> the potential role for anticoagulation in cirrhosis. Furthermore, there is emerging evidence that coagulation proteins may activate hepatic myofibroblasts to accelerate fibrogenesis. A</w:t>
      </w:r>
      <w:r w:rsidR="003270ED" w:rsidRPr="00644ED5">
        <w:rPr>
          <w:rFonts w:ascii="Book Antiqua" w:hAnsi="Book Antiqua" w:cs="Arial"/>
        </w:rPr>
        <w:t>s such, there has been the suggestion that a</w:t>
      </w:r>
      <w:r w:rsidRPr="00644ED5">
        <w:rPr>
          <w:rFonts w:ascii="Book Antiqua" w:hAnsi="Book Antiqua" w:cs="Arial"/>
        </w:rPr>
        <w:t>nticoagulant medication may thus have a further role in impeding fibrosis progression</w:t>
      </w:r>
      <w:r w:rsidR="00BA0FDC" w:rsidRPr="00644ED5">
        <w:rPr>
          <w:rFonts w:ascii="Book Antiqua" w:hAnsi="Book Antiqua" w:cs="Arial"/>
          <w:vertAlign w:val="superscript"/>
        </w:rPr>
        <w:t>[133-135]</w:t>
      </w:r>
      <w:r w:rsidR="00C62944" w:rsidRPr="00644ED5">
        <w:rPr>
          <w:rFonts w:ascii="Book Antiqua" w:hAnsi="Book Antiqua" w:cs="Arial"/>
        </w:rPr>
        <w:t>.</w:t>
      </w:r>
    </w:p>
    <w:p w14:paraId="66CBD83B" w14:textId="51996A04" w:rsidR="00C84E40" w:rsidRPr="00644ED5" w:rsidRDefault="004A4E63" w:rsidP="00C62944">
      <w:pPr>
        <w:spacing w:line="360" w:lineRule="auto"/>
        <w:ind w:firstLineChars="100" w:firstLine="240"/>
        <w:rPr>
          <w:rFonts w:ascii="Book Antiqua" w:hAnsi="Book Antiqua" w:cs="Arial"/>
          <w:lang w:eastAsia="zh-CN"/>
        </w:rPr>
      </w:pPr>
      <w:r w:rsidRPr="00644ED5">
        <w:rPr>
          <w:rFonts w:ascii="Book Antiqua" w:hAnsi="Book Antiqua" w:cs="Arial"/>
        </w:rPr>
        <w:t>Retrospective studies investigating the role of prophylactic anticoagulation in cirrhotic patients at risk of VTE have provided heterogenous results with some studies failing to demonstrate a reduc</w:t>
      </w:r>
      <w:r w:rsidR="00C84E40" w:rsidRPr="00644ED5">
        <w:rPr>
          <w:rFonts w:ascii="Book Antiqua" w:hAnsi="Book Antiqua" w:cs="Arial"/>
        </w:rPr>
        <w:t>tion in VTE incidence with anti</w:t>
      </w:r>
      <w:r w:rsidRPr="00644ED5">
        <w:rPr>
          <w:rFonts w:ascii="Book Antiqua" w:hAnsi="Book Antiqua" w:cs="Arial"/>
        </w:rPr>
        <w:t xml:space="preserve">coagulative </w:t>
      </w:r>
      <w:r w:rsidRPr="00644ED5">
        <w:rPr>
          <w:rFonts w:ascii="Book Antiqua" w:hAnsi="Book Antiqua" w:cs="Arial"/>
        </w:rPr>
        <w:lastRenderedPageBreak/>
        <w:t>treatment</w:t>
      </w:r>
      <w:r w:rsidR="00BA0FDC" w:rsidRPr="00644ED5">
        <w:rPr>
          <w:rFonts w:ascii="Book Antiqua" w:hAnsi="Book Antiqua" w:cs="Arial"/>
          <w:vertAlign w:val="superscript"/>
        </w:rPr>
        <w:t>[133,136]</w:t>
      </w:r>
      <w:r w:rsidRPr="00644ED5">
        <w:rPr>
          <w:rFonts w:ascii="Book Antiqua" w:hAnsi="Book Antiqua" w:cs="Arial"/>
        </w:rPr>
        <w:t>.</w:t>
      </w:r>
      <w:r w:rsidR="007E6B20" w:rsidRPr="00644ED5">
        <w:rPr>
          <w:rFonts w:ascii="Book Antiqua" w:hAnsi="Book Antiqua" w:cs="Arial"/>
        </w:rPr>
        <w:t xml:space="preserve"> In a single-centre, non-blinded RCT of 70 cirrhotic outpatients,</w:t>
      </w:r>
      <w:r w:rsidRPr="00644ED5">
        <w:rPr>
          <w:rFonts w:ascii="Book Antiqua" w:hAnsi="Book Antiqua" w:cs="Arial"/>
        </w:rPr>
        <w:t xml:space="preserve"> </w:t>
      </w:r>
      <w:r w:rsidR="007E6B20" w:rsidRPr="00644ED5">
        <w:rPr>
          <w:rFonts w:ascii="Book Antiqua" w:hAnsi="Book Antiqua" w:cs="Arial"/>
        </w:rPr>
        <w:t xml:space="preserve">Villa </w:t>
      </w:r>
      <w:r w:rsidR="007E6B20" w:rsidRPr="00644ED5">
        <w:rPr>
          <w:rFonts w:ascii="Book Antiqua" w:hAnsi="Book Antiqua" w:cs="Arial"/>
          <w:i/>
        </w:rPr>
        <w:t>et al</w:t>
      </w:r>
      <w:r w:rsidR="00C62944" w:rsidRPr="00644ED5">
        <w:rPr>
          <w:rFonts w:ascii="Book Antiqua" w:hAnsi="Book Antiqua" w:cs="Arial"/>
          <w:vertAlign w:val="superscript"/>
        </w:rPr>
        <w:t>[137]</w:t>
      </w:r>
      <w:r w:rsidR="007E6B20" w:rsidRPr="00644ED5">
        <w:rPr>
          <w:rFonts w:ascii="Book Antiqua" w:hAnsi="Book Antiqua" w:cs="Arial"/>
        </w:rPr>
        <w:t xml:space="preserve"> investigated the safety and efficacy of low-molecular-weight heparin in preventing portal vein thrombosis (PVT)</w:t>
      </w:r>
      <w:r w:rsidR="00C62944" w:rsidRPr="00644ED5">
        <w:rPr>
          <w:rFonts w:ascii="Book Antiqua" w:hAnsi="Book Antiqua" w:cs="Arial"/>
        </w:rPr>
        <w:t xml:space="preserve">. </w:t>
      </w:r>
      <w:r w:rsidR="003270ED" w:rsidRPr="00644ED5">
        <w:rPr>
          <w:rFonts w:ascii="Book Antiqua" w:hAnsi="Book Antiqua" w:cs="Arial"/>
        </w:rPr>
        <w:t>The major</w:t>
      </w:r>
      <w:r w:rsidR="007E6B20" w:rsidRPr="00644ED5">
        <w:rPr>
          <w:rFonts w:ascii="Book Antiqua" w:hAnsi="Book Antiqua" w:cs="Arial"/>
        </w:rPr>
        <w:t xml:space="preserve"> finding</w:t>
      </w:r>
      <w:r w:rsidR="003270ED" w:rsidRPr="00644ED5">
        <w:rPr>
          <w:rFonts w:ascii="Book Antiqua" w:hAnsi="Book Antiqua" w:cs="Arial"/>
        </w:rPr>
        <w:t>s were</w:t>
      </w:r>
      <w:r w:rsidR="007E6B20" w:rsidRPr="00644ED5">
        <w:rPr>
          <w:rFonts w:ascii="Book Antiqua" w:hAnsi="Book Antiqua" w:cs="Arial"/>
        </w:rPr>
        <w:t xml:space="preserve"> that subcutaneous enoxaparin not only reduced PVT incidence</w:t>
      </w:r>
      <w:r w:rsidR="00ED672A" w:rsidRPr="00644ED5">
        <w:rPr>
          <w:rFonts w:ascii="Book Antiqua" w:hAnsi="Book Antiqua" w:cs="Arial"/>
        </w:rPr>
        <w:t xml:space="preserve"> (0% </w:t>
      </w:r>
      <w:r w:rsidR="00ED672A" w:rsidRPr="00644ED5">
        <w:rPr>
          <w:rFonts w:ascii="Book Antiqua" w:hAnsi="Book Antiqua" w:cs="Arial"/>
          <w:i/>
        </w:rPr>
        <w:t>vs</w:t>
      </w:r>
      <w:r w:rsidR="00ED672A" w:rsidRPr="00644ED5">
        <w:rPr>
          <w:rFonts w:ascii="Book Antiqua" w:hAnsi="Book Antiqua" w:cs="Arial"/>
        </w:rPr>
        <w:t xml:space="preserve"> 27.7%, </w:t>
      </w:r>
      <w:r w:rsidR="00C62944" w:rsidRPr="00644ED5">
        <w:rPr>
          <w:rFonts w:ascii="Book Antiqua" w:hAnsi="Book Antiqua" w:cs="Arial"/>
          <w:i/>
        </w:rPr>
        <w:t>P</w:t>
      </w:r>
      <w:r w:rsidR="00C62944" w:rsidRPr="00644ED5">
        <w:rPr>
          <w:rFonts w:ascii="Book Antiqua" w:hAnsi="Book Antiqua" w:cs="Arial" w:hint="eastAsia"/>
          <w:lang w:eastAsia="zh-CN"/>
        </w:rPr>
        <w:t xml:space="preserve"> </w:t>
      </w:r>
      <w:r w:rsidR="00ED672A" w:rsidRPr="00644ED5">
        <w:rPr>
          <w:rFonts w:ascii="Book Antiqua" w:hAnsi="Book Antiqua" w:cs="Arial"/>
        </w:rPr>
        <w:t>=</w:t>
      </w:r>
      <w:r w:rsidR="00C62944" w:rsidRPr="00644ED5">
        <w:rPr>
          <w:rFonts w:ascii="Book Antiqua" w:hAnsi="Book Antiqua" w:cs="Arial" w:hint="eastAsia"/>
          <w:lang w:eastAsia="zh-CN"/>
        </w:rPr>
        <w:t xml:space="preserve"> </w:t>
      </w:r>
      <w:r w:rsidR="00ED672A" w:rsidRPr="00644ED5">
        <w:rPr>
          <w:rFonts w:ascii="Book Antiqua" w:hAnsi="Book Antiqua" w:cs="Arial"/>
        </w:rPr>
        <w:t>0.001)</w:t>
      </w:r>
      <w:r w:rsidR="007E6B20" w:rsidRPr="00644ED5">
        <w:rPr>
          <w:rFonts w:ascii="Book Antiqua" w:hAnsi="Book Antiqua" w:cs="Arial"/>
        </w:rPr>
        <w:t xml:space="preserve"> but also protected against hepatic decompensation</w:t>
      </w:r>
      <w:r w:rsidR="00ED672A" w:rsidRPr="00644ED5">
        <w:rPr>
          <w:rFonts w:ascii="Book Antiqua" w:hAnsi="Book Antiqua" w:cs="Arial"/>
        </w:rPr>
        <w:t xml:space="preserve"> (11.7% </w:t>
      </w:r>
      <w:r w:rsidR="00ED672A" w:rsidRPr="00644ED5">
        <w:rPr>
          <w:rFonts w:ascii="Book Antiqua" w:hAnsi="Book Antiqua" w:cs="Arial"/>
          <w:i/>
        </w:rPr>
        <w:t>vs</w:t>
      </w:r>
      <w:r w:rsidR="00ED672A" w:rsidRPr="00644ED5">
        <w:rPr>
          <w:rFonts w:ascii="Book Antiqua" w:hAnsi="Book Antiqua" w:cs="Arial"/>
        </w:rPr>
        <w:t xml:space="preserve"> 59.4%, </w:t>
      </w:r>
      <w:r w:rsidR="00C62944" w:rsidRPr="00644ED5">
        <w:rPr>
          <w:rFonts w:ascii="Book Antiqua" w:hAnsi="Book Antiqua" w:cs="Arial"/>
          <w:i/>
        </w:rPr>
        <w:t>P</w:t>
      </w:r>
      <w:r w:rsidR="00C62944" w:rsidRPr="00644ED5">
        <w:rPr>
          <w:rFonts w:ascii="Book Antiqua" w:hAnsi="Book Antiqua" w:cs="Arial"/>
        </w:rPr>
        <w:t xml:space="preserve"> </w:t>
      </w:r>
      <w:r w:rsidR="00ED672A" w:rsidRPr="00644ED5">
        <w:rPr>
          <w:rFonts w:ascii="Book Antiqua" w:hAnsi="Book Antiqua" w:cs="Arial"/>
        </w:rPr>
        <w:t>&lt;</w:t>
      </w:r>
      <w:r w:rsidR="00C62944" w:rsidRPr="00644ED5">
        <w:rPr>
          <w:rFonts w:ascii="Book Antiqua" w:hAnsi="Book Antiqua" w:cs="Arial" w:hint="eastAsia"/>
          <w:lang w:eastAsia="zh-CN"/>
        </w:rPr>
        <w:t xml:space="preserve"> </w:t>
      </w:r>
      <w:r w:rsidR="00ED672A" w:rsidRPr="00644ED5">
        <w:rPr>
          <w:rFonts w:ascii="Book Antiqua" w:hAnsi="Book Antiqua" w:cs="Arial"/>
        </w:rPr>
        <w:t>0.001) with no apparent increase in haemorrhagic complications</w:t>
      </w:r>
      <w:r w:rsidR="007E6B20" w:rsidRPr="00644ED5">
        <w:rPr>
          <w:rFonts w:ascii="Book Antiqua" w:hAnsi="Book Antiqua" w:cs="Arial"/>
        </w:rPr>
        <w:t xml:space="preserve">. </w:t>
      </w:r>
      <w:r w:rsidR="000316EC" w:rsidRPr="00644ED5">
        <w:rPr>
          <w:rFonts w:ascii="Book Antiqua" w:hAnsi="Book Antiqua" w:cs="Arial"/>
        </w:rPr>
        <w:t>The authors attribute the observed reduction in decompensating events to improvements in hepatic microcirculation with consequent diminution of bacterial translocation and immune dysfunction</w:t>
      </w:r>
      <w:r w:rsidR="00BA0FDC" w:rsidRPr="00644ED5">
        <w:rPr>
          <w:rFonts w:ascii="Book Antiqua" w:hAnsi="Book Antiqua" w:cs="Arial"/>
          <w:vertAlign w:val="superscript"/>
        </w:rPr>
        <w:t>[134,137]</w:t>
      </w:r>
      <w:r w:rsidR="00C62944" w:rsidRPr="00644ED5">
        <w:rPr>
          <w:rFonts w:ascii="Book Antiqua" w:hAnsi="Book Antiqua" w:cs="Arial"/>
        </w:rPr>
        <w:t xml:space="preserve">. </w:t>
      </w:r>
      <w:r w:rsidRPr="00644ED5">
        <w:rPr>
          <w:rFonts w:ascii="Book Antiqua" w:hAnsi="Book Antiqua" w:cs="Arial"/>
        </w:rPr>
        <w:t>Further prospective</w:t>
      </w:r>
      <w:r w:rsidR="002C5873" w:rsidRPr="00644ED5">
        <w:rPr>
          <w:rFonts w:ascii="Book Antiqua" w:hAnsi="Book Antiqua" w:cs="Arial"/>
        </w:rPr>
        <w:t xml:space="preserve"> and randomised</w:t>
      </w:r>
      <w:r w:rsidRPr="00644ED5">
        <w:rPr>
          <w:rFonts w:ascii="Book Antiqua" w:hAnsi="Book Antiqua" w:cs="Arial"/>
        </w:rPr>
        <w:t xml:space="preserve"> studies are required to delineate the role of prophylactic anticoagulation in cirrhosis. </w:t>
      </w:r>
    </w:p>
    <w:p w14:paraId="6F8FB7ED" w14:textId="4EDBAE41" w:rsidR="004A4E63" w:rsidRPr="00644ED5" w:rsidRDefault="004A4E63" w:rsidP="00046AD5">
      <w:pPr>
        <w:spacing w:line="360" w:lineRule="auto"/>
        <w:ind w:firstLineChars="100" w:firstLine="240"/>
        <w:rPr>
          <w:rFonts w:ascii="Book Antiqua" w:hAnsi="Book Antiqua" w:cs="Arial"/>
          <w:lang w:eastAsia="zh-CN"/>
        </w:rPr>
      </w:pPr>
      <w:r w:rsidRPr="00644ED5">
        <w:rPr>
          <w:rFonts w:ascii="Book Antiqua" w:hAnsi="Book Antiqua" w:cs="Arial"/>
        </w:rPr>
        <w:t>Regarding patients with</w:t>
      </w:r>
      <w:r w:rsidR="00C84E40" w:rsidRPr="00644ED5">
        <w:rPr>
          <w:rFonts w:ascii="Book Antiqua" w:hAnsi="Book Antiqua" w:cs="Arial"/>
        </w:rPr>
        <w:t xml:space="preserve"> established</w:t>
      </w:r>
      <w:r w:rsidRPr="00644ED5">
        <w:rPr>
          <w:rFonts w:ascii="Book Antiqua" w:hAnsi="Book Antiqua" w:cs="Arial"/>
        </w:rPr>
        <w:t xml:space="preserve"> non-malignant </w:t>
      </w:r>
      <w:r w:rsidR="000316EC" w:rsidRPr="00644ED5">
        <w:rPr>
          <w:rFonts w:ascii="Book Antiqua" w:hAnsi="Book Antiqua" w:cs="Arial"/>
        </w:rPr>
        <w:t>PVT</w:t>
      </w:r>
      <w:r w:rsidRPr="00644ED5">
        <w:rPr>
          <w:rFonts w:ascii="Book Antiqua" w:hAnsi="Book Antiqua" w:cs="Arial"/>
        </w:rPr>
        <w:t>, numerous studies have demonstrated</w:t>
      </w:r>
      <w:r w:rsidR="001E2D8E" w:rsidRPr="00644ED5">
        <w:rPr>
          <w:rFonts w:ascii="Book Antiqua" w:hAnsi="Book Antiqua" w:cs="Arial"/>
        </w:rPr>
        <w:t xml:space="preserve"> </w:t>
      </w:r>
      <w:r w:rsidRPr="00644ED5">
        <w:rPr>
          <w:rFonts w:ascii="Book Antiqua" w:hAnsi="Book Antiqua" w:cs="Arial"/>
        </w:rPr>
        <w:t xml:space="preserve">a favourable effect </w:t>
      </w:r>
      <w:r w:rsidR="00046AD5" w:rsidRPr="00644ED5">
        <w:rPr>
          <w:rFonts w:ascii="Book Antiqua" w:hAnsi="Book Antiqua" w:cs="Arial"/>
        </w:rPr>
        <w:t>of low-molecular weight heparin</w:t>
      </w:r>
      <w:r w:rsidR="001E2D8E" w:rsidRPr="00644ED5">
        <w:rPr>
          <w:rFonts w:ascii="Book Antiqua" w:hAnsi="Book Antiqua" w:cs="Arial"/>
        </w:rPr>
        <w:t xml:space="preserve"> therapy</w:t>
      </w:r>
      <w:r w:rsidRPr="00644ED5">
        <w:rPr>
          <w:rFonts w:ascii="Book Antiqua" w:hAnsi="Book Antiqua" w:cs="Arial"/>
        </w:rPr>
        <w:t xml:space="preserve"> on portal vein recanalization rates</w:t>
      </w:r>
      <w:r w:rsidR="001E2D8E" w:rsidRPr="00644ED5">
        <w:rPr>
          <w:rFonts w:ascii="Book Antiqua" w:hAnsi="Book Antiqua" w:cs="Arial"/>
        </w:rPr>
        <w:t>, achieving re-permeation in 40</w:t>
      </w:r>
      <w:r w:rsidR="00046AD5" w:rsidRPr="00644ED5">
        <w:rPr>
          <w:rFonts w:ascii="Book Antiqua" w:hAnsi="Book Antiqua" w:cs="Arial" w:hint="eastAsia"/>
          <w:lang w:eastAsia="zh-CN"/>
        </w:rPr>
        <w:t>%</w:t>
      </w:r>
      <w:r w:rsidR="001E2D8E" w:rsidRPr="00644ED5">
        <w:rPr>
          <w:rFonts w:ascii="Book Antiqua" w:hAnsi="Book Antiqua" w:cs="Arial"/>
        </w:rPr>
        <w:t>-90% of treated patients compared to 0% of untreated controls</w:t>
      </w:r>
      <w:r w:rsidRPr="00644ED5">
        <w:rPr>
          <w:rFonts w:ascii="Book Antiqua" w:hAnsi="Book Antiqua" w:cs="Arial"/>
        </w:rPr>
        <w:t xml:space="preserve">. </w:t>
      </w:r>
      <w:r w:rsidR="008758E0" w:rsidRPr="00644ED5">
        <w:rPr>
          <w:rFonts w:ascii="Book Antiqua" w:hAnsi="Book Antiqua" w:cs="Arial"/>
        </w:rPr>
        <w:t xml:space="preserve">Early initiation of anticoagulative therapy was the most important factor associated with successful re-permeation. </w:t>
      </w:r>
      <w:r w:rsidR="001E2D8E" w:rsidRPr="00644ED5">
        <w:rPr>
          <w:rFonts w:ascii="Book Antiqua" w:hAnsi="Book Antiqua" w:cs="Arial"/>
        </w:rPr>
        <w:t>Furthermore, these studies indicate</w:t>
      </w:r>
      <w:r w:rsidR="00C84E40" w:rsidRPr="00644ED5">
        <w:rPr>
          <w:rFonts w:ascii="Book Antiqua" w:hAnsi="Book Antiqua" w:cs="Arial"/>
        </w:rPr>
        <w:t xml:space="preserve"> </w:t>
      </w:r>
      <w:r w:rsidR="001E2D8E" w:rsidRPr="00644ED5">
        <w:rPr>
          <w:rFonts w:ascii="Book Antiqua" w:hAnsi="Book Antiqua" w:cs="Arial"/>
        </w:rPr>
        <w:t>that anti</w:t>
      </w:r>
      <w:r w:rsidRPr="00644ED5">
        <w:rPr>
          <w:rFonts w:ascii="Book Antiqua" w:hAnsi="Book Antiqua" w:cs="Arial"/>
        </w:rPr>
        <w:t>coagulation therapy has an acceptable safety profile in cirrhotic patients with no significant increase in bleeding rates provided that oesophageal varices are adequately screened for and managed</w:t>
      </w:r>
      <w:r w:rsidR="00BA0FDC" w:rsidRPr="00644ED5">
        <w:rPr>
          <w:rFonts w:ascii="Book Antiqua" w:hAnsi="Book Antiqua" w:cs="Arial"/>
          <w:vertAlign w:val="superscript"/>
        </w:rPr>
        <w:t>[134,138-141]</w:t>
      </w:r>
      <w:r w:rsidRPr="00644ED5">
        <w:rPr>
          <w:rFonts w:ascii="Book Antiqua" w:hAnsi="Book Antiqua" w:cs="Arial"/>
        </w:rPr>
        <w:t xml:space="preserve">. At present, however, </w:t>
      </w:r>
      <w:r w:rsidR="00DD1055" w:rsidRPr="00644ED5">
        <w:rPr>
          <w:rFonts w:ascii="Book Antiqua" w:hAnsi="Book Antiqua" w:cs="Arial"/>
        </w:rPr>
        <w:t>there is a need for</w:t>
      </w:r>
      <w:r w:rsidRPr="00644ED5">
        <w:rPr>
          <w:rFonts w:ascii="Book Antiqua" w:hAnsi="Book Antiqua" w:cs="Arial"/>
        </w:rPr>
        <w:t xml:space="preserve"> detailed guidelines regarding the use of anticoagulation therapy in patients with cirrhosis. </w:t>
      </w:r>
    </w:p>
    <w:p w14:paraId="6147A874" w14:textId="77777777" w:rsidR="00046AD5" w:rsidRPr="00644ED5" w:rsidRDefault="00046AD5" w:rsidP="00667231">
      <w:pPr>
        <w:spacing w:line="360" w:lineRule="auto"/>
        <w:rPr>
          <w:rFonts w:ascii="Book Antiqua" w:hAnsi="Book Antiqua" w:cs="Arial"/>
          <w:lang w:eastAsia="zh-CN"/>
        </w:rPr>
      </w:pPr>
    </w:p>
    <w:p w14:paraId="1D7C6149" w14:textId="6874BB70" w:rsidR="00573F35" w:rsidRPr="00644ED5" w:rsidRDefault="0024600A" w:rsidP="00667231">
      <w:pPr>
        <w:spacing w:line="360" w:lineRule="auto"/>
        <w:rPr>
          <w:rFonts w:ascii="Book Antiqua" w:hAnsi="Book Antiqua" w:cs="Arial"/>
          <w:b/>
          <w:i/>
        </w:rPr>
      </w:pPr>
      <w:r w:rsidRPr="00644ED5">
        <w:rPr>
          <w:rFonts w:ascii="Book Antiqua" w:hAnsi="Book Antiqua" w:cs="Arial"/>
          <w:b/>
          <w:i/>
        </w:rPr>
        <w:t>Further treatments</w:t>
      </w:r>
    </w:p>
    <w:p w14:paraId="249BC08A" w14:textId="77777777" w:rsidR="00046AD5" w:rsidRPr="00644ED5" w:rsidRDefault="0064373B" w:rsidP="00046AD5">
      <w:pPr>
        <w:spacing w:line="360" w:lineRule="auto"/>
        <w:rPr>
          <w:rFonts w:ascii="Book Antiqua" w:hAnsi="Book Antiqua" w:cs="Arial"/>
          <w:lang w:eastAsia="zh-CN"/>
        </w:rPr>
      </w:pPr>
      <w:r w:rsidRPr="00644ED5">
        <w:rPr>
          <w:rFonts w:ascii="Book Antiqua" w:hAnsi="Book Antiqua" w:cs="Arial"/>
        </w:rPr>
        <w:t>A number of different agents with potentially therapeutic effects upon patients with cirrhosis are currently at different stages of pre-clinical and clinical assessment. T</w:t>
      </w:r>
      <w:bookmarkStart w:id="48" w:name="_Toc497668321"/>
      <w:bookmarkStart w:id="49" w:name="_Hlk530579249"/>
      <w:r w:rsidR="00046AD5" w:rsidRPr="00644ED5">
        <w:rPr>
          <w:rFonts w:ascii="Book Antiqua" w:hAnsi="Book Antiqua" w:cs="Arial"/>
        </w:rPr>
        <w:t>hese are summarised in Table 2.</w:t>
      </w:r>
    </w:p>
    <w:p w14:paraId="68ED2A3A" w14:textId="77777777" w:rsidR="00046AD5" w:rsidRPr="00644ED5" w:rsidRDefault="00046AD5" w:rsidP="00046AD5">
      <w:pPr>
        <w:spacing w:line="360" w:lineRule="auto"/>
        <w:rPr>
          <w:rFonts w:ascii="Book Antiqua" w:hAnsi="Book Antiqua" w:cs="Arial"/>
          <w:lang w:eastAsia="zh-CN"/>
        </w:rPr>
      </w:pPr>
    </w:p>
    <w:p w14:paraId="099A06FD" w14:textId="7303C691" w:rsidR="00507E30" w:rsidRPr="00644ED5" w:rsidRDefault="00046AD5" w:rsidP="00046AD5">
      <w:pPr>
        <w:spacing w:line="360" w:lineRule="auto"/>
        <w:rPr>
          <w:rFonts w:ascii="Book Antiqua" w:hAnsi="Book Antiqua" w:cs="Arial"/>
          <w:b/>
        </w:rPr>
      </w:pPr>
      <w:r w:rsidRPr="00644ED5">
        <w:rPr>
          <w:rFonts w:ascii="Book Antiqua" w:eastAsiaTheme="minorHAnsi" w:hAnsi="Book Antiqua" w:cs="Arial"/>
          <w:b/>
        </w:rPr>
        <w:t>CONCLUSION</w:t>
      </w:r>
      <w:bookmarkEnd w:id="48"/>
    </w:p>
    <w:bookmarkEnd w:id="49"/>
    <w:p w14:paraId="156816D8" w14:textId="3FA99483" w:rsidR="00DC2E83" w:rsidRPr="00644ED5" w:rsidRDefault="00507E30" w:rsidP="00667231">
      <w:pPr>
        <w:spacing w:line="360" w:lineRule="auto"/>
        <w:rPr>
          <w:rFonts w:ascii="Book Antiqua" w:hAnsi="Book Antiqua" w:cs="Arial"/>
          <w:lang w:eastAsia="zh-CN"/>
        </w:rPr>
      </w:pPr>
      <w:r w:rsidRPr="00644ED5">
        <w:rPr>
          <w:rFonts w:ascii="Book Antiqua" w:hAnsi="Book Antiqua" w:cs="Arial"/>
        </w:rPr>
        <w:t>The evidence presented above clearly demonstrates that</w:t>
      </w:r>
      <w:r w:rsidR="007215E1" w:rsidRPr="00644ED5">
        <w:rPr>
          <w:rFonts w:ascii="Book Antiqua" w:hAnsi="Book Antiqua" w:cs="Arial"/>
        </w:rPr>
        <w:t>,</w:t>
      </w:r>
      <w:r w:rsidRPr="00644ED5">
        <w:rPr>
          <w:rFonts w:ascii="Book Antiqua" w:hAnsi="Book Antiqua" w:cs="Arial"/>
        </w:rPr>
        <w:t xml:space="preserve"> </w:t>
      </w:r>
      <w:r w:rsidR="007215E1" w:rsidRPr="00644ED5">
        <w:rPr>
          <w:rFonts w:ascii="Book Antiqua" w:hAnsi="Book Antiqua" w:cs="Arial"/>
        </w:rPr>
        <w:t xml:space="preserve">while pharmacotherapy plays an important role for the long-term supportive management of the cirrhotic outpatient, its application is also highly complex and controversial. Many questions regarding the effect of the individual agents in the different stages of cirrhosis remain unanswered and require further research, </w:t>
      </w:r>
      <w:r w:rsidR="00976C34" w:rsidRPr="00644ED5">
        <w:rPr>
          <w:rFonts w:ascii="Book Antiqua" w:hAnsi="Book Antiqua" w:cs="Arial"/>
        </w:rPr>
        <w:t>particularly</w:t>
      </w:r>
      <w:r w:rsidR="007215E1" w:rsidRPr="00644ED5">
        <w:rPr>
          <w:rFonts w:ascii="Book Antiqua" w:hAnsi="Book Antiqua" w:cs="Arial"/>
        </w:rPr>
        <w:t xml:space="preserve"> in a randomized, controlled </w:t>
      </w:r>
      <w:r w:rsidR="007215E1" w:rsidRPr="00644ED5">
        <w:rPr>
          <w:rFonts w:ascii="Book Antiqua" w:hAnsi="Book Antiqua" w:cs="Arial"/>
        </w:rPr>
        <w:lastRenderedPageBreak/>
        <w:t>setting</w:t>
      </w:r>
      <w:r w:rsidR="00976C34" w:rsidRPr="00644ED5">
        <w:rPr>
          <w:rFonts w:ascii="Book Antiqua" w:hAnsi="Book Antiqua" w:cs="Arial"/>
        </w:rPr>
        <w:t xml:space="preserve"> with well-defined cohorts of cirrhotic patients</w:t>
      </w:r>
      <w:r w:rsidR="007215E1" w:rsidRPr="00644ED5">
        <w:rPr>
          <w:rFonts w:ascii="Book Antiqua" w:hAnsi="Book Antiqua" w:cs="Arial"/>
        </w:rPr>
        <w:t xml:space="preserve">. </w:t>
      </w:r>
      <w:r w:rsidR="00101D59" w:rsidRPr="00644ED5">
        <w:rPr>
          <w:rFonts w:ascii="Book Antiqua" w:hAnsi="Book Antiqua" w:cs="Arial"/>
        </w:rPr>
        <w:t>In this article we have provided an update with regards to the latest studies and international con</w:t>
      </w:r>
      <w:r w:rsidR="00046AD5" w:rsidRPr="00644ED5">
        <w:rPr>
          <w:rFonts w:ascii="Book Antiqua" w:hAnsi="Book Antiqua" w:cs="Arial"/>
        </w:rPr>
        <w:t xml:space="preserve">sensus on specific treatments. </w:t>
      </w:r>
      <w:r w:rsidR="007215E1" w:rsidRPr="00644ED5">
        <w:rPr>
          <w:rFonts w:ascii="Book Antiqua" w:hAnsi="Book Antiqua" w:cs="Arial"/>
        </w:rPr>
        <w:t xml:space="preserve">To maximize benefits and minimize drawbacks of chronic pharmacotherapy in cirrhosis, it is essential that these drugs are prescribed and administered </w:t>
      </w:r>
      <w:r w:rsidR="00976C34" w:rsidRPr="00644ED5">
        <w:rPr>
          <w:rFonts w:ascii="Book Antiqua" w:hAnsi="Book Antiqua" w:cs="Arial"/>
        </w:rPr>
        <w:t>only in</w:t>
      </w:r>
      <w:r w:rsidR="007215E1" w:rsidRPr="00644ED5">
        <w:rPr>
          <w:rFonts w:ascii="Book Antiqua" w:hAnsi="Book Antiqua" w:cs="Arial"/>
        </w:rPr>
        <w:t xml:space="preserve"> close accordance with up-to-date guidelines and that p</w:t>
      </w:r>
      <w:r w:rsidR="00976C34" w:rsidRPr="00644ED5">
        <w:rPr>
          <w:rFonts w:ascii="Book Antiqua" w:hAnsi="Book Antiqua" w:cs="Arial"/>
        </w:rPr>
        <w:t xml:space="preserve">atients are reviewed frequently, so that adverse effects can be recognized early. To heighten the effectiveness of pharmacotherapy in cirrhosis, drug administration needs to be individualized with respect to the following criteria: current complications of cirrhosis, stage of cirrhosis, </w:t>
      </w:r>
      <w:r w:rsidR="002F5100" w:rsidRPr="00644ED5">
        <w:rPr>
          <w:rFonts w:ascii="Book Antiqua" w:hAnsi="Book Antiqua" w:cs="Arial"/>
        </w:rPr>
        <w:t xml:space="preserve">type of drug used (especially for beta-blockers) and dose of drug used. Pharmacotherapy is only one part of the holistic management of the cirrhotic outpatient and will only achieve its full effectiveness if used in conjunction with treatment of the underlying aetiology of liver disease, nutritional management and patient education </w:t>
      </w:r>
      <w:r w:rsidR="00C96007" w:rsidRPr="00644ED5">
        <w:rPr>
          <w:rFonts w:ascii="Book Antiqua" w:hAnsi="Book Antiqua" w:cs="Arial"/>
        </w:rPr>
        <w:t>in a specialist clinic setting.</w:t>
      </w:r>
    </w:p>
    <w:p w14:paraId="298B9718" w14:textId="309A79E9" w:rsidR="00F93EC0" w:rsidRPr="00644ED5" w:rsidRDefault="00046AD5" w:rsidP="00046AD5">
      <w:pPr>
        <w:spacing w:line="360" w:lineRule="auto"/>
        <w:rPr>
          <w:rFonts w:ascii="Book Antiqua" w:hAnsi="Book Antiqua" w:cs="Arial"/>
          <w:b/>
        </w:rPr>
      </w:pPr>
      <w:r w:rsidRPr="00644ED5">
        <w:rPr>
          <w:rFonts w:ascii="Book Antiqua" w:hAnsi="Book Antiqua" w:cs="Arial"/>
        </w:rPr>
        <w:br w:type="page"/>
      </w:r>
      <w:r w:rsidRPr="00644ED5">
        <w:rPr>
          <w:rFonts w:ascii="Book Antiqua" w:eastAsiaTheme="minorHAnsi" w:hAnsi="Book Antiqua" w:cs="Arial"/>
          <w:b/>
        </w:rPr>
        <w:lastRenderedPageBreak/>
        <w:t>REFERENCES</w:t>
      </w:r>
    </w:p>
    <w:p w14:paraId="2959E8B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bookmarkStart w:id="50" w:name="_Hlk531802810"/>
      <w:r w:rsidRPr="00644ED5">
        <w:rPr>
          <w:rFonts w:ascii="Book Antiqua" w:eastAsia="宋体" w:hAnsi="Book Antiqua" w:cs="Times New Roman"/>
          <w:kern w:val="2"/>
          <w:lang w:val="en-US" w:eastAsia="zh-CN"/>
        </w:rPr>
        <w:t xml:space="preserve">1 </w:t>
      </w:r>
      <w:r w:rsidRPr="00644ED5">
        <w:rPr>
          <w:rFonts w:ascii="Book Antiqua" w:eastAsia="宋体" w:hAnsi="Book Antiqua" w:cs="Times New Roman"/>
          <w:b/>
          <w:kern w:val="2"/>
          <w:lang w:val="en-US" w:eastAsia="zh-CN"/>
        </w:rPr>
        <w:t>Tsochatzis EA</w:t>
      </w:r>
      <w:r w:rsidRPr="00644ED5">
        <w:rPr>
          <w:rFonts w:ascii="Book Antiqua" w:eastAsia="宋体" w:hAnsi="Book Antiqua" w:cs="Times New Roman"/>
          <w:kern w:val="2"/>
          <w:lang w:val="en-US" w:eastAsia="zh-CN"/>
        </w:rPr>
        <w:t xml:space="preserve">, Bosch J, Burroughs AK. Liver cirrhosis. </w:t>
      </w:r>
      <w:r w:rsidRPr="00644ED5">
        <w:rPr>
          <w:rFonts w:ascii="Book Antiqua" w:eastAsia="宋体" w:hAnsi="Book Antiqua" w:cs="Times New Roman"/>
          <w:i/>
          <w:kern w:val="2"/>
          <w:lang w:val="en-US" w:eastAsia="zh-CN"/>
        </w:rPr>
        <w:t>Lancet</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383</w:t>
      </w:r>
      <w:r w:rsidRPr="00644ED5">
        <w:rPr>
          <w:rFonts w:ascii="Book Antiqua" w:eastAsia="宋体" w:hAnsi="Book Antiqua" w:cs="Times New Roman"/>
          <w:kern w:val="2"/>
          <w:lang w:val="en-US" w:eastAsia="zh-CN"/>
        </w:rPr>
        <w:t>: 1749-1761 [PMID: 24480518 DOI: 10.1016/S0140-6736(14)60121-5]</w:t>
      </w:r>
    </w:p>
    <w:p w14:paraId="79417A8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 </w:t>
      </w:r>
      <w:r w:rsidRPr="00644ED5">
        <w:rPr>
          <w:rFonts w:ascii="Book Antiqua" w:eastAsia="宋体" w:hAnsi="Book Antiqua" w:cs="Times New Roman"/>
          <w:b/>
          <w:kern w:val="2"/>
          <w:lang w:val="en-US" w:eastAsia="zh-CN"/>
        </w:rPr>
        <w:t>Blachier M</w:t>
      </w:r>
      <w:r w:rsidRPr="00644ED5">
        <w:rPr>
          <w:rFonts w:ascii="Book Antiqua" w:eastAsia="宋体" w:hAnsi="Book Antiqua" w:cs="Times New Roman"/>
          <w:kern w:val="2"/>
          <w:lang w:val="en-US" w:eastAsia="zh-CN"/>
        </w:rPr>
        <w:t xml:space="preserve">, Leleu H, Peck-Radosavljevic M, Valla DC, Roudot-Thoraval F. The burden of liver disease in Europe: A review of available epidemiological data.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58</w:t>
      </w:r>
      <w:r w:rsidRPr="00644ED5">
        <w:rPr>
          <w:rFonts w:ascii="Book Antiqua" w:eastAsia="宋体" w:hAnsi="Book Antiqua" w:cs="Times New Roman"/>
          <w:kern w:val="2"/>
          <w:lang w:val="en-US" w:eastAsia="zh-CN"/>
        </w:rPr>
        <w:t>: 593-608 [PMID: 23419824 DOI: 10.1016/j.jhep.2012.12.005]</w:t>
      </w:r>
    </w:p>
    <w:p w14:paraId="6006D39A"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 </w:t>
      </w:r>
      <w:r w:rsidRPr="00644ED5">
        <w:rPr>
          <w:rFonts w:ascii="Book Antiqua" w:eastAsia="宋体" w:hAnsi="Book Antiqua" w:cs="Times New Roman"/>
          <w:b/>
          <w:kern w:val="2"/>
          <w:lang w:val="en-US" w:eastAsia="zh-CN"/>
        </w:rPr>
        <w:t>Williams R</w:t>
      </w:r>
      <w:r w:rsidRPr="00644ED5">
        <w:rPr>
          <w:rFonts w:ascii="Book Antiqua" w:eastAsia="宋体" w:hAnsi="Book Antiqua" w:cs="Times New Roman"/>
          <w:kern w:val="2"/>
          <w:lang w:val="en-US" w:eastAsia="zh-CN"/>
        </w:rPr>
        <w:t xml:space="preserve">, Aspinall R, Bellis M, Camps-Walsh G, Cramp M, Dhawan A, Ferguson J, Forton D, Foster G, Gilmore I, Hickman M, Hudson M, Kelly D, Langford A, Lombard M, Longworth L, Martin N, Moriarty K, Newsome P, O'Grady J, Pryke R, Rutter H, Ryder S, Sheron N, Smith T. Addressing liver disease in the UK: A blueprint for attaining excellence in health care and reducing premature mortality from lifestyle issues of excess consumption of alcohol, obesity, and viral hepatitis. </w:t>
      </w:r>
      <w:r w:rsidRPr="00644ED5">
        <w:rPr>
          <w:rFonts w:ascii="Book Antiqua" w:eastAsia="宋体" w:hAnsi="Book Antiqua" w:cs="Times New Roman"/>
          <w:i/>
          <w:kern w:val="2"/>
          <w:lang w:val="en-US" w:eastAsia="zh-CN"/>
        </w:rPr>
        <w:t>Lancet</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384</w:t>
      </w:r>
      <w:r w:rsidRPr="00644ED5">
        <w:rPr>
          <w:rFonts w:ascii="Book Antiqua" w:eastAsia="宋体" w:hAnsi="Book Antiqua" w:cs="Times New Roman"/>
          <w:kern w:val="2"/>
          <w:lang w:val="en-US" w:eastAsia="zh-CN"/>
        </w:rPr>
        <w:t>: 1953-1997 [PMID: 25433429 DOI: 10.1016/S0140-6736(14)61838-9]</w:t>
      </w:r>
    </w:p>
    <w:p w14:paraId="00F0A22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 </w:t>
      </w:r>
      <w:r w:rsidRPr="00644ED5">
        <w:rPr>
          <w:rFonts w:ascii="Book Antiqua" w:eastAsia="宋体" w:hAnsi="Book Antiqua" w:cs="Times New Roman"/>
          <w:b/>
          <w:kern w:val="2"/>
          <w:lang w:val="en-US" w:eastAsia="zh-CN"/>
        </w:rPr>
        <w:t>Moctezuma-Velazquez C</w:t>
      </w:r>
      <w:r w:rsidRPr="00644ED5">
        <w:rPr>
          <w:rFonts w:ascii="Book Antiqua" w:eastAsia="宋体" w:hAnsi="Book Antiqua" w:cs="Times New Roman"/>
          <w:kern w:val="2"/>
          <w:lang w:val="en-US" w:eastAsia="zh-CN"/>
        </w:rPr>
        <w:t xml:space="preserve">, Kalainy S, Abraldes JG. Beta-blockers in patients with advanced liver disease: Has the dust settled? </w:t>
      </w:r>
      <w:r w:rsidRPr="00644ED5">
        <w:rPr>
          <w:rFonts w:ascii="Book Antiqua" w:eastAsia="宋体" w:hAnsi="Book Antiqua" w:cs="Times New Roman"/>
          <w:i/>
          <w:kern w:val="2"/>
          <w:lang w:val="en-US" w:eastAsia="zh-CN"/>
        </w:rPr>
        <w:t>Liver Transpl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23</w:t>
      </w:r>
      <w:r w:rsidRPr="00644ED5">
        <w:rPr>
          <w:rFonts w:ascii="Book Antiqua" w:eastAsia="宋体" w:hAnsi="Book Antiqua" w:cs="Times New Roman"/>
          <w:kern w:val="2"/>
          <w:lang w:val="en-US" w:eastAsia="zh-CN"/>
        </w:rPr>
        <w:t>: 1058-1069 [PMID: 28590564 DOI: 10.1002/lt.24794]</w:t>
      </w:r>
    </w:p>
    <w:p w14:paraId="2A885DA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 </w:t>
      </w:r>
      <w:r w:rsidRPr="00644ED5">
        <w:rPr>
          <w:rFonts w:ascii="Book Antiqua" w:eastAsia="宋体" w:hAnsi="Book Antiqua" w:cs="Times New Roman"/>
          <w:b/>
          <w:kern w:val="2"/>
          <w:lang w:val="en-US" w:eastAsia="zh-CN"/>
        </w:rPr>
        <w:t>de Franchis R</w:t>
      </w:r>
      <w:r w:rsidRPr="00644ED5">
        <w:rPr>
          <w:rFonts w:ascii="Book Antiqua" w:eastAsia="宋体" w:hAnsi="Book Antiqua" w:cs="Times New Roman"/>
          <w:kern w:val="2"/>
          <w:lang w:val="en-US" w:eastAsia="zh-CN"/>
        </w:rPr>
        <w:t xml:space="preserve">; Baveno VI Faculty. Expanding consensus in portal hypertension: Report of the Baveno VI Consensus Workshop: Stratifying risk and individualizing care for portal hypertension.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63</w:t>
      </w:r>
      <w:r w:rsidRPr="00644ED5">
        <w:rPr>
          <w:rFonts w:ascii="Book Antiqua" w:eastAsia="宋体" w:hAnsi="Book Antiqua" w:cs="Times New Roman"/>
          <w:kern w:val="2"/>
          <w:lang w:val="en-US" w:eastAsia="zh-CN"/>
        </w:rPr>
        <w:t>: 743-752 [PMID: 26047908 DOI: 10.1016/j.jhep.2015.05.022]</w:t>
      </w:r>
    </w:p>
    <w:p w14:paraId="4C7E643B"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 </w:t>
      </w:r>
      <w:r w:rsidRPr="00644ED5">
        <w:rPr>
          <w:rFonts w:ascii="Book Antiqua" w:eastAsia="宋体" w:hAnsi="Book Antiqua" w:cs="Times New Roman"/>
          <w:b/>
          <w:kern w:val="2"/>
          <w:lang w:val="en-US" w:eastAsia="zh-CN"/>
        </w:rPr>
        <w:t>Ge PS</w:t>
      </w:r>
      <w:r w:rsidRPr="00644ED5">
        <w:rPr>
          <w:rFonts w:ascii="Book Antiqua" w:eastAsia="宋体" w:hAnsi="Book Antiqua" w:cs="Times New Roman"/>
          <w:kern w:val="2"/>
          <w:lang w:val="en-US" w:eastAsia="zh-CN"/>
        </w:rPr>
        <w:t xml:space="preserve">, Runyon BA. Treatment of Patients with Cirrhosis. </w:t>
      </w:r>
      <w:r w:rsidRPr="00644ED5">
        <w:rPr>
          <w:rFonts w:ascii="Book Antiqua" w:eastAsia="宋体" w:hAnsi="Book Antiqua" w:cs="Times New Roman"/>
          <w:i/>
          <w:kern w:val="2"/>
          <w:lang w:val="en-US" w:eastAsia="zh-CN"/>
        </w:rPr>
        <w:t>N Engl J Med</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375</w:t>
      </w:r>
      <w:r w:rsidRPr="00644ED5">
        <w:rPr>
          <w:rFonts w:ascii="Book Antiqua" w:eastAsia="宋体" w:hAnsi="Book Antiqua" w:cs="Times New Roman"/>
          <w:kern w:val="2"/>
          <w:lang w:val="en-US" w:eastAsia="zh-CN"/>
        </w:rPr>
        <w:t>: 767-777 [PMID: 27557303 DOI: 10.1056/NEJMra1504367]</w:t>
      </w:r>
    </w:p>
    <w:p w14:paraId="27D7FB1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 </w:t>
      </w:r>
      <w:r w:rsidRPr="00644ED5">
        <w:rPr>
          <w:rFonts w:ascii="Book Antiqua" w:eastAsia="宋体" w:hAnsi="Book Antiqua" w:cs="Times New Roman"/>
          <w:b/>
          <w:kern w:val="2"/>
          <w:lang w:val="en-US" w:eastAsia="zh-CN"/>
        </w:rPr>
        <w:t>Reiberger T</w:t>
      </w:r>
      <w:r w:rsidRPr="00644ED5">
        <w:rPr>
          <w:rFonts w:ascii="Book Antiqua" w:eastAsia="宋体" w:hAnsi="Book Antiqua" w:cs="Times New Roman"/>
          <w:kern w:val="2"/>
          <w:lang w:val="en-US" w:eastAsia="zh-CN"/>
        </w:rPr>
        <w:t xml:space="preserve">, Mandorfer M. Beta adrenergic blockade and decompensated cirrhosis.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66</w:t>
      </w:r>
      <w:r w:rsidRPr="00644ED5">
        <w:rPr>
          <w:rFonts w:ascii="Book Antiqua" w:eastAsia="宋体" w:hAnsi="Book Antiqua" w:cs="Times New Roman"/>
          <w:kern w:val="2"/>
          <w:lang w:val="en-US" w:eastAsia="zh-CN"/>
        </w:rPr>
        <w:t>: 849-859 [PMID: 27864004 DOI: 10.1016/j.jhep.2016.11.001]</w:t>
      </w:r>
    </w:p>
    <w:p w14:paraId="23C9A1AA"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 </w:t>
      </w:r>
      <w:bookmarkStart w:id="51" w:name="OLE_LINK298"/>
      <w:r w:rsidRPr="00644ED5">
        <w:rPr>
          <w:rFonts w:ascii="Book Antiqua" w:eastAsia="宋体" w:hAnsi="Book Antiqua" w:cs="Times New Roman"/>
          <w:b/>
          <w:kern w:val="2"/>
          <w:lang w:val="en-US" w:eastAsia="zh-CN"/>
        </w:rPr>
        <w:t>Gluud LL,</w:t>
      </w:r>
      <w:r w:rsidRPr="00644ED5">
        <w:rPr>
          <w:rFonts w:ascii="Book Antiqua" w:eastAsia="宋体" w:hAnsi="Book Antiqua" w:cs="Times New Roman"/>
          <w:kern w:val="2"/>
          <w:lang w:val="en-US" w:eastAsia="zh-CN"/>
        </w:rPr>
        <w:t xml:space="preserve"> Morgan MY. Endoscopic therapy and beta-blockers for secondary prevention in adults with cirrhosis and oesophageal varices </w:t>
      </w:r>
      <w:bookmarkStart w:id="52" w:name="OLE_LINK299"/>
      <w:bookmarkStart w:id="53" w:name="OLE_LINK300"/>
      <w:r w:rsidRPr="00644ED5">
        <w:rPr>
          <w:rFonts w:ascii="Book Antiqua" w:eastAsia="宋体" w:hAnsi="Book Antiqua" w:cs="Times New Roman"/>
          <w:kern w:val="2"/>
          <w:lang w:val="en-US" w:eastAsia="zh-CN"/>
        </w:rPr>
        <w:t>Cochrane Database of systematic Reviews</w:t>
      </w:r>
      <w:bookmarkEnd w:id="52"/>
      <w:bookmarkEnd w:id="53"/>
      <w:r w:rsidRPr="00644ED5">
        <w:rPr>
          <w:rFonts w:ascii="Book Antiqua" w:eastAsia="宋体" w:hAnsi="Book Antiqua" w:cs="Times New Roman"/>
          <w:kern w:val="2"/>
          <w:lang w:val="en-US" w:eastAsia="zh-CN"/>
        </w:rPr>
        <w:t xml:space="preserve"> 2017</w:t>
      </w:r>
      <w:r w:rsidRPr="00644ED5">
        <w:rPr>
          <w:rFonts w:ascii="Book Antiqua" w:eastAsia="宋体" w:hAnsi="Book Antiqua" w:cs="Times New Roman" w:hint="eastAsia"/>
          <w:kern w:val="2"/>
          <w:lang w:val="en-US" w:eastAsia="zh-CN"/>
        </w:rPr>
        <w:t>; (</w:t>
      </w:r>
      <w:r w:rsidRPr="00644ED5">
        <w:rPr>
          <w:rFonts w:ascii="Book Antiqua" w:eastAsia="宋体" w:hAnsi="Book Antiqua" w:cs="Times New Roman"/>
          <w:b/>
          <w:kern w:val="2"/>
          <w:lang w:val="en-US" w:eastAsia="zh-CN"/>
        </w:rPr>
        <w:t>6</w:t>
      </w:r>
      <w:r w:rsidRPr="00644ED5">
        <w:rPr>
          <w:rFonts w:ascii="Book Antiqua" w:eastAsia="宋体" w:hAnsi="Book Antiqua" w:cs="Times New Roman" w:hint="eastAsia"/>
          <w:b/>
          <w:kern w:val="2"/>
          <w:lang w:val="en-US" w:eastAsia="zh-CN"/>
        </w:rPr>
        <w:t>)</w:t>
      </w:r>
      <w:r w:rsidRPr="00644ED5">
        <w:rPr>
          <w:rFonts w:ascii="Book Antiqua" w:eastAsia="宋体" w:hAnsi="Book Antiqua" w:cs="Times New Roman" w:hint="eastAsia"/>
          <w:kern w:val="2"/>
          <w:lang w:val="en-US" w:eastAsia="zh-CN"/>
        </w:rPr>
        <w:t>:</w:t>
      </w:r>
      <w:r w:rsidRPr="00644ED5">
        <w:rPr>
          <w:rFonts w:ascii="Book Antiqua" w:eastAsia="宋体" w:hAnsi="Book Antiqua" w:cs="Times New Roman"/>
          <w:kern w:val="2"/>
          <w:lang w:val="en-US" w:eastAsia="zh-CN"/>
        </w:rPr>
        <w:t xml:space="preserve"> Art. No.: CD012694 [DOI: 10.1002/14651858.CD012694]</w:t>
      </w:r>
    </w:p>
    <w:bookmarkEnd w:id="51"/>
    <w:p w14:paraId="094BC29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 </w:t>
      </w:r>
      <w:r w:rsidRPr="00644ED5">
        <w:rPr>
          <w:rFonts w:ascii="Book Antiqua" w:eastAsia="宋体" w:hAnsi="Book Antiqua" w:cs="Times New Roman"/>
          <w:b/>
          <w:kern w:val="2"/>
          <w:lang w:val="en-US" w:eastAsia="zh-CN"/>
        </w:rPr>
        <w:t>Groszmann RJ</w:t>
      </w:r>
      <w:r w:rsidRPr="00644ED5">
        <w:rPr>
          <w:rFonts w:ascii="Book Antiqua" w:eastAsia="宋体" w:hAnsi="Book Antiqua" w:cs="Times New Roman"/>
          <w:kern w:val="2"/>
          <w:lang w:val="en-US" w:eastAsia="zh-CN"/>
        </w:rPr>
        <w:t xml:space="preserve">, Bosch J, Grace ND, Conn HO, Garcia-Tsao G, Navasa M, Alberts J, Rodes J, Fischer R, Bermann M. Hemodynamic events in a prospective randomized trial of propranolol versus placebo in the prevention of a first variceal hemorrhage.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1990; </w:t>
      </w:r>
      <w:r w:rsidRPr="00644ED5">
        <w:rPr>
          <w:rFonts w:ascii="Book Antiqua" w:eastAsia="宋体" w:hAnsi="Book Antiqua" w:cs="Times New Roman"/>
          <w:b/>
          <w:kern w:val="2"/>
          <w:lang w:val="en-US" w:eastAsia="zh-CN"/>
        </w:rPr>
        <w:t>99</w:t>
      </w:r>
      <w:r w:rsidRPr="00644ED5">
        <w:rPr>
          <w:rFonts w:ascii="Book Antiqua" w:eastAsia="宋体" w:hAnsi="Book Antiqua" w:cs="Times New Roman"/>
          <w:kern w:val="2"/>
          <w:lang w:val="en-US" w:eastAsia="zh-CN"/>
        </w:rPr>
        <w:t>: 1401-1407 [PMID: 2210246 DOI: 10.1016/0016-5085(90)91168-6]</w:t>
      </w:r>
    </w:p>
    <w:p w14:paraId="3A74C77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lastRenderedPageBreak/>
        <w:t xml:space="preserve">10 </w:t>
      </w:r>
      <w:r w:rsidRPr="00644ED5">
        <w:rPr>
          <w:rFonts w:ascii="Book Antiqua" w:eastAsia="宋体" w:hAnsi="Book Antiqua" w:cs="Times New Roman"/>
          <w:b/>
          <w:kern w:val="2"/>
          <w:lang w:val="en-US" w:eastAsia="zh-CN"/>
        </w:rPr>
        <w:t>Poynard T</w:t>
      </w:r>
      <w:r w:rsidRPr="00644ED5">
        <w:rPr>
          <w:rFonts w:ascii="Book Antiqua" w:eastAsia="宋体" w:hAnsi="Book Antiqua" w:cs="Times New Roman"/>
          <w:kern w:val="2"/>
          <w:lang w:val="en-US" w:eastAsia="zh-CN"/>
        </w:rPr>
        <w:t xml:space="preserve">, Calès P, Pasta L, Ideo G, Pascal JP, Pagliaro L, Lebrec D. Beta-adrenergic-antagonist drugs in the prevention of gastrointestinal bleeding in patients with cirrhosis and esophageal varices. An analysis of data and prognostic factors in 589 patients from four randomized clinical trials. Franco-Italian Multicenter Study Group. </w:t>
      </w:r>
      <w:r w:rsidRPr="00644ED5">
        <w:rPr>
          <w:rFonts w:ascii="Book Antiqua" w:eastAsia="宋体" w:hAnsi="Book Antiqua" w:cs="Times New Roman"/>
          <w:i/>
          <w:kern w:val="2"/>
          <w:lang w:val="en-US" w:eastAsia="zh-CN"/>
        </w:rPr>
        <w:t>N Engl J Med</w:t>
      </w:r>
      <w:r w:rsidRPr="00644ED5">
        <w:rPr>
          <w:rFonts w:ascii="Book Antiqua" w:eastAsia="宋体" w:hAnsi="Book Antiqua" w:cs="Times New Roman"/>
          <w:kern w:val="2"/>
          <w:lang w:val="en-US" w:eastAsia="zh-CN"/>
        </w:rPr>
        <w:t xml:space="preserve"> 1991; </w:t>
      </w:r>
      <w:r w:rsidRPr="00644ED5">
        <w:rPr>
          <w:rFonts w:ascii="Book Antiqua" w:eastAsia="宋体" w:hAnsi="Book Antiqua" w:cs="Times New Roman"/>
          <w:b/>
          <w:kern w:val="2"/>
          <w:lang w:val="en-US" w:eastAsia="zh-CN"/>
        </w:rPr>
        <w:t>324</w:t>
      </w:r>
      <w:r w:rsidRPr="00644ED5">
        <w:rPr>
          <w:rFonts w:ascii="Book Antiqua" w:eastAsia="宋体" w:hAnsi="Book Antiqua" w:cs="Times New Roman"/>
          <w:kern w:val="2"/>
          <w:lang w:val="en-US" w:eastAsia="zh-CN"/>
        </w:rPr>
        <w:t>: 1532-1538 [PMID: 1674104 DOI: 10.1056/NEJM199105303242202]</w:t>
      </w:r>
    </w:p>
    <w:p w14:paraId="2D13F07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 </w:t>
      </w:r>
      <w:r w:rsidRPr="00644ED5">
        <w:rPr>
          <w:rFonts w:ascii="Book Antiqua" w:eastAsia="宋体" w:hAnsi="Book Antiqua" w:cs="Times New Roman"/>
          <w:b/>
          <w:kern w:val="2"/>
          <w:lang w:val="en-US" w:eastAsia="zh-CN"/>
        </w:rPr>
        <w:t>Lebrec D</w:t>
      </w:r>
      <w:r w:rsidRPr="00644ED5">
        <w:rPr>
          <w:rFonts w:ascii="Book Antiqua" w:eastAsia="宋体" w:hAnsi="Book Antiqua" w:cs="Times New Roman"/>
          <w:kern w:val="2"/>
          <w:lang w:val="en-US" w:eastAsia="zh-CN"/>
        </w:rPr>
        <w:t xml:space="preserve">, Poynard T, Hillon P, Benhamou JP. Propranolol for prevention of recurrent gastrointestinal bleeding in patients with cirrhosis: A controlled study. </w:t>
      </w:r>
      <w:r w:rsidRPr="00644ED5">
        <w:rPr>
          <w:rFonts w:ascii="Book Antiqua" w:eastAsia="宋体" w:hAnsi="Book Antiqua" w:cs="Times New Roman"/>
          <w:i/>
          <w:kern w:val="2"/>
          <w:lang w:val="en-US" w:eastAsia="zh-CN"/>
        </w:rPr>
        <w:t>N Engl J Med</w:t>
      </w:r>
      <w:r w:rsidRPr="00644ED5">
        <w:rPr>
          <w:rFonts w:ascii="Book Antiqua" w:eastAsia="宋体" w:hAnsi="Book Antiqua" w:cs="Times New Roman"/>
          <w:kern w:val="2"/>
          <w:lang w:val="en-US" w:eastAsia="zh-CN"/>
        </w:rPr>
        <w:t xml:space="preserve"> 1981; </w:t>
      </w:r>
      <w:r w:rsidRPr="00644ED5">
        <w:rPr>
          <w:rFonts w:ascii="Book Antiqua" w:eastAsia="宋体" w:hAnsi="Book Antiqua" w:cs="Times New Roman"/>
          <w:b/>
          <w:kern w:val="2"/>
          <w:lang w:val="en-US" w:eastAsia="zh-CN"/>
        </w:rPr>
        <w:t>305</w:t>
      </w:r>
      <w:r w:rsidRPr="00644ED5">
        <w:rPr>
          <w:rFonts w:ascii="Book Antiqua" w:eastAsia="宋体" w:hAnsi="Book Antiqua" w:cs="Times New Roman"/>
          <w:kern w:val="2"/>
          <w:lang w:val="en-US" w:eastAsia="zh-CN"/>
        </w:rPr>
        <w:t>: 1371-1374 [PMID: 7029276 DOI: 10.1056/NEJM198112033052302]</w:t>
      </w:r>
    </w:p>
    <w:p w14:paraId="70FC40AB"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 </w:t>
      </w:r>
      <w:r w:rsidRPr="00644ED5">
        <w:rPr>
          <w:rFonts w:ascii="Book Antiqua" w:eastAsia="宋体" w:hAnsi="Book Antiqua" w:cs="Times New Roman"/>
          <w:b/>
          <w:kern w:val="2"/>
          <w:lang w:val="en-US" w:eastAsia="zh-CN"/>
        </w:rPr>
        <w:t>Sersté T</w:t>
      </w:r>
      <w:r w:rsidRPr="00644ED5">
        <w:rPr>
          <w:rFonts w:ascii="Book Antiqua" w:eastAsia="宋体" w:hAnsi="Book Antiqua" w:cs="Times New Roman"/>
          <w:kern w:val="2"/>
          <w:lang w:val="en-US" w:eastAsia="zh-CN"/>
        </w:rPr>
        <w:t xml:space="preserve">, Melot C, Francoz C, Durand F, Rautou PE, Valla D, Moreau R, Lebrec D. Deleterious effects of beta-blockers on survival in patients with cirrhosis and refractory ascites.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2010; </w:t>
      </w:r>
      <w:r w:rsidRPr="00644ED5">
        <w:rPr>
          <w:rFonts w:ascii="Book Antiqua" w:eastAsia="宋体" w:hAnsi="Book Antiqua" w:cs="Times New Roman"/>
          <w:b/>
          <w:kern w:val="2"/>
          <w:lang w:val="en-US" w:eastAsia="zh-CN"/>
        </w:rPr>
        <w:t>52</w:t>
      </w:r>
      <w:r w:rsidRPr="00644ED5">
        <w:rPr>
          <w:rFonts w:ascii="Book Antiqua" w:eastAsia="宋体" w:hAnsi="Book Antiqua" w:cs="Times New Roman"/>
          <w:kern w:val="2"/>
          <w:lang w:val="en-US" w:eastAsia="zh-CN"/>
        </w:rPr>
        <w:t>: 1017-1022 [PMID: 20583214 DOI: 10.1002/hep.23775]</w:t>
      </w:r>
    </w:p>
    <w:p w14:paraId="1849D89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 </w:t>
      </w:r>
      <w:r w:rsidRPr="00644ED5">
        <w:rPr>
          <w:rFonts w:ascii="Book Antiqua" w:eastAsia="宋体" w:hAnsi="Book Antiqua" w:cs="Times New Roman"/>
          <w:b/>
          <w:kern w:val="2"/>
          <w:lang w:val="en-US" w:eastAsia="zh-CN"/>
        </w:rPr>
        <w:t>Sersté T</w:t>
      </w:r>
      <w:r w:rsidRPr="00644ED5">
        <w:rPr>
          <w:rFonts w:ascii="Book Antiqua" w:eastAsia="宋体" w:hAnsi="Book Antiqua" w:cs="Times New Roman"/>
          <w:kern w:val="2"/>
          <w:lang w:val="en-US" w:eastAsia="zh-CN"/>
        </w:rPr>
        <w:t xml:space="preserve">, Njimi H, Degré D, Deltenre P, Schreiber J, Lepida A, Trépo E, Gustot T, Moreno C. The use of beta-blockers is associated with the occurrence of acute kidney injury in severe alcoholic hepatitis.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35</w:t>
      </w:r>
      <w:r w:rsidRPr="00644ED5">
        <w:rPr>
          <w:rFonts w:ascii="Book Antiqua" w:eastAsia="宋体" w:hAnsi="Book Antiqua" w:cs="Times New Roman"/>
          <w:kern w:val="2"/>
          <w:lang w:val="en-US" w:eastAsia="zh-CN"/>
        </w:rPr>
        <w:t>: 1974-1982 [PMID: 25611961 DOI: 10.1111/liv.12786]</w:t>
      </w:r>
    </w:p>
    <w:p w14:paraId="64078F2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 </w:t>
      </w:r>
      <w:r w:rsidRPr="00644ED5">
        <w:rPr>
          <w:rFonts w:ascii="Book Antiqua" w:eastAsia="宋体" w:hAnsi="Book Antiqua" w:cs="Times New Roman"/>
          <w:b/>
          <w:kern w:val="2"/>
          <w:lang w:val="en-US" w:eastAsia="zh-CN"/>
        </w:rPr>
        <w:t>Mandorfer M</w:t>
      </w:r>
      <w:r w:rsidRPr="00644ED5">
        <w:rPr>
          <w:rFonts w:ascii="Book Antiqua" w:eastAsia="宋体" w:hAnsi="Book Antiqua" w:cs="Times New Roman"/>
          <w:kern w:val="2"/>
          <w:lang w:val="en-US" w:eastAsia="zh-CN"/>
        </w:rPr>
        <w:t xml:space="preserve">,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146</w:t>
      </w:r>
      <w:r w:rsidRPr="00644ED5">
        <w:rPr>
          <w:rFonts w:ascii="Book Antiqua" w:eastAsia="宋体" w:hAnsi="Book Antiqua" w:cs="Times New Roman"/>
          <w:kern w:val="2"/>
          <w:lang w:val="en-US" w:eastAsia="zh-CN"/>
        </w:rPr>
        <w:t>: 1680-90.e1 [PMID: 24631577 DOI: 10.1053/j.gastro.2014.03.005]</w:t>
      </w:r>
    </w:p>
    <w:p w14:paraId="110B5A4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 </w:t>
      </w:r>
      <w:r w:rsidRPr="00644ED5">
        <w:rPr>
          <w:rFonts w:ascii="Book Antiqua" w:eastAsia="宋体" w:hAnsi="Book Antiqua" w:cs="Times New Roman"/>
          <w:b/>
          <w:kern w:val="2"/>
          <w:lang w:val="en-US" w:eastAsia="zh-CN"/>
        </w:rPr>
        <w:t>Bang UC</w:t>
      </w:r>
      <w:r w:rsidRPr="00644ED5">
        <w:rPr>
          <w:rFonts w:ascii="Book Antiqua" w:eastAsia="宋体" w:hAnsi="Book Antiqua" w:cs="Times New Roman"/>
          <w:kern w:val="2"/>
          <w:lang w:val="en-US" w:eastAsia="zh-CN"/>
        </w:rPr>
        <w:t xml:space="preserve">, Benfield T, Hyldstrup L, Jensen JE, Bendtsen F. Effect of propranolol on survival in patients with decompensated cirrhosis: A nationwide study based Danish patient registers.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36</w:t>
      </w:r>
      <w:r w:rsidRPr="00644ED5">
        <w:rPr>
          <w:rFonts w:ascii="Book Antiqua" w:eastAsia="宋体" w:hAnsi="Book Antiqua" w:cs="Times New Roman"/>
          <w:kern w:val="2"/>
          <w:lang w:val="en-US" w:eastAsia="zh-CN"/>
        </w:rPr>
        <w:t>: 1304-1312 [PMID: 26992041 DOI: 10.1111/liv.13119]</w:t>
      </w:r>
    </w:p>
    <w:p w14:paraId="7B94305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16 </w:t>
      </w:r>
      <w:r w:rsidRPr="00644ED5">
        <w:rPr>
          <w:rFonts w:ascii="Book Antiqua" w:eastAsia="宋体" w:hAnsi="Book Antiqua" w:cs="Times New Roman"/>
          <w:b/>
          <w:kern w:val="2"/>
          <w:lang w:val="en-US" w:eastAsia="zh-CN"/>
        </w:rPr>
        <w:t>Krag A</w:t>
      </w:r>
      <w:r w:rsidRPr="00644ED5">
        <w:rPr>
          <w:rFonts w:ascii="Book Antiqua" w:eastAsia="宋体" w:hAnsi="Book Antiqua" w:cs="Times New Roman"/>
          <w:kern w:val="2"/>
          <w:lang w:val="en-US" w:eastAsia="zh-CN"/>
        </w:rPr>
        <w:t xml:space="preserve">, Wiest R, Albillos A, Gluud LL. The window hypothesis: haemodynamic and non-haemodynamic effects of β-blockers improve survival of patients with cirrhosis during a window in the disease.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61</w:t>
      </w:r>
      <w:r w:rsidRPr="00644ED5">
        <w:rPr>
          <w:rFonts w:ascii="Book Antiqua" w:eastAsia="宋体" w:hAnsi="Book Antiqua" w:cs="Times New Roman"/>
          <w:kern w:val="2"/>
          <w:lang w:val="en-US" w:eastAsia="zh-CN"/>
        </w:rPr>
        <w:t>: 967-969 [PMID: 22234982 DOI: 10.1136/gutjnl-2011-301348]</w:t>
      </w:r>
    </w:p>
    <w:p w14:paraId="7F0F307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17 </w:t>
      </w:r>
      <w:r w:rsidRPr="00644ED5">
        <w:rPr>
          <w:rFonts w:ascii="Book Antiqua" w:eastAsia="宋体" w:hAnsi="Book Antiqua" w:cs="Times New Roman"/>
          <w:b/>
          <w:kern w:val="2"/>
          <w:lang w:val="en-US" w:eastAsia="zh-CN"/>
        </w:rPr>
        <w:t>Groszmann RJ</w:t>
      </w:r>
      <w:r w:rsidRPr="00644ED5">
        <w:rPr>
          <w:rFonts w:ascii="Book Antiqua" w:eastAsia="宋体" w:hAnsi="Book Antiqua" w:cs="Times New Roman"/>
          <w:kern w:val="2"/>
          <w:lang w:val="en-US" w:eastAsia="zh-CN"/>
        </w:rPr>
        <w:t xml:space="preserve">, Garcia-Tsao G, Bosch J, Grace ND, Burroughs AK, Planas R, </w:t>
      </w:r>
      <w:r w:rsidRPr="00644ED5">
        <w:rPr>
          <w:rFonts w:ascii="Book Antiqua" w:eastAsia="宋体" w:hAnsi="Book Antiqua" w:cs="Times New Roman"/>
          <w:kern w:val="2"/>
          <w:lang w:val="en-US" w:eastAsia="zh-CN"/>
        </w:rPr>
        <w:lastRenderedPageBreak/>
        <w:t xml:space="preserve">Escorsell A, Garcia-Pagan JC, Patch D, Matloff DS, Gao H, Makuch R; Portal Hypertension Collaborative Group. Beta-blockers to prevent gastroesophageal varices in patients with cirrhosis. </w:t>
      </w:r>
      <w:r w:rsidRPr="00644ED5">
        <w:rPr>
          <w:rFonts w:ascii="Book Antiqua" w:eastAsia="宋体" w:hAnsi="Book Antiqua" w:cs="Times New Roman"/>
          <w:i/>
          <w:kern w:val="2"/>
          <w:lang w:val="en-US" w:eastAsia="zh-CN"/>
        </w:rPr>
        <w:t>N Engl J Med</w:t>
      </w:r>
      <w:r w:rsidRPr="00644ED5">
        <w:rPr>
          <w:rFonts w:ascii="Book Antiqua" w:eastAsia="宋体" w:hAnsi="Book Antiqua" w:cs="Times New Roman"/>
          <w:kern w:val="2"/>
          <w:lang w:val="en-US" w:eastAsia="zh-CN"/>
        </w:rPr>
        <w:t xml:space="preserve"> 2005; </w:t>
      </w:r>
      <w:r w:rsidRPr="00644ED5">
        <w:rPr>
          <w:rFonts w:ascii="Book Antiqua" w:eastAsia="宋体" w:hAnsi="Book Antiqua" w:cs="Times New Roman"/>
          <w:b/>
          <w:kern w:val="2"/>
          <w:lang w:val="en-US" w:eastAsia="zh-CN"/>
        </w:rPr>
        <w:t>353</w:t>
      </w:r>
      <w:r w:rsidRPr="00644ED5">
        <w:rPr>
          <w:rFonts w:ascii="Book Antiqua" w:eastAsia="宋体" w:hAnsi="Book Antiqua" w:cs="Times New Roman"/>
          <w:kern w:val="2"/>
          <w:lang w:val="en-US" w:eastAsia="zh-CN"/>
        </w:rPr>
        <w:t>: 2254-2261 [PMID: 16306522 DOI: 10.1056/NEJMoa044456]</w:t>
      </w:r>
    </w:p>
    <w:p w14:paraId="04C2AA7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18 </w:t>
      </w:r>
      <w:r w:rsidRPr="00644ED5">
        <w:rPr>
          <w:rFonts w:ascii="Book Antiqua" w:eastAsia="宋体" w:hAnsi="Book Antiqua" w:cs="Times New Roman"/>
          <w:b/>
          <w:kern w:val="2"/>
          <w:lang w:val="en-US" w:eastAsia="zh-CN"/>
        </w:rPr>
        <w:t>Villanueva C</w:t>
      </w:r>
      <w:r w:rsidRPr="00644ED5">
        <w:rPr>
          <w:rFonts w:ascii="Book Antiqua" w:eastAsia="宋体" w:hAnsi="Book Antiqua" w:cs="Times New Roman"/>
          <w:kern w:val="2"/>
          <w:lang w:val="en-US" w:eastAsia="zh-CN"/>
        </w:rPr>
        <w:t xml:space="preserve">, Aracil C, Colomo A, Lopez-Balaguer JM, Piqueras M, Gonzalez B, Torras X, Guarner C, Balanzo J. Clinical trial: A randomized controlled study on prevention of variceal rebleeding comparing nadolol + ligation vs. hepatic venous pressure gradient-guided pharmacological therapy. </w:t>
      </w:r>
      <w:r w:rsidRPr="00644ED5">
        <w:rPr>
          <w:rFonts w:ascii="Book Antiqua" w:eastAsia="宋体" w:hAnsi="Book Antiqua" w:cs="Times New Roman"/>
          <w:i/>
          <w:kern w:val="2"/>
          <w:lang w:val="en-US" w:eastAsia="zh-CN"/>
        </w:rPr>
        <w:t>Aliment Pharmacol Ther</w:t>
      </w:r>
      <w:r w:rsidRPr="00644ED5">
        <w:rPr>
          <w:rFonts w:ascii="Book Antiqua" w:eastAsia="宋体" w:hAnsi="Book Antiqua" w:cs="Times New Roman"/>
          <w:kern w:val="2"/>
          <w:lang w:val="en-US" w:eastAsia="zh-CN"/>
        </w:rPr>
        <w:t xml:space="preserve"> 2009; </w:t>
      </w:r>
      <w:r w:rsidRPr="00644ED5">
        <w:rPr>
          <w:rFonts w:ascii="Book Antiqua" w:eastAsia="宋体" w:hAnsi="Book Antiqua" w:cs="Times New Roman"/>
          <w:b/>
          <w:kern w:val="2"/>
          <w:lang w:val="en-US" w:eastAsia="zh-CN"/>
        </w:rPr>
        <w:t>29</w:t>
      </w:r>
      <w:r w:rsidRPr="00644ED5">
        <w:rPr>
          <w:rFonts w:ascii="Book Antiqua" w:eastAsia="宋体" w:hAnsi="Book Antiqua" w:cs="Times New Roman"/>
          <w:kern w:val="2"/>
          <w:lang w:val="en-US" w:eastAsia="zh-CN"/>
        </w:rPr>
        <w:t>: 397-408 [PMID: 19006538 DOI: 10.1111/j.1365-2036.2008.03880.x]</w:t>
      </w:r>
    </w:p>
    <w:p w14:paraId="3B13108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19 </w:t>
      </w:r>
      <w:r w:rsidRPr="00644ED5">
        <w:rPr>
          <w:rFonts w:ascii="Book Antiqua" w:eastAsia="宋体" w:hAnsi="Book Antiqua" w:cs="Times New Roman"/>
          <w:b/>
          <w:kern w:val="2"/>
          <w:lang w:val="en-US" w:eastAsia="zh-CN"/>
        </w:rPr>
        <w:t>Mandorfer M</w:t>
      </w:r>
      <w:r w:rsidRPr="00644ED5">
        <w:rPr>
          <w:rFonts w:ascii="Book Antiqua" w:eastAsia="宋体" w:hAnsi="Book Antiqua" w:cs="Times New Roman"/>
          <w:kern w:val="2"/>
          <w:lang w:val="en-US" w:eastAsia="zh-CN"/>
        </w:rPr>
        <w:t xml:space="preserve">, Reiberger T. Beta blockers and cirrhosis, 2016. </w:t>
      </w:r>
      <w:r w:rsidRPr="00644ED5">
        <w:rPr>
          <w:rFonts w:ascii="Book Antiqua" w:eastAsia="宋体" w:hAnsi="Book Antiqua" w:cs="Times New Roman"/>
          <w:i/>
          <w:kern w:val="2"/>
          <w:lang w:val="en-US" w:eastAsia="zh-CN"/>
        </w:rPr>
        <w:t>Dig Liver Dis</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49</w:t>
      </w:r>
      <w:r w:rsidRPr="00644ED5">
        <w:rPr>
          <w:rFonts w:ascii="Book Antiqua" w:eastAsia="宋体" w:hAnsi="Book Antiqua" w:cs="Times New Roman"/>
          <w:kern w:val="2"/>
          <w:lang w:val="en-US" w:eastAsia="zh-CN"/>
        </w:rPr>
        <w:t>: 3-10 [PMID: 27717792 DOI: 10.1016/j.dld.2016.09.013]</w:t>
      </w:r>
    </w:p>
    <w:p w14:paraId="656D7E0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20 </w:t>
      </w:r>
      <w:r w:rsidRPr="00644ED5">
        <w:rPr>
          <w:rFonts w:ascii="Book Antiqua" w:eastAsia="宋体" w:hAnsi="Book Antiqua" w:cs="Times New Roman"/>
          <w:b/>
          <w:kern w:val="2"/>
          <w:lang w:val="en-US" w:eastAsia="zh-CN"/>
        </w:rPr>
        <w:t>Kumar A</w:t>
      </w:r>
      <w:r w:rsidRPr="00644ED5">
        <w:rPr>
          <w:rFonts w:ascii="Book Antiqua" w:eastAsia="宋体" w:hAnsi="Book Antiqua" w:cs="Times New Roman"/>
          <w:kern w:val="2"/>
          <w:lang w:val="en-US" w:eastAsia="zh-CN"/>
        </w:rPr>
        <w:t xml:space="preserve">, Sharma P, Anikhindi SA, Prajapati R, Agarwal R, Sharma B, Bansal N, Singla V, Arora A. Can Non-Selective Beta-Blockers (NSBBs) Prevent Enlargement of Small Esophageal Varices in Patients with Cirrhosis? A Meta-analysis. </w:t>
      </w:r>
      <w:r w:rsidRPr="00644ED5">
        <w:rPr>
          <w:rFonts w:ascii="Book Antiqua" w:eastAsia="宋体" w:hAnsi="Book Antiqua" w:cs="Times New Roman"/>
          <w:i/>
          <w:kern w:val="2"/>
          <w:lang w:val="en-US" w:eastAsia="zh-CN"/>
        </w:rPr>
        <w:t>J Clin Exp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7</w:t>
      </w:r>
      <w:r w:rsidRPr="00644ED5">
        <w:rPr>
          <w:rFonts w:ascii="Book Antiqua" w:eastAsia="宋体" w:hAnsi="Book Antiqua" w:cs="Times New Roman"/>
          <w:kern w:val="2"/>
          <w:lang w:val="en-US" w:eastAsia="zh-CN"/>
        </w:rPr>
        <w:t>: 275-283 [PMID: 29234190 DOI: 10.1016/j.jceh.2017.09.003]</w:t>
      </w:r>
    </w:p>
    <w:p w14:paraId="3487D55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21 </w:t>
      </w:r>
      <w:r w:rsidRPr="00644ED5">
        <w:rPr>
          <w:rFonts w:ascii="Book Antiqua" w:eastAsia="宋体" w:hAnsi="Book Antiqua" w:cs="Times New Roman"/>
          <w:b/>
          <w:kern w:val="2"/>
          <w:lang w:val="en-US" w:eastAsia="zh-CN"/>
        </w:rPr>
        <w:t>Engelmann C,</w:t>
      </w:r>
      <w:r w:rsidRPr="00644ED5">
        <w:rPr>
          <w:rFonts w:ascii="Book Antiqua" w:eastAsia="宋体" w:hAnsi="Book Antiqua" w:cs="Times New Roman"/>
          <w:kern w:val="2"/>
          <w:lang w:val="en-US" w:eastAsia="zh-CN"/>
        </w:rPr>
        <w:t xml:space="preserve"> Jalan R. </w:t>
      </w:r>
      <w:bookmarkStart w:id="54" w:name="OLE_LINK301"/>
      <w:bookmarkStart w:id="55" w:name="OLE_LINK302"/>
      <w:r w:rsidRPr="00644ED5">
        <w:rPr>
          <w:rFonts w:ascii="Book Antiqua" w:eastAsia="宋体" w:hAnsi="Book Antiqua" w:cs="Times New Roman"/>
          <w:kern w:val="2"/>
          <w:lang w:val="en-US" w:eastAsia="zh-CN"/>
        </w:rPr>
        <w:t xml:space="preserve">Non selective beta-blocker in cirrhosis: Not ‘whether’but ‘who and how’. </w:t>
      </w:r>
      <w:bookmarkEnd w:id="54"/>
      <w:bookmarkEnd w:id="55"/>
      <w:r w:rsidRPr="00644ED5">
        <w:rPr>
          <w:rFonts w:ascii="Book Antiqua" w:eastAsia="宋体" w:hAnsi="Book Antiqua" w:cs="Times New Roman"/>
          <w:i/>
          <w:kern w:val="2"/>
          <w:lang w:val="en-US" w:eastAsia="zh-CN"/>
        </w:rPr>
        <w:t>AME Med J</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2</w:t>
      </w:r>
      <w:r w:rsidRPr="00644ED5">
        <w:rPr>
          <w:rFonts w:ascii="Book Antiqua" w:eastAsia="宋体" w:hAnsi="Book Antiqua" w:cs="Times New Roman" w:hint="eastAsia"/>
          <w:kern w:val="2"/>
          <w:lang w:val="en-US" w:eastAsia="zh-CN"/>
        </w:rPr>
        <w:t>: 90</w:t>
      </w:r>
      <w:r w:rsidRPr="00644ED5">
        <w:rPr>
          <w:rFonts w:ascii="Book Antiqua" w:eastAsia="宋体" w:hAnsi="Book Antiqua" w:cs="Times New Roman"/>
          <w:kern w:val="2"/>
          <w:lang w:val="en-US" w:eastAsia="zh-CN"/>
        </w:rPr>
        <w:t xml:space="preserve"> [DOI: 10.21037/amj.2017.06.13]</w:t>
      </w:r>
    </w:p>
    <w:p w14:paraId="5A10307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22 </w:t>
      </w:r>
      <w:r w:rsidRPr="00644ED5">
        <w:rPr>
          <w:rFonts w:ascii="Book Antiqua" w:eastAsia="宋体" w:hAnsi="Book Antiqua" w:cs="Times New Roman"/>
          <w:b/>
          <w:kern w:val="2"/>
          <w:lang w:val="en-US" w:eastAsia="zh-CN"/>
        </w:rPr>
        <w:t>Kim SG</w:t>
      </w:r>
      <w:r w:rsidRPr="00644ED5">
        <w:rPr>
          <w:rFonts w:ascii="Book Antiqua" w:eastAsia="宋体" w:hAnsi="Book Antiqua" w:cs="Times New Roman"/>
          <w:kern w:val="2"/>
          <w:lang w:val="en-US" w:eastAsia="zh-CN"/>
        </w:rPr>
        <w:t xml:space="preserve">, Larson JJ, Lee JS, Therneau TM, Kim WR. Beneficial and harmful effects of nonselective beta blockade on acute kidney injury in liver transplant candidates. </w:t>
      </w:r>
      <w:r w:rsidRPr="00644ED5">
        <w:rPr>
          <w:rFonts w:ascii="Book Antiqua" w:eastAsia="宋体" w:hAnsi="Book Antiqua" w:cs="Times New Roman"/>
          <w:i/>
          <w:kern w:val="2"/>
          <w:lang w:val="en-US" w:eastAsia="zh-CN"/>
        </w:rPr>
        <w:t>Liver Transpl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23</w:t>
      </w:r>
      <w:r w:rsidRPr="00644ED5">
        <w:rPr>
          <w:rFonts w:ascii="Book Antiqua" w:eastAsia="宋体" w:hAnsi="Book Antiqua" w:cs="Times New Roman"/>
          <w:kern w:val="2"/>
          <w:lang w:val="en-US" w:eastAsia="zh-CN"/>
        </w:rPr>
        <w:t>: 733-740 [PMID: 28187503 DOI: 10.1002/lt.24744]</w:t>
      </w:r>
    </w:p>
    <w:p w14:paraId="3A1F1D9E"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23 </w:t>
      </w:r>
      <w:r w:rsidRPr="00644ED5">
        <w:rPr>
          <w:rFonts w:ascii="Book Antiqua" w:eastAsia="宋体" w:hAnsi="Book Antiqua" w:cs="Times New Roman"/>
          <w:b/>
          <w:kern w:val="2"/>
          <w:lang w:val="en-US" w:eastAsia="zh-CN"/>
        </w:rPr>
        <w:t>Bossen L</w:t>
      </w:r>
      <w:r w:rsidRPr="00644ED5">
        <w:rPr>
          <w:rFonts w:ascii="Book Antiqua" w:eastAsia="宋体" w:hAnsi="Book Antiqua" w:cs="Times New Roman"/>
          <w:kern w:val="2"/>
          <w:lang w:val="en-US" w:eastAsia="zh-CN"/>
        </w:rPr>
        <w:t xml:space="preserve">, Krag A, Vilstrup H, Watson H, Jepsen P. Nonselective β-blockers do not affect mortality in cirrhosis patients with ascites: Post Hoc analysis of three randomized controlled trials with 1198 patients.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63</w:t>
      </w:r>
      <w:r w:rsidRPr="00644ED5">
        <w:rPr>
          <w:rFonts w:ascii="Book Antiqua" w:eastAsia="宋体" w:hAnsi="Book Antiqua" w:cs="Times New Roman"/>
          <w:kern w:val="2"/>
          <w:lang w:val="en-US" w:eastAsia="zh-CN"/>
        </w:rPr>
        <w:t>: 1968-1976 [PMID: 26599983 DOI: 10.1002/hep.28352]</w:t>
      </w:r>
    </w:p>
    <w:p w14:paraId="56C0039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24 </w:t>
      </w:r>
      <w:r w:rsidRPr="00644ED5">
        <w:rPr>
          <w:rFonts w:ascii="Book Antiqua" w:eastAsia="宋体" w:hAnsi="Book Antiqua" w:cs="Times New Roman"/>
          <w:b/>
          <w:kern w:val="2"/>
          <w:lang w:val="en-US" w:eastAsia="zh-CN"/>
        </w:rPr>
        <w:t>Leithead JA</w:t>
      </w:r>
      <w:r w:rsidRPr="00644ED5">
        <w:rPr>
          <w:rFonts w:ascii="Book Antiqua" w:eastAsia="宋体" w:hAnsi="Book Antiqua" w:cs="Times New Roman"/>
          <w:kern w:val="2"/>
          <w:lang w:val="en-US" w:eastAsia="zh-CN"/>
        </w:rPr>
        <w:t xml:space="preserve">, Rajoriya N, Tehami N, Hodson J, Gunson BK, Tripathi D, Ferguson JW. Non-selective β-blockers are associated with improved survival in patients with ascites listed for liver transplantation.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64</w:t>
      </w:r>
      <w:r w:rsidRPr="00644ED5">
        <w:rPr>
          <w:rFonts w:ascii="Book Antiqua" w:eastAsia="宋体" w:hAnsi="Book Antiqua" w:cs="Times New Roman"/>
          <w:kern w:val="2"/>
          <w:lang w:val="en-US" w:eastAsia="zh-CN"/>
        </w:rPr>
        <w:t>: 1111-1119 [PMID: 25281417 DOI: 10.1136/gutjnl-2013-306502]</w:t>
      </w:r>
    </w:p>
    <w:p w14:paraId="1F55FBB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25 </w:t>
      </w:r>
      <w:r w:rsidRPr="00644ED5">
        <w:rPr>
          <w:rFonts w:ascii="Book Antiqua" w:eastAsia="宋体" w:hAnsi="Book Antiqua" w:cs="Times New Roman"/>
          <w:b/>
          <w:kern w:val="2"/>
          <w:lang w:val="en-US" w:eastAsia="zh-CN"/>
        </w:rPr>
        <w:t>Onali S</w:t>
      </w:r>
      <w:r w:rsidRPr="00644ED5">
        <w:rPr>
          <w:rFonts w:ascii="Book Antiqua" w:eastAsia="宋体" w:hAnsi="Book Antiqua" w:cs="Times New Roman"/>
          <w:kern w:val="2"/>
          <w:lang w:val="en-US" w:eastAsia="zh-CN"/>
        </w:rPr>
        <w:t xml:space="preserve">, Kalafateli M, Majumdar A, Westbrook R, O'Beirne J, Leandro G, Patch D, Tsochatzis EA. Non-selective beta-blockers are not associated with increased mortality in cirrhotic patients with ascites.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37</w:t>
      </w:r>
      <w:r w:rsidRPr="00644ED5">
        <w:rPr>
          <w:rFonts w:ascii="Book Antiqua" w:eastAsia="宋体" w:hAnsi="Book Antiqua" w:cs="Times New Roman"/>
          <w:kern w:val="2"/>
          <w:lang w:val="en-US" w:eastAsia="zh-CN"/>
        </w:rPr>
        <w:t xml:space="preserve">: 1334-1344 [PMID: </w:t>
      </w:r>
      <w:r w:rsidRPr="00644ED5">
        <w:rPr>
          <w:rFonts w:ascii="Book Antiqua" w:eastAsia="宋体" w:hAnsi="Book Antiqua" w:cs="Times New Roman"/>
          <w:kern w:val="2"/>
          <w:lang w:val="en-US" w:eastAsia="zh-CN"/>
        </w:rPr>
        <w:lastRenderedPageBreak/>
        <w:t>28296047 DOI: 10.1111/liv.13409]</w:t>
      </w:r>
    </w:p>
    <w:p w14:paraId="40A56E3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26 </w:t>
      </w:r>
      <w:r w:rsidRPr="00644ED5">
        <w:rPr>
          <w:rFonts w:ascii="Book Antiqua" w:eastAsia="宋体" w:hAnsi="Book Antiqua" w:cs="Times New Roman"/>
          <w:b/>
          <w:kern w:val="2"/>
          <w:lang w:val="en-US" w:eastAsia="zh-CN"/>
        </w:rPr>
        <w:t>Facciorusso A</w:t>
      </w:r>
      <w:r w:rsidRPr="00644ED5">
        <w:rPr>
          <w:rFonts w:ascii="Book Antiqua" w:eastAsia="宋体" w:hAnsi="Book Antiqua" w:cs="Times New Roman"/>
          <w:kern w:val="2"/>
          <w:lang w:val="en-US" w:eastAsia="zh-CN"/>
        </w:rPr>
        <w:t xml:space="preserve">, Roy S, Livadas S, Fevrier-Paul A, Wekesa C, Kilic ID, Chaurasia AK, Sadeq M, Muscatiello N. Nonselective Beta-Blockers Do Not Affect Survival in Cirrhotic Patients with Ascites. </w:t>
      </w:r>
      <w:r w:rsidRPr="00644ED5">
        <w:rPr>
          <w:rFonts w:ascii="Book Antiqua" w:eastAsia="宋体" w:hAnsi="Book Antiqua" w:cs="Times New Roman"/>
          <w:i/>
          <w:kern w:val="2"/>
          <w:lang w:val="en-US" w:eastAsia="zh-CN"/>
        </w:rPr>
        <w:t>Dig Dis Sci</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63</w:t>
      </w:r>
      <w:r w:rsidRPr="00644ED5">
        <w:rPr>
          <w:rFonts w:ascii="Book Antiqua" w:eastAsia="宋体" w:hAnsi="Book Antiqua" w:cs="Times New Roman"/>
          <w:kern w:val="2"/>
          <w:lang w:val="en-US" w:eastAsia="zh-CN"/>
        </w:rPr>
        <w:t>: 1737-1746 [PMID: 29725793 DOI: 10.1007/s10620-018-5092-6]</w:t>
      </w:r>
    </w:p>
    <w:p w14:paraId="2583428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27 </w:t>
      </w:r>
      <w:r w:rsidRPr="00644ED5">
        <w:rPr>
          <w:rFonts w:ascii="Book Antiqua" w:eastAsia="宋体" w:hAnsi="Book Antiqua" w:cs="Times New Roman"/>
          <w:b/>
          <w:kern w:val="2"/>
          <w:lang w:val="en-US" w:eastAsia="zh-CN"/>
        </w:rPr>
        <w:t>Njei B</w:t>
      </w:r>
      <w:r w:rsidRPr="00644ED5">
        <w:rPr>
          <w:rFonts w:ascii="Book Antiqua" w:eastAsia="宋体" w:hAnsi="Book Antiqua" w:cs="Times New Roman"/>
          <w:kern w:val="2"/>
          <w:lang w:val="en-US" w:eastAsia="zh-CN"/>
        </w:rPr>
        <w:t xml:space="preserve">, McCarty TR, Garcia-Tsao G. Beta-blockers in patients with cirrhosis and ascites: type of beta-blocker matters.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65</w:t>
      </w:r>
      <w:r w:rsidRPr="00644ED5">
        <w:rPr>
          <w:rFonts w:ascii="Book Antiqua" w:eastAsia="宋体" w:hAnsi="Book Antiqua" w:cs="Times New Roman"/>
          <w:kern w:val="2"/>
          <w:lang w:val="en-US" w:eastAsia="zh-CN"/>
        </w:rPr>
        <w:t>: 1393-1394 [PMID: 27207973 DOI: 10.1136/gutjnl-2016-312129]</w:t>
      </w:r>
    </w:p>
    <w:p w14:paraId="379BEE2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28 </w:t>
      </w:r>
      <w:r w:rsidRPr="00644ED5">
        <w:rPr>
          <w:rFonts w:ascii="Book Antiqua" w:eastAsia="宋体" w:hAnsi="Book Antiqua" w:cs="Times New Roman"/>
          <w:b/>
          <w:kern w:val="2"/>
          <w:lang w:val="en-US" w:eastAsia="zh-CN"/>
        </w:rPr>
        <w:t>Sinagra E</w:t>
      </w:r>
      <w:r w:rsidRPr="00644ED5">
        <w:rPr>
          <w:rFonts w:ascii="Book Antiqua" w:eastAsia="宋体" w:hAnsi="Book Antiqua" w:cs="Times New Roman"/>
          <w:kern w:val="2"/>
          <w:lang w:val="en-US" w:eastAsia="zh-CN"/>
        </w:rPr>
        <w:t xml:space="preserve">, Perricone G, D'Amico M, Tinè F, D'Amico G. Systematic review with meta-analysis: The haemodynamic effects of carvedilol compared with propranolol for portal hypertension in cirrhosis. </w:t>
      </w:r>
      <w:r w:rsidRPr="00644ED5">
        <w:rPr>
          <w:rFonts w:ascii="Book Antiqua" w:eastAsia="宋体" w:hAnsi="Book Antiqua" w:cs="Times New Roman"/>
          <w:i/>
          <w:kern w:val="2"/>
          <w:lang w:val="en-US" w:eastAsia="zh-CN"/>
        </w:rPr>
        <w:t>Aliment Pharmacol Ther</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39</w:t>
      </w:r>
      <w:r w:rsidRPr="00644ED5">
        <w:rPr>
          <w:rFonts w:ascii="Book Antiqua" w:eastAsia="宋体" w:hAnsi="Book Antiqua" w:cs="Times New Roman"/>
          <w:kern w:val="2"/>
          <w:lang w:val="en-US" w:eastAsia="zh-CN"/>
        </w:rPr>
        <w:t>: 557-568 [PMID: 24461301 DOI: 10.1111/apt.12634]</w:t>
      </w:r>
    </w:p>
    <w:p w14:paraId="740B9E4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29 </w:t>
      </w:r>
      <w:r w:rsidRPr="00644ED5">
        <w:rPr>
          <w:rFonts w:ascii="Book Antiqua" w:eastAsia="宋体" w:hAnsi="Book Antiqua" w:cs="Times New Roman"/>
          <w:b/>
          <w:kern w:val="2"/>
          <w:lang w:val="en-US" w:eastAsia="zh-CN"/>
        </w:rPr>
        <w:t>Reiberger T</w:t>
      </w:r>
      <w:r w:rsidRPr="00644ED5">
        <w:rPr>
          <w:rFonts w:ascii="Book Antiqua" w:eastAsia="宋体" w:hAnsi="Book Antiqua" w:cs="Times New Roman"/>
          <w:kern w:val="2"/>
          <w:lang w:val="en-US" w:eastAsia="zh-CN"/>
        </w:rPr>
        <w:t xml:space="preserve">, Ulbrich G, Ferlitsch A, Payer BA, Schwabl P, Pinter M, Heinisch BB, Trauner M, Kramer L, Peck-Radosavljevic M; Vienna Hepatic Hemodynamic Lab. Carvedilol for primary prophylaxis of variceal bleeding in cirrhotic patients with haemodynamic non-response to propranolol.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62</w:t>
      </w:r>
      <w:r w:rsidRPr="00644ED5">
        <w:rPr>
          <w:rFonts w:ascii="Book Antiqua" w:eastAsia="宋体" w:hAnsi="Book Antiqua" w:cs="Times New Roman"/>
          <w:kern w:val="2"/>
          <w:lang w:val="en-US" w:eastAsia="zh-CN"/>
        </w:rPr>
        <w:t>: 1634-1641 [PMID: 23250049 DOI: 10.1136/gutjnl-2012-304038]</w:t>
      </w:r>
    </w:p>
    <w:p w14:paraId="7CC4541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30 </w:t>
      </w:r>
      <w:r w:rsidRPr="00644ED5">
        <w:rPr>
          <w:rFonts w:ascii="Book Antiqua" w:eastAsia="宋体" w:hAnsi="Book Antiqua" w:cs="Times New Roman"/>
          <w:b/>
          <w:kern w:val="2"/>
          <w:lang w:val="en-US" w:eastAsia="zh-CN"/>
        </w:rPr>
        <w:t>Sinha R</w:t>
      </w:r>
      <w:r w:rsidRPr="00644ED5">
        <w:rPr>
          <w:rFonts w:ascii="Book Antiqua" w:eastAsia="宋体" w:hAnsi="Book Antiqua" w:cs="Times New Roman"/>
          <w:kern w:val="2"/>
          <w:lang w:val="en-US" w:eastAsia="zh-CN"/>
        </w:rPr>
        <w:t xml:space="preserve">, Lockman KA, Mallawaarachchi N, Robertson M, Plevris JN, Hayes PC. Carvedilol use is associated with improved survival in patients with liver cirrhosis and ascites.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67</w:t>
      </w:r>
      <w:r w:rsidRPr="00644ED5">
        <w:rPr>
          <w:rFonts w:ascii="Book Antiqua" w:eastAsia="宋体" w:hAnsi="Book Antiqua" w:cs="Times New Roman"/>
          <w:kern w:val="2"/>
          <w:lang w:val="en-US" w:eastAsia="zh-CN"/>
        </w:rPr>
        <w:t>: 40-46 [PMID: 28213164 DOI: 10.1016/j.jhep.2017.02.005]</w:t>
      </w:r>
    </w:p>
    <w:p w14:paraId="12DB2D6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31 </w:t>
      </w:r>
      <w:r w:rsidRPr="00644ED5">
        <w:rPr>
          <w:rFonts w:ascii="Book Antiqua" w:eastAsia="宋体" w:hAnsi="Book Antiqua" w:cs="Times New Roman"/>
          <w:b/>
          <w:kern w:val="2"/>
          <w:lang w:val="en-US" w:eastAsia="zh-CN"/>
        </w:rPr>
        <w:t>Araújo Júnior RF</w:t>
      </w:r>
      <w:r w:rsidRPr="00644ED5">
        <w:rPr>
          <w:rFonts w:ascii="Book Antiqua" w:eastAsia="宋体" w:hAnsi="Book Antiqua" w:cs="Times New Roman"/>
          <w:kern w:val="2"/>
          <w:lang w:val="en-US" w:eastAsia="zh-CN"/>
        </w:rPr>
        <w:t xml:space="preserve">, Garcia VB, Leitão RF, Brito GA, Miguel Ede C, Guedes PM, de Araújo AA. Carvedilol Improves Inflammatory Response, Oxidative Stress and Fibrosis in the Alcohol-Induced Liver Injury in Rats by Regulating Kuppfer Cells and Hepatic Stellate Cells. </w:t>
      </w:r>
      <w:r w:rsidRPr="00644ED5">
        <w:rPr>
          <w:rFonts w:ascii="Book Antiqua" w:eastAsia="宋体" w:hAnsi="Book Antiqua" w:cs="Times New Roman"/>
          <w:i/>
          <w:kern w:val="2"/>
          <w:lang w:val="en-US" w:eastAsia="zh-CN"/>
        </w:rPr>
        <w:t>PLoS One</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11</w:t>
      </w:r>
      <w:r w:rsidRPr="00644ED5">
        <w:rPr>
          <w:rFonts w:ascii="Book Antiqua" w:eastAsia="宋体" w:hAnsi="Book Antiqua" w:cs="Times New Roman"/>
          <w:kern w:val="2"/>
          <w:lang w:val="en-US" w:eastAsia="zh-CN"/>
        </w:rPr>
        <w:t>: e0148868 [PMID: 26891124 DOI: 10.1371/journal.pone.0148868]</w:t>
      </w:r>
    </w:p>
    <w:p w14:paraId="7D69BF0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32 </w:t>
      </w:r>
      <w:r w:rsidRPr="00644ED5">
        <w:rPr>
          <w:rFonts w:ascii="Book Antiqua" w:eastAsia="宋体" w:hAnsi="Book Antiqua" w:cs="Times New Roman"/>
          <w:b/>
          <w:kern w:val="2"/>
          <w:lang w:val="en-US" w:eastAsia="zh-CN"/>
        </w:rPr>
        <w:t>Mandorfer M</w:t>
      </w:r>
      <w:r w:rsidRPr="00644ED5">
        <w:rPr>
          <w:rFonts w:ascii="Book Antiqua" w:eastAsia="宋体" w:hAnsi="Book Antiqua" w:cs="Times New Roman"/>
          <w:kern w:val="2"/>
          <w:lang w:val="en-US" w:eastAsia="zh-CN"/>
        </w:rPr>
        <w:t xml:space="preserve">, Peck-Radosavljevic M, Reiberger T. Prevention of progression from small to large varices: are we there yet? An updated meta-analysis.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66</w:t>
      </w:r>
      <w:r w:rsidRPr="00644ED5">
        <w:rPr>
          <w:rFonts w:ascii="Book Antiqua" w:eastAsia="宋体" w:hAnsi="Book Antiqua" w:cs="Times New Roman"/>
          <w:kern w:val="2"/>
          <w:lang w:val="en-US" w:eastAsia="zh-CN"/>
        </w:rPr>
        <w:t>: 1347-1349 [PMID: 27694143 DOI: 10.1136/gutjnl-2016-312814]</w:t>
      </w:r>
    </w:p>
    <w:p w14:paraId="5CD25DF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33 </w:t>
      </w:r>
      <w:r w:rsidRPr="00644ED5">
        <w:rPr>
          <w:rFonts w:ascii="Book Antiqua" w:eastAsia="宋体" w:hAnsi="Book Antiqua" w:cs="Times New Roman"/>
          <w:b/>
          <w:kern w:val="2"/>
          <w:lang w:val="en-US" w:eastAsia="zh-CN"/>
        </w:rPr>
        <w:t>Bhardwaj A</w:t>
      </w:r>
      <w:r w:rsidRPr="00644ED5">
        <w:rPr>
          <w:rFonts w:ascii="Book Antiqua" w:eastAsia="宋体" w:hAnsi="Book Antiqua" w:cs="Times New Roman"/>
          <w:kern w:val="2"/>
          <w:lang w:val="en-US" w:eastAsia="zh-CN"/>
        </w:rPr>
        <w:t xml:space="preserve">, Kedarisetty CK, Vashishtha C, Bhadoria AS, Jindal A, Kumar G, Choudhary A, Shasthry SM, Maiwall R, Kumar M, Bhatia V, Sarin SK. Carvedilol delays the progression of small oesophageal varices in patients with cirrhosis: A </w:t>
      </w:r>
      <w:r w:rsidRPr="00644ED5">
        <w:rPr>
          <w:rFonts w:ascii="Book Antiqua" w:eastAsia="宋体" w:hAnsi="Book Antiqua" w:cs="Times New Roman"/>
          <w:kern w:val="2"/>
          <w:lang w:val="en-US" w:eastAsia="zh-CN"/>
        </w:rPr>
        <w:lastRenderedPageBreak/>
        <w:t xml:space="preserve">randomised placebo-controlled trial.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66</w:t>
      </w:r>
      <w:r w:rsidRPr="00644ED5">
        <w:rPr>
          <w:rFonts w:ascii="Book Antiqua" w:eastAsia="宋体" w:hAnsi="Book Antiqua" w:cs="Times New Roman"/>
          <w:kern w:val="2"/>
          <w:lang w:val="en-US" w:eastAsia="zh-CN"/>
        </w:rPr>
        <w:t>: 1838-1843 [PMID: 27298379 DOI: 10.1136/gutjnl-2016-311735]</w:t>
      </w:r>
    </w:p>
    <w:p w14:paraId="0D6C82B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34 </w:t>
      </w:r>
      <w:r w:rsidRPr="00644ED5">
        <w:rPr>
          <w:rFonts w:ascii="Book Antiqua" w:eastAsia="宋体" w:hAnsi="Book Antiqua" w:cs="Times New Roman"/>
          <w:b/>
          <w:kern w:val="2"/>
          <w:lang w:val="en-US" w:eastAsia="zh-CN"/>
        </w:rPr>
        <w:t>Zacharias AP</w:t>
      </w:r>
      <w:r w:rsidRPr="00644ED5">
        <w:rPr>
          <w:rFonts w:ascii="Book Antiqua" w:eastAsia="宋体" w:hAnsi="Book Antiqua" w:cs="Times New Roman"/>
          <w:kern w:val="2"/>
          <w:lang w:val="en-US" w:eastAsia="zh-CN"/>
        </w:rPr>
        <w:t xml:space="preserve">, Jeyaraj R, Hobolth L, Bendtsen F, Gluud LL, Morgan MY. Carvedilol versus traditional, non-selective beta-blockers for adults with cirrhosis and gastroesophageal varices. </w:t>
      </w:r>
      <w:r w:rsidRPr="00644ED5">
        <w:rPr>
          <w:rFonts w:ascii="Book Antiqua" w:eastAsia="宋体" w:hAnsi="Book Antiqua" w:cs="Times New Roman"/>
          <w:i/>
          <w:kern w:val="2"/>
          <w:lang w:val="en-US" w:eastAsia="zh-CN"/>
        </w:rPr>
        <w:t>Cochrane Database Syst Rev</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10</w:t>
      </w:r>
      <w:r w:rsidRPr="00644ED5">
        <w:rPr>
          <w:rFonts w:ascii="Book Antiqua" w:eastAsia="宋体" w:hAnsi="Book Antiqua" w:cs="Times New Roman"/>
          <w:kern w:val="2"/>
          <w:lang w:val="en-US" w:eastAsia="zh-CN"/>
        </w:rPr>
        <w:t>: CD011510 [PMID: 30372514 DOI: 10.1002/14651858.CD011510.pub2]</w:t>
      </w:r>
    </w:p>
    <w:p w14:paraId="16DF44C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35 </w:t>
      </w:r>
      <w:r w:rsidRPr="00644ED5">
        <w:rPr>
          <w:rFonts w:ascii="Book Antiqua" w:eastAsia="宋体" w:hAnsi="Book Antiqua" w:cs="Times New Roman"/>
          <w:b/>
          <w:kern w:val="2"/>
          <w:lang w:val="en-US" w:eastAsia="zh-CN"/>
        </w:rPr>
        <w:t>Senzolo M</w:t>
      </w:r>
      <w:r w:rsidRPr="00644ED5">
        <w:rPr>
          <w:rFonts w:ascii="Book Antiqua" w:eastAsia="宋体" w:hAnsi="Book Antiqua" w:cs="Times New Roman"/>
          <w:kern w:val="2"/>
          <w:lang w:val="en-US" w:eastAsia="zh-CN"/>
        </w:rPr>
        <w:t xml:space="preserve">, Cholongitas E, Burra P, Leandro G, Thalheimer U, Patch D, Burroughs AK. beta-Blockers protect against spontaneous bacterial peritonitis in cirrhotic patients: A meta-analysis.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2009; </w:t>
      </w:r>
      <w:r w:rsidRPr="00644ED5">
        <w:rPr>
          <w:rFonts w:ascii="Book Antiqua" w:eastAsia="宋体" w:hAnsi="Book Antiqua" w:cs="Times New Roman"/>
          <w:b/>
          <w:kern w:val="2"/>
          <w:lang w:val="en-US" w:eastAsia="zh-CN"/>
        </w:rPr>
        <w:t>29</w:t>
      </w:r>
      <w:r w:rsidRPr="00644ED5">
        <w:rPr>
          <w:rFonts w:ascii="Book Antiqua" w:eastAsia="宋体" w:hAnsi="Book Antiqua" w:cs="Times New Roman"/>
          <w:kern w:val="2"/>
          <w:lang w:val="en-US" w:eastAsia="zh-CN"/>
        </w:rPr>
        <w:t>: 1189-1193 [PMID: 19508620 DOI: 10.1111/j.1478-3231.2009.02038.x]</w:t>
      </w:r>
    </w:p>
    <w:p w14:paraId="0E5D624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36 </w:t>
      </w:r>
      <w:r w:rsidRPr="00644ED5">
        <w:rPr>
          <w:rFonts w:ascii="Book Antiqua" w:eastAsia="宋体" w:hAnsi="Book Antiqua" w:cs="Times New Roman"/>
          <w:b/>
          <w:kern w:val="2"/>
          <w:lang w:val="en-US" w:eastAsia="zh-CN"/>
        </w:rPr>
        <w:t>Merli M</w:t>
      </w:r>
      <w:r w:rsidRPr="00644ED5">
        <w:rPr>
          <w:rFonts w:ascii="Book Antiqua" w:eastAsia="宋体" w:hAnsi="Book Antiqua" w:cs="Times New Roman"/>
          <w:kern w:val="2"/>
          <w:lang w:val="en-US" w:eastAsia="zh-CN"/>
        </w:rPr>
        <w:t xml:space="preserve">, Lucidi C, Di Gregorio V, Giannelli V, Giusto M, Ceccarelli G, Riggio O, Venditti M. The chronic use of beta-blockers and proton pump inhibitors may affect the rate of bacterial infections in cirrhosis.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35</w:t>
      </w:r>
      <w:r w:rsidRPr="00644ED5">
        <w:rPr>
          <w:rFonts w:ascii="Book Antiqua" w:eastAsia="宋体" w:hAnsi="Book Antiqua" w:cs="Times New Roman"/>
          <w:kern w:val="2"/>
          <w:lang w:val="en-US" w:eastAsia="zh-CN"/>
        </w:rPr>
        <w:t>: 362-369 [PMID: 24836902 DOI: 10.1111/liv.12593]</w:t>
      </w:r>
    </w:p>
    <w:p w14:paraId="2F90002E"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37 </w:t>
      </w:r>
      <w:r w:rsidRPr="00644ED5">
        <w:rPr>
          <w:rFonts w:ascii="Book Antiqua" w:eastAsia="宋体" w:hAnsi="Book Antiqua" w:cs="Times New Roman"/>
          <w:b/>
          <w:kern w:val="2"/>
          <w:lang w:val="en-US" w:eastAsia="zh-CN"/>
        </w:rPr>
        <w:t>Mookerjee RP</w:t>
      </w:r>
      <w:r w:rsidRPr="00644ED5">
        <w:rPr>
          <w:rFonts w:ascii="Book Antiqua" w:eastAsia="宋体" w:hAnsi="Book Antiqua" w:cs="Times New Roman"/>
          <w:kern w:val="2"/>
          <w:lang w:val="en-US" w:eastAsia="zh-CN"/>
        </w:rPr>
        <w:t xml:space="preserve">, Pavesi M, Thomsen KL, Mehta G, Macnaughtan J, Bendtsen F, Coenraad M, Sperl J, Gines P, Moreau R, Arroyo V, Jalan R; CANONIC Study Investigators of the EASL-CLIF Consortium. Treatment with non-selective beta blockers is associated with reduced severity of systemic inflammation and improved survival of patients with acute-on-chronic liver failure.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64</w:t>
      </w:r>
      <w:r w:rsidRPr="00644ED5">
        <w:rPr>
          <w:rFonts w:ascii="Book Antiqua" w:eastAsia="宋体" w:hAnsi="Book Antiqua" w:cs="Times New Roman"/>
          <w:kern w:val="2"/>
          <w:lang w:val="en-US" w:eastAsia="zh-CN"/>
        </w:rPr>
        <w:t>: 574-582 [PMID: 26519600 DOI: 10.1016/j.jhep.2015.10.018]</w:t>
      </w:r>
    </w:p>
    <w:p w14:paraId="4263BC0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38 </w:t>
      </w:r>
      <w:r w:rsidRPr="00644ED5">
        <w:rPr>
          <w:rFonts w:ascii="Book Antiqua" w:eastAsia="宋体" w:hAnsi="Book Antiqua" w:cs="Times New Roman"/>
          <w:b/>
          <w:kern w:val="2"/>
          <w:lang w:val="en-US" w:eastAsia="zh-CN"/>
        </w:rPr>
        <w:t>Facciorusso A,</w:t>
      </w:r>
      <w:r w:rsidRPr="00644ED5">
        <w:rPr>
          <w:rFonts w:ascii="Book Antiqua" w:eastAsia="宋体" w:hAnsi="Book Antiqua" w:cs="Times New Roman"/>
          <w:kern w:val="2"/>
          <w:lang w:val="en-US" w:eastAsia="zh-CN"/>
        </w:rPr>
        <w:t xml:space="preserve"> Villani R, Bellanti F, Bruno R, Fioravanti G, Vendemiale G, Serviddio G. </w:t>
      </w:r>
      <w:bookmarkStart w:id="56" w:name="OLE_LINK303"/>
      <w:bookmarkStart w:id="57" w:name="OLE_LINK304"/>
      <w:r w:rsidRPr="00644ED5">
        <w:rPr>
          <w:rFonts w:ascii="Book Antiqua" w:eastAsia="宋体" w:hAnsi="Book Antiqua" w:cs="Times New Roman"/>
          <w:kern w:val="2"/>
          <w:lang w:val="en-US" w:eastAsia="zh-CN"/>
        </w:rPr>
        <w:t>In-hospital mortality and length of stay in cirrhotic patients with sepsis treated with non-selective beta-blockers.</w:t>
      </w:r>
      <w:bookmarkEnd w:id="56"/>
      <w:bookmarkEnd w:id="57"/>
      <w:r w:rsidRPr="00644ED5">
        <w:rPr>
          <w:rFonts w:ascii="Book Antiqua" w:eastAsia="宋体" w:hAnsi="Book Antiqua" w:cs="Times New Roman"/>
          <w:kern w:val="2"/>
          <w:lang w:val="en-US" w:eastAsia="zh-CN"/>
        </w:rPr>
        <w:t xml:space="preserve"> </w:t>
      </w:r>
      <w:bookmarkStart w:id="58" w:name="OLE_LINK305"/>
      <w:bookmarkStart w:id="59" w:name="OLE_LINK306"/>
      <w:r w:rsidRPr="00644ED5">
        <w:rPr>
          <w:rFonts w:ascii="Book Antiqua" w:eastAsia="宋体" w:hAnsi="Book Antiqua" w:cs="Times New Roman"/>
          <w:i/>
          <w:kern w:val="2"/>
          <w:lang w:val="en-US" w:eastAsia="zh-CN"/>
        </w:rPr>
        <w:t>Digest Liver Dis</w:t>
      </w:r>
      <w:r w:rsidRPr="00644ED5">
        <w:rPr>
          <w:rFonts w:ascii="Book Antiqua" w:eastAsia="宋体" w:hAnsi="Book Antiqua" w:cs="Times New Roman"/>
          <w:kern w:val="2"/>
          <w:lang w:val="en-US" w:eastAsia="zh-CN"/>
        </w:rPr>
        <w:t xml:space="preserve"> </w:t>
      </w:r>
      <w:bookmarkEnd w:id="58"/>
      <w:bookmarkEnd w:id="59"/>
      <w:r w:rsidRPr="00644ED5">
        <w:rPr>
          <w:rFonts w:ascii="Book Antiqua" w:eastAsia="宋体" w:hAnsi="Book Antiqua" w:cs="Times New Roman"/>
          <w:kern w:val="2"/>
          <w:lang w:val="en-US" w:eastAsia="zh-CN"/>
        </w:rPr>
        <w:t xml:space="preserve">2017; </w:t>
      </w:r>
      <w:r w:rsidRPr="00644ED5">
        <w:rPr>
          <w:rFonts w:ascii="Book Antiqua" w:eastAsia="宋体" w:hAnsi="Book Antiqua" w:cs="Times New Roman"/>
          <w:b/>
          <w:kern w:val="2"/>
          <w:lang w:val="en-US" w:eastAsia="zh-CN"/>
        </w:rPr>
        <w:t>49</w:t>
      </w:r>
      <w:r w:rsidRPr="00644ED5">
        <w:rPr>
          <w:rFonts w:ascii="Book Antiqua" w:eastAsia="宋体" w:hAnsi="Book Antiqua" w:cs="Times New Roman"/>
          <w:kern w:val="2"/>
          <w:lang w:val="en-US" w:eastAsia="zh-CN"/>
        </w:rPr>
        <w:t>: e15 [DOI: 10.1016/j.dld.2017.01.033]</w:t>
      </w:r>
    </w:p>
    <w:p w14:paraId="07303D4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39 </w:t>
      </w:r>
      <w:r w:rsidRPr="00644ED5">
        <w:rPr>
          <w:rFonts w:ascii="Book Antiqua" w:eastAsia="宋体" w:hAnsi="Book Antiqua" w:cs="Times New Roman"/>
          <w:b/>
          <w:kern w:val="2"/>
          <w:lang w:val="en-US" w:eastAsia="zh-CN"/>
        </w:rPr>
        <w:t>Reiberger T</w:t>
      </w:r>
      <w:r w:rsidRPr="00644ED5">
        <w:rPr>
          <w:rFonts w:ascii="Book Antiqua" w:eastAsia="宋体" w:hAnsi="Book Antiqua" w:cs="Times New Roman"/>
          <w:kern w:val="2"/>
          <w:lang w:val="en-US" w:eastAsia="zh-CN"/>
        </w:rPr>
        <w:t xml:space="preserve">, Ferlitsch A, Payer BA, Mandorfer M, Heinisch BB, Hayden H, Lammert F, Trauner M, Peck-Radosavljevic M, Vogelsang H; Vienna Hepatic Hemodynamic Lab. Non-selective betablocker therapy decreases intestinal permeability and serum levels of LBP and IL-6 in patients with cirrhosis.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58</w:t>
      </w:r>
      <w:r w:rsidRPr="00644ED5">
        <w:rPr>
          <w:rFonts w:ascii="Book Antiqua" w:eastAsia="宋体" w:hAnsi="Book Antiqua" w:cs="Times New Roman"/>
          <w:kern w:val="2"/>
          <w:lang w:val="en-US" w:eastAsia="zh-CN"/>
        </w:rPr>
        <w:t>: 911-921 [PMID: 23262249 DOI: 10.1016/j.jhep.2012.12.011]</w:t>
      </w:r>
    </w:p>
    <w:p w14:paraId="60AC324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40 </w:t>
      </w:r>
      <w:r w:rsidRPr="00644ED5">
        <w:rPr>
          <w:rFonts w:ascii="Book Antiqua" w:eastAsia="宋体" w:hAnsi="Book Antiqua" w:cs="Times New Roman"/>
          <w:b/>
          <w:kern w:val="2"/>
          <w:lang w:val="en-US" w:eastAsia="zh-CN"/>
        </w:rPr>
        <w:t>Pérez-Paramo M</w:t>
      </w:r>
      <w:r w:rsidRPr="00644ED5">
        <w:rPr>
          <w:rFonts w:ascii="Book Antiqua" w:eastAsia="宋体" w:hAnsi="Book Antiqua" w:cs="Times New Roman"/>
          <w:kern w:val="2"/>
          <w:lang w:val="en-US" w:eastAsia="zh-CN"/>
        </w:rPr>
        <w:t xml:space="preserve">, Muñoz J, Albillos A, Freile I, Portero F, Santos M, Ortiz-Berrocal J. Effect of propranolol on the factors promoting bacterial translocation in cirrhotic </w:t>
      </w:r>
      <w:r w:rsidRPr="00644ED5">
        <w:rPr>
          <w:rFonts w:ascii="Book Antiqua" w:eastAsia="宋体" w:hAnsi="Book Antiqua" w:cs="Times New Roman"/>
          <w:kern w:val="2"/>
          <w:lang w:val="en-US" w:eastAsia="zh-CN"/>
        </w:rPr>
        <w:lastRenderedPageBreak/>
        <w:t xml:space="preserve">rats with ascites.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2000; </w:t>
      </w:r>
      <w:r w:rsidRPr="00644ED5">
        <w:rPr>
          <w:rFonts w:ascii="Book Antiqua" w:eastAsia="宋体" w:hAnsi="Book Antiqua" w:cs="Times New Roman"/>
          <w:b/>
          <w:kern w:val="2"/>
          <w:lang w:val="en-US" w:eastAsia="zh-CN"/>
        </w:rPr>
        <w:t>31</w:t>
      </w:r>
      <w:r w:rsidRPr="00644ED5">
        <w:rPr>
          <w:rFonts w:ascii="Book Antiqua" w:eastAsia="宋体" w:hAnsi="Book Antiqua" w:cs="Times New Roman"/>
          <w:kern w:val="2"/>
          <w:lang w:val="en-US" w:eastAsia="zh-CN"/>
        </w:rPr>
        <w:t>: 43-48 [PMID: 10613726 DOI: 10.1002/hep.510310109]</w:t>
      </w:r>
    </w:p>
    <w:p w14:paraId="4912757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41 </w:t>
      </w:r>
      <w:r w:rsidRPr="00644ED5">
        <w:rPr>
          <w:rFonts w:ascii="Book Antiqua" w:eastAsia="宋体" w:hAnsi="Book Antiqua" w:cs="Times New Roman"/>
          <w:b/>
          <w:kern w:val="2"/>
          <w:lang w:val="en-US" w:eastAsia="zh-CN"/>
        </w:rPr>
        <w:t>Gimenez P</w:t>
      </w:r>
      <w:r w:rsidRPr="00644ED5">
        <w:rPr>
          <w:rFonts w:ascii="Book Antiqua" w:eastAsia="宋体" w:hAnsi="Book Antiqua" w:cs="Times New Roman"/>
          <w:kern w:val="2"/>
          <w:lang w:val="en-US" w:eastAsia="zh-CN"/>
        </w:rPr>
        <w:t xml:space="preserve">, Garcia-Martinez I, Francés R, Gonzalez-Navajas JM, Mauri M, Alfayate R, Almenara S, Miralles C, Palazon JM, Carnicer F, Pascual S, Such J, Horga JF, Zapater P. Treatment with non-selective beta-blockers affects the systemic inflammatory response to bacterial DNA in patients with cirrhosis.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38</w:t>
      </w:r>
      <w:r w:rsidRPr="00644ED5">
        <w:rPr>
          <w:rFonts w:ascii="Book Antiqua" w:eastAsia="宋体" w:hAnsi="Book Antiqua" w:cs="Times New Roman"/>
          <w:kern w:val="2"/>
          <w:lang w:val="en-US" w:eastAsia="zh-CN"/>
        </w:rPr>
        <w:t>: 2219-2227 [PMID: 29802788 DOI: 10.1111/liv.13890]</w:t>
      </w:r>
    </w:p>
    <w:p w14:paraId="6431004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42 </w:t>
      </w:r>
      <w:r w:rsidRPr="00644ED5">
        <w:rPr>
          <w:rFonts w:ascii="Book Antiqua" w:eastAsia="宋体" w:hAnsi="Book Antiqua" w:cs="Times New Roman"/>
          <w:b/>
          <w:kern w:val="2"/>
          <w:lang w:val="en-US" w:eastAsia="zh-CN"/>
        </w:rPr>
        <w:t>Thiele M</w:t>
      </w:r>
      <w:r w:rsidRPr="00644ED5">
        <w:rPr>
          <w:rFonts w:ascii="Book Antiqua" w:eastAsia="宋体" w:hAnsi="Book Antiqua" w:cs="Times New Roman"/>
          <w:kern w:val="2"/>
          <w:lang w:val="en-US" w:eastAsia="zh-CN"/>
        </w:rPr>
        <w:t xml:space="preserve">, Albillos A, Abazi R, Wiest R, Gluud LL, Krag A. Non-selective beta-blockers may reduce risk of hepatocellular carcinoma: A meta-analysis of randomized trials.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35</w:t>
      </w:r>
      <w:r w:rsidRPr="00644ED5">
        <w:rPr>
          <w:rFonts w:ascii="Book Antiqua" w:eastAsia="宋体" w:hAnsi="Book Antiqua" w:cs="Times New Roman"/>
          <w:kern w:val="2"/>
          <w:lang w:val="en-US" w:eastAsia="zh-CN"/>
        </w:rPr>
        <w:t>: 2009-2016 [PMID: 25581713 DOI: 10.1111/liv.12782]</w:t>
      </w:r>
    </w:p>
    <w:p w14:paraId="46E406B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43 </w:t>
      </w:r>
      <w:r w:rsidRPr="00644ED5">
        <w:rPr>
          <w:rFonts w:ascii="Book Antiqua" w:eastAsia="宋体" w:hAnsi="Book Antiqua" w:cs="Times New Roman"/>
          <w:b/>
          <w:kern w:val="2"/>
          <w:lang w:val="en-US" w:eastAsia="zh-CN"/>
        </w:rPr>
        <w:t>Herrera I</w:t>
      </w:r>
      <w:r w:rsidRPr="00644ED5">
        <w:rPr>
          <w:rFonts w:ascii="Book Antiqua" w:eastAsia="宋体" w:hAnsi="Book Antiqua" w:cs="Times New Roman"/>
          <w:kern w:val="2"/>
          <w:lang w:val="en-US" w:eastAsia="zh-CN"/>
        </w:rPr>
        <w:t xml:space="preserve">, Pascual S, Zapater P, Carnicer F, Bellot P, María Palazón J. The use of β-blockers is associated with a lower risk of developing hepatocellular carcinoma in patients with cirrhosis. </w:t>
      </w:r>
      <w:r w:rsidRPr="00644ED5">
        <w:rPr>
          <w:rFonts w:ascii="Book Antiqua" w:eastAsia="宋体" w:hAnsi="Book Antiqua" w:cs="Times New Roman"/>
          <w:i/>
          <w:kern w:val="2"/>
          <w:lang w:val="en-US" w:eastAsia="zh-CN"/>
        </w:rPr>
        <w:t>Eur J Gastroenterol Hepatol</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28</w:t>
      </w:r>
      <w:r w:rsidRPr="00644ED5">
        <w:rPr>
          <w:rFonts w:ascii="Book Antiqua" w:eastAsia="宋体" w:hAnsi="Book Antiqua" w:cs="Times New Roman"/>
          <w:kern w:val="2"/>
          <w:lang w:val="en-US" w:eastAsia="zh-CN"/>
        </w:rPr>
        <w:t>: 1194-1197 [PMID: 27294486 DOI: 10.1097/MEG.0000000000000677]</w:t>
      </w:r>
    </w:p>
    <w:p w14:paraId="34E2AEC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44 </w:t>
      </w:r>
      <w:r w:rsidRPr="00644ED5">
        <w:rPr>
          <w:rFonts w:ascii="Book Antiqua" w:eastAsia="宋体" w:hAnsi="Book Antiqua" w:cs="Times New Roman"/>
          <w:b/>
          <w:kern w:val="2"/>
          <w:lang w:val="en-US" w:eastAsia="zh-CN"/>
        </w:rPr>
        <w:t>Thiele M</w:t>
      </w:r>
      <w:r w:rsidRPr="00644ED5">
        <w:rPr>
          <w:rFonts w:ascii="Book Antiqua" w:eastAsia="宋体" w:hAnsi="Book Antiqua" w:cs="Times New Roman"/>
          <w:kern w:val="2"/>
          <w:lang w:val="en-US" w:eastAsia="zh-CN"/>
        </w:rPr>
        <w:t xml:space="preserve">, Wiest R, Gluud LL, Albillos A, Krag A. Can non-selective beta-blockers prevent hepatocellular carcinoma in patients with cirrhosis? </w:t>
      </w:r>
      <w:r w:rsidRPr="00644ED5">
        <w:rPr>
          <w:rFonts w:ascii="Book Antiqua" w:eastAsia="宋体" w:hAnsi="Book Antiqua" w:cs="Times New Roman"/>
          <w:i/>
          <w:kern w:val="2"/>
          <w:lang w:val="en-US" w:eastAsia="zh-CN"/>
        </w:rPr>
        <w:t>Med Hypotheses</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81</w:t>
      </w:r>
      <w:r w:rsidRPr="00644ED5">
        <w:rPr>
          <w:rFonts w:ascii="Book Antiqua" w:eastAsia="宋体" w:hAnsi="Book Antiqua" w:cs="Times New Roman"/>
          <w:kern w:val="2"/>
          <w:lang w:val="en-US" w:eastAsia="zh-CN"/>
        </w:rPr>
        <w:t>: 871-874 [PMID: 24060485 DOI: 10.1016/j.mehy.2013.08.026]</w:t>
      </w:r>
    </w:p>
    <w:p w14:paraId="77575A9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45 </w:t>
      </w:r>
      <w:r w:rsidRPr="00644ED5">
        <w:rPr>
          <w:rFonts w:ascii="Book Antiqua" w:eastAsia="宋体" w:hAnsi="Book Antiqua" w:cs="Times New Roman"/>
          <w:b/>
          <w:kern w:val="2"/>
          <w:lang w:val="en-US" w:eastAsia="zh-CN"/>
        </w:rPr>
        <w:t>Feu F</w:t>
      </w:r>
      <w:r w:rsidRPr="00644ED5">
        <w:rPr>
          <w:rFonts w:ascii="Book Antiqua" w:eastAsia="宋体" w:hAnsi="Book Antiqua" w:cs="Times New Roman"/>
          <w:kern w:val="2"/>
          <w:lang w:val="en-US" w:eastAsia="zh-CN"/>
        </w:rPr>
        <w:t xml:space="preserve">, García-Pagán JC, Bosch J, Luca A, Terés J, Escorsell A, Rodés J. Relation between portal pressure response to pharmacotherapy and risk of recurrent variceal haemorrhage in patients with cirrhosis. </w:t>
      </w:r>
      <w:r w:rsidRPr="00644ED5">
        <w:rPr>
          <w:rFonts w:ascii="Book Antiqua" w:eastAsia="宋体" w:hAnsi="Book Antiqua" w:cs="Times New Roman"/>
          <w:i/>
          <w:kern w:val="2"/>
          <w:lang w:val="en-US" w:eastAsia="zh-CN"/>
        </w:rPr>
        <w:t>Lancet</w:t>
      </w:r>
      <w:r w:rsidRPr="00644ED5">
        <w:rPr>
          <w:rFonts w:ascii="Book Antiqua" w:eastAsia="宋体" w:hAnsi="Book Antiqua" w:cs="Times New Roman"/>
          <w:kern w:val="2"/>
          <w:lang w:val="en-US" w:eastAsia="zh-CN"/>
        </w:rPr>
        <w:t xml:space="preserve"> 1995; </w:t>
      </w:r>
      <w:r w:rsidRPr="00644ED5">
        <w:rPr>
          <w:rFonts w:ascii="Book Antiqua" w:eastAsia="宋体" w:hAnsi="Book Antiqua" w:cs="Times New Roman"/>
          <w:b/>
          <w:kern w:val="2"/>
          <w:lang w:val="en-US" w:eastAsia="zh-CN"/>
        </w:rPr>
        <w:t>346</w:t>
      </w:r>
      <w:r w:rsidRPr="00644ED5">
        <w:rPr>
          <w:rFonts w:ascii="Book Antiqua" w:eastAsia="宋体" w:hAnsi="Book Antiqua" w:cs="Times New Roman"/>
          <w:kern w:val="2"/>
          <w:lang w:val="en-US" w:eastAsia="zh-CN"/>
        </w:rPr>
        <w:t>: 1056-1059 [PMID: 7564785 DOI: 10.1016/S0140-6736(95)91740-3]</w:t>
      </w:r>
    </w:p>
    <w:p w14:paraId="6D3B0DF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46 </w:t>
      </w:r>
      <w:r w:rsidRPr="00644ED5">
        <w:rPr>
          <w:rFonts w:ascii="Book Antiqua" w:eastAsia="宋体" w:hAnsi="Book Antiqua" w:cs="Times New Roman"/>
          <w:b/>
          <w:kern w:val="2"/>
          <w:lang w:val="en-US" w:eastAsia="zh-CN"/>
        </w:rPr>
        <w:t>D’Amico G</w:t>
      </w:r>
      <w:r w:rsidRPr="00644ED5">
        <w:rPr>
          <w:rFonts w:ascii="Book Antiqua" w:eastAsia="宋体" w:hAnsi="Book Antiqua" w:cs="Times New Roman"/>
          <w:kern w:val="2"/>
          <w:lang w:val="en-US" w:eastAsia="zh-CN"/>
        </w:rPr>
        <w:t xml:space="preserve">, Malizia G, Bosch J. Beta-blockers in 2016: Still the safest and most useful drugs for portal hypertension?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63</w:t>
      </w:r>
      <w:r w:rsidRPr="00644ED5">
        <w:rPr>
          <w:rFonts w:ascii="Book Antiqua" w:eastAsia="宋体" w:hAnsi="Book Antiqua" w:cs="Times New Roman"/>
          <w:kern w:val="2"/>
          <w:lang w:val="en-US" w:eastAsia="zh-CN"/>
        </w:rPr>
        <w:t>: 1771-1773 [PMID: 26890689 DOI: 10.1002/hep.28502]</w:t>
      </w:r>
    </w:p>
    <w:p w14:paraId="0D93EF7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47 </w:t>
      </w:r>
      <w:r w:rsidRPr="00644ED5">
        <w:rPr>
          <w:rFonts w:ascii="Book Antiqua" w:eastAsia="宋体" w:hAnsi="Book Antiqua" w:cs="Times New Roman"/>
          <w:b/>
          <w:kern w:val="2"/>
          <w:lang w:val="en-US" w:eastAsia="zh-CN"/>
        </w:rPr>
        <w:t>Peeraphatdit TB</w:t>
      </w:r>
      <w:r w:rsidRPr="00644ED5">
        <w:rPr>
          <w:rFonts w:ascii="Book Antiqua" w:eastAsia="宋体" w:hAnsi="Book Antiqua" w:cs="Times New Roman"/>
          <w:kern w:val="2"/>
          <w:lang w:val="en-US" w:eastAsia="zh-CN"/>
        </w:rPr>
        <w:t xml:space="preserve">, Kamath PS, Shah VH. Beta-blockers in patients with advanced cirrhosis: Red light, green light, yellow light…. </w:t>
      </w:r>
      <w:r w:rsidRPr="00644ED5">
        <w:rPr>
          <w:rFonts w:ascii="Book Antiqua" w:eastAsia="宋体" w:hAnsi="Book Antiqua" w:cs="Times New Roman"/>
          <w:i/>
          <w:kern w:val="2"/>
          <w:lang w:val="en-US" w:eastAsia="zh-CN"/>
        </w:rPr>
        <w:t>Liver Transpl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23</w:t>
      </w:r>
      <w:r w:rsidRPr="00644ED5">
        <w:rPr>
          <w:rFonts w:ascii="Book Antiqua" w:eastAsia="宋体" w:hAnsi="Book Antiqua" w:cs="Times New Roman"/>
          <w:kern w:val="2"/>
          <w:lang w:val="en-US" w:eastAsia="zh-CN"/>
        </w:rPr>
        <w:t>: 725-726 [PMID: 28452116 DOI: 10.1002/lt.24780]</w:t>
      </w:r>
    </w:p>
    <w:p w14:paraId="7F55576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48 </w:t>
      </w:r>
      <w:r w:rsidRPr="00644ED5">
        <w:rPr>
          <w:rFonts w:ascii="Book Antiqua" w:eastAsia="宋体" w:hAnsi="Book Antiqua" w:cs="Times New Roman"/>
          <w:b/>
          <w:kern w:val="2"/>
          <w:lang w:val="en-US" w:eastAsia="zh-CN"/>
        </w:rPr>
        <w:t>Garcia-Tsao G</w:t>
      </w:r>
      <w:r w:rsidRPr="00644ED5">
        <w:rPr>
          <w:rFonts w:ascii="Book Antiqua" w:eastAsia="宋体" w:hAnsi="Book Antiqua" w:cs="Times New Roman"/>
          <w:kern w:val="2"/>
          <w:lang w:val="en-US" w:eastAsia="zh-CN"/>
        </w:rPr>
        <w:t xml:space="preserve">, Abraldes JG, Berzigotti A, Bosch J. Portal hypertensive bleeding in cirrhosis: Risk stratification, diagnosis, and management: 2016 practice guidance by the American Association for the study of liver diseases.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65</w:t>
      </w:r>
      <w:r w:rsidRPr="00644ED5">
        <w:rPr>
          <w:rFonts w:ascii="Book Antiqua" w:eastAsia="宋体" w:hAnsi="Book Antiqua" w:cs="Times New Roman"/>
          <w:kern w:val="2"/>
          <w:lang w:val="en-US" w:eastAsia="zh-CN"/>
        </w:rPr>
        <w:t xml:space="preserve">: 310-335 </w:t>
      </w:r>
      <w:r w:rsidRPr="00644ED5">
        <w:rPr>
          <w:rFonts w:ascii="Book Antiqua" w:eastAsia="宋体" w:hAnsi="Book Antiqua" w:cs="Times New Roman"/>
          <w:kern w:val="2"/>
          <w:lang w:val="en-US" w:eastAsia="zh-CN"/>
        </w:rPr>
        <w:lastRenderedPageBreak/>
        <w:t>[PMID: 27786365 DOI: 10.1002/hep.28906]</w:t>
      </w:r>
    </w:p>
    <w:p w14:paraId="080701B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49 </w:t>
      </w:r>
      <w:r w:rsidRPr="00644ED5">
        <w:rPr>
          <w:rFonts w:ascii="Book Antiqua" w:eastAsia="宋体" w:hAnsi="Book Antiqua" w:cs="Times New Roman"/>
          <w:b/>
          <w:kern w:val="2"/>
          <w:lang w:val="en-US" w:eastAsia="zh-CN"/>
        </w:rPr>
        <w:t>European Association for the Study of the Liver. Electronic address: easloffice@easloffice.eu.</w:t>
      </w:r>
      <w:r w:rsidRPr="00644ED5">
        <w:rPr>
          <w:rFonts w:ascii="Book Antiqua" w:eastAsia="宋体" w:hAnsi="Book Antiqua" w:cs="Times New Roman"/>
          <w:kern w:val="2"/>
          <w:lang w:val="en-US" w:eastAsia="zh-CN"/>
        </w:rPr>
        <w:t xml:space="preserve">; European Association for the Study of the Liver. EASL Clinical Practice Guidelines for the management of patients with decompensated cirrhosis.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69</w:t>
      </w:r>
      <w:r w:rsidRPr="00644ED5">
        <w:rPr>
          <w:rFonts w:ascii="Book Antiqua" w:eastAsia="宋体" w:hAnsi="Book Antiqua" w:cs="Times New Roman"/>
          <w:kern w:val="2"/>
          <w:lang w:val="en-US" w:eastAsia="zh-CN"/>
        </w:rPr>
        <w:t>: 406-460 [PMID: 29653741 DOI: 10.1016/j.jhep.2018.03.024]</w:t>
      </w:r>
    </w:p>
    <w:p w14:paraId="0FD936D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50 </w:t>
      </w:r>
      <w:r w:rsidRPr="00644ED5">
        <w:rPr>
          <w:rFonts w:ascii="Book Antiqua" w:eastAsia="宋体" w:hAnsi="Book Antiqua" w:cs="Times New Roman"/>
          <w:b/>
          <w:kern w:val="2"/>
          <w:lang w:val="en-US" w:eastAsia="zh-CN"/>
        </w:rPr>
        <w:t>Conn HO</w:t>
      </w:r>
      <w:r w:rsidRPr="00644ED5">
        <w:rPr>
          <w:rFonts w:ascii="Book Antiqua" w:eastAsia="宋体" w:hAnsi="Book Antiqua" w:cs="Times New Roman"/>
          <w:kern w:val="2"/>
          <w:lang w:val="en-US" w:eastAsia="zh-CN"/>
        </w:rPr>
        <w:t xml:space="preserve">, Leevy CM, Vlahcevic ZR, Rodgers JB, Maddrey WC, Seeff L, Levy LL. </w:t>
      </w:r>
      <w:bookmarkStart w:id="60" w:name="OLE_LINK307"/>
      <w:bookmarkStart w:id="61" w:name="OLE_LINK308"/>
      <w:r w:rsidRPr="00644ED5">
        <w:rPr>
          <w:rFonts w:ascii="Book Antiqua" w:eastAsia="宋体" w:hAnsi="Book Antiqua" w:cs="Times New Roman"/>
          <w:kern w:val="2"/>
          <w:lang w:val="en-US" w:eastAsia="zh-CN"/>
        </w:rPr>
        <w:t xml:space="preserve">Comparison of lactulose and neomycin in the treatment of chronic portal-systemic encephalopathy. A double blind controlled trial. </w:t>
      </w:r>
      <w:bookmarkEnd w:id="60"/>
      <w:bookmarkEnd w:id="61"/>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1977; </w:t>
      </w:r>
      <w:r w:rsidRPr="00644ED5">
        <w:rPr>
          <w:rFonts w:ascii="Book Antiqua" w:eastAsia="宋体" w:hAnsi="Book Antiqua" w:cs="Times New Roman"/>
          <w:b/>
          <w:kern w:val="2"/>
          <w:lang w:val="en-US" w:eastAsia="zh-CN"/>
        </w:rPr>
        <w:t>72</w:t>
      </w:r>
      <w:r w:rsidRPr="00644ED5">
        <w:rPr>
          <w:rFonts w:ascii="Book Antiqua" w:eastAsia="宋体" w:hAnsi="Book Antiqua" w:cs="Times New Roman"/>
          <w:kern w:val="2"/>
          <w:lang w:val="en-US" w:eastAsia="zh-CN"/>
        </w:rPr>
        <w:t>: 573-583 [PMID: 14049]</w:t>
      </w:r>
    </w:p>
    <w:p w14:paraId="1B190DBA"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51 </w:t>
      </w:r>
      <w:r w:rsidRPr="00644ED5">
        <w:rPr>
          <w:rFonts w:ascii="Book Antiqua" w:eastAsia="宋体" w:hAnsi="Book Antiqua" w:cs="Times New Roman"/>
          <w:b/>
          <w:kern w:val="2"/>
          <w:lang w:val="en-US" w:eastAsia="zh-CN"/>
        </w:rPr>
        <w:t>Als-Nielsen B</w:t>
      </w:r>
      <w:r w:rsidRPr="00644ED5">
        <w:rPr>
          <w:rFonts w:ascii="Book Antiqua" w:eastAsia="宋体" w:hAnsi="Book Antiqua" w:cs="Times New Roman"/>
          <w:kern w:val="2"/>
          <w:lang w:val="en-US" w:eastAsia="zh-CN"/>
        </w:rPr>
        <w:t xml:space="preserve">, Gluud LL, Gluud C. Non-absorbable disaccharides for hepatic encephalopathy: Systematic review of randomised trials. </w:t>
      </w:r>
      <w:r w:rsidRPr="00644ED5">
        <w:rPr>
          <w:rFonts w:ascii="Book Antiqua" w:eastAsia="宋体" w:hAnsi="Book Antiqua" w:cs="Times New Roman"/>
          <w:i/>
          <w:kern w:val="2"/>
          <w:lang w:val="en-US" w:eastAsia="zh-CN"/>
        </w:rPr>
        <w:t>BMJ</w:t>
      </w:r>
      <w:r w:rsidRPr="00644ED5">
        <w:rPr>
          <w:rFonts w:ascii="Book Antiqua" w:eastAsia="宋体" w:hAnsi="Book Antiqua" w:cs="Times New Roman"/>
          <w:kern w:val="2"/>
          <w:lang w:val="en-US" w:eastAsia="zh-CN"/>
        </w:rPr>
        <w:t xml:space="preserve"> 2004; </w:t>
      </w:r>
      <w:r w:rsidRPr="00644ED5">
        <w:rPr>
          <w:rFonts w:ascii="Book Antiqua" w:eastAsia="宋体" w:hAnsi="Book Antiqua" w:cs="Times New Roman"/>
          <w:b/>
          <w:kern w:val="2"/>
          <w:lang w:val="en-US" w:eastAsia="zh-CN"/>
        </w:rPr>
        <w:t>328</w:t>
      </w:r>
      <w:r w:rsidRPr="00644ED5">
        <w:rPr>
          <w:rFonts w:ascii="Book Antiqua" w:eastAsia="宋体" w:hAnsi="Book Antiqua" w:cs="Times New Roman"/>
          <w:kern w:val="2"/>
          <w:lang w:val="en-US" w:eastAsia="zh-CN"/>
        </w:rPr>
        <w:t>: 1046 [PMID: 15054035 DOI: 10.1136/bmj.38048.506134.EE]</w:t>
      </w:r>
    </w:p>
    <w:p w14:paraId="2B30609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52 </w:t>
      </w:r>
      <w:r w:rsidRPr="00644ED5">
        <w:rPr>
          <w:rFonts w:ascii="Book Antiqua" w:eastAsia="宋体" w:hAnsi="Book Antiqua" w:cs="Times New Roman"/>
          <w:b/>
          <w:kern w:val="2"/>
          <w:lang w:val="en-US" w:eastAsia="zh-CN"/>
        </w:rPr>
        <w:t>Gluud LL</w:t>
      </w:r>
      <w:r w:rsidRPr="00644ED5">
        <w:rPr>
          <w:rFonts w:ascii="Book Antiqua" w:eastAsia="宋体" w:hAnsi="Book Antiqua" w:cs="Times New Roman"/>
          <w:kern w:val="2"/>
          <w:lang w:val="en-US" w:eastAsia="zh-CN"/>
        </w:rPr>
        <w:t xml:space="preserve">, Vilstrup H, Morgan MY. Non-absorbable disaccharides versus placebo/no intervention and lactulose versus lactitol for the prevention and treatment of hepatic encephalopathy in people with cirrhosis. </w:t>
      </w:r>
      <w:r w:rsidRPr="00644ED5">
        <w:rPr>
          <w:rFonts w:ascii="Book Antiqua" w:eastAsia="宋体" w:hAnsi="Book Antiqua" w:cs="Times New Roman"/>
          <w:i/>
          <w:kern w:val="2"/>
          <w:lang w:val="en-US" w:eastAsia="zh-CN"/>
        </w:rPr>
        <w:t>Cochrane Database Syst Rev</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4</w:t>
      </w:r>
      <w:r w:rsidRPr="00644ED5">
        <w:rPr>
          <w:rFonts w:ascii="Book Antiqua" w:eastAsia="宋体" w:hAnsi="Book Antiqua" w:cs="Times New Roman"/>
          <w:kern w:val="2"/>
          <w:lang w:val="en-US" w:eastAsia="zh-CN"/>
        </w:rPr>
        <w:t>: CD003044 [PMID: 27089005 DOI: 10.1002/14651858.CD003044.pub3]</w:t>
      </w:r>
    </w:p>
    <w:p w14:paraId="79F5D69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53 </w:t>
      </w:r>
      <w:bookmarkStart w:id="62" w:name="OLE_LINK309"/>
      <w:bookmarkStart w:id="63" w:name="OLE_LINK310"/>
      <w:r w:rsidRPr="00644ED5">
        <w:rPr>
          <w:rFonts w:ascii="Book Antiqua" w:eastAsia="宋体" w:hAnsi="Book Antiqua" w:cs="Times New Roman"/>
          <w:b/>
          <w:kern w:val="2"/>
          <w:lang w:val="en-US" w:eastAsia="zh-CN"/>
        </w:rPr>
        <w:t>Elkington SG</w:t>
      </w:r>
      <w:r w:rsidRPr="00644ED5">
        <w:rPr>
          <w:rFonts w:ascii="Book Antiqua" w:eastAsia="宋体" w:hAnsi="Book Antiqua" w:cs="Times New Roman"/>
          <w:kern w:val="2"/>
          <w:lang w:val="en-US" w:eastAsia="zh-CN"/>
        </w:rPr>
        <w:t xml:space="preserve">. Lactulose.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1970; </w:t>
      </w:r>
      <w:r w:rsidRPr="00644ED5">
        <w:rPr>
          <w:rFonts w:ascii="Book Antiqua" w:eastAsia="宋体" w:hAnsi="Book Antiqua" w:cs="Times New Roman"/>
          <w:b/>
          <w:kern w:val="2"/>
          <w:lang w:val="en-US" w:eastAsia="zh-CN"/>
        </w:rPr>
        <w:t>11</w:t>
      </w:r>
      <w:r w:rsidRPr="00644ED5">
        <w:rPr>
          <w:rFonts w:ascii="Book Antiqua" w:eastAsia="宋体" w:hAnsi="Book Antiqua" w:cs="Times New Roman"/>
          <w:kern w:val="2"/>
          <w:lang w:val="en-US" w:eastAsia="zh-CN"/>
        </w:rPr>
        <w:t>: 1043-1048 [PMID: 4929274]</w:t>
      </w:r>
    </w:p>
    <w:bookmarkEnd w:id="62"/>
    <w:bookmarkEnd w:id="63"/>
    <w:p w14:paraId="6736745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54 </w:t>
      </w:r>
      <w:r w:rsidRPr="00644ED5">
        <w:rPr>
          <w:rFonts w:ascii="Book Antiqua" w:eastAsia="宋体" w:hAnsi="Book Antiqua" w:cs="Times New Roman"/>
          <w:b/>
          <w:kern w:val="2"/>
          <w:lang w:val="en-US" w:eastAsia="zh-CN"/>
        </w:rPr>
        <w:t>Sharma BC</w:t>
      </w:r>
      <w:r w:rsidRPr="00644ED5">
        <w:rPr>
          <w:rFonts w:ascii="Book Antiqua" w:eastAsia="宋体" w:hAnsi="Book Antiqua" w:cs="Times New Roman"/>
          <w:kern w:val="2"/>
          <w:lang w:val="en-US" w:eastAsia="zh-CN"/>
        </w:rPr>
        <w:t xml:space="preserve">, Sharma P, Agrawal A, Sarin SK. Secondary prophylaxis of hepatic encephalopathy: An open-label randomized controlled trial of lactulose versus placebo.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2009; </w:t>
      </w:r>
      <w:r w:rsidRPr="00644ED5">
        <w:rPr>
          <w:rFonts w:ascii="Book Antiqua" w:eastAsia="宋体" w:hAnsi="Book Antiqua" w:cs="Times New Roman"/>
          <w:b/>
          <w:kern w:val="2"/>
          <w:lang w:val="en-US" w:eastAsia="zh-CN"/>
        </w:rPr>
        <w:t>137</w:t>
      </w:r>
      <w:r w:rsidRPr="00644ED5">
        <w:rPr>
          <w:rFonts w:ascii="Book Antiqua" w:eastAsia="宋体" w:hAnsi="Book Antiqua" w:cs="Times New Roman"/>
          <w:kern w:val="2"/>
          <w:lang w:val="en-US" w:eastAsia="zh-CN"/>
        </w:rPr>
        <w:t>: 885-891, 891.e1 [PMID: 19501587 DOI: 10.1053/j.gastro.2009.05.056]</w:t>
      </w:r>
    </w:p>
    <w:p w14:paraId="2F19EF7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55 </w:t>
      </w:r>
      <w:r w:rsidRPr="00644ED5">
        <w:rPr>
          <w:rFonts w:ascii="Book Antiqua" w:eastAsia="宋体" w:hAnsi="Book Antiqua" w:cs="Times New Roman"/>
          <w:b/>
          <w:kern w:val="2"/>
          <w:lang w:val="en-US" w:eastAsia="zh-CN"/>
        </w:rPr>
        <w:t>Agrawal A</w:t>
      </w:r>
      <w:r w:rsidRPr="00644ED5">
        <w:rPr>
          <w:rFonts w:ascii="Book Antiqua" w:eastAsia="宋体" w:hAnsi="Book Antiqua" w:cs="Times New Roman"/>
          <w:kern w:val="2"/>
          <w:lang w:val="en-US" w:eastAsia="zh-CN"/>
        </w:rPr>
        <w:t xml:space="preserve">, Sharma BC, Sharma P, Sarin SK. Secondary prophylaxis of hepatic encephalopathy in cirrhosis: An open-label, randomized controlled trial of lactulose, probiotics, and no therapy. </w:t>
      </w:r>
      <w:r w:rsidRPr="00644ED5">
        <w:rPr>
          <w:rFonts w:ascii="Book Antiqua" w:eastAsia="宋体" w:hAnsi="Book Antiqua" w:cs="Times New Roman"/>
          <w:i/>
          <w:kern w:val="2"/>
          <w:lang w:val="en-US" w:eastAsia="zh-CN"/>
        </w:rPr>
        <w:t>Am J Gastroenterol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107</w:t>
      </w:r>
      <w:r w:rsidRPr="00644ED5">
        <w:rPr>
          <w:rFonts w:ascii="Book Antiqua" w:eastAsia="宋体" w:hAnsi="Book Antiqua" w:cs="Times New Roman"/>
          <w:kern w:val="2"/>
          <w:lang w:val="en-US" w:eastAsia="zh-CN"/>
        </w:rPr>
        <w:t>: 1043-1050 [PMID: 22710579 DOI: 10.1038/ajg.2012.113]</w:t>
      </w:r>
    </w:p>
    <w:p w14:paraId="11049B7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56 </w:t>
      </w:r>
      <w:r w:rsidRPr="00644ED5">
        <w:rPr>
          <w:rFonts w:ascii="Book Antiqua" w:eastAsia="宋体" w:hAnsi="Book Antiqua" w:cs="Times New Roman"/>
          <w:b/>
          <w:kern w:val="2"/>
          <w:lang w:val="en-US" w:eastAsia="zh-CN"/>
        </w:rPr>
        <w:t>Sharma P</w:t>
      </w:r>
      <w:r w:rsidRPr="00644ED5">
        <w:rPr>
          <w:rFonts w:ascii="Book Antiqua" w:eastAsia="宋体" w:hAnsi="Book Antiqua" w:cs="Times New Roman"/>
          <w:kern w:val="2"/>
          <w:lang w:val="en-US" w:eastAsia="zh-CN"/>
        </w:rPr>
        <w:t xml:space="preserve">, Sharma BC, Agrawal A, Sarin SK. Primary prophylaxis of overt hepatic encephalopathy in patients with cirrhosis: An open labeled randomized controlled trial of lactulose versus no lactulose. </w:t>
      </w:r>
      <w:r w:rsidRPr="00644ED5">
        <w:rPr>
          <w:rFonts w:ascii="Book Antiqua" w:eastAsia="宋体" w:hAnsi="Book Antiqua" w:cs="Times New Roman"/>
          <w:i/>
          <w:kern w:val="2"/>
          <w:lang w:val="en-US" w:eastAsia="zh-CN"/>
        </w:rPr>
        <w:t>J Gastroenterol Hepatol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27</w:t>
      </w:r>
      <w:r w:rsidRPr="00644ED5">
        <w:rPr>
          <w:rFonts w:ascii="Book Antiqua" w:eastAsia="宋体" w:hAnsi="Book Antiqua" w:cs="Times New Roman"/>
          <w:kern w:val="2"/>
          <w:lang w:val="en-US" w:eastAsia="zh-CN"/>
        </w:rPr>
        <w:t>: 1329-1335 [PMID: 22606978 DOI: 10.1111/j.1440-1746.2012.07186.x]</w:t>
      </w:r>
    </w:p>
    <w:p w14:paraId="78CD325E"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57 </w:t>
      </w:r>
      <w:r w:rsidRPr="00644ED5">
        <w:rPr>
          <w:rFonts w:ascii="Book Antiqua" w:eastAsia="宋体" w:hAnsi="Book Antiqua" w:cs="Times New Roman"/>
          <w:b/>
          <w:kern w:val="2"/>
          <w:lang w:val="en-US" w:eastAsia="zh-CN"/>
        </w:rPr>
        <w:t>Prasad S</w:t>
      </w:r>
      <w:r w:rsidRPr="00644ED5">
        <w:rPr>
          <w:rFonts w:ascii="Book Antiqua" w:eastAsia="宋体" w:hAnsi="Book Antiqua" w:cs="Times New Roman"/>
          <w:kern w:val="2"/>
          <w:lang w:val="en-US" w:eastAsia="zh-CN"/>
        </w:rPr>
        <w:t xml:space="preserve">, Dhiman RK, Duseja A, Chawla YK, Sharma A, Agarwal R. Lactulose improves cognitive functions and health-related quality of life in patients with </w:t>
      </w:r>
      <w:r w:rsidRPr="00644ED5">
        <w:rPr>
          <w:rFonts w:ascii="Book Antiqua" w:eastAsia="宋体" w:hAnsi="Book Antiqua" w:cs="Times New Roman"/>
          <w:kern w:val="2"/>
          <w:lang w:val="en-US" w:eastAsia="zh-CN"/>
        </w:rPr>
        <w:lastRenderedPageBreak/>
        <w:t xml:space="preserve">cirrhosis who have minimal hepatic encephalopathy.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2007; </w:t>
      </w:r>
      <w:r w:rsidRPr="00644ED5">
        <w:rPr>
          <w:rFonts w:ascii="Book Antiqua" w:eastAsia="宋体" w:hAnsi="Book Antiqua" w:cs="Times New Roman"/>
          <w:b/>
          <w:kern w:val="2"/>
          <w:lang w:val="en-US" w:eastAsia="zh-CN"/>
        </w:rPr>
        <w:t>45</w:t>
      </w:r>
      <w:r w:rsidRPr="00644ED5">
        <w:rPr>
          <w:rFonts w:ascii="Book Antiqua" w:eastAsia="宋体" w:hAnsi="Book Antiqua" w:cs="Times New Roman"/>
          <w:kern w:val="2"/>
          <w:lang w:val="en-US" w:eastAsia="zh-CN"/>
        </w:rPr>
        <w:t>: 549-559 [PMID: 17326150 DOI: 10.1002/hep.21533]</w:t>
      </w:r>
    </w:p>
    <w:p w14:paraId="73122FF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58 </w:t>
      </w:r>
      <w:r w:rsidRPr="00644ED5">
        <w:rPr>
          <w:rFonts w:ascii="Book Antiqua" w:eastAsia="宋体" w:hAnsi="Book Antiqua" w:cs="Times New Roman"/>
          <w:b/>
          <w:kern w:val="2"/>
          <w:lang w:val="en-US" w:eastAsia="zh-CN"/>
        </w:rPr>
        <w:t>Mittal VV</w:t>
      </w:r>
      <w:r w:rsidRPr="00644ED5">
        <w:rPr>
          <w:rFonts w:ascii="Book Antiqua" w:eastAsia="宋体" w:hAnsi="Book Antiqua" w:cs="Times New Roman"/>
          <w:kern w:val="2"/>
          <w:lang w:val="en-US" w:eastAsia="zh-CN"/>
        </w:rPr>
        <w:t xml:space="preserve">, Sharma BC, Sharma P, Sarin SK. A randomized controlled trial comparing lactulose, probiotics, and L-ornithine L-aspartate in treatment of minimal hepatic encephalopathy. </w:t>
      </w:r>
      <w:r w:rsidRPr="00644ED5">
        <w:rPr>
          <w:rFonts w:ascii="Book Antiqua" w:eastAsia="宋体" w:hAnsi="Book Antiqua" w:cs="Times New Roman"/>
          <w:i/>
          <w:kern w:val="2"/>
          <w:lang w:val="en-US" w:eastAsia="zh-CN"/>
        </w:rPr>
        <w:t>Eur J Gastroenterol Hepatol</w:t>
      </w:r>
      <w:r w:rsidRPr="00644ED5">
        <w:rPr>
          <w:rFonts w:ascii="Book Antiqua" w:eastAsia="宋体" w:hAnsi="Book Antiqua" w:cs="Times New Roman"/>
          <w:kern w:val="2"/>
          <w:lang w:val="en-US" w:eastAsia="zh-CN"/>
        </w:rPr>
        <w:t xml:space="preserve"> 2011; </w:t>
      </w:r>
      <w:r w:rsidRPr="00644ED5">
        <w:rPr>
          <w:rFonts w:ascii="Book Antiqua" w:eastAsia="宋体" w:hAnsi="Book Antiqua" w:cs="Times New Roman"/>
          <w:b/>
          <w:kern w:val="2"/>
          <w:lang w:val="en-US" w:eastAsia="zh-CN"/>
        </w:rPr>
        <w:t>23</w:t>
      </w:r>
      <w:r w:rsidRPr="00644ED5">
        <w:rPr>
          <w:rFonts w:ascii="Book Antiqua" w:eastAsia="宋体" w:hAnsi="Book Antiqua" w:cs="Times New Roman"/>
          <w:kern w:val="2"/>
          <w:lang w:val="en-US" w:eastAsia="zh-CN"/>
        </w:rPr>
        <w:t>: 725-732 [PMID: 21646910 DOI: 10.1097/MEG.0b013e32834696f5]</w:t>
      </w:r>
    </w:p>
    <w:p w14:paraId="1BC60AB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59 </w:t>
      </w:r>
      <w:r w:rsidRPr="00644ED5">
        <w:rPr>
          <w:rFonts w:ascii="Book Antiqua" w:eastAsia="宋体" w:hAnsi="Book Antiqua" w:cs="Times New Roman"/>
          <w:b/>
          <w:kern w:val="2"/>
          <w:lang w:val="en-US" w:eastAsia="zh-CN"/>
        </w:rPr>
        <w:t>Vilstrup H</w:t>
      </w:r>
      <w:r w:rsidRPr="00644ED5">
        <w:rPr>
          <w:rFonts w:ascii="Book Antiqua" w:eastAsia="宋体" w:hAnsi="Book Antiqua" w:cs="Times New Roman"/>
          <w:kern w:val="2"/>
          <w:lang w:val="en-US" w:eastAsia="zh-CN"/>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60</w:t>
      </w:r>
      <w:r w:rsidRPr="00644ED5">
        <w:rPr>
          <w:rFonts w:ascii="Book Antiqua" w:eastAsia="宋体" w:hAnsi="Book Antiqua" w:cs="Times New Roman"/>
          <w:kern w:val="2"/>
          <w:lang w:val="en-US" w:eastAsia="zh-CN"/>
        </w:rPr>
        <w:t>: 715-735 [PMID: 25042402 DOI: 10.1002/hep.27210]</w:t>
      </w:r>
    </w:p>
    <w:p w14:paraId="1794EF8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60 </w:t>
      </w:r>
      <w:r w:rsidRPr="00644ED5">
        <w:rPr>
          <w:rFonts w:ascii="Book Antiqua" w:eastAsia="宋体" w:hAnsi="Book Antiqua" w:cs="Times New Roman"/>
          <w:b/>
          <w:kern w:val="2"/>
          <w:lang w:val="en-US" w:eastAsia="zh-CN"/>
        </w:rPr>
        <w:t>Iadevaia MD</w:t>
      </w:r>
      <w:r w:rsidRPr="00644ED5">
        <w:rPr>
          <w:rFonts w:ascii="Book Antiqua" w:eastAsia="宋体" w:hAnsi="Book Antiqua" w:cs="Times New Roman"/>
          <w:kern w:val="2"/>
          <w:lang w:val="en-US" w:eastAsia="zh-CN"/>
        </w:rPr>
        <w:t xml:space="preserve">, Prete AD, Cesaro C, Gaeta L, Zulli C, Loguercio C. Rifaximin in the treatment of hepatic encephalopathy. </w:t>
      </w:r>
      <w:r w:rsidRPr="00644ED5">
        <w:rPr>
          <w:rFonts w:ascii="Book Antiqua" w:eastAsia="宋体" w:hAnsi="Book Antiqua" w:cs="Times New Roman"/>
          <w:i/>
          <w:kern w:val="2"/>
          <w:lang w:val="en-US" w:eastAsia="zh-CN"/>
        </w:rPr>
        <w:t>Hepat Med</w:t>
      </w:r>
      <w:r w:rsidRPr="00644ED5">
        <w:rPr>
          <w:rFonts w:ascii="Book Antiqua" w:eastAsia="宋体" w:hAnsi="Book Antiqua" w:cs="Times New Roman"/>
          <w:kern w:val="2"/>
          <w:lang w:val="en-US" w:eastAsia="zh-CN"/>
        </w:rPr>
        <w:t xml:space="preserve"> 2011; </w:t>
      </w:r>
      <w:r w:rsidRPr="00644ED5">
        <w:rPr>
          <w:rFonts w:ascii="Book Antiqua" w:eastAsia="宋体" w:hAnsi="Book Antiqua" w:cs="Times New Roman"/>
          <w:b/>
          <w:kern w:val="2"/>
          <w:lang w:val="en-US" w:eastAsia="zh-CN"/>
        </w:rPr>
        <w:t>3</w:t>
      </w:r>
      <w:r w:rsidRPr="00644ED5">
        <w:rPr>
          <w:rFonts w:ascii="Book Antiqua" w:eastAsia="宋体" w:hAnsi="Book Antiqua" w:cs="Times New Roman"/>
          <w:kern w:val="2"/>
          <w:lang w:val="en-US" w:eastAsia="zh-CN"/>
        </w:rPr>
        <w:t>: 109-117 [PMID: 24367227 DOI: 10.2147/HMER.S11988]</w:t>
      </w:r>
    </w:p>
    <w:p w14:paraId="47B710D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61 </w:t>
      </w:r>
      <w:r w:rsidRPr="00644ED5">
        <w:rPr>
          <w:rFonts w:ascii="Book Antiqua" w:eastAsia="宋体" w:hAnsi="Book Antiqua" w:cs="Times New Roman"/>
          <w:b/>
          <w:kern w:val="2"/>
          <w:lang w:val="en-US" w:eastAsia="zh-CN"/>
        </w:rPr>
        <w:t>Zullo A</w:t>
      </w:r>
      <w:r w:rsidRPr="00644ED5">
        <w:rPr>
          <w:rFonts w:ascii="Book Antiqua" w:eastAsia="宋体" w:hAnsi="Book Antiqua" w:cs="Times New Roman"/>
          <w:kern w:val="2"/>
          <w:lang w:val="en-US" w:eastAsia="zh-CN"/>
        </w:rPr>
        <w:t xml:space="preserve">, Hassan C, Ridola L, Lorenzetti R, Campo SM, Riggio O. Rifaximin therapy and hepatic encephalopathy: Pros and cons. </w:t>
      </w:r>
      <w:r w:rsidRPr="00644ED5">
        <w:rPr>
          <w:rFonts w:ascii="Book Antiqua" w:eastAsia="宋体" w:hAnsi="Book Antiqua" w:cs="Times New Roman"/>
          <w:i/>
          <w:kern w:val="2"/>
          <w:lang w:val="en-US" w:eastAsia="zh-CN"/>
        </w:rPr>
        <w:t>World J Gastrointest Pharmacol Ther</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3</w:t>
      </w:r>
      <w:r w:rsidRPr="00644ED5">
        <w:rPr>
          <w:rFonts w:ascii="Book Antiqua" w:eastAsia="宋体" w:hAnsi="Book Antiqua" w:cs="Times New Roman"/>
          <w:kern w:val="2"/>
          <w:lang w:val="en-US" w:eastAsia="zh-CN"/>
        </w:rPr>
        <w:t>: 62-67 [PMID: 22966484 DOI: 10.4292/wjgpt.v3.i4.62]</w:t>
      </w:r>
    </w:p>
    <w:p w14:paraId="550D3A4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62 </w:t>
      </w:r>
      <w:r w:rsidRPr="00644ED5">
        <w:rPr>
          <w:rFonts w:ascii="Book Antiqua" w:eastAsia="宋体" w:hAnsi="Book Antiqua" w:cs="Times New Roman"/>
          <w:b/>
          <w:kern w:val="2"/>
          <w:lang w:val="en-US" w:eastAsia="zh-CN"/>
        </w:rPr>
        <w:t>Mullen KD</w:t>
      </w:r>
      <w:r w:rsidRPr="00644ED5">
        <w:rPr>
          <w:rFonts w:ascii="Book Antiqua" w:eastAsia="宋体" w:hAnsi="Book Antiqua" w:cs="Times New Roman"/>
          <w:kern w:val="2"/>
          <w:lang w:val="en-US" w:eastAsia="zh-CN"/>
        </w:rPr>
        <w:t xml:space="preserve">, Sanyal AJ, Bass NM, Poordad FF, Sheikh MY, Frederick RT, Bortey E, Forbes WP. Rifaximin is safe and well tolerated for long-term maintenance of remission from overt hepatic encephalopathy. </w:t>
      </w:r>
      <w:r w:rsidRPr="00644ED5">
        <w:rPr>
          <w:rFonts w:ascii="Book Antiqua" w:eastAsia="宋体" w:hAnsi="Book Antiqua" w:cs="Times New Roman"/>
          <w:i/>
          <w:kern w:val="2"/>
          <w:lang w:val="en-US" w:eastAsia="zh-CN"/>
        </w:rPr>
        <w:t>Clin Gastroenterol Hepatol</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12</w:t>
      </w:r>
      <w:r w:rsidRPr="00644ED5">
        <w:rPr>
          <w:rFonts w:ascii="Book Antiqua" w:eastAsia="宋体" w:hAnsi="Book Antiqua" w:cs="Times New Roman"/>
          <w:kern w:val="2"/>
          <w:lang w:val="en-US" w:eastAsia="zh-CN"/>
        </w:rPr>
        <w:t>: 1390-7.e2 [PMID: 24365449 DOI: 10.1016/j.cgh.2013.12.021]</w:t>
      </w:r>
    </w:p>
    <w:p w14:paraId="7780B40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63 </w:t>
      </w:r>
      <w:r w:rsidRPr="00644ED5">
        <w:rPr>
          <w:rFonts w:ascii="Book Antiqua" w:eastAsia="宋体" w:hAnsi="Book Antiqua" w:cs="Times New Roman"/>
          <w:b/>
          <w:kern w:val="2"/>
          <w:lang w:val="en-US" w:eastAsia="zh-CN"/>
        </w:rPr>
        <w:t>Mas A</w:t>
      </w:r>
      <w:r w:rsidRPr="00644ED5">
        <w:rPr>
          <w:rFonts w:ascii="Book Antiqua" w:eastAsia="宋体" w:hAnsi="Book Antiqua" w:cs="Times New Roman"/>
          <w:kern w:val="2"/>
          <w:lang w:val="en-US" w:eastAsia="zh-CN"/>
        </w:rPr>
        <w:t xml:space="preserve">, Rodés J, Sunyer L, Rodrigo L, Planas R, Vargas V, Castells L, Rodríguez-Martínez D, Fernández-Rodríguez C, Coll I, Pardo A; Spanish Association for the Study of the Liver Hepatic Encephalopathy Cooperative Group. Comparison of rifaximin and lactitol in the treatment of acute hepatic encephalopathy: Results of a randomized, double-blind, double-dummy, controlled clinical trial.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2003; </w:t>
      </w:r>
      <w:r w:rsidRPr="00644ED5">
        <w:rPr>
          <w:rFonts w:ascii="Book Antiqua" w:eastAsia="宋体" w:hAnsi="Book Antiqua" w:cs="Times New Roman"/>
          <w:b/>
          <w:kern w:val="2"/>
          <w:lang w:val="en-US" w:eastAsia="zh-CN"/>
        </w:rPr>
        <w:t>38</w:t>
      </w:r>
      <w:r w:rsidRPr="00644ED5">
        <w:rPr>
          <w:rFonts w:ascii="Book Antiqua" w:eastAsia="宋体" w:hAnsi="Book Antiqua" w:cs="Times New Roman"/>
          <w:kern w:val="2"/>
          <w:lang w:val="en-US" w:eastAsia="zh-CN"/>
        </w:rPr>
        <w:t>: 51-58 [PMID: 12480560 DOI: 10.1016/S0168-8278(02)00350-1]</w:t>
      </w:r>
    </w:p>
    <w:p w14:paraId="1F86E69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64 </w:t>
      </w:r>
      <w:r w:rsidRPr="00644ED5">
        <w:rPr>
          <w:rFonts w:ascii="Book Antiqua" w:eastAsia="宋体" w:hAnsi="Book Antiqua" w:cs="Times New Roman"/>
          <w:b/>
          <w:kern w:val="2"/>
          <w:lang w:val="en-US" w:eastAsia="zh-CN"/>
        </w:rPr>
        <w:t>Bass NM</w:t>
      </w:r>
      <w:r w:rsidRPr="00644ED5">
        <w:rPr>
          <w:rFonts w:ascii="Book Antiqua" w:eastAsia="宋体" w:hAnsi="Book Antiqua" w:cs="Times New Roman"/>
          <w:kern w:val="2"/>
          <w:lang w:val="en-US" w:eastAsia="zh-CN"/>
        </w:rPr>
        <w:t xml:space="preserve">, Mullen KD, Sanyal A, Poordad F, Neff G, Leevy CB, Sigal S, Sheikh MY, Beavers K, Frederick T, Teperman L, Hillebrand D, Huang S, Merchant K, Shaw A, Bortey E, Forbes WP. Rifaximin treatment in hepatic encephalopathy. </w:t>
      </w:r>
      <w:r w:rsidRPr="00644ED5">
        <w:rPr>
          <w:rFonts w:ascii="Book Antiqua" w:eastAsia="宋体" w:hAnsi="Book Antiqua" w:cs="Times New Roman"/>
          <w:i/>
          <w:kern w:val="2"/>
          <w:lang w:val="en-US" w:eastAsia="zh-CN"/>
        </w:rPr>
        <w:t>N Engl J Med</w:t>
      </w:r>
      <w:r w:rsidRPr="00644ED5">
        <w:rPr>
          <w:rFonts w:ascii="Book Antiqua" w:eastAsia="宋体" w:hAnsi="Book Antiqua" w:cs="Times New Roman"/>
          <w:kern w:val="2"/>
          <w:lang w:val="en-US" w:eastAsia="zh-CN"/>
        </w:rPr>
        <w:t xml:space="preserve"> 2010; </w:t>
      </w:r>
      <w:r w:rsidRPr="00644ED5">
        <w:rPr>
          <w:rFonts w:ascii="Book Antiqua" w:eastAsia="宋体" w:hAnsi="Book Antiqua" w:cs="Times New Roman"/>
          <w:b/>
          <w:kern w:val="2"/>
          <w:lang w:val="en-US" w:eastAsia="zh-CN"/>
        </w:rPr>
        <w:t>362</w:t>
      </w:r>
      <w:r w:rsidRPr="00644ED5">
        <w:rPr>
          <w:rFonts w:ascii="Book Antiqua" w:eastAsia="宋体" w:hAnsi="Book Antiqua" w:cs="Times New Roman"/>
          <w:kern w:val="2"/>
          <w:lang w:val="en-US" w:eastAsia="zh-CN"/>
        </w:rPr>
        <w:t>: 1071-1081 [PMID: 20335583 DOI: 10.1056/NEJMoa0907893]</w:t>
      </w:r>
    </w:p>
    <w:p w14:paraId="15488F9D"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lastRenderedPageBreak/>
        <w:t xml:space="preserve">65 </w:t>
      </w:r>
      <w:r w:rsidRPr="00644ED5">
        <w:rPr>
          <w:rFonts w:ascii="Book Antiqua" w:eastAsia="宋体" w:hAnsi="Book Antiqua" w:cs="Times New Roman"/>
          <w:b/>
          <w:kern w:val="2"/>
          <w:lang w:val="en-US" w:eastAsia="zh-CN"/>
        </w:rPr>
        <w:t>Kimer N,</w:t>
      </w:r>
      <w:r w:rsidRPr="00644ED5">
        <w:rPr>
          <w:rFonts w:ascii="Book Antiqua" w:eastAsia="宋体" w:hAnsi="Book Antiqua" w:cs="Times New Roman"/>
          <w:kern w:val="2"/>
          <w:lang w:val="en-US" w:eastAsia="zh-CN"/>
        </w:rPr>
        <w:t xml:space="preserve"> Gluud LL, Morris RW, Morgan MY. Rifaximin for the prevention and treatment of hepatic encephalopathy: A systematic review with meta-analyses of randomised controlled trials. </w:t>
      </w:r>
      <w:bookmarkStart w:id="64" w:name="OLE_LINK313"/>
      <w:bookmarkStart w:id="65" w:name="OLE_LINK314"/>
      <w:r w:rsidRPr="00644ED5">
        <w:rPr>
          <w:rFonts w:ascii="Book Antiqua" w:eastAsia="宋体" w:hAnsi="Book Antiqua" w:cs="Times New Roman"/>
          <w:i/>
          <w:kern w:val="2"/>
          <w:lang w:val="en-US" w:eastAsia="zh-CN"/>
        </w:rPr>
        <w:t>J Clin Exp Hepatol</w:t>
      </w:r>
      <w:bookmarkEnd w:id="64"/>
      <w:bookmarkEnd w:id="65"/>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7</w:t>
      </w:r>
      <w:r w:rsidRPr="00644ED5">
        <w:rPr>
          <w:rFonts w:ascii="Book Antiqua" w:eastAsia="宋体" w:hAnsi="Book Antiqua" w:cs="Times New Roman"/>
          <w:kern w:val="2"/>
          <w:lang w:val="en-US" w:eastAsia="zh-CN"/>
        </w:rPr>
        <w:t>: S78-S79 [DOI: 10.1016/j.jceh.2017.01.105]</w:t>
      </w:r>
    </w:p>
    <w:p w14:paraId="1BBA375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66 </w:t>
      </w:r>
      <w:r w:rsidRPr="00644ED5">
        <w:rPr>
          <w:rFonts w:ascii="Book Antiqua" w:eastAsia="宋体" w:hAnsi="Book Antiqua" w:cs="Times New Roman"/>
          <w:b/>
          <w:kern w:val="2"/>
          <w:lang w:val="en-US" w:eastAsia="zh-CN"/>
        </w:rPr>
        <w:t>Wu D</w:t>
      </w:r>
      <w:r w:rsidRPr="00644ED5">
        <w:rPr>
          <w:rFonts w:ascii="Book Antiqua" w:eastAsia="宋体" w:hAnsi="Book Antiqua" w:cs="Times New Roman"/>
          <w:kern w:val="2"/>
          <w:lang w:val="en-US" w:eastAsia="zh-CN"/>
        </w:rPr>
        <w:t xml:space="preserve">, Wu SM, Lu J, Zhou YQ, Xu L, Guo CY. Rifaximin versus Nonabsorbable Disaccharides for the Treatment of Hepatic Encephalopathy: A Meta-Analysis. </w:t>
      </w:r>
      <w:r w:rsidRPr="00644ED5">
        <w:rPr>
          <w:rFonts w:ascii="Book Antiqua" w:eastAsia="宋体" w:hAnsi="Book Antiqua" w:cs="Times New Roman"/>
          <w:i/>
          <w:kern w:val="2"/>
          <w:lang w:val="en-US" w:eastAsia="zh-CN"/>
        </w:rPr>
        <w:t>Gastroenterol Res Pract</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2013</w:t>
      </w:r>
      <w:r w:rsidRPr="00644ED5">
        <w:rPr>
          <w:rFonts w:ascii="Book Antiqua" w:eastAsia="宋体" w:hAnsi="Book Antiqua" w:cs="Times New Roman"/>
          <w:kern w:val="2"/>
          <w:lang w:val="en-US" w:eastAsia="zh-CN"/>
        </w:rPr>
        <w:t>: 236963 [PMID: 23653636 DOI: 10.1155/2013/236963]</w:t>
      </w:r>
    </w:p>
    <w:p w14:paraId="51E95B5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67 </w:t>
      </w:r>
      <w:r w:rsidRPr="00644ED5">
        <w:rPr>
          <w:rFonts w:ascii="Book Antiqua" w:eastAsia="宋体" w:hAnsi="Book Antiqua" w:cs="Times New Roman"/>
          <w:b/>
          <w:kern w:val="2"/>
          <w:lang w:val="en-US" w:eastAsia="zh-CN"/>
        </w:rPr>
        <w:t>Kang SH</w:t>
      </w:r>
      <w:r w:rsidRPr="00644ED5">
        <w:rPr>
          <w:rFonts w:ascii="Book Antiqua" w:eastAsia="宋体" w:hAnsi="Book Antiqua" w:cs="Times New Roman"/>
          <w:kern w:val="2"/>
          <w:lang w:val="en-US" w:eastAsia="zh-CN"/>
        </w:rPr>
        <w:t xml:space="preserve">, Lee YB, Lee JH, Nam JY, Chang Y, Cho H, Yoo JJ, Cho YY, Cho EJ, Yu SJ, Kim MY, Kim YJ, Baik SK, Yoon JH. Rifaximin treatment is associated with reduced risk of cirrhotic complications and prolonged overall survival in patients experiencing hepatic encephalopathy. </w:t>
      </w:r>
      <w:r w:rsidRPr="00644ED5">
        <w:rPr>
          <w:rFonts w:ascii="Book Antiqua" w:eastAsia="宋体" w:hAnsi="Book Antiqua" w:cs="Times New Roman"/>
          <w:i/>
          <w:kern w:val="2"/>
          <w:lang w:val="en-US" w:eastAsia="zh-CN"/>
        </w:rPr>
        <w:t>Aliment Pharmacol Ther</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46</w:t>
      </w:r>
      <w:r w:rsidRPr="00644ED5">
        <w:rPr>
          <w:rFonts w:ascii="Book Antiqua" w:eastAsia="宋体" w:hAnsi="Book Antiqua" w:cs="Times New Roman"/>
          <w:kern w:val="2"/>
          <w:lang w:val="en-US" w:eastAsia="zh-CN"/>
        </w:rPr>
        <w:t>: 845-855 [PMID: 28836723 DOI: 10.1111/apt.14275]</w:t>
      </w:r>
    </w:p>
    <w:p w14:paraId="00612F6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68 </w:t>
      </w:r>
      <w:r w:rsidRPr="00644ED5">
        <w:rPr>
          <w:rFonts w:ascii="Book Antiqua" w:eastAsia="宋体" w:hAnsi="Book Antiqua" w:cs="Times New Roman"/>
          <w:b/>
          <w:kern w:val="2"/>
          <w:lang w:val="en-US" w:eastAsia="zh-CN"/>
        </w:rPr>
        <w:t>Kabeshova A</w:t>
      </w:r>
      <w:r w:rsidRPr="00644ED5">
        <w:rPr>
          <w:rFonts w:ascii="Book Antiqua" w:eastAsia="宋体" w:hAnsi="Book Antiqua" w:cs="Times New Roman"/>
          <w:kern w:val="2"/>
          <w:lang w:val="en-US" w:eastAsia="zh-CN"/>
        </w:rPr>
        <w:t xml:space="preserve">, Ben Hariz S, Tsakeu E, Benamouzig R, Launois R. Cost-effectiveness analysis of rifaximin-α administration for the reduction of episodes of overt hepatic encephalopathy in recurrence compared with standard treatment in France. </w:t>
      </w:r>
      <w:r w:rsidRPr="00644ED5">
        <w:rPr>
          <w:rFonts w:ascii="Book Antiqua" w:eastAsia="宋体" w:hAnsi="Book Antiqua" w:cs="Times New Roman"/>
          <w:i/>
          <w:kern w:val="2"/>
          <w:lang w:val="en-US" w:eastAsia="zh-CN"/>
        </w:rPr>
        <w:t>Therap Adv Gastroenterol</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9</w:t>
      </w:r>
      <w:r w:rsidRPr="00644ED5">
        <w:rPr>
          <w:rFonts w:ascii="Book Antiqua" w:eastAsia="宋体" w:hAnsi="Book Antiqua" w:cs="Times New Roman"/>
          <w:kern w:val="2"/>
          <w:lang w:val="en-US" w:eastAsia="zh-CN"/>
        </w:rPr>
        <w:t>: 473-482 [PMID: 27366216 DOI: 10.1177/1756283X16644249]</w:t>
      </w:r>
    </w:p>
    <w:p w14:paraId="2B6481B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69 </w:t>
      </w:r>
      <w:r w:rsidRPr="00644ED5">
        <w:rPr>
          <w:rFonts w:ascii="Book Antiqua" w:eastAsia="宋体" w:hAnsi="Book Antiqua" w:cs="Times New Roman"/>
          <w:b/>
          <w:kern w:val="2"/>
          <w:lang w:val="en-US" w:eastAsia="zh-CN"/>
        </w:rPr>
        <w:t>Vlachogiannakos J</w:t>
      </w:r>
      <w:r w:rsidRPr="00644ED5">
        <w:rPr>
          <w:rFonts w:ascii="Book Antiqua" w:eastAsia="宋体" w:hAnsi="Book Antiqua" w:cs="Times New Roman"/>
          <w:kern w:val="2"/>
          <w:lang w:val="en-US" w:eastAsia="zh-CN"/>
        </w:rPr>
        <w:t xml:space="preserve">, Viazis N, Vasianopoulou P, Vafiadis I, Karamanolis DG, Ladas SD. Long-term administration of rifaximin improves the prognosis of patients with decompensated alcoholic cirrhosis. </w:t>
      </w:r>
      <w:r w:rsidRPr="00644ED5">
        <w:rPr>
          <w:rFonts w:ascii="Book Antiqua" w:eastAsia="宋体" w:hAnsi="Book Antiqua" w:cs="Times New Roman"/>
          <w:i/>
          <w:kern w:val="2"/>
          <w:lang w:val="en-US" w:eastAsia="zh-CN"/>
        </w:rPr>
        <w:t>J Gastroenterol Hepatol</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28</w:t>
      </w:r>
      <w:r w:rsidRPr="00644ED5">
        <w:rPr>
          <w:rFonts w:ascii="Book Antiqua" w:eastAsia="宋体" w:hAnsi="Book Antiqua" w:cs="Times New Roman"/>
          <w:kern w:val="2"/>
          <w:lang w:val="en-US" w:eastAsia="zh-CN"/>
        </w:rPr>
        <w:t>: 450-455 [PMID: 23216382 DOI: 10.1111/jgh.12070]</w:t>
      </w:r>
    </w:p>
    <w:p w14:paraId="49D160FD"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70 </w:t>
      </w:r>
      <w:r w:rsidRPr="00644ED5">
        <w:rPr>
          <w:rFonts w:ascii="Book Antiqua" w:eastAsia="宋体" w:hAnsi="Book Antiqua" w:cs="Times New Roman"/>
          <w:b/>
          <w:kern w:val="2"/>
          <w:lang w:val="en-US" w:eastAsia="zh-CN"/>
        </w:rPr>
        <w:t>Hanouneh MA</w:t>
      </w:r>
      <w:r w:rsidRPr="00644ED5">
        <w:rPr>
          <w:rFonts w:ascii="Book Antiqua" w:eastAsia="宋体" w:hAnsi="Book Antiqua" w:cs="Times New Roman"/>
          <w:kern w:val="2"/>
          <w:lang w:val="en-US" w:eastAsia="zh-CN"/>
        </w:rPr>
        <w:t xml:space="preserve">, Hanouneh IA, Hashash JG, Law R, Esfeh JM, Lopez R, Hazratjee N, Smith T, Zein NN. The role of rifaximin in the primary prophylaxis of spontaneous bacterial peritonitis in patients with liver cirrhosis. </w:t>
      </w:r>
      <w:r w:rsidRPr="00644ED5">
        <w:rPr>
          <w:rFonts w:ascii="Book Antiqua" w:eastAsia="宋体" w:hAnsi="Book Antiqua" w:cs="Times New Roman"/>
          <w:i/>
          <w:kern w:val="2"/>
          <w:lang w:val="en-US" w:eastAsia="zh-CN"/>
        </w:rPr>
        <w:t>J Clin Gastroenterol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46</w:t>
      </w:r>
      <w:r w:rsidRPr="00644ED5">
        <w:rPr>
          <w:rFonts w:ascii="Book Antiqua" w:eastAsia="宋体" w:hAnsi="Book Antiqua" w:cs="Times New Roman"/>
          <w:kern w:val="2"/>
          <w:lang w:val="en-US" w:eastAsia="zh-CN"/>
        </w:rPr>
        <w:t>: 709-715 [PMID: 22878533 DOI: 10.1097/MCG.0b013e3182506dbb]</w:t>
      </w:r>
    </w:p>
    <w:p w14:paraId="0082966B"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71 </w:t>
      </w:r>
      <w:r w:rsidRPr="00644ED5">
        <w:rPr>
          <w:rFonts w:ascii="Book Antiqua" w:eastAsia="宋体" w:hAnsi="Book Antiqua" w:cs="Times New Roman"/>
          <w:b/>
          <w:kern w:val="2"/>
          <w:lang w:val="en-US" w:eastAsia="zh-CN"/>
        </w:rPr>
        <w:t>Runyon BA</w:t>
      </w:r>
      <w:r w:rsidRPr="00644ED5">
        <w:rPr>
          <w:rFonts w:ascii="Book Antiqua" w:eastAsia="宋体" w:hAnsi="Book Antiqua" w:cs="Times New Roman"/>
          <w:kern w:val="2"/>
          <w:lang w:val="en-US" w:eastAsia="zh-CN"/>
        </w:rPr>
        <w:t xml:space="preserve">; AASLD Practice Guidelines Committee. Management of adult patients with ascites due to cirrhosis: An update.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2009; </w:t>
      </w:r>
      <w:r w:rsidRPr="00644ED5">
        <w:rPr>
          <w:rFonts w:ascii="Book Antiqua" w:eastAsia="宋体" w:hAnsi="Book Antiqua" w:cs="Times New Roman"/>
          <w:b/>
          <w:kern w:val="2"/>
          <w:lang w:val="en-US" w:eastAsia="zh-CN"/>
        </w:rPr>
        <w:t>49</w:t>
      </w:r>
      <w:r w:rsidRPr="00644ED5">
        <w:rPr>
          <w:rFonts w:ascii="Book Antiqua" w:eastAsia="宋体" w:hAnsi="Book Antiqua" w:cs="Times New Roman"/>
          <w:kern w:val="2"/>
          <w:lang w:val="en-US" w:eastAsia="zh-CN"/>
        </w:rPr>
        <w:t>: 2087-2107 [PMID: 19475696 DOI: 10.1002/hep.22853]</w:t>
      </w:r>
    </w:p>
    <w:p w14:paraId="2CD1257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72 </w:t>
      </w:r>
      <w:r w:rsidRPr="00644ED5">
        <w:rPr>
          <w:rFonts w:ascii="Book Antiqua" w:eastAsia="宋体" w:hAnsi="Book Antiqua" w:cs="Times New Roman"/>
          <w:b/>
          <w:kern w:val="2"/>
          <w:lang w:val="en-US" w:eastAsia="zh-CN"/>
        </w:rPr>
        <w:t>European Association for the Study of the Liver.</w:t>
      </w:r>
      <w:r w:rsidRPr="00644ED5">
        <w:rPr>
          <w:rFonts w:ascii="Book Antiqua" w:eastAsia="宋体" w:hAnsi="Book Antiqua" w:cs="Times New Roman"/>
          <w:kern w:val="2"/>
          <w:lang w:val="en-US" w:eastAsia="zh-CN"/>
        </w:rPr>
        <w:t xml:space="preserve">. EASL clinical practice guidelines on the management of ascites, spontaneous bacterial peritonitis, and hepatorenal syndrome in cirrhosis.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2010; </w:t>
      </w:r>
      <w:r w:rsidRPr="00644ED5">
        <w:rPr>
          <w:rFonts w:ascii="Book Antiqua" w:eastAsia="宋体" w:hAnsi="Book Antiqua" w:cs="Times New Roman"/>
          <w:b/>
          <w:kern w:val="2"/>
          <w:lang w:val="en-US" w:eastAsia="zh-CN"/>
        </w:rPr>
        <w:t>53</w:t>
      </w:r>
      <w:r w:rsidRPr="00644ED5">
        <w:rPr>
          <w:rFonts w:ascii="Book Antiqua" w:eastAsia="宋体" w:hAnsi="Book Antiqua" w:cs="Times New Roman"/>
          <w:kern w:val="2"/>
          <w:lang w:val="en-US" w:eastAsia="zh-CN"/>
        </w:rPr>
        <w:t xml:space="preserve">: 397-417 [PMID: 20633946 DOI: </w:t>
      </w:r>
      <w:r w:rsidRPr="00644ED5">
        <w:rPr>
          <w:rFonts w:ascii="Book Antiqua" w:eastAsia="宋体" w:hAnsi="Book Antiqua" w:cs="Times New Roman"/>
          <w:kern w:val="2"/>
          <w:lang w:val="en-US" w:eastAsia="zh-CN"/>
        </w:rPr>
        <w:lastRenderedPageBreak/>
        <w:t>10.1016/j.jhep.2010.05.004]</w:t>
      </w:r>
    </w:p>
    <w:p w14:paraId="6E963E1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73 </w:t>
      </w:r>
      <w:r w:rsidRPr="00644ED5">
        <w:rPr>
          <w:rFonts w:ascii="Book Antiqua" w:eastAsia="宋体" w:hAnsi="Book Antiqua" w:cs="Times New Roman"/>
          <w:b/>
          <w:kern w:val="2"/>
          <w:lang w:val="en-US" w:eastAsia="zh-CN"/>
        </w:rPr>
        <w:t>Praharaj D,</w:t>
      </w:r>
      <w:r w:rsidRPr="00644ED5">
        <w:rPr>
          <w:rFonts w:ascii="Book Antiqua" w:eastAsia="宋体" w:hAnsi="Book Antiqua" w:cs="Times New Roman"/>
          <w:kern w:val="2"/>
          <w:lang w:val="en-US" w:eastAsia="zh-CN"/>
        </w:rPr>
        <w:t xml:space="preserve"> Taneja S, Duseja A, Chawla Y, Dhiman RK. </w:t>
      </w:r>
      <w:bookmarkStart w:id="66" w:name="OLE_LINK315"/>
      <w:bookmarkStart w:id="67" w:name="OLE_LINK316"/>
      <w:r w:rsidRPr="00644ED5">
        <w:rPr>
          <w:rFonts w:ascii="Book Antiqua" w:eastAsia="宋体" w:hAnsi="Book Antiqua" w:cs="Times New Roman"/>
          <w:kern w:val="2"/>
          <w:lang w:val="en-US" w:eastAsia="zh-CN"/>
        </w:rPr>
        <w:t>Randomized Control Trial of Rifaximin and Norfloxacin in Primary and Secondary Prophylaxis of Spontaneous Bacterial Peritonitis (SBP) in Cirrhotic Patients.</w:t>
      </w:r>
      <w:bookmarkEnd w:id="66"/>
      <w:bookmarkEnd w:id="67"/>
      <w:r w:rsidRPr="00644ED5">
        <w:rPr>
          <w:rFonts w:ascii="Book Antiqua" w:eastAsia="宋体" w:hAnsi="Book Antiqua" w:cs="Times New Roman"/>
          <w:kern w:val="2"/>
          <w:lang w:val="en-US" w:eastAsia="zh-CN"/>
        </w:rPr>
        <w:t xml:space="preserve"> </w:t>
      </w:r>
      <w:r w:rsidRPr="00644ED5">
        <w:rPr>
          <w:rFonts w:ascii="Book Antiqua" w:eastAsia="宋体" w:hAnsi="Book Antiqua" w:cs="Times New Roman"/>
          <w:i/>
          <w:kern w:val="2"/>
          <w:lang w:val="en-US" w:eastAsia="zh-CN"/>
        </w:rPr>
        <w:t>J Clin Exp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7</w:t>
      </w:r>
      <w:r w:rsidRPr="00644ED5">
        <w:rPr>
          <w:rFonts w:ascii="Book Antiqua" w:eastAsia="宋体" w:hAnsi="Book Antiqua" w:cs="Times New Roman"/>
          <w:kern w:val="2"/>
          <w:lang w:val="en-US" w:eastAsia="zh-CN"/>
        </w:rPr>
        <w:t>: S71 [DOI: 10.1016/j.jceh.2017.05.133]</w:t>
      </w:r>
    </w:p>
    <w:p w14:paraId="14D8B5C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74 </w:t>
      </w:r>
      <w:r w:rsidRPr="00644ED5">
        <w:rPr>
          <w:rFonts w:ascii="Book Antiqua" w:eastAsia="宋体" w:hAnsi="Book Antiqua" w:cs="Times New Roman"/>
          <w:b/>
          <w:kern w:val="2"/>
          <w:lang w:val="en-US" w:eastAsia="zh-CN"/>
        </w:rPr>
        <w:t>Sidhu GS</w:t>
      </w:r>
      <w:r w:rsidRPr="00644ED5">
        <w:rPr>
          <w:rFonts w:ascii="Book Antiqua" w:eastAsia="宋体" w:hAnsi="Book Antiqua" w:cs="Times New Roman"/>
          <w:kern w:val="2"/>
          <w:lang w:val="en-US" w:eastAsia="zh-CN"/>
        </w:rPr>
        <w:t xml:space="preserve">, Go A, Attar BM, Mutneja HR, Arora S, Patel SA. Rifaximin versus norfloxacin for prevention of spontaneous bacterial peritonitis: A systematic review. </w:t>
      </w:r>
      <w:r w:rsidRPr="00644ED5">
        <w:rPr>
          <w:rFonts w:ascii="Book Antiqua" w:eastAsia="宋体" w:hAnsi="Book Antiqua" w:cs="Times New Roman"/>
          <w:i/>
          <w:kern w:val="2"/>
          <w:lang w:val="en-US" w:eastAsia="zh-CN"/>
        </w:rPr>
        <w:t>BMJ Open Gastroenterol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4</w:t>
      </w:r>
      <w:r w:rsidRPr="00644ED5">
        <w:rPr>
          <w:rFonts w:ascii="Book Antiqua" w:eastAsia="宋体" w:hAnsi="Book Antiqua" w:cs="Times New Roman"/>
          <w:kern w:val="2"/>
          <w:lang w:val="en-US" w:eastAsia="zh-CN"/>
        </w:rPr>
        <w:t>: e000154 [PMID: 28944070 DOI: 10.1136/bmjgast-2017-000154]</w:t>
      </w:r>
    </w:p>
    <w:p w14:paraId="58C1BAF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75 </w:t>
      </w:r>
      <w:r w:rsidRPr="00644ED5">
        <w:rPr>
          <w:rFonts w:ascii="Book Antiqua" w:eastAsia="宋体" w:hAnsi="Book Antiqua" w:cs="Times New Roman"/>
          <w:b/>
          <w:kern w:val="2"/>
          <w:lang w:val="en-US" w:eastAsia="zh-CN"/>
        </w:rPr>
        <w:t>Kalambokis GN</w:t>
      </w:r>
      <w:r w:rsidRPr="00644ED5">
        <w:rPr>
          <w:rFonts w:ascii="Book Antiqua" w:eastAsia="宋体" w:hAnsi="Book Antiqua" w:cs="Times New Roman"/>
          <w:kern w:val="2"/>
          <w:lang w:val="en-US" w:eastAsia="zh-CN"/>
        </w:rPr>
        <w:t xml:space="preserve">, Mouzaki A, Rodi M, Pappas K, Fotopoulos A, Xourgia X, Tsianos EV. Rifaximin improves systemic hemodynamics and renal function in patients with alcohol-related cirrhosis and ascites. </w:t>
      </w:r>
      <w:r w:rsidRPr="00644ED5">
        <w:rPr>
          <w:rFonts w:ascii="Book Antiqua" w:eastAsia="宋体" w:hAnsi="Book Antiqua" w:cs="Times New Roman"/>
          <w:i/>
          <w:kern w:val="2"/>
          <w:lang w:val="en-US" w:eastAsia="zh-CN"/>
        </w:rPr>
        <w:t>Clin Gastroenterol Hepatol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10</w:t>
      </w:r>
      <w:r w:rsidRPr="00644ED5">
        <w:rPr>
          <w:rFonts w:ascii="Book Antiqua" w:eastAsia="宋体" w:hAnsi="Book Antiqua" w:cs="Times New Roman"/>
          <w:kern w:val="2"/>
          <w:lang w:val="en-US" w:eastAsia="zh-CN"/>
        </w:rPr>
        <w:t>: 815-818 [PMID: 22391344 DOI: 10.1016/j.cgh.2012.02.025]</w:t>
      </w:r>
    </w:p>
    <w:p w14:paraId="1B2DF69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76 </w:t>
      </w:r>
      <w:bookmarkStart w:id="68" w:name="OLE_LINK317"/>
      <w:bookmarkStart w:id="69" w:name="OLE_LINK318"/>
      <w:r w:rsidRPr="00644ED5">
        <w:rPr>
          <w:rFonts w:ascii="Book Antiqua" w:eastAsia="宋体" w:hAnsi="Book Antiqua" w:cs="Times New Roman"/>
          <w:b/>
          <w:kern w:val="2"/>
          <w:lang w:val="en-US" w:eastAsia="zh-CN"/>
        </w:rPr>
        <w:t>Baik S,</w:t>
      </w:r>
      <w:r w:rsidRPr="00644ED5">
        <w:rPr>
          <w:rFonts w:ascii="Book Antiqua" w:eastAsia="宋体" w:hAnsi="Book Antiqua" w:cs="Times New Roman"/>
          <w:kern w:val="2"/>
          <w:lang w:val="en-US" w:eastAsia="zh-CN"/>
        </w:rPr>
        <w:t xml:space="preserve"> Lim Y, Cho Y, Kim M, Jang Y, Suk K, Cheon G, Kim Y, Choi D. G03: </w:t>
      </w:r>
      <w:bookmarkStart w:id="70" w:name="OLE_LINK319"/>
      <w:bookmarkStart w:id="71" w:name="OLE_LINK320"/>
      <w:r w:rsidRPr="00644ED5">
        <w:rPr>
          <w:rFonts w:ascii="Book Antiqua" w:eastAsia="宋体" w:hAnsi="Book Antiqua" w:cs="Times New Roman"/>
          <w:kern w:val="2"/>
          <w:lang w:val="en-US" w:eastAsia="zh-CN"/>
        </w:rPr>
        <w:t>Rifaximin and propranolol combination therapy is more effective than propranolol monotherapy in the hepatic venous pressure gradient response and propranolol dose reduction–A pilot study.</w:t>
      </w:r>
      <w:bookmarkEnd w:id="70"/>
      <w:bookmarkEnd w:id="71"/>
      <w:r w:rsidRPr="00644ED5">
        <w:rPr>
          <w:rFonts w:ascii="Book Antiqua" w:eastAsia="宋体" w:hAnsi="Book Antiqua" w:cs="Times New Roman"/>
          <w:kern w:val="2"/>
          <w:lang w:val="en-US" w:eastAsia="zh-CN"/>
        </w:rPr>
        <w:t xml:space="preserve">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62</w:t>
      </w:r>
      <w:r w:rsidRPr="00644ED5">
        <w:rPr>
          <w:rFonts w:ascii="Book Antiqua" w:eastAsia="宋体" w:hAnsi="Book Antiqua" w:cs="Times New Roman"/>
          <w:kern w:val="2"/>
          <w:lang w:val="en-US" w:eastAsia="zh-CN"/>
        </w:rPr>
        <w:t>: S188 [DOI: 10.1016/S0168-8278(15)30004-0]</w:t>
      </w:r>
    </w:p>
    <w:bookmarkEnd w:id="68"/>
    <w:bookmarkEnd w:id="69"/>
    <w:p w14:paraId="4D58B69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77 </w:t>
      </w:r>
      <w:r w:rsidRPr="00644ED5">
        <w:rPr>
          <w:rFonts w:ascii="Book Antiqua" w:eastAsia="宋体" w:hAnsi="Book Antiqua" w:cs="Times New Roman"/>
          <w:b/>
          <w:kern w:val="2"/>
          <w:lang w:val="en-US" w:eastAsia="zh-CN"/>
        </w:rPr>
        <w:t>Kimer N</w:t>
      </w:r>
      <w:r w:rsidRPr="00644ED5">
        <w:rPr>
          <w:rFonts w:ascii="Book Antiqua" w:eastAsia="宋体" w:hAnsi="Book Antiqua" w:cs="Times New Roman"/>
          <w:kern w:val="2"/>
          <w:lang w:val="en-US" w:eastAsia="zh-CN"/>
        </w:rPr>
        <w:t xml:space="preserve">, Pedersen JS, Busk TM, Gluud LL, Hobolth L, Krag A, Møller S, Bendtsen F; Copenhagen Rifaximin (CoRif) Study Group. Rifaximin has no effect on hemodynamics in decompensated cirrhosis: A randomized, double-blind, placebo-controlled trial.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65</w:t>
      </w:r>
      <w:r w:rsidRPr="00644ED5">
        <w:rPr>
          <w:rFonts w:ascii="Book Antiqua" w:eastAsia="宋体" w:hAnsi="Book Antiqua" w:cs="Times New Roman"/>
          <w:kern w:val="2"/>
          <w:lang w:val="en-US" w:eastAsia="zh-CN"/>
        </w:rPr>
        <w:t>: 592-603 [PMID: 27775818 DOI: 10.1002/hep.28898]</w:t>
      </w:r>
    </w:p>
    <w:p w14:paraId="5F60EB1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78 </w:t>
      </w:r>
      <w:bookmarkStart w:id="72" w:name="OLE_LINK321"/>
      <w:bookmarkStart w:id="73" w:name="OLE_LINK322"/>
      <w:r w:rsidRPr="00644ED5">
        <w:rPr>
          <w:rFonts w:ascii="Book Antiqua" w:eastAsia="宋体" w:hAnsi="Book Antiqua" w:cs="Times New Roman"/>
          <w:b/>
          <w:kern w:val="2"/>
          <w:lang w:val="en-US" w:eastAsia="zh-CN"/>
        </w:rPr>
        <w:t xml:space="preserve">Nathwani R. </w:t>
      </w:r>
      <w:r w:rsidRPr="00644ED5">
        <w:rPr>
          <w:rFonts w:ascii="Book Antiqua" w:eastAsia="宋体" w:hAnsi="Book Antiqua" w:cs="Times New Roman"/>
          <w:kern w:val="2"/>
          <w:lang w:val="en-US" w:eastAsia="zh-CN"/>
        </w:rPr>
        <w:t>Rifaximin to reduce infection in decompensated cirrhosis.</w:t>
      </w:r>
      <w:r w:rsidRPr="00644ED5">
        <w:rPr>
          <w:rFonts w:ascii="Book Antiqua" w:eastAsia="宋体" w:hAnsi="Book Antiqua" w:cs="Times New Roman"/>
          <w:b/>
          <w:kern w:val="2"/>
          <w:lang w:val="en-US" w:eastAsia="zh-CN"/>
        </w:rPr>
        <w:t xml:space="preserve"> </w:t>
      </w:r>
      <w:r w:rsidRPr="00644ED5">
        <w:rPr>
          <w:rFonts w:ascii="Book Antiqua" w:eastAsia="Times New Roman" w:hAnsi="Book Antiqua" w:cs="Times New Roman"/>
          <w:bCs/>
          <w:color w:val="000000"/>
          <w:kern w:val="2"/>
          <w:lang w:val="en-US" w:eastAsia="zh-CN"/>
        </w:rPr>
        <w:t>[accessed 201</w:t>
      </w:r>
      <w:r w:rsidRPr="00644ED5">
        <w:rPr>
          <w:rFonts w:ascii="Book Antiqua" w:eastAsia="宋体" w:hAnsi="Book Antiqua" w:cs="Times New Roman" w:hint="eastAsia"/>
          <w:bCs/>
          <w:color w:val="000000"/>
          <w:kern w:val="2"/>
          <w:lang w:val="en-US" w:eastAsia="zh-CN"/>
        </w:rPr>
        <w:t>7</w:t>
      </w:r>
      <w:r w:rsidRPr="00644ED5">
        <w:rPr>
          <w:rFonts w:ascii="Book Antiqua" w:eastAsia="Times New Roman" w:hAnsi="Book Antiqua" w:cs="Times New Roman"/>
          <w:bCs/>
          <w:color w:val="000000"/>
          <w:kern w:val="2"/>
          <w:lang w:val="en-US" w:eastAsia="zh-CN"/>
        </w:rPr>
        <w:t xml:space="preserve"> </w:t>
      </w:r>
      <w:r w:rsidRPr="00644ED5">
        <w:rPr>
          <w:rFonts w:ascii="Book Antiqua" w:eastAsia="宋体" w:hAnsi="Book Antiqua" w:cs="Times New Roman" w:hint="eastAsia"/>
          <w:bCs/>
          <w:color w:val="000000"/>
          <w:kern w:val="2"/>
          <w:lang w:val="en-US" w:eastAsia="zh-CN"/>
        </w:rPr>
        <w:t>Sep</w:t>
      </w:r>
      <w:r w:rsidRPr="00644ED5">
        <w:rPr>
          <w:rFonts w:ascii="Book Antiqua" w:eastAsia="Times New Roman" w:hAnsi="Book Antiqua" w:cs="Times New Roman"/>
          <w:bCs/>
          <w:color w:val="000000"/>
          <w:kern w:val="2"/>
          <w:lang w:val="en-US" w:eastAsia="zh-CN"/>
        </w:rPr>
        <w:t xml:space="preserve"> </w:t>
      </w:r>
      <w:r w:rsidRPr="00644ED5">
        <w:rPr>
          <w:rFonts w:ascii="Book Antiqua" w:eastAsia="宋体" w:hAnsi="Book Antiqua" w:cs="Times New Roman" w:hint="eastAsia"/>
          <w:bCs/>
          <w:color w:val="000000"/>
          <w:kern w:val="2"/>
          <w:lang w:val="en-US" w:eastAsia="zh-CN"/>
        </w:rPr>
        <w:t>11</w:t>
      </w:r>
      <w:r w:rsidRPr="00644ED5">
        <w:rPr>
          <w:rFonts w:ascii="Book Antiqua" w:eastAsia="Times New Roman" w:hAnsi="Book Antiqua" w:cs="Times New Roman"/>
          <w:bCs/>
          <w:color w:val="000000"/>
          <w:kern w:val="2"/>
          <w:lang w:val="en-US" w:eastAsia="zh-CN"/>
        </w:rPr>
        <w:t>].</w:t>
      </w:r>
      <w:r w:rsidRPr="00644ED5">
        <w:rPr>
          <w:rFonts w:ascii="Book Antiqua" w:eastAsia="宋体" w:hAnsi="Book Antiqua" w:cs="Times New Roman" w:hint="eastAsia"/>
          <w:bCs/>
          <w:color w:val="000000"/>
          <w:kern w:val="2"/>
          <w:lang w:val="en-US" w:eastAsia="zh-CN"/>
        </w:rPr>
        <w:t xml:space="preserve"> </w:t>
      </w:r>
      <w:r w:rsidRPr="00644ED5">
        <w:rPr>
          <w:rFonts w:ascii="Book Antiqua" w:eastAsia="Times New Roman" w:hAnsi="Book Antiqua" w:cs="Times New Roman"/>
          <w:bCs/>
          <w:color w:val="000000"/>
          <w:kern w:val="2"/>
          <w:lang w:val="en-US" w:eastAsia="zh-CN"/>
        </w:rPr>
        <w:t>In:</w:t>
      </w:r>
      <w:r w:rsidRPr="00644ED5">
        <w:rPr>
          <w:rFonts w:ascii="Book Antiqua" w:eastAsia="宋体" w:hAnsi="Book Antiqua" w:cs="Times New Roman" w:hint="eastAsia"/>
          <w:bCs/>
          <w:color w:val="000000"/>
          <w:kern w:val="2"/>
          <w:lang w:val="en-US" w:eastAsia="zh-CN"/>
        </w:rPr>
        <w:t xml:space="preserve"> </w:t>
      </w:r>
      <w:r w:rsidRPr="00644ED5">
        <w:rPr>
          <w:rFonts w:ascii="Book Antiqua" w:eastAsia="宋体" w:hAnsi="Book Antiqua" w:cs="Times New Roman"/>
          <w:kern w:val="2"/>
          <w:lang w:val="en-US" w:eastAsia="zh-CN"/>
        </w:rPr>
        <w:t>ISRCTN registry</w:t>
      </w:r>
      <w:r w:rsidRPr="00644ED5">
        <w:rPr>
          <w:rFonts w:ascii="Book Antiqua" w:eastAsia="宋体" w:hAnsi="Book Antiqua" w:cs="Times New Roman" w:hint="eastAsia"/>
          <w:kern w:val="2"/>
          <w:lang w:val="en-US" w:eastAsia="zh-CN"/>
        </w:rPr>
        <w:t xml:space="preserve"> </w:t>
      </w:r>
      <w:r w:rsidRPr="00644ED5">
        <w:rPr>
          <w:rFonts w:ascii="Book Antiqua" w:eastAsia="Times New Roman" w:hAnsi="Book Antiqua" w:cs="Times New Roman"/>
          <w:bCs/>
          <w:color w:val="000000"/>
          <w:kern w:val="2"/>
          <w:lang w:val="en-US" w:eastAsia="zh-CN"/>
        </w:rPr>
        <w:t>[Internet]</w:t>
      </w:r>
      <w:r w:rsidRPr="00644ED5">
        <w:rPr>
          <w:rFonts w:ascii="Book Antiqua" w:eastAsia="宋体" w:hAnsi="Book Antiqua" w:cs="Times New Roman"/>
          <w:kern w:val="2"/>
          <w:lang w:val="en-US" w:eastAsia="zh-CN"/>
        </w:rPr>
        <w:t xml:space="preserve">. </w:t>
      </w:r>
      <w:r w:rsidRPr="00644ED5">
        <w:rPr>
          <w:rFonts w:ascii="Book Antiqua" w:eastAsia="Times New Roman" w:hAnsi="Book Antiqua" w:cs="Times New Roman"/>
          <w:bCs/>
          <w:color w:val="000000"/>
          <w:kern w:val="2"/>
          <w:lang w:val="en-US" w:eastAsia="zh-CN"/>
        </w:rPr>
        <w:t xml:space="preserve">Available from: </w:t>
      </w:r>
      <w:r w:rsidRPr="00644ED5">
        <w:rPr>
          <w:rFonts w:ascii="Book Antiqua" w:eastAsia="宋体" w:hAnsi="Book Antiqua" w:cs="Times New Roman"/>
          <w:kern w:val="2"/>
          <w:lang w:val="en-US" w:eastAsia="zh-CN"/>
        </w:rPr>
        <w:t>https://doi.org/10.1186/ISRCTN10994757</w:t>
      </w:r>
      <w:bookmarkEnd w:id="72"/>
      <w:bookmarkEnd w:id="73"/>
      <w:r w:rsidRPr="00644ED5">
        <w:rPr>
          <w:rFonts w:ascii="Book Antiqua" w:eastAsia="宋体" w:hAnsi="Book Antiqua" w:cs="Times New Roman"/>
          <w:kern w:val="2"/>
          <w:lang w:val="en-US" w:eastAsia="zh-CN"/>
        </w:rPr>
        <w:t xml:space="preserve"> ISRCTN number: ISRCTN10994757</w:t>
      </w:r>
    </w:p>
    <w:p w14:paraId="242781F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79 </w:t>
      </w:r>
      <w:r w:rsidRPr="00644ED5">
        <w:rPr>
          <w:rFonts w:ascii="Book Antiqua" w:eastAsia="宋体" w:hAnsi="Book Antiqua" w:cs="Times New Roman"/>
          <w:b/>
          <w:kern w:val="2"/>
          <w:lang w:val="en-US" w:eastAsia="zh-CN"/>
        </w:rPr>
        <w:t>Goh ET</w:t>
      </w:r>
      <w:r w:rsidRPr="00644ED5">
        <w:rPr>
          <w:rFonts w:ascii="Book Antiqua" w:eastAsia="宋体" w:hAnsi="Book Antiqua" w:cs="Times New Roman"/>
          <w:kern w:val="2"/>
          <w:lang w:val="en-US" w:eastAsia="zh-CN"/>
        </w:rPr>
        <w:t xml:space="preserve">, Stokes CS, Sidhu SS, Vilstrup H, Gluud LL, Morgan MY. L-ornithine L-aspartate for prevention and treatment of hepatic encephalopathy in people with cirrhosis. </w:t>
      </w:r>
      <w:r w:rsidRPr="00644ED5">
        <w:rPr>
          <w:rFonts w:ascii="Book Antiqua" w:eastAsia="宋体" w:hAnsi="Book Antiqua" w:cs="Times New Roman"/>
          <w:i/>
          <w:kern w:val="2"/>
          <w:lang w:val="en-US" w:eastAsia="zh-CN"/>
        </w:rPr>
        <w:t>Cochrane Database Syst Rev</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5</w:t>
      </w:r>
      <w:r w:rsidRPr="00644ED5">
        <w:rPr>
          <w:rFonts w:ascii="Book Antiqua" w:eastAsia="宋体" w:hAnsi="Book Antiqua" w:cs="Times New Roman"/>
          <w:kern w:val="2"/>
          <w:lang w:val="en-US" w:eastAsia="zh-CN"/>
        </w:rPr>
        <w:t>: CD012410 [PMID: 29762873 DOI: 10.1002/14651858.CD012410.pub2]</w:t>
      </w:r>
    </w:p>
    <w:p w14:paraId="1AB275F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80 </w:t>
      </w:r>
      <w:r w:rsidRPr="00644ED5">
        <w:rPr>
          <w:rFonts w:ascii="Book Antiqua" w:eastAsia="宋体" w:hAnsi="Book Antiqua" w:cs="Times New Roman"/>
          <w:b/>
          <w:kern w:val="2"/>
          <w:lang w:val="en-US" w:eastAsia="zh-CN"/>
        </w:rPr>
        <w:t>Bai M</w:t>
      </w:r>
      <w:r w:rsidRPr="00644ED5">
        <w:rPr>
          <w:rFonts w:ascii="Book Antiqua" w:eastAsia="宋体" w:hAnsi="Book Antiqua" w:cs="Times New Roman"/>
          <w:kern w:val="2"/>
          <w:lang w:val="en-US" w:eastAsia="zh-CN"/>
        </w:rPr>
        <w:t xml:space="preserve">, Yang Z, Qi X, Fan D, Han G. l-ornithine-l-aspartate for hepatic </w:t>
      </w:r>
      <w:r w:rsidRPr="00644ED5">
        <w:rPr>
          <w:rFonts w:ascii="Book Antiqua" w:eastAsia="宋体" w:hAnsi="Book Antiqua" w:cs="Times New Roman"/>
          <w:kern w:val="2"/>
          <w:lang w:val="en-US" w:eastAsia="zh-CN"/>
        </w:rPr>
        <w:lastRenderedPageBreak/>
        <w:t xml:space="preserve">encephalopathy in patients with cirrhosis: A meta-analysis of randomized controlled trials. </w:t>
      </w:r>
      <w:r w:rsidRPr="00644ED5">
        <w:rPr>
          <w:rFonts w:ascii="Book Antiqua" w:eastAsia="宋体" w:hAnsi="Book Antiqua" w:cs="Times New Roman"/>
          <w:i/>
          <w:kern w:val="2"/>
          <w:lang w:val="en-US" w:eastAsia="zh-CN"/>
        </w:rPr>
        <w:t>J Gastroenterol Hepatol</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28</w:t>
      </w:r>
      <w:r w:rsidRPr="00644ED5">
        <w:rPr>
          <w:rFonts w:ascii="Book Antiqua" w:eastAsia="宋体" w:hAnsi="Book Antiqua" w:cs="Times New Roman"/>
          <w:kern w:val="2"/>
          <w:lang w:val="en-US" w:eastAsia="zh-CN"/>
        </w:rPr>
        <w:t>: 783-792 [PMID: 23425108 DOI: 10.1111/jgh.12142]</w:t>
      </w:r>
    </w:p>
    <w:p w14:paraId="4B646144" w14:textId="40605C76"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81 </w:t>
      </w:r>
      <w:r w:rsidRPr="00644ED5">
        <w:rPr>
          <w:rFonts w:ascii="Book Antiqua" w:eastAsia="宋体" w:hAnsi="Book Antiqua" w:cs="Times New Roman"/>
          <w:b/>
          <w:kern w:val="2"/>
          <w:lang w:val="en-US" w:eastAsia="zh-CN"/>
        </w:rPr>
        <w:t xml:space="preserve">Sidhu SS. </w:t>
      </w:r>
      <w:r w:rsidRPr="00644ED5">
        <w:rPr>
          <w:rFonts w:ascii="Book Antiqua" w:eastAsia="宋体" w:hAnsi="Book Antiqua" w:cs="Times New Roman"/>
          <w:kern w:val="2"/>
          <w:lang w:val="en-US" w:eastAsia="zh-CN"/>
        </w:rPr>
        <w:t xml:space="preserve">L-ornithine L-aspartate in Overt Hepatic Encephalopathy </w:t>
      </w:r>
      <w:r w:rsidRPr="00644ED5">
        <w:rPr>
          <w:rFonts w:ascii="Book Antiqua" w:eastAsia="宋体" w:hAnsi="Book Antiqua" w:cs="Times New Roman"/>
          <w:b/>
          <w:kern w:val="2"/>
          <w:lang w:val="en-US" w:eastAsia="zh-CN"/>
        </w:rPr>
        <w:t xml:space="preserve">(HEAL). </w:t>
      </w:r>
      <w:r w:rsidRPr="00644ED5">
        <w:rPr>
          <w:rFonts w:ascii="Book Antiqua" w:eastAsia="Times New Roman" w:hAnsi="Book Antiqua" w:cs="Times New Roman"/>
          <w:bCs/>
          <w:color w:val="000000"/>
          <w:kern w:val="2"/>
          <w:lang w:val="en-US" w:eastAsia="zh-CN"/>
        </w:rPr>
        <w:t>[accessed 201</w:t>
      </w:r>
      <w:r w:rsidRPr="00644ED5">
        <w:rPr>
          <w:rFonts w:ascii="Book Antiqua" w:eastAsia="宋体" w:hAnsi="Book Antiqua" w:cs="Times New Roman" w:hint="eastAsia"/>
          <w:bCs/>
          <w:color w:val="000000"/>
          <w:kern w:val="2"/>
          <w:lang w:val="en-US" w:eastAsia="zh-CN"/>
        </w:rPr>
        <w:t>7</w:t>
      </w:r>
      <w:r w:rsidRPr="00644ED5">
        <w:rPr>
          <w:rFonts w:ascii="Book Antiqua" w:eastAsia="Times New Roman" w:hAnsi="Book Antiqua" w:cs="Times New Roman"/>
          <w:bCs/>
          <w:color w:val="000000"/>
          <w:kern w:val="2"/>
          <w:lang w:val="en-US" w:eastAsia="zh-CN"/>
        </w:rPr>
        <w:t xml:space="preserve"> </w:t>
      </w:r>
      <w:r w:rsidRPr="00644ED5">
        <w:rPr>
          <w:rFonts w:ascii="Book Antiqua" w:eastAsia="宋体" w:hAnsi="Book Antiqua" w:cs="Times New Roman" w:hint="eastAsia"/>
          <w:bCs/>
          <w:color w:val="000000"/>
          <w:kern w:val="2"/>
          <w:lang w:val="en-US" w:eastAsia="zh-CN"/>
        </w:rPr>
        <w:t>Aug</w:t>
      </w:r>
      <w:r w:rsidRPr="00644ED5">
        <w:rPr>
          <w:rFonts w:ascii="Book Antiqua" w:eastAsia="Times New Roman" w:hAnsi="Book Antiqua" w:cs="Times New Roman"/>
          <w:bCs/>
          <w:color w:val="000000"/>
          <w:kern w:val="2"/>
          <w:lang w:val="en-US" w:eastAsia="zh-CN"/>
        </w:rPr>
        <w:t xml:space="preserve"> </w:t>
      </w:r>
      <w:r w:rsidRPr="00644ED5">
        <w:rPr>
          <w:rFonts w:ascii="Book Antiqua" w:eastAsia="宋体" w:hAnsi="Book Antiqua" w:cs="Times New Roman" w:hint="eastAsia"/>
          <w:bCs/>
          <w:color w:val="000000"/>
          <w:kern w:val="2"/>
          <w:lang w:val="en-US" w:eastAsia="zh-CN"/>
        </w:rPr>
        <w:t>2</w:t>
      </w:r>
      <w:r w:rsidRPr="00644ED5">
        <w:rPr>
          <w:rFonts w:ascii="Book Antiqua" w:eastAsia="Times New Roman" w:hAnsi="Book Antiqua" w:cs="Times New Roman"/>
          <w:bCs/>
          <w:color w:val="000000"/>
          <w:kern w:val="2"/>
          <w:lang w:val="en-US" w:eastAsia="zh-CN"/>
        </w:rPr>
        <w:t>]</w:t>
      </w:r>
      <w:r w:rsidRPr="00644ED5">
        <w:rPr>
          <w:rFonts w:ascii="Book Antiqua" w:eastAsia="宋体" w:hAnsi="Book Antiqua" w:cs="Times New Roman" w:hint="eastAsia"/>
          <w:bCs/>
          <w:color w:val="000000"/>
          <w:kern w:val="2"/>
          <w:lang w:val="en-US" w:eastAsia="zh-CN"/>
        </w:rPr>
        <w:t xml:space="preserve">. </w:t>
      </w:r>
      <w:r w:rsidRPr="00644ED5">
        <w:rPr>
          <w:rFonts w:ascii="Book Antiqua" w:eastAsia="Times New Roman" w:hAnsi="Book Antiqua" w:cs="Times New Roman"/>
          <w:bCs/>
          <w:color w:val="000000"/>
          <w:kern w:val="2"/>
          <w:lang w:val="en-US" w:eastAsia="zh-CN"/>
        </w:rPr>
        <w:t xml:space="preserve">In: ClinicalTrials.gov </w:t>
      </w:r>
      <w:bookmarkStart w:id="74" w:name="OLE_LINK323"/>
      <w:bookmarkStart w:id="75" w:name="OLE_LINK324"/>
      <w:r w:rsidRPr="00644ED5">
        <w:rPr>
          <w:rFonts w:ascii="Book Antiqua" w:eastAsia="Times New Roman" w:hAnsi="Book Antiqua" w:cs="Times New Roman"/>
          <w:bCs/>
          <w:color w:val="000000"/>
          <w:kern w:val="2"/>
          <w:lang w:val="en-US" w:eastAsia="zh-CN"/>
        </w:rPr>
        <w:t>[Internet]</w:t>
      </w:r>
      <w:bookmarkEnd w:id="74"/>
      <w:bookmarkEnd w:id="75"/>
      <w:r w:rsidRPr="00644ED5">
        <w:rPr>
          <w:rFonts w:ascii="Book Antiqua" w:eastAsia="Times New Roman" w:hAnsi="Book Antiqua" w:cs="Times New Roman"/>
          <w:bCs/>
          <w:color w:val="000000"/>
          <w:kern w:val="2"/>
          <w:lang w:val="en-US" w:eastAsia="zh-CN"/>
        </w:rPr>
        <w:t>. Bethesda (MD): U.S. National Library of Medicine.</w:t>
      </w:r>
      <w:r w:rsidRPr="00644ED5">
        <w:rPr>
          <w:rFonts w:ascii="Book Antiqua" w:eastAsia="宋体" w:hAnsi="Book Antiqua" w:cs="Times New Roman" w:hint="eastAsia"/>
          <w:bCs/>
          <w:color w:val="000000"/>
          <w:kern w:val="2"/>
          <w:lang w:val="en-US" w:eastAsia="zh-CN"/>
        </w:rPr>
        <w:t xml:space="preserve"> </w:t>
      </w:r>
      <w:r w:rsidRPr="00644ED5">
        <w:rPr>
          <w:rFonts w:ascii="Book Antiqua" w:eastAsia="Times New Roman" w:hAnsi="Book Antiqua" w:cs="Times New Roman"/>
          <w:bCs/>
          <w:color w:val="000000"/>
          <w:kern w:val="2"/>
          <w:lang w:val="en-US" w:eastAsia="zh-CN"/>
        </w:rPr>
        <w:t xml:space="preserve">Available from: </w:t>
      </w:r>
      <w:r w:rsidRPr="00644ED5">
        <w:rPr>
          <w:rFonts w:ascii="Book Antiqua" w:eastAsia="宋体" w:hAnsi="Book Antiqua" w:cs="Times New Roman"/>
          <w:kern w:val="2"/>
          <w:lang w:val="en-US" w:eastAsia="zh-CN"/>
        </w:rPr>
        <w:t>https://clinicaltrials.gov/ct2/show/NCT01722578</w:t>
      </w:r>
      <w:r w:rsidRPr="00644ED5">
        <w:rPr>
          <w:rFonts w:ascii="Book Antiqua" w:eastAsia="宋体" w:hAnsi="Book Antiqua" w:cs="Times New Roman" w:hint="eastAsia"/>
          <w:kern w:val="2"/>
          <w:lang w:val="en-US" w:eastAsia="zh-CN"/>
        </w:rPr>
        <w:t xml:space="preserve"> </w:t>
      </w:r>
      <w:bookmarkStart w:id="76" w:name="OLE_LINK325"/>
      <w:bookmarkStart w:id="77" w:name="OLE_LINK326"/>
      <w:r w:rsidRPr="00644ED5">
        <w:rPr>
          <w:rFonts w:ascii="Book Antiqua" w:eastAsia="Times New Roman" w:hAnsi="Book Antiqua" w:cs="Times New Roman"/>
          <w:bCs/>
          <w:color w:val="000000"/>
          <w:kern w:val="2"/>
          <w:lang w:val="en-US" w:eastAsia="zh-CN"/>
        </w:rPr>
        <w:t>ClinicalTrials.gov</w:t>
      </w:r>
      <w:bookmarkEnd w:id="76"/>
      <w:bookmarkEnd w:id="77"/>
      <w:r w:rsidRPr="00644ED5">
        <w:rPr>
          <w:rFonts w:ascii="Book Antiqua" w:eastAsia="Times New Roman" w:hAnsi="Book Antiqua" w:cs="Times New Roman"/>
          <w:bCs/>
          <w:color w:val="000000"/>
          <w:kern w:val="2"/>
          <w:lang w:val="en-US" w:eastAsia="zh-CN"/>
        </w:rPr>
        <w:t xml:space="preserve"> Identifier: </w:t>
      </w:r>
      <w:r w:rsidRPr="00644ED5">
        <w:rPr>
          <w:rFonts w:ascii="Book Antiqua" w:eastAsia="宋体" w:hAnsi="Book Antiqua" w:cs="Times New Roman"/>
          <w:kern w:val="2"/>
          <w:lang w:val="en-US" w:eastAsia="zh-CN"/>
        </w:rPr>
        <w:t>NCT01722578</w:t>
      </w:r>
    </w:p>
    <w:p w14:paraId="64F4540E"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82 </w:t>
      </w:r>
      <w:r w:rsidRPr="00644ED5">
        <w:rPr>
          <w:rFonts w:ascii="Book Antiqua" w:eastAsia="宋体" w:hAnsi="Book Antiqua" w:cs="Times New Roman"/>
          <w:b/>
          <w:kern w:val="2"/>
          <w:lang w:val="en-US" w:eastAsia="zh-CN"/>
        </w:rPr>
        <w:t>Gentile S</w:t>
      </w:r>
      <w:r w:rsidRPr="00644ED5">
        <w:rPr>
          <w:rFonts w:ascii="Book Antiqua" w:eastAsia="宋体" w:hAnsi="Book Antiqua" w:cs="Times New Roman"/>
          <w:kern w:val="2"/>
          <w:lang w:val="en-US" w:eastAsia="zh-CN"/>
        </w:rPr>
        <w:t xml:space="preserve">, Guarino G, Romano M, Alagia IA, Fierro M, Annunziata S, Magliano PL, Gravina AG, Torella R. A randomized controlled trial of acarbose in hepatic encephalopathy. </w:t>
      </w:r>
      <w:r w:rsidRPr="00644ED5">
        <w:rPr>
          <w:rFonts w:ascii="Book Antiqua" w:eastAsia="宋体" w:hAnsi="Book Antiqua" w:cs="Times New Roman"/>
          <w:i/>
          <w:kern w:val="2"/>
          <w:lang w:val="en-US" w:eastAsia="zh-CN"/>
        </w:rPr>
        <w:t>Clin Gastroenterol Hepatol</w:t>
      </w:r>
      <w:r w:rsidRPr="00644ED5">
        <w:rPr>
          <w:rFonts w:ascii="Book Antiqua" w:eastAsia="宋体" w:hAnsi="Book Antiqua" w:cs="Times New Roman"/>
          <w:kern w:val="2"/>
          <w:lang w:val="en-US" w:eastAsia="zh-CN"/>
        </w:rPr>
        <w:t xml:space="preserve"> 2005; </w:t>
      </w:r>
      <w:r w:rsidRPr="00644ED5">
        <w:rPr>
          <w:rFonts w:ascii="Book Antiqua" w:eastAsia="宋体" w:hAnsi="Book Antiqua" w:cs="Times New Roman"/>
          <w:b/>
          <w:kern w:val="2"/>
          <w:lang w:val="en-US" w:eastAsia="zh-CN"/>
        </w:rPr>
        <w:t>3</w:t>
      </w:r>
      <w:r w:rsidRPr="00644ED5">
        <w:rPr>
          <w:rFonts w:ascii="Book Antiqua" w:eastAsia="宋体" w:hAnsi="Book Antiqua" w:cs="Times New Roman"/>
          <w:kern w:val="2"/>
          <w:lang w:val="en-US" w:eastAsia="zh-CN"/>
        </w:rPr>
        <w:t>: 184-191 [PMID: 15704053 DOI: 10.1016/S1542-3565(04)00667-6]</w:t>
      </w:r>
    </w:p>
    <w:p w14:paraId="0C497B9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83 </w:t>
      </w:r>
      <w:r w:rsidRPr="00644ED5">
        <w:rPr>
          <w:rFonts w:ascii="Book Antiqua" w:eastAsia="宋体" w:hAnsi="Book Antiqua" w:cs="Times New Roman"/>
          <w:b/>
          <w:kern w:val="2"/>
          <w:lang w:val="en-US" w:eastAsia="zh-CN"/>
        </w:rPr>
        <w:t>Mullen KD</w:t>
      </w:r>
      <w:r w:rsidRPr="00644ED5">
        <w:rPr>
          <w:rFonts w:ascii="Book Antiqua" w:eastAsia="宋体" w:hAnsi="Book Antiqua" w:cs="Times New Roman"/>
          <w:kern w:val="2"/>
          <w:lang w:val="en-US" w:eastAsia="zh-CN"/>
        </w:rPr>
        <w:t xml:space="preserve">, Howard R. Is acarbose an effective drug for treating patients with cirrhosis and hepatic encephalopathy? </w:t>
      </w:r>
      <w:r w:rsidRPr="00644ED5">
        <w:rPr>
          <w:rFonts w:ascii="Book Antiqua" w:eastAsia="宋体" w:hAnsi="Book Antiqua" w:cs="Times New Roman"/>
          <w:i/>
          <w:kern w:val="2"/>
          <w:lang w:val="en-US" w:eastAsia="zh-CN"/>
        </w:rPr>
        <w:t>Nat Clin Pract Gastroenterol Hepatol</w:t>
      </w:r>
      <w:r w:rsidRPr="00644ED5">
        <w:rPr>
          <w:rFonts w:ascii="Book Antiqua" w:eastAsia="宋体" w:hAnsi="Book Antiqua" w:cs="Times New Roman"/>
          <w:kern w:val="2"/>
          <w:lang w:val="en-US" w:eastAsia="zh-CN"/>
        </w:rPr>
        <w:t xml:space="preserve"> 2005; </w:t>
      </w:r>
      <w:r w:rsidRPr="00644ED5">
        <w:rPr>
          <w:rFonts w:ascii="Book Antiqua" w:eastAsia="宋体" w:hAnsi="Book Antiqua" w:cs="Times New Roman"/>
          <w:b/>
          <w:kern w:val="2"/>
          <w:lang w:val="en-US" w:eastAsia="zh-CN"/>
        </w:rPr>
        <w:t>2</w:t>
      </w:r>
      <w:r w:rsidRPr="00644ED5">
        <w:rPr>
          <w:rFonts w:ascii="Book Antiqua" w:eastAsia="宋体" w:hAnsi="Book Antiqua" w:cs="Times New Roman"/>
          <w:kern w:val="2"/>
          <w:lang w:val="en-US" w:eastAsia="zh-CN"/>
        </w:rPr>
        <w:t>: 264-265 [PMID: 16265229 DOI: 10.1038/ncpgasthep0194]</w:t>
      </w:r>
    </w:p>
    <w:p w14:paraId="7A166BC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84 </w:t>
      </w:r>
      <w:r w:rsidRPr="00644ED5">
        <w:rPr>
          <w:rFonts w:ascii="Book Antiqua" w:eastAsia="宋体" w:hAnsi="Book Antiqua" w:cs="Times New Roman"/>
          <w:b/>
          <w:kern w:val="2"/>
          <w:lang w:val="en-US" w:eastAsia="zh-CN"/>
        </w:rPr>
        <w:t>Ventura-Cots M</w:t>
      </w:r>
      <w:r w:rsidRPr="00644ED5">
        <w:rPr>
          <w:rFonts w:ascii="Book Antiqua" w:eastAsia="宋体" w:hAnsi="Book Antiqua" w:cs="Times New Roman"/>
          <w:kern w:val="2"/>
          <w:lang w:val="en-US" w:eastAsia="zh-CN"/>
        </w:rPr>
        <w:t xml:space="preserve">, Santos B, Genescà J. α1 and α2-adrenergic agonists on cirrhotic patients with refractory ascites.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36</w:t>
      </w:r>
      <w:r w:rsidRPr="00644ED5">
        <w:rPr>
          <w:rFonts w:ascii="Book Antiqua" w:eastAsia="宋体" w:hAnsi="Book Antiqua" w:cs="Times New Roman"/>
          <w:kern w:val="2"/>
          <w:lang w:val="en-US" w:eastAsia="zh-CN"/>
        </w:rPr>
        <w:t>: 177-180 [PMID: 26284943 DOI: 10.1111/liv.12941]</w:t>
      </w:r>
    </w:p>
    <w:p w14:paraId="49308B2D"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85 </w:t>
      </w:r>
      <w:r w:rsidRPr="00644ED5">
        <w:rPr>
          <w:rFonts w:ascii="Book Antiqua" w:eastAsia="宋体" w:hAnsi="Book Antiqua" w:cs="Times New Roman"/>
          <w:b/>
          <w:kern w:val="2"/>
          <w:lang w:val="en-US" w:eastAsia="zh-CN"/>
        </w:rPr>
        <w:t>Moore KP</w:t>
      </w:r>
      <w:r w:rsidRPr="00644ED5">
        <w:rPr>
          <w:rFonts w:ascii="Book Antiqua" w:eastAsia="宋体" w:hAnsi="Book Antiqua" w:cs="Times New Roman"/>
          <w:kern w:val="2"/>
          <w:lang w:val="en-US" w:eastAsia="zh-CN"/>
        </w:rPr>
        <w:t xml:space="preserve">, Aithal GP. Guidelines on the management of ascites in cirrhosis.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2006; </w:t>
      </w:r>
      <w:r w:rsidRPr="00644ED5">
        <w:rPr>
          <w:rFonts w:ascii="Book Antiqua" w:eastAsia="宋体" w:hAnsi="Book Antiqua" w:cs="Times New Roman"/>
          <w:b/>
          <w:kern w:val="2"/>
          <w:lang w:val="en-US" w:eastAsia="zh-CN"/>
        </w:rPr>
        <w:t>55 Suppl 6</w:t>
      </w:r>
      <w:r w:rsidRPr="00644ED5">
        <w:rPr>
          <w:rFonts w:ascii="Book Antiqua" w:eastAsia="宋体" w:hAnsi="Book Antiqua" w:cs="Times New Roman"/>
          <w:kern w:val="2"/>
          <w:lang w:val="en-US" w:eastAsia="zh-CN"/>
        </w:rPr>
        <w:t>: vi1-v12 [PMID: 16966752 DOI: 10.1136/gut.2006.099580]</w:t>
      </w:r>
    </w:p>
    <w:p w14:paraId="665822E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86 </w:t>
      </w:r>
      <w:r w:rsidRPr="00644ED5">
        <w:rPr>
          <w:rFonts w:ascii="Book Antiqua" w:eastAsia="宋体" w:hAnsi="Book Antiqua" w:cs="Times New Roman"/>
          <w:b/>
          <w:kern w:val="2"/>
          <w:lang w:val="en-US" w:eastAsia="zh-CN"/>
        </w:rPr>
        <w:t>Piano S</w:t>
      </w:r>
      <w:r w:rsidRPr="00644ED5">
        <w:rPr>
          <w:rFonts w:ascii="Book Antiqua" w:eastAsia="宋体" w:hAnsi="Book Antiqua" w:cs="Times New Roman"/>
          <w:kern w:val="2"/>
          <w:lang w:val="en-US" w:eastAsia="zh-CN"/>
        </w:rPr>
        <w:t xml:space="preserve">, Tonon M, Angeli P. Management of ascites and hepatorenal syndrome. </w:t>
      </w:r>
      <w:r w:rsidRPr="00644ED5">
        <w:rPr>
          <w:rFonts w:ascii="Book Antiqua" w:eastAsia="宋体" w:hAnsi="Book Antiqua" w:cs="Times New Roman"/>
          <w:i/>
          <w:kern w:val="2"/>
          <w:lang w:val="en-US" w:eastAsia="zh-CN"/>
        </w:rPr>
        <w:t>Hepatol Int</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12</w:t>
      </w:r>
      <w:r w:rsidRPr="00644ED5">
        <w:rPr>
          <w:rFonts w:ascii="Book Antiqua" w:eastAsia="宋体" w:hAnsi="Book Antiqua" w:cs="Times New Roman"/>
          <w:kern w:val="2"/>
          <w:lang w:val="en-US" w:eastAsia="zh-CN"/>
        </w:rPr>
        <w:t>: 122-134 [PMID: 28836115 DOI: 10.1007/s12072-017-9815-0]</w:t>
      </w:r>
    </w:p>
    <w:p w14:paraId="5E3EC9E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87 </w:t>
      </w:r>
      <w:r w:rsidRPr="00644ED5">
        <w:rPr>
          <w:rFonts w:ascii="Book Antiqua" w:eastAsia="宋体" w:hAnsi="Book Antiqua" w:cs="Times New Roman"/>
          <w:b/>
          <w:kern w:val="2"/>
          <w:lang w:val="en-US" w:eastAsia="zh-CN"/>
        </w:rPr>
        <w:t>Ginès P</w:t>
      </w:r>
      <w:r w:rsidRPr="00644ED5">
        <w:rPr>
          <w:rFonts w:ascii="Book Antiqua" w:eastAsia="宋体" w:hAnsi="Book Antiqua" w:cs="Times New Roman"/>
          <w:kern w:val="2"/>
          <w:lang w:val="en-US" w:eastAsia="zh-CN"/>
        </w:rPr>
        <w:t xml:space="preserve">, Cárdenas A, Arroyo V, Rodés J. Management of cirrhosis and ascites. </w:t>
      </w:r>
      <w:r w:rsidRPr="00644ED5">
        <w:rPr>
          <w:rFonts w:ascii="Book Antiqua" w:eastAsia="宋体" w:hAnsi="Book Antiqua" w:cs="Times New Roman"/>
          <w:i/>
          <w:kern w:val="2"/>
          <w:lang w:val="en-US" w:eastAsia="zh-CN"/>
        </w:rPr>
        <w:t>N Engl J Med</w:t>
      </w:r>
      <w:r w:rsidRPr="00644ED5">
        <w:rPr>
          <w:rFonts w:ascii="Book Antiqua" w:eastAsia="宋体" w:hAnsi="Book Antiqua" w:cs="Times New Roman"/>
          <w:kern w:val="2"/>
          <w:lang w:val="en-US" w:eastAsia="zh-CN"/>
        </w:rPr>
        <w:t xml:space="preserve"> 2004; </w:t>
      </w:r>
      <w:r w:rsidRPr="00644ED5">
        <w:rPr>
          <w:rFonts w:ascii="Book Antiqua" w:eastAsia="宋体" w:hAnsi="Book Antiqua" w:cs="Times New Roman"/>
          <w:b/>
          <w:kern w:val="2"/>
          <w:lang w:val="en-US" w:eastAsia="zh-CN"/>
        </w:rPr>
        <w:t>350</w:t>
      </w:r>
      <w:r w:rsidRPr="00644ED5">
        <w:rPr>
          <w:rFonts w:ascii="Book Antiqua" w:eastAsia="宋体" w:hAnsi="Book Antiqua" w:cs="Times New Roman"/>
          <w:kern w:val="2"/>
          <w:lang w:val="en-US" w:eastAsia="zh-CN"/>
        </w:rPr>
        <w:t>: 1646-1654 [PMID: 15084697 DOI: 10.1056/NEJMra035021]</w:t>
      </w:r>
    </w:p>
    <w:p w14:paraId="29D5B88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88 </w:t>
      </w:r>
      <w:r w:rsidRPr="00644ED5">
        <w:rPr>
          <w:rFonts w:ascii="Book Antiqua" w:eastAsia="宋体" w:hAnsi="Book Antiqua" w:cs="Times New Roman"/>
          <w:b/>
          <w:kern w:val="2"/>
          <w:lang w:val="en-US" w:eastAsia="zh-CN"/>
        </w:rPr>
        <w:t>Moore KP</w:t>
      </w:r>
      <w:r w:rsidRPr="00644ED5">
        <w:rPr>
          <w:rFonts w:ascii="Book Antiqua" w:eastAsia="宋体" w:hAnsi="Book Antiqua" w:cs="Times New Roman"/>
          <w:kern w:val="2"/>
          <w:lang w:val="en-US" w:eastAsia="zh-CN"/>
        </w:rPr>
        <w:t xml:space="preserve">, Wong F, Gines P, Bernardi M, Ochs A, Salerno F, Angeli P, Porayko M, Moreau R, Garcia-Tsao G, Jimenez W, Planas R, Arroyo V. The management of ascites in cirrhosis: Report on the consensus conference of the International Ascites Club.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2003; </w:t>
      </w:r>
      <w:r w:rsidRPr="00644ED5">
        <w:rPr>
          <w:rFonts w:ascii="Book Antiqua" w:eastAsia="宋体" w:hAnsi="Book Antiqua" w:cs="Times New Roman"/>
          <w:b/>
          <w:kern w:val="2"/>
          <w:lang w:val="en-US" w:eastAsia="zh-CN"/>
        </w:rPr>
        <w:t>38</w:t>
      </w:r>
      <w:r w:rsidRPr="00644ED5">
        <w:rPr>
          <w:rFonts w:ascii="Book Antiqua" w:eastAsia="宋体" w:hAnsi="Book Antiqua" w:cs="Times New Roman"/>
          <w:kern w:val="2"/>
          <w:lang w:val="en-US" w:eastAsia="zh-CN"/>
        </w:rPr>
        <w:t>: 258-266 [PMID: 12830009 DOI: 10.1053/jhep.2003.50315]</w:t>
      </w:r>
    </w:p>
    <w:p w14:paraId="07140F2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89 </w:t>
      </w:r>
      <w:r w:rsidRPr="00644ED5">
        <w:rPr>
          <w:rFonts w:ascii="Book Antiqua" w:eastAsia="宋体" w:hAnsi="Book Antiqua" w:cs="Times New Roman"/>
          <w:b/>
          <w:kern w:val="2"/>
          <w:lang w:val="en-US" w:eastAsia="zh-CN"/>
        </w:rPr>
        <w:t>Sherlock S</w:t>
      </w:r>
      <w:r w:rsidRPr="00644ED5">
        <w:rPr>
          <w:rFonts w:ascii="Book Antiqua" w:eastAsia="宋体" w:hAnsi="Book Antiqua" w:cs="Times New Roman"/>
          <w:kern w:val="2"/>
          <w:lang w:val="en-US" w:eastAsia="zh-CN"/>
        </w:rPr>
        <w:t xml:space="preserve">, Walker JG, Senewiratne B, Scott A. The complications of diuretic therapy in patients with cirrhosis. </w:t>
      </w:r>
      <w:r w:rsidRPr="00644ED5">
        <w:rPr>
          <w:rFonts w:ascii="Book Antiqua" w:eastAsia="宋体" w:hAnsi="Book Antiqua" w:cs="Times New Roman"/>
          <w:i/>
          <w:kern w:val="2"/>
          <w:lang w:val="en-US" w:eastAsia="zh-CN"/>
        </w:rPr>
        <w:t>Ann N Y Acad Sci</w:t>
      </w:r>
      <w:r w:rsidRPr="00644ED5">
        <w:rPr>
          <w:rFonts w:ascii="Book Antiqua" w:eastAsia="宋体" w:hAnsi="Book Antiqua" w:cs="Times New Roman"/>
          <w:kern w:val="2"/>
          <w:lang w:val="en-US" w:eastAsia="zh-CN"/>
        </w:rPr>
        <w:t xml:space="preserve"> 1966; </w:t>
      </w:r>
      <w:r w:rsidRPr="00644ED5">
        <w:rPr>
          <w:rFonts w:ascii="Book Antiqua" w:eastAsia="宋体" w:hAnsi="Book Antiqua" w:cs="Times New Roman"/>
          <w:b/>
          <w:kern w:val="2"/>
          <w:lang w:val="en-US" w:eastAsia="zh-CN"/>
        </w:rPr>
        <w:t>139</w:t>
      </w:r>
      <w:r w:rsidRPr="00644ED5">
        <w:rPr>
          <w:rFonts w:ascii="Book Antiqua" w:eastAsia="宋体" w:hAnsi="Book Antiqua" w:cs="Times New Roman"/>
          <w:kern w:val="2"/>
          <w:lang w:val="en-US" w:eastAsia="zh-CN"/>
        </w:rPr>
        <w:t>: 497-505 [PMID: 5230290 DOI: 10.1111/j.1749-6632.1966.tb41223.x]</w:t>
      </w:r>
    </w:p>
    <w:p w14:paraId="2796CA7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lastRenderedPageBreak/>
        <w:t xml:space="preserve">90 </w:t>
      </w:r>
      <w:r w:rsidRPr="00644ED5">
        <w:rPr>
          <w:rFonts w:ascii="Book Antiqua" w:eastAsia="宋体" w:hAnsi="Book Antiqua" w:cs="Times New Roman"/>
          <w:b/>
          <w:kern w:val="2"/>
          <w:lang w:val="en-US" w:eastAsia="zh-CN"/>
        </w:rPr>
        <w:t>Laffi G</w:t>
      </w:r>
      <w:r w:rsidRPr="00644ED5">
        <w:rPr>
          <w:rFonts w:ascii="Book Antiqua" w:eastAsia="宋体" w:hAnsi="Book Antiqua" w:cs="Times New Roman"/>
          <w:kern w:val="2"/>
          <w:lang w:val="en-US" w:eastAsia="zh-CN"/>
        </w:rPr>
        <w:t xml:space="preserve">, La Villa G, Carloni V, Foschi M, Bartoletti L, Quartini M, Gentilini P. Loop diuretic therapy in liver cirrhosis with ascites. </w:t>
      </w:r>
      <w:r w:rsidRPr="00644ED5">
        <w:rPr>
          <w:rFonts w:ascii="Book Antiqua" w:eastAsia="宋体" w:hAnsi="Book Antiqua" w:cs="Times New Roman"/>
          <w:i/>
          <w:kern w:val="2"/>
          <w:lang w:val="en-US" w:eastAsia="zh-CN"/>
        </w:rPr>
        <w:t>J Cardiovasc Pharmacol</w:t>
      </w:r>
      <w:r w:rsidRPr="00644ED5">
        <w:rPr>
          <w:rFonts w:ascii="Book Antiqua" w:eastAsia="宋体" w:hAnsi="Book Antiqua" w:cs="Times New Roman"/>
          <w:kern w:val="2"/>
          <w:lang w:val="en-US" w:eastAsia="zh-CN"/>
        </w:rPr>
        <w:t xml:space="preserve"> 1993; </w:t>
      </w:r>
      <w:r w:rsidRPr="00644ED5">
        <w:rPr>
          <w:rFonts w:ascii="Book Antiqua" w:eastAsia="宋体" w:hAnsi="Book Antiqua" w:cs="Times New Roman"/>
          <w:b/>
          <w:kern w:val="2"/>
          <w:lang w:val="en-US" w:eastAsia="zh-CN"/>
        </w:rPr>
        <w:t>22 Suppl 3</w:t>
      </w:r>
      <w:r w:rsidRPr="00644ED5">
        <w:rPr>
          <w:rFonts w:ascii="Book Antiqua" w:eastAsia="宋体" w:hAnsi="Book Antiqua" w:cs="Times New Roman"/>
          <w:kern w:val="2"/>
          <w:lang w:val="en-US" w:eastAsia="zh-CN"/>
        </w:rPr>
        <w:t>: S51-S58 [PMID: 7506337 DOI: 10.1097/00005344-199322003-00007]</w:t>
      </w:r>
    </w:p>
    <w:p w14:paraId="5EE171D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91 </w:t>
      </w:r>
      <w:r w:rsidRPr="00644ED5">
        <w:rPr>
          <w:rFonts w:ascii="Book Antiqua" w:eastAsia="宋体" w:hAnsi="Book Antiqua" w:cs="Times New Roman"/>
          <w:b/>
          <w:kern w:val="2"/>
          <w:lang w:val="en-US" w:eastAsia="zh-CN"/>
        </w:rPr>
        <w:t>Tsochatzis EA</w:t>
      </w:r>
      <w:r w:rsidRPr="00644ED5">
        <w:rPr>
          <w:rFonts w:ascii="Book Antiqua" w:eastAsia="宋体" w:hAnsi="Book Antiqua" w:cs="Times New Roman"/>
          <w:kern w:val="2"/>
          <w:lang w:val="en-US" w:eastAsia="zh-CN"/>
        </w:rPr>
        <w:t xml:space="preserve">, Gerbes AL. Diagnosis and treatment of ascites.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67</w:t>
      </w:r>
      <w:r w:rsidRPr="00644ED5">
        <w:rPr>
          <w:rFonts w:ascii="Book Antiqua" w:eastAsia="宋体" w:hAnsi="Book Antiqua" w:cs="Times New Roman"/>
          <w:kern w:val="2"/>
          <w:lang w:val="en-US" w:eastAsia="zh-CN"/>
        </w:rPr>
        <w:t>: 184-185 [PMID: 28119010 DOI: 10.1016/j.jhep.2017.01.011]</w:t>
      </w:r>
    </w:p>
    <w:p w14:paraId="09D9640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92 </w:t>
      </w:r>
      <w:r w:rsidRPr="00644ED5">
        <w:rPr>
          <w:rFonts w:ascii="Book Antiqua" w:eastAsia="宋体" w:hAnsi="Book Antiqua" w:cs="Times New Roman"/>
          <w:b/>
          <w:kern w:val="2"/>
          <w:lang w:val="en-US" w:eastAsia="zh-CN"/>
        </w:rPr>
        <w:t>Senousy BE</w:t>
      </w:r>
      <w:r w:rsidRPr="00644ED5">
        <w:rPr>
          <w:rFonts w:ascii="Book Antiqua" w:eastAsia="宋体" w:hAnsi="Book Antiqua" w:cs="Times New Roman"/>
          <w:kern w:val="2"/>
          <w:lang w:val="en-US" w:eastAsia="zh-CN"/>
        </w:rPr>
        <w:t xml:space="preserve">, Draganov PV. Evaluation and management of patients with refractory ascites. </w:t>
      </w:r>
      <w:r w:rsidRPr="00644ED5">
        <w:rPr>
          <w:rFonts w:ascii="Book Antiqua" w:eastAsia="宋体" w:hAnsi="Book Antiqua" w:cs="Times New Roman"/>
          <w:i/>
          <w:kern w:val="2"/>
          <w:lang w:val="en-US" w:eastAsia="zh-CN"/>
        </w:rPr>
        <w:t>World J Gastroenterol</w:t>
      </w:r>
      <w:r w:rsidRPr="00644ED5">
        <w:rPr>
          <w:rFonts w:ascii="Book Antiqua" w:eastAsia="宋体" w:hAnsi="Book Antiqua" w:cs="Times New Roman"/>
          <w:kern w:val="2"/>
          <w:lang w:val="en-US" w:eastAsia="zh-CN"/>
        </w:rPr>
        <w:t xml:space="preserve"> 2009; </w:t>
      </w:r>
      <w:r w:rsidRPr="00644ED5">
        <w:rPr>
          <w:rFonts w:ascii="Book Antiqua" w:eastAsia="宋体" w:hAnsi="Book Antiqua" w:cs="Times New Roman"/>
          <w:b/>
          <w:kern w:val="2"/>
          <w:lang w:val="en-US" w:eastAsia="zh-CN"/>
        </w:rPr>
        <w:t>15</w:t>
      </w:r>
      <w:r w:rsidRPr="00644ED5">
        <w:rPr>
          <w:rFonts w:ascii="Book Antiqua" w:eastAsia="宋体" w:hAnsi="Book Antiqua" w:cs="Times New Roman"/>
          <w:kern w:val="2"/>
          <w:lang w:val="en-US" w:eastAsia="zh-CN"/>
        </w:rPr>
        <w:t>: 67-80 [PMID: 19115470 DOI: 10.3748/wjg.15.67]</w:t>
      </w:r>
    </w:p>
    <w:p w14:paraId="73DF445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93 </w:t>
      </w:r>
      <w:r w:rsidRPr="00644ED5">
        <w:rPr>
          <w:rFonts w:ascii="Book Antiqua" w:eastAsia="宋体" w:hAnsi="Book Antiqua" w:cs="Times New Roman"/>
          <w:b/>
          <w:kern w:val="2"/>
          <w:lang w:val="en-US" w:eastAsia="zh-CN"/>
        </w:rPr>
        <w:t>Mukerji AN</w:t>
      </w:r>
      <w:r w:rsidRPr="00644ED5">
        <w:rPr>
          <w:rFonts w:ascii="Book Antiqua" w:eastAsia="宋体" w:hAnsi="Book Antiqua" w:cs="Times New Roman"/>
          <w:kern w:val="2"/>
          <w:lang w:val="en-US" w:eastAsia="zh-CN"/>
        </w:rPr>
        <w:t xml:space="preserve">, Patel V, Jain A. Improving survival in decompensated cirrhosis. </w:t>
      </w:r>
      <w:r w:rsidRPr="00644ED5">
        <w:rPr>
          <w:rFonts w:ascii="Book Antiqua" w:eastAsia="宋体" w:hAnsi="Book Antiqua" w:cs="Times New Roman"/>
          <w:i/>
          <w:kern w:val="2"/>
          <w:lang w:val="en-US" w:eastAsia="zh-CN"/>
        </w:rPr>
        <w:t>Int J Hepatol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2012</w:t>
      </w:r>
      <w:r w:rsidRPr="00644ED5">
        <w:rPr>
          <w:rFonts w:ascii="Book Antiqua" w:eastAsia="宋体" w:hAnsi="Book Antiqua" w:cs="Times New Roman"/>
          <w:kern w:val="2"/>
          <w:lang w:val="en-US" w:eastAsia="zh-CN"/>
        </w:rPr>
        <w:t>: 318627 [PMID: 22811919 DOI: 10.1155/2012/318627]</w:t>
      </w:r>
    </w:p>
    <w:p w14:paraId="574DE21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94 </w:t>
      </w:r>
      <w:r w:rsidRPr="00644ED5">
        <w:rPr>
          <w:rFonts w:ascii="Book Antiqua" w:eastAsia="宋体" w:hAnsi="Book Antiqua" w:cs="Times New Roman"/>
          <w:b/>
          <w:kern w:val="2"/>
          <w:lang w:val="en-US" w:eastAsia="zh-CN"/>
        </w:rPr>
        <w:t>Singh V</w:t>
      </w:r>
      <w:r w:rsidRPr="00644ED5">
        <w:rPr>
          <w:rFonts w:ascii="Book Antiqua" w:eastAsia="宋体" w:hAnsi="Book Antiqua" w:cs="Times New Roman"/>
          <w:kern w:val="2"/>
          <w:lang w:val="en-US" w:eastAsia="zh-CN"/>
        </w:rPr>
        <w:t xml:space="preserve">, Singh A, Singh B, Vijayvergiya R, Sharma N, Ghai A, Bhalla A. Midodrine and clonidine in patients with cirrhosis and refractory or recurrent ascites: A randomized pilot study. </w:t>
      </w:r>
      <w:r w:rsidRPr="00644ED5">
        <w:rPr>
          <w:rFonts w:ascii="Book Antiqua" w:eastAsia="宋体" w:hAnsi="Book Antiqua" w:cs="Times New Roman"/>
          <w:i/>
          <w:kern w:val="2"/>
          <w:lang w:val="en-US" w:eastAsia="zh-CN"/>
        </w:rPr>
        <w:t>Am J Gastroenterol</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108</w:t>
      </w:r>
      <w:r w:rsidRPr="00644ED5">
        <w:rPr>
          <w:rFonts w:ascii="Book Antiqua" w:eastAsia="宋体" w:hAnsi="Book Antiqua" w:cs="Times New Roman"/>
          <w:kern w:val="2"/>
          <w:lang w:val="en-US" w:eastAsia="zh-CN"/>
        </w:rPr>
        <w:t>: 560-567 [PMID: 23419385 DOI: 10.1038/ajg.2013.9]</w:t>
      </w:r>
    </w:p>
    <w:p w14:paraId="61E6C15A"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95 </w:t>
      </w:r>
      <w:r w:rsidRPr="00644ED5">
        <w:rPr>
          <w:rFonts w:ascii="Book Antiqua" w:eastAsia="宋体" w:hAnsi="Book Antiqua" w:cs="Times New Roman"/>
          <w:b/>
          <w:kern w:val="2"/>
          <w:lang w:val="en-US" w:eastAsia="zh-CN"/>
        </w:rPr>
        <w:t>Singh V</w:t>
      </w:r>
      <w:r w:rsidRPr="00644ED5">
        <w:rPr>
          <w:rFonts w:ascii="Book Antiqua" w:eastAsia="宋体" w:hAnsi="Book Antiqua" w:cs="Times New Roman"/>
          <w:kern w:val="2"/>
          <w:lang w:val="en-US" w:eastAsia="zh-CN"/>
        </w:rPr>
        <w:t xml:space="preserve">, Dhungana SP, Singh B, Vijayverghia R, Nain CK, Sharma N, Bhalla A, Gupta PK. Midodrine in patients with cirrhosis and refractory or recurrent ascites: A randomized pilot study.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56</w:t>
      </w:r>
      <w:r w:rsidRPr="00644ED5">
        <w:rPr>
          <w:rFonts w:ascii="Book Antiqua" w:eastAsia="宋体" w:hAnsi="Book Antiqua" w:cs="Times New Roman"/>
          <w:kern w:val="2"/>
          <w:lang w:val="en-US" w:eastAsia="zh-CN"/>
        </w:rPr>
        <w:t>: 348-354 [PMID: 21749847 DOI: 10.1016/j.jhep.2011.04.027]</w:t>
      </w:r>
    </w:p>
    <w:p w14:paraId="6C947A5A"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96 </w:t>
      </w:r>
      <w:r w:rsidRPr="00644ED5">
        <w:rPr>
          <w:rFonts w:ascii="Book Antiqua" w:eastAsia="宋体" w:hAnsi="Book Antiqua" w:cs="Times New Roman"/>
          <w:b/>
          <w:kern w:val="2"/>
          <w:lang w:val="en-US" w:eastAsia="zh-CN"/>
        </w:rPr>
        <w:t>Guo TT</w:t>
      </w:r>
      <w:r w:rsidRPr="00644ED5">
        <w:rPr>
          <w:rFonts w:ascii="Book Antiqua" w:eastAsia="宋体" w:hAnsi="Book Antiqua" w:cs="Times New Roman"/>
          <w:kern w:val="2"/>
          <w:lang w:val="en-US" w:eastAsia="zh-CN"/>
        </w:rPr>
        <w:t xml:space="preserve">, Yang Y, Song Y, Ren Y, Liu ZX, Cheng G. Effects of midodrine in patients with ascites due to cirrhosis: Systematic review and meta-analysis. </w:t>
      </w:r>
      <w:r w:rsidRPr="00644ED5">
        <w:rPr>
          <w:rFonts w:ascii="Book Antiqua" w:eastAsia="宋体" w:hAnsi="Book Antiqua" w:cs="Times New Roman"/>
          <w:i/>
          <w:kern w:val="2"/>
          <w:lang w:val="en-US" w:eastAsia="zh-CN"/>
        </w:rPr>
        <w:t>J Dig Dis</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17</w:t>
      </w:r>
      <w:r w:rsidRPr="00644ED5">
        <w:rPr>
          <w:rFonts w:ascii="Book Antiqua" w:eastAsia="宋体" w:hAnsi="Book Antiqua" w:cs="Times New Roman"/>
          <w:kern w:val="2"/>
          <w:lang w:val="en-US" w:eastAsia="zh-CN"/>
        </w:rPr>
        <w:t>: 11-19 [PMID: 26630543 DOI: 10.1111/1751-2980.12304]</w:t>
      </w:r>
    </w:p>
    <w:p w14:paraId="1726B4AD"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97 </w:t>
      </w:r>
      <w:r w:rsidRPr="00644ED5">
        <w:rPr>
          <w:rFonts w:ascii="Book Antiqua" w:eastAsia="宋体" w:hAnsi="Book Antiqua" w:cs="Times New Roman"/>
          <w:b/>
          <w:kern w:val="2"/>
          <w:lang w:val="en-US" w:eastAsia="zh-CN"/>
        </w:rPr>
        <w:t>Patel S</w:t>
      </w:r>
      <w:r w:rsidRPr="00644ED5">
        <w:rPr>
          <w:rFonts w:ascii="Book Antiqua" w:eastAsia="宋体" w:hAnsi="Book Antiqua" w:cs="Times New Roman"/>
          <w:kern w:val="2"/>
          <w:lang w:val="en-US" w:eastAsia="zh-CN"/>
        </w:rPr>
        <w:t xml:space="preserve">, Nguyen DS, Rastogi A, Nguyen MK, Nguyen MK. Treatment of Cirrhosis-Associated Hyponatremia with Midodrine and Octreotide. </w:t>
      </w:r>
      <w:r w:rsidRPr="00644ED5">
        <w:rPr>
          <w:rFonts w:ascii="Book Antiqua" w:eastAsia="宋体" w:hAnsi="Book Antiqua" w:cs="Times New Roman"/>
          <w:i/>
          <w:kern w:val="2"/>
          <w:lang w:val="en-US" w:eastAsia="zh-CN"/>
        </w:rPr>
        <w:t>Front Med (Lausanne)</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4</w:t>
      </w:r>
      <w:r w:rsidRPr="00644ED5">
        <w:rPr>
          <w:rFonts w:ascii="Book Antiqua" w:eastAsia="宋体" w:hAnsi="Book Antiqua" w:cs="Times New Roman"/>
          <w:kern w:val="2"/>
          <w:lang w:val="en-US" w:eastAsia="zh-CN"/>
        </w:rPr>
        <w:t>: 17 [PMID: 28352627 DOI: 10.3389/fmed.2017.00017]</w:t>
      </w:r>
    </w:p>
    <w:p w14:paraId="42EE0C9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98 </w:t>
      </w:r>
      <w:r w:rsidRPr="00644ED5">
        <w:rPr>
          <w:rFonts w:ascii="Book Antiqua" w:eastAsia="宋体" w:hAnsi="Book Antiqua" w:cs="Times New Roman"/>
          <w:b/>
          <w:kern w:val="2"/>
          <w:lang w:val="en-US" w:eastAsia="zh-CN"/>
        </w:rPr>
        <w:t>Lenaerts A</w:t>
      </w:r>
      <w:r w:rsidRPr="00644ED5">
        <w:rPr>
          <w:rFonts w:ascii="Book Antiqua" w:eastAsia="宋体" w:hAnsi="Book Antiqua" w:cs="Times New Roman"/>
          <w:kern w:val="2"/>
          <w:lang w:val="en-US" w:eastAsia="zh-CN"/>
        </w:rPr>
        <w:t xml:space="preserve">, Codden T, Meunier JC, Henry JP, Ligny G. Effects of clonidine on diuretic response in ascitic patients with cirrhosis and activation of sympathetic nervous system.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2006; </w:t>
      </w:r>
      <w:r w:rsidRPr="00644ED5">
        <w:rPr>
          <w:rFonts w:ascii="Book Antiqua" w:eastAsia="宋体" w:hAnsi="Book Antiqua" w:cs="Times New Roman"/>
          <w:b/>
          <w:kern w:val="2"/>
          <w:lang w:val="en-US" w:eastAsia="zh-CN"/>
        </w:rPr>
        <w:t>44</w:t>
      </w:r>
      <w:r w:rsidRPr="00644ED5">
        <w:rPr>
          <w:rFonts w:ascii="Book Antiqua" w:eastAsia="宋体" w:hAnsi="Book Antiqua" w:cs="Times New Roman"/>
          <w:kern w:val="2"/>
          <w:lang w:val="en-US" w:eastAsia="zh-CN"/>
        </w:rPr>
        <w:t>: 844-849 [PMID: 17006921 DOI: 10.1002/hep.21355]</w:t>
      </w:r>
    </w:p>
    <w:p w14:paraId="4164E79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99 </w:t>
      </w:r>
      <w:r w:rsidRPr="00644ED5">
        <w:rPr>
          <w:rFonts w:ascii="Book Antiqua" w:eastAsia="宋体" w:hAnsi="Book Antiqua" w:cs="Times New Roman"/>
          <w:b/>
          <w:kern w:val="2"/>
          <w:lang w:val="en-US" w:eastAsia="zh-CN"/>
        </w:rPr>
        <w:t>Sansoè G</w:t>
      </w:r>
      <w:r w:rsidRPr="00644ED5">
        <w:rPr>
          <w:rFonts w:ascii="Book Antiqua" w:eastAsia="宋体" w:hAnsi="Book Antiqua" w:cs="Times New Roman"/>
          <w:kern w:val="2"/>
          <w:lang w:val="en-US" w:eastAsia="zh-CN"/>
        </w:rPr>
        <w:t xml:space="preserve">, Aragno M, Mastrocola R, Parola M. Dose-dependency of clonidine's effects in ascitic cirrhotic rats: Comparison with α1-adrenergic agonist midodrine.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36</w:t>
      </w:r>
      <w:r w:rsidRPr="00644ED5">
        <w:rPr>
          <w:rFonts w:ascii="Book Antiqua" w:eastAsia="宋体" w:hAnsi="Book Antiqua" w:cs="Times New Roman"/>
          <w:kern w:val="2"/>
          <w:lang w:val="en-US" w:eastAsia="zh-CN"/>
        </w:rPr>
        <w:t>: 205-211 [PMID: 26121993 DOI: 10.1111/liv.12905]</w:t>
      </w:r>
    </w:p>
    <w:p w14:paraId="5715B903"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lastRenderedPageBreak/>
        <w:t xml:space="preserve">100 </w:t>
      </w:r>
      <w:r w:rsidRPr="00644ED5">
        <w:rPr>
          <w:rFonts w:ascii="Book Antiqua" w:eastAsia="宋体" w:hAnsi="Book Antiqua" w:cs="Times New Roman"/>
          <w:b/>
          <w:kern w:val="2"/>
          <w:lang w:val="en-US" w:eastAsia="zh-CN"/>
        </w:rPr>
        <w:t>Yan L</w:t>
      </w:r>
      <w:r w:rsidRPr="00644ED5">
        <w:rPr>
          <w:rFonts w:ascii="Book Antiqua" w:eastAsia="宋体" w:hAnsi="Book Antiqua" w:cs="Times New Roman"/>
          <w:kern w:val="2"/>
          <w:lang w:val="en-US" w:eastAsia="zh-CN"/>
        </w:rPr>
        <w:t xml:space="preserve">, Xie F, Lu J, Ni Q, Shi C, Tang C, Yang J. The treatment of vasopressin V2-receptor antagonists in cirrhosis patients with ascites: A meta-analysis of randomized controlled trials. </w:t>
      </w:r>
      <w:r w:rsidRPr="00644ED5">
        <w:rPr>
          <w:rFonts w:ascii="Book Antiqua" w:eastAsia="宋体" w:hAnsi="Book Antiqua" w:cs="Times New Roman"/>
          <w:i/>
          <w:kern w:val="2"/>
          <w:lang w:val="en-US" w:eastAsia="zh-CN"/>
        </w:rPr>
        <w:t>BMC Gastroenterol</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15</w:t>
      </w:r>
      <w:r w:rsidRPr="00644ED5">
        <w:rPr>
          <w:rFonts w:ascii="Book Antiqua" w:eastAsia="宋体" w:hAnsi="Book Antiqua" w:cs="Times New Roman"/>
          <w:kern w:val="2"/>
          <w:lang w:val="en-US" w:eastAsia="zh-CN"/>
        </w:rPr>
        <w:t>: 65 [PMID: 26054761 DOI: 10.1186/s12876-015-0297-z]</w:t>
      </w:r>
    </w:p>
    <w:p w14:paraId="77679F8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101 </w:t>
      </w:r>
      <w:r w:rsidRPr="00644ED5">
        <w:rPr>
          <w:rFonts w:ascii="Book Antiqua" w:eastAsia="宋体" w:hAnsi="Book Antiqua" w:cs="Times New Roman"/>
          <w:b/>
          <w:kern w:val="2"/>
          <w:lang w:val="en-US" w:eastAsia="zh-CN"/>
        </w:rPr>
        <w:t>Pose E</w:t>
      </w:r>
      <w:r w:rsidRPr="00644ED5">
        <w:rPr>
          <w:rFonts w:ascii="Book Antiqua" w:eastAsia="宋体" w:hAnsi="Book Antiqua" w:cs="Times New Roman"/>
          <w:kern w:val="2"/>
          <w:lang w:val="en-US" w:eastAsia="zh-CN"/>
        </w:rPr>
        <w:t xml:space="preserve">, Cardenas A. Translating Our Current Understanding of Ascites Management into New Therapies for Patients with Cirrhosis and Fluid Retention. </w:t>
      </w:r>
      <w:r w:rsidRPr="00644ED5">
        <w:rPr>
          <w:rFonts w:ascii="Book Antiqua" w:eastAsia="宋体" w:hAnsi="Book Antiqua" w:cs="Times New Roman"/>
          <w:i/>
          <w:kern w:val="2"/>
          <w:lang w:val="en-US" w:eastAsia="zh-CN"/>
        </w:rPr>
        <w:t>Dig Dis</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35</w:t>
      </w:r>
      <w:r w:rsidRPr="00644ED5">
        <w:rPr>
          <w:rFonts w:ascii="Book Antiqua" w:eastAsia="宋体" w:hAnsi="Book Antiqua" w:cs="Times New Roman"/>
          <w:kern w:val="2"/>
          <w:lang w:val="en-US" w:eastAsia="zh-CN"/>
        </w:rPr>
        <w:t>: 402-410 [PMID: 28468013 DOI: 10.1159/000456595]</w:t>
      </w:r>
    </w:p>
    <w:p w14:paraId="5D5FC60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102 </w:t>
      </w:r>
      <w:r w:rsidRPr="00644ED5">
        <w:rPr>
          <w:rFonts w:ascii="Book Antiqua" w:eastAsia="宋体" w:hAnsi="Book Antiqua" w:cs="Times New Roman"/>
          <w:b/>
          <w:kern w:val="2"/>
          <w:lang w:val="en-US" w:eastAsia="zh-CN"/>
        </w:rPr>
        <w:t>Wong F</w:t>
      </w:r>
      <w:r w:rsidRPr="00644ED5">
        <w:rPr>
          <w:rFonts w:ascii="Book Antiqua" w:eastAsia="宋体" w:hAnsi="Book Antiqua" w:cs="Times New Roman"/>
          <w:kern w:val="2"/>
          <w:lang w:val="en-US" w:eastAsia="zh-CN"/>
        </w:rPr>
        <w:t xml:space="preserve">, Watson H, Gerbes A, Vilstrup H, Badalamenti S, Bernardi M, Ginès P; Satavaptan Investigators Group. Satavaptan for the management of ascites in cirrhosis: Efficacy and safety across the spectrum of ascites severity.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61</w:t>
      </w:r>
      <w:r w:rsidRPr="00644ED5">
        <w:rPr>
          <w:rFonts w:ascii="Book Antiqua" w:eastAsia="宋体" w:hAnsi="Book Antiqua" w:cs="Times New Roman"/>
          <w:kern w:val="2"/>
          <w:lang w:val="en-US" w:eastAsia="zh-CN"/>
        </w:rPr>
        <w:t>: 108-116 [PMID: 21836029 DOI: 10.1136/gutjnl-2011-300157]</w:t>
      </w:r>
    </w:p>
    <w:p w14:paraId="3E3DA9A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103 </w:t>
      </w:r>
      <w:r w:rsidRPr="00644ED5">
        <w:rPr>
          <w:rFonts w:ascii="Book Antiqua" w:eastAsia="宋体" w:hAnsi="Book Antiqua" w:cs="Times New Roman"/>
          <w:b/>
          <w:kern w:val="2"/>
          <w:lang w:val="en-US" w:eastAsia="zh-CN"/>
        </w:rPr>
        <w:t>Vargas JI</w:t>
      </w:r>
      <w:r w:rsidRPr="00644ED5">
        <w:rPr>
          <w:rFonts w:ascii="Book Antiqua" w:eastAsia="宋体" w:hAnsi="Book Antiqua" w:cs="Times New Roman"/>
          <w:kern w:val="2"/>
          <w:lang w:val="en-US" w:eastAsia="zh-CN"/>
        </w:rPr>
        <w:t xml:space="preserve">, Arrese M, Shah VH, Arab JP. Use of Statins in Patients with Chronic Liver Disease and Cirrhosis: Current Views and Prospects. </w:t>
      </w:r>
      <w:r w:rsidRPr="00644ED5">
        <w:rPr>
          <w:rFonts w:ascii="Book Antiqua" w:eastAsia="宋体" w:hAnsi="Book Antiqua" w:cs="Times New Roman"/>
          <w:i/>
          <w:kern w:val="2"/>
          <w:lang w:val="en-US" w:eastAsia="zh-CN"/>
        </w:rPr>
        <w:t>Curr Gastroenterol Rep</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19</w:t>
      </w:r>
      <w:r w:rsidRPr="00644ED5">
        <w:rPr>
          <w:rFonts w:ascii="Book Antiqua" w:eastAsia="宋体" w:hAnsi="Book Antiqua" w:cs="Times New Roman"/>
          <w:kern w:val="2"/>
          <w:lang w:val="en-US" w:eastAsia="zh-CN"/>
        </w:rPr>
        <w:t>: 43 [PMID: 28752475 DOI: 10.1007/s11894-017-0584-7]</w:t>
      </w:r>
    </w:p>
    <w:p w14:paraId="5EA1553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104 </w:t>
      </w:r>
      <w:bookmarkStart w:id="78" w:name="OLE_LINK327"/>
      <w:bookmarkStart w:id="79" w:name="OLE_LINK328"/>
      <w:r w:rsidRPr="00644ED5">
        <w:rPr>
          <w:rFonts w:ascii="Book Antiqua" w:eastAsia="宋体" w:hAnsi="Book Antiqua" w:cs="Times New Roman"/>
          <w:b/>
          <w:kern w:val="2"/>
          <w:lang w:val="en-US" w:eastAsia="zh-CN"/>
        </w:rPr>
        <w:t>Cabrera L,</w:t>
      </w:r>
      <w:r w:rsidRPr="00644ED5">
        <w:rPr>
          <w:rFonts w:ascii="Book Antiqua" w:eastAsia="宋体" w:hAnsi="Book Antiqua" w:cs="Times New Roman"/>
          <w:kern w:val="2"/>
          <w:lang w:val="en-US" w:eastAsia="zh-CN"/>
        </w:rPr>
        <w:t xml:space="preserve"> Abraldes JG. Statins: The Panacea of Cirrhosis? </w:t>
      </w:r>
      <w:r w:rsidRPr="00644ED5">
        <w:rPr>
          <w:rFonts w:ascii="Book Antiqua" w:eastAsia="宋体" w:hAnsi="Book Antiqua" w:cs="Times New Roman"/>
          <w:i/>
          <w:kern w:val="2"/>
          <w:lang w:val="en-US" w:eastAsia="zh-CN"/>
        </w:rPr>
        <w:t>Curr</w:t>
      </w:r>
      <w:r w:rsidRPr="00644ED5">
        <w:rPr>
          <w:rFonts w:ascii="Book Antiqua" w:eastAsia="宋体" w:hAnsi="Book Antiqua" w:cs="Times New Roman" w:hint="eastAsia"/>
          <w:i/>
          <w:kern w:val="2"/>
          <w:lang w:val="en-US" w:eastAsia="zh-CN"/>
        </w:rPr>
        <w:t xml:space="preserve"> </w:t>
      </w:r>
      <w:r w:rsidRPr="00644ED5">
        <w:rPr>
          <w:rFonts w:ascii="Book Antiqua" w:eastAsia="宋体" w:hAnsi="Book Antiqua" w:cs="Times New Roman"/>
          <w:i/>
          <w:kern w:val="2"/>
          <w:lang w:val="en-US" w:eastAsia="zh-CN"/>
        </w:rPr>
        <w:t>Hepatol Rep</w:t>
      </w:r>
      <w:r w:rsidRPr="00644ED5">
        <w:rPr>
          <w:rFonts w:ascii="Book Antiqua" w:eastAsia="宋体" w:hAnsi="Book Antiqua" w:cs="Times New Roman" w:hint="eastAsia"/>
          <w:kern w:val="2"/>
          <w:lang w:val="en-US" w:eastAsia="zh-CN"/>
        </w:rPr>
        <w:t xml:space="preserve"> </w:t>
      </w:r>
      <w:r w:rsidRPr="00644ED5">
        <w:rPr>
          <w:rFonts w:ascii="Book Antiqua" w:eastAsia="宋体" w:hAnsi="Book Antiqua" w:cs="Times New Roman"/>
          <w:kern w:val="2"/>
          <w:lang w:val="en-US" w:eastAsia="zh-CN"/>
        </w:rPr>
        <w:t xml:space="preserve">2016; </w:t>
      </w:r>
      <w:r w:rsidRPr="00644ED5">
        <w:rPr>
          <w:rFonts w:ascii="Book Antiqua" w:eastAsia="宋体" w:hAnsi="Book Antiqua" w:cs="Times New Roman"/>
          <w:b/>
          <w:kern w:val="2"/>
          <w:lang w:val="en-US" w:eastAsia="zh-CN"/>
        </w:rPr>
        <w:t>15</w:t>
      </w:r>
      <w:r w:rsidRPr="00644ED5">
        <w:rPr>
          <w:rFonts w:ascii="Book Antiqua" w:eastAsia="宋体" w:hAnsi="Book Antiqua" w:cs="Times New Roman"/>
          <w:kern w:val="2"/>
          <w:lang w:val="en-US" w:eastAsia="zh-CN"/>
        </w:rPr>
        <w:t>: 1-7 [DOI: 10.1007/s11901-016-0287-9]</w:t>
      </w:r>
    </w:p>
    <w:bookmarkEnd w:id="78"/>
    <w:bookmarkEnd w:id="79"/>
    <w:p w14:paraId="6E4EDCA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105 </w:t>
      </w:r>
      <w:r w:rsidRPr="00644ED5">
        <w:rPr>
          <w:rFonts w:ascii="Book Antiqua" w:eastAsia="宋体" w:hAnsi="Book Antiqua" w:cs="Times New Roman"/>
          <w:b/>
          <w:kern w:val="2"/>
          <w:lang w:val="en-US" w:eastAsia="zh-CN"/>
        </w:rPr>
        <w:t>Zafra C</w:t>
      </w:r>
      <w:r w:rsidRPr="00644ED5">
        <w:rPr>
          <w:rFonts w:ascii="Book Antiqua" w:eastAsia="宋体" w:hAnsi="Book Antiqua" w:cs="Times New Roman"/>
          <w:kern w:val="2"/>
          <w:lang w:val="en-US" w:eastAsia="zh-CN"/>
        </w:rPr>
        <w:t xml:space="preserve">, Abraldes JG, Turnes J, Berzigotti A, Fernández M, Garca-Pagán JC, Rodés J, Bosch J. Simvastatin enhances hepatic nitric oxide production and decreases the hepatic vascular tone in patients with cirrhosis.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2004; </w:t>
      </w:r>
      <w:r w:rsidRPr="00644ED5">
        <w:rPr>
          <w:rFonts w:ascii="Book Antiqua" w:eastAsia="宋体" w:hAnsi="Book Antiqua" w:cs="Times New Roman"/>
          <w:b/>
          <w:kern w:val="2"/>
          <w:lang w:val="en-US" w:eastAsia="zh-CN"/>
        </w:rPr>
        <w:t>126</w:t>
      </w:r>
      <w:r w:rsidRPr="00644ED5">
        <w:rPr>
          <w:rFonts w:ascii="Book Antiqua" w:eastAsia="宋体" w:hAnsi="Book Antiqua" w:cs="Times New Roman"/>
          <w:kern w:val="2"/>
          <w:lang w:val="en-US" w:eastAsia="zh-CN"/>
        </w:rPr>
        <w:t>: 749-755 [PMID: 14988829 DOI: 10.1053/j.gastro.2003.12.007]</w:t>
      </w:r>
    </w:p>
    <w:p w14:paraId="6273929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106 </w:t>
      </w:r>
      <w:r w:rsidRPr="00644ED5">
        <w:rPr>
          <w:rFonts w:ascii="Book Antiqua" w:eastAsia="宋体" w:hAnsi="Book Antiqua" w:cs="Times New Roman"/>
          <w:b/>
          <w:kern w:val="2"/>
          <w:lang w:val="en-US" w:eastAsia="zh-CN"/>
        </w:rPr>
        <w:t>Abraldes JG</w:t>
      </w:r>
      <w:r w:rsidRPr="00644ED5">
        <w:rPr>
          <w:rFonts w:ascii="Book Antiqua" w:eastAsia="宋体" w:hAnsi="Book Antiqua" w:cs="Times New Roman"/>
          <w:kern w:val="2"/>
          <w:lang w:val="en-US" w:eastAsia="zh-CN"/>
        </w:rPr>
        <w:t xml:space="preserve">, Albillos A, Bañares R, Turnes J, González R, García-Pagán JC, Bosch J. Simvastatin lowers portal pressure in patients with cirrhosis and portal hypertension: A randomized controlled trial.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2009; </w:t>
      </w:r>
      <w:r w:rsidRPr="00644ED5">
        <w:rPr>
          <w:rFonts w:ascii="Book Antiqua" w:eastAsia="宋体" w:hAnsi="Book Antiqua" w:cs="Times New Roman"/>
          <w:b/>
          <w:kern w:val="2"/>
          <w:lang w:val="en-US" w:eastAsia="zh-CN"/>
        </w:rPr>
        <w:t>136</w:t>
      </w:r>
      <w:r w:rsidRPr="00644ED5">
        <w:rPr>
          <w:rFonts w:ascii="Book Antiqua" w:eastAsia="宋体" w:hAnsi="Book Antiqua" w:cs="Times New Roman"/>
          <w:kern w:val="2"/>
          <w:lang w:val="en-US" w:eastAsia="zh-CN"/>
        </w:rPr>
        <w:t>: 1651-1658 [PMID: 19208350 DOI: 10.1053/j.gastro.2009.01.043]</w:t>
      </w:r>
    </w:p>
    <w:p w14:paraId="06CB6CD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107 </w:t>
      </w:r>
      <w:r w:rsidRPr="00644ED5">
        <w:rPr>
          <w:rFonts w:ascii="Book Antiqua" w:eastAsia="宋体" w:hAnsi="Book Antiqua" w:cs="Times New Roman"/>
          <w:b/>
          <w:kern w:val="2"/>
          <w:lang w:val="en-US" w:eastAsia="zh-CN"/>
        </w:rPr>
        <w:t>Kumar S</w:t>
      </w:r>
      <w:r w:rsidRPr="00644ED5">
        <w:rPr>
          <w:rFonts w:ascii="Book Antiqua" w:eastAsia="宋体" w:hAnsi="Book Antiqua" w:cs="Times New Roman"/>
          <w:kern w:val="2"/>
          <w:lang w:val="en-US" w:eastAsia="zh-CN"/>
        </w:rPr>
        <w:t xml:space="preserve">, Grace ND, Qamar AA. Statin use in patients with cirrhosis: A retrospective cohort study. </w:t>
      </w:r>
      <w:r w:rsidRPr="00644ED5">
        <w:rPr>
          <w:rFonts w:ascii="Book Antiqua" w:eastAsia="宋体" w:hAnsi="Book Antiqua" w:cs="Times New Roman"/>
          <w:i/>
          <w:kern w:val="2"/>
          <w:lang w:val="en-US" w:eastAsia="zh-CN"/>
        </w:rPr>
        <w:t>Dig Dis Sci</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59</w:t>
      </w:r>
      <w:r w:rsidRPr="00644ED5">
        <w:rPr>
          <w:rFonts w:ascii="Book Antiqua" w:eastAsia="宋体" w:hAnsi="Book Antiqua" w:cs="Times New Roman"/>
          <w:kern w:val="2"/>
          <w:lang w:val="en-US" w:eastAsia="zh-CN"/>
        </w:rPr>
        <w:t>: 1958-1965 [PMID: 24838495 DOI: 10.1007/s10620-014-3179-2]</w:t>
      </w:r>
    </w:p>
    <w:p w14:paraId="451C5B7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108 </w:t>
      </w:r>
      <w:r w:rsidRPr="00644ED5">
        <w:rPr>
          <w:rFonts w:ascii="Book Antiqua" w:eastAsia="宋体" w:hAnsi="Book Antiqua" w:cs="Times New Roman"/>
          <w:b/>
          <w:kern w:val="2"/>
          <w:lang w:val="en-US" w:eastAsia="zh-CN"/>
        </w:rPr>
        <w:t>Mohanty A</w:t>
      </w:r>
      <w:r w:rsidRPr="00644ED5">
        <w:rPr>
          <w:rFonts w:ascii="Book Antiqua" w:eastAsia="宋体" w:hAnsi="Book Antiqua" w:cs="Times New Roman"/>
          <w:kern w:val="2"/>
          <w:lang w:val="en-US" w:eastAsia="zh-CN"/>
        </w:rPr>
        <w:t xml:space="preserve">, Tate JP, Garcia-Tsao G. Statins Are Associated With a Decreased Risk of Decompensation and Death in Veterans With Hepatitis C-Related Compensated Cirrhosis.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150</w:t>
      </w:r>
      <w:r w:rsidRPr="00644ED5">
        <w:rPr>
          <w:rFonts w:ascii="Book Antiqua" w:eastAsia="宋体" w:hAnsi="Book Antiqua" w:cs="Times New Roman"/>
          <w:kern w:val="2"/>
          <w:lang w:val="en-US" w:eastAsia="zh-CN"/>
        </w:rPr>
        <w:t>: 430-40.e1 [PMID: 26484707 DOI: 10.1053/j.gastro.2015.10.007]</w:t>
      </w:r>
    </w:p>
    <w:p w14:paraId="6BED9D6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lastRenderedPageBreak/>
        <w:t xml:space="preserve">109 </w:t>
      </w:r>
      <w:r w:rsidRPr="00644ED5">
        <w:rPr>
          <w:rFonts w:ascii="Book Antiqua" w:eastAsia="宋体" w:hAnsi="Book Antiqua" w:cs="Times New Roman"/>
          <w:b/>
          <w:kern w:val="2"/>
          <w:lang w:val="en-US" w:eastAsia="zh-CN"/>
        </w:rPr>
        <w:t>Chang FM</w:t>
      </w:r>
      <w:r w:rsidRPr="00644ED5">
        <w:rPr>
          <w:rFonts w:ascii="Book Antiqua" w:eastAsia="宋体" w:hAnsi="Book Antiqua" w:cs="Times New Roman"/>
          <w:kern w:val="2"/>
          <w:lang w:val="en-US" w:eastAsia="zh-CN"/>
        </w:rPr>
        <w:t xml:space="preserve">, Wang YP, Lang HC, Tsai CF, Hou MC, Lee FY, Lu CL. Statins decrease the risk of decompensation in hepatitis B virus- and hepatitis C virus-related cirrhosis: A population-based study.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66</w:t>
      </w:r>
      <w:r w:rsidRPr="00644ED5">
        <w:rPr>
          <w:rFonts w:ascii="Book Antiqua" w:eastAsia="宋体" w:hAnsi="Book Antiqua" w:cs="Times New Roman"/>
          <w:kern w:val="2"/>
          <w:lang w:val="en-US" w:eastAsia="zh-CN"/>
        </w:rPr>
        <w:t>: 896-907 [PMID: 28318053 DOI: 10.1002/hep.29172]</w:t>
      </w:r>
    </w:p>
    <w:p w14:paraId="15BC429A"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110 </w:t>
      </w:r>
      <w:r w:rsidRPr="00644ED5">
        <w:rPr>
          <w:rFonts w:ascii="Book Antiqua" w:eastAsia="宋体" w:hAnsi="Book Antiqua" w:cs="Times New Roman"/>
          <w:b/>
          <w:kern w:val="2"/>
          <w:lang w:val="en-US" w:eastAsia="zh-CN"/>
        </w:rPr>
        <w:t>Abraldes JG</w:t>
      </w:r>
      <w:r w:rsidRPr="00644ED5">
        <w:rPr>
          <w:rFonts w:ascii="Book Antiqua" w:eastAsia="宋体" w:hAnsi="Book Antiqua" w:cs="Times New Roman"/>
          <w:kern w:val="2"/>
          <w:lang w:val="en-US" w:eastAsia="zh-CN"/>
        </w:rPr>
        <w:t xml:space="preserve">, Villanueva C, Aracil C, Turnes J, Hernandez-Guerra M, Genesca J, Rodriguez M, Castellote J, García-Pagán JC, Torres F, Calleja JL, Albillos A, Bosch J; BLEPS Study Group. Addition of Simvastatin to Standard Therapy for the Prevention of Variceal Rebleeding Does Not Reduce Rebleeding but Increases Survival in Patients With Cirrhosis.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150</w:t>
      </w:r>
      <w:r w:rsidRPr="00644ED5">
        <w:rPr>
          <w:rFonts w:ascii="Book Antiqua" w:eastAsia="宋体" w:hAnsi="Book Antiqua" w:cs="Times New Roman"/>
          <w:kern w:val="2"/>
          <w:lang w:val="en-US" w:eastAsia="zh-CN"/>
        </w:rPr>
        <w:t>: 1160-1170.e3 [PMID: 26774179 DOI: 10.1053/j.gastro.2016.01.004]</w:t>
      </w:r>
    </w:p>
    <w:p w14:paraId="7253BAAD"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111 </w:t>
      </w:r>
      <w:r w:rsidRPr="00644ED5">
        <w:rPr>
          <w:rFonts w:ascii="Book Antiqua" w:eastAsia="宋体" w:hAnsi="Book Antiqua" w:cs="Times New Roman"/>
          <w:b/>
          <w:kern w:val="2"/>
          <w:lang w:val="en-US" w:eastAsia="zh-CN"/>
        </w:rPr>
        <w:t>Kamal S</w:t>
      </w:r>
      <w:r w:rsidRPr="00644ED5">
        <w:rPr>
          <w:rFonts w:ascii="Book Antiqua" w:eastAsia="宋体" w:hAnsi="Book Antiqua" w:cs="Times New Roman"/>
          <w:kern w:val="2"/>
          <w:lang w:val="en-US" w:eastAsia="zh-CN"/>
        </w:rPr>
        <w:t xml:space="preserve">, Khan MA, Seth A, Cholankeril G, Gupta D, Singh U, Kamal F, Howden CW, Stave C, Nair S, Satapathy SK, Ahmed A. Beneficial Effects of Statins on the Rates of Hepatic Fibrosis, Hepatic Decompensation, and Mortality in Chronic Liver Disease: A Systematic Review and Meta-Analysis. </w:t>
      </w:r>
      <w:r w:rsidRPr="00644ED5">
        <w:rPr>
          <w:rFonts w:ascii="Book Antiqua" w:eastAsia="宋体" w:hAnsi="Book Antiqua" w:cs="Times New Roman"/>
          <w:i/>
          <w:kern w:val="2"/>
          <w:lang w:val="en-US" w:eastAsia="zh-CN"/>
        </w:rPr>
        <w:t>Am J Gastroenterol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112</w:t>
      </w:r>
      <w:r w:rsidRPr="00644ED5">
        <w:rPr>
          <w:rFonts w:ascii="Book Antiqua" w:eastAsia="宋体" w:hAnsi="Book Antiqua" w:cs="Times New Roman"/>
          <w:kern w:val="2"/>
          <w:lang w:val="en-US" w:eastAsia="zh-CN"/>
        </w:rPr>
        <w:t>: 1495-1505 [PMID: 28585556 DOI: 10.1038/ajg.2017.170]</w:t>
      </w:r>
    </w:p>
    <w:p w14:paraId="112D698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112 </w:t>
      </w:r>
      <w:r w:rsidRPr="00644ED5">
        <w:rPr>
          <w:rFonts w:ascii="Book Antiqua" w:eastAsia="宋体" w:hAnsi="Book Antiqua" w:cs="Times New Roman"/>
          <w:b/>
          <w:kern w:val="2"/>
          <w:lang w:val="en-US" w:eastAsia="zh-CN"/>
        </w:rPr>
        <w:t>Kim RG</w:t>
      </w:r>
      <w:r w:rsidRPr="00644ED5">
        <w:rPr>
          <w:rFonts w:ascii="Book Antiqua" w:eastAsia="宋体" w:hAnsi="Book Antiqua" w:cs="Times New Roman"/>
          <w:kern w:val="2"/>
          <w:lang w:val="en-US" w:eastAsia="zh-CN"/>
        </w:rPr>
        <w:t xml:space="preserve">, Loomba R, Prokop LJ, Singh S. Statin Use and Risk of Cirrhosis and Related Complications in Patients With Chronic Liver Diseases: A Systematic Review and Meta-analysis. </w:t>
      </w:r>
      <w:r w:rsidRPr="00644ED5">
        <w:rPr>
          <w:rFonts w:ascii="Book Antiqua" w:eastAsia="宋体" w:hAnsi="Book Antiqua" w:cs="Times New Roman"/>
          <w:i/>
          <w:kern w:val="2"/>
          <w:lang w:val="en-US" w:eastAsia="zh-CN"/>
        </w:rPr>
        <w:t>Clin Gastroenterol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15</w:t>
      </w:r>
      <w:r w:rsidRPr="00644ED5">
        <w:rPr>
          <w:rFonts w:ascii="Book Antiqua" w:eastAsia="宋体" w:hAnsi="Book Antiqua" w:cs="Times New Roman"/>
          <w:kern w:val="2"/>
          <w:lang w:val="en-US" w:eastAsia="zh-CN"/>
        </w:rPr>
        <w:t>: 1521-1530.e8 [PMID: 28479502 DOI: 10.1016/j.cgh.2017.04.039]</w:t>
      </w:r>
    </w:p>
    <w:p w14:paraId="1636EC8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113 </w:t>
      </w:r>
      <w:r w:rsidRPr="00644ED5">
        <w:rPr>
          <w:rFonts w:ascii="Book Antiqua" w:eastAsia="宋体" w:hAnsi="Book Antiqua" w:cs="Times New Roman"/>
          <w:b/>
          <w:kern w:val="2"/>
          <w:lang w:val="en-US" w:eastAsia="zh-CN"/>
        </w:rPr>
        <w:t>Singh S</w:t>
      </w:r>
      <w:r w:rsidRPr="00644ED5">
        <w:rPr>
          <w:rFonts w:ascii="Book Antiqua" w:eastAsia="宋体" w:hAnsi="Book Antiqua" w:cs="Times New Roman"/>
          <w:kern w:val="2"/>
          <w:lang w:val="en-US" w:eastAsia="zh-CN"/>
        </w:rPr>
        <w:t xml:space="preserve">, Singh PP, Singh AG, Murad MH, Sanchez W. Statins are associated with a reduced risk of hepatocellular cancer: A systematic review and meta-analysis.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144</w:t>
      </w:r>
      <w:r w:rsidRPr="00644ED5">
        <w:rPr>
          <w:rFonts w:ascii="Book Antiqua" w:eastAsia="宋体" w:hAnsi="Book Antiqua" w:cs="Times New Roman"/>
          <w:kern w:val="2"/>
          <w:lang w:val="en-US" w:eastAsia="zh-CN"/>
        </w:rPr>
        <w:t>: 323-332 [PMID: 23063971 DOI: 10.1053/j.gastro.2012.10.005]</w:t>
      </w:r>
    </w:p>
    <w:p w14:paraId="541C307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114 </w:t>
      </w:r>
      <w:r w:rsidRPr="00644ED5">
        <w:rPr>
          <w:rFonts w:ascii="Book Antiqua" w:eastAsia="宋体" w:hAnsi="Book Antiqua" w:cs="Times New Roman"/>
          <w:b/>
          <w:kern w:val="2"/>
          <w:lang w:val="en-US" w:eastAsia="zh-CN"/>
        </w:rPr>
        <w:t>Tsochatzis EA</w:t>
      </w:r>
      <w:r w:rsidRPr="00644ED5">
        <w:rPr>
          <w:rFonts w:ascii="Book Antiqua" w:eastAsia="宋体" w:hAnsi="Book Antiqua" w:cs="Times New Roman"/>
          <w:kern w:val="2"/>
          <w:lang w:val="en-US" w:eastAsia="zh-CN"/>
        </w:rPr>
        <w:t xml:space="preserve">, Bosch J. Statins in cirrhosis-Ready for prime time.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66</w:t>
      </w:r>
      <w:r w:rsidRPr="00644ED5">
        <w:rPr>
          <w:rFonts w:ascii="Book Antiqua" w:eastAsia="宋体" w:hAnsi="Book Antiqua" w:cs="Times New Roman"/>
          <w:kern w:val="2"/>
          <w:lang w:val="en-US" w:eastAsia="zh-CN"/>
        </w:rPr>
        <w:t>: 697-699 [PMID: 28543643 DOI: 10.1002/hep.29277]</w:t>
      </w:r>
    </w:p>
    <w:p w14:paraId="587BF4A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115 </w:t>
      </w:r>
      <w:r w:rsidRPr="00644ED5">
        <w:rPr>
          <w:rFonts w:ascii="Book Antiqua" w:eastAsia="宋体" w:hAnsi="Book Antiqua" w:cs="Times New Roman"/>
          <w:b/>
          <w:kern w:val="2"/>
          <w:lang w:val="en-US" w:eastAsia="zh-CN"/>
        </w:rPr>
        <w:t>Chalasani N</w:t>
      </w:r>
      <w:r w:rsidRPr="00644ED5">
        <w:rPr>
          <w:rFonts w:ascii="Book Antiqua" w:eastAsia="宋体" w:hAnsi="Book Antiqua" w:cs="Times New Roman"/>
          <w:kern w:val="2"/>
          <w:lang w:val="en-US" w:eastAsia="zh-CN"/>
        </w:rPr>
        <w:t xml:space="preserve">, Aljadhey H, Kesterson J, Murray MD, Hall SD. Patients with elevated liver enzymes are not at higher risk for statin hepatotoxicity.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2004; </w:t>
      </w:r>
      <w:r w:rsidRPr="00644ED5">
        <w:rPr>
          <w:rFonts w:ascii="Book Antiqua" w:eastAsia="宋体" w:hAnsi="Book Antiqua" w:cs="Times New Roman"/>
          <w:b/>
          <w:kern w:val="2"/>
          <w:lang w:val="en-US" w:eastAsia="zh-CN"/>
        </w:rPr>
        <w:t>126</w:t>
      </w:r>
      <w:r w:rsidRPr="00644ED5">
        <w:rPr>
          <w:rFonts w:ascii="Book Antiqua" w:eastAsia="宋体" w:hAnsi="Book Antiqua" w:cs="Times New Roman"/>
          <w:kern w:val="2"/>
          <w:lang w:val="en-US" w:eastAsia="zh-CN"/>
        </w:rPr>
        <w:t>: 1287-1292 [PMID: 15131789 DOI: 10.1053/j.gastro.2004.02.015]</w:t>
      </w:r>
    </w:p>
    <w:p w14:paraId="2665D06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116 </w:t>
      </w:r>
      <w:r w:rsidRPr="00644ED5">
        <w:rPr>
          <w:rFonts w:ascii="Book Antiqua" w:eastAsia="宋体" w:hAnsi="Book Antiqua" w:cs="Times New Roman"/>
          <w:b/>
          <w:kern w:val="2"/>
          <w:lang w:val="en-US" w:eastAsia="zh-CN"/>
        </w:rPr>
        <w:t>Lewis JH</w:t>
      </w:r>
      <w:r w:rsidRPr="00644ED5">
        <w:rPr>
          <w:rFonts w:ascii="Book Antiqua" w:eastAsia="宋体" w:hAnsi="Book Antiqua" w:cs="Times New Roman"/>
          <w:kern w:val="2"/>
          <w:lang w:val="en-US" w:eastAsia="zh-CN"/>
        </w:rPr>
        <w:t xml:space="preserve">, Mortensen ME, Zweig S, Fusco MJ, Medoff JR, Belder R; Pravastatin in Chronic Liver Disease Study Investigators. Efficacy and safety of high-dose pravastatin in hypercholesterolemic patients with well-compensated chronic liver </w:t>
      </w:r>
      <w:r w:rsidRPr="00644ED5">
        <w:rPr>
          <w:rFonts w:ascii="Book Antiqua" w:eastAsia="宋体" w:hAnsi="Book Antiqua" w:cs="Times New Roman"/>
          <w:kern w:val="2"/>
          <w:lang w:val="en-US" w:eastAsia="zh-CN"/>
        </w:rPr>
        <w:lastRenderedPageBreak/>
        <w:t xml:space="preserve">disease: Results of a prospective, randomized, double-blind, placebo-controlled, multicenter trial.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2007; </w:t>
      </w:r>
      <w:r w:rsidRPr="00644ED5">
        <w:rPr>
          <w:rFonts w:ascii="Book Antiqua" w:eastAsia="宋体" w:hAnsi="Book Antiqua" w:cs="Times New Roman"/>
          <w:b/>
          <w:kern w:val="2"/>
          <w:lang w:val="en-US" w:eastAsia="zh-CN"/>
        </w:rPr>
        <w:t>46</w:t>
      </w:r>
      <w:r w:rsidRPr="00644ED5">
        <w:rPr>
          <w:rFonts w:ascii="Book Antiqua" w:eastAsia="宋体" w:hAnsi="Book Antiqua" w:cs="Times New Roman"/>
          <w:kern w:val="2"/>
          <w:lang w:val="en-US" w:eastAsia="zh-CN"/>
        </w:rPr>
        <w:t>: 1453-1463 [PMID: 17668878 DOI: 10.1002/hep.21848]</w:t>
      </w:r>
    </w:p>
    <w:p w14:paraId="2AF91DE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117 </w:t>
      </w:r>
      <w:r w:rsidRPr="00644ED5">
        <w:rPr>
          <w:rFonts w:ascii="Book Antiqua" w:eastAsia="宋体" w:hAnsi="Book Antiqua" w:cs="Times New Roman"/>
          <w:b/>
          <w:kern w:val="2"/>
          <w:lang w:val="en-US" w:eastAsia="zh-CN"/>
        </w:rPr>
        <w:t>Chalasani N</w:t>
      </w:r>
      <w:r w:rsidRPr="00644ED5">
        <w:rPr>
          <w:rFonts w:ascii="Book Antiqua" w:eastAsia="宋体" w:hAnsi="Book Antiqua" w:cs="Times New Roman"/>
          <w:kern w:val="2"/>
          <w:lang w:val="en-US" w:eastAsia="zh-CN"/>
        </w:rPr>
        <w:t xml:space="preserve">, Younossi Z, Lavine JE, Charlton M, Cusi K, Rinella M, Harrison SA, Brunt EM, Sanyal AJ. The diagnosis and management of nonalcoholic fatty liver disease: Practice guidance from the American Association for the Study of Liver Diseases.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67</w:t>
      </w:r>
      <w:r w:rsidRPr="00644ED5">
        <w:rPr>
          <w:rFonts w:ascii="Book Antiqua" w:eastAsia="宋体" w:hAnsi="Book Antiqua" w:cs="Times New Roman"/>
          <w:kern w:val="2"/>
          <w:lang w:val="en-US" w:eastAsia="zh-CN"/>
        </w:rPr>
        <w:t>: 328-357 [PMID: 28714183 DOI: 10.1002/hep.29367]</w:t>
      </w:r>
    </w:p>
    <w:p w14:paraId="31FC943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118 </w:t>
      </w:r>
      <w:r w:rsidRPr="00644ED5">
        <w:rPr>
          <w:rFonts w:ascii="Book Antiqua" w:eastAsia="宋体" w:hAnsi="Book Antiqua" w:cs="Times New Roman"/>
          <w:b/>
          <w:kern w:val="2"/>
          <w:lang w:val="en-US" w:eastAsia="zh-CN"/>
        </w:rPr>
        <w:t>European Association for the Study of the Liver (EASL).</w:t>
      </w:r>
      <w:r w:rsidRPr="00644ED5">
        <w:rPr>
          <w:rFonts w:ascii="Book Antiqua" w:eastAsia="宋体" w:hAnsi="Book Antiqua" w:cs="Times New Roman"/>
          <w:kern w:val="2"/>
          <w:lang w:val="en-US" w:eastAsia="zh-CN"/>
        </w:rPr>
        <w:t xml:space="preserve">; European Association for the Study of Diabetes (EASD); European Association for the Study of Obesity (EASO). EASL-EASD-EASO Clinical Practice Guidelines for the Management of Non-Alcoholic Fatty Liver Disease. </w:t>
      </w:r>
      <w:r w:rsidRPr="00644ED5">
        <w:rPr>
          <w:rFonts w:ascii="Book Antiqua" w:eastAsia="宋体" w:hAnsi="Book Antiqua" w:cs="Times New Roman"/>
          <w:i/>
          <w:kern w:val="2"/>
          <w:lang w:val="en-US" w:eastAsia="zh-CN"/>
        </w:rPr>
        <w:t>Obes Facts</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9</w:t>
      </w:r>
      <w:r w:rsidRPr="00644ED5">
        <w:rPr>
          <w:rFonts w:ascii="Book Antiqua" w:eastAsia="宋体" w:hAnsi="Book Antiqua" w:cs="Times New Roman"/>
          <w:kern w:val="2"/>
          <w:lang w:val="en-US" w:eastAsia="zh-CN"/>
        </w:rPr>
        <w:t>: 65-90 [PMID: 27055256 DOI: 10.1159/000443344]</w:t>
      </w:r>
    </w:p>
    <w:p w14:paraId="41CDBF8B"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119 </w:t>
      </w:r>
      <w:r w:rsidRPr="00644ED5">
        <w:rPr>
          <w:rFonts w:ascii="Book Antiqua" w:eastAsia="宋体" w:hAnsi="Book Antiqua" w:cs="Times New Roman"/>
          <w:b/>
          <w:kern w:val="2"/>
          <w:lang w:val="en-US" w:eastAsia="zh-CN"/>
        </w:rPr>
        <w:t>Moctezuma-Velázquez C</w:t>
      </w:r>
      <w:r w:rsidRPr="00644ED5">
        <w:rPr>
          <w:rFonts w:ascii="Book Antiqua" w:eastAsia="宋体" w:hAnsi="Book Antiqua" w:cs="Times New Roman"/>
          <w:kern w:val="2"/>
          <w:lang w:val="en-US" w:eastAsia="zh-CN"/>
        </w:rPr>
        <w:t xml:space="preserve">, Abraldes JG, Montano-Loza AJ. The Use of Statins in Patients With Chronic Liver Disease and Cirrhosis. </w:t>
      </w:r>
      <w:r w:rsidRPr="00644ED5">
        <w:rPr>
          <w:rFonts w:ascii="Book Antiqua" w:eastAsia="宋体" w:hAnsi="Book Antiqua" w:cs="Times New Roman"/>
          <w:i/>
          <w:kern w:val="2"/>
          <w:lang w:val="en-US" w:eastAsia="zh-CN"/>
        </w:rPr>
        <w:t>Curr Treat Options Gastroenterol</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16</w:t>
      </w:r>
      <w:r w:rsidRPr="00644ED5">
        <w:rPr>
          <w:rFonts w:ascii="Book Antiqua" w:eastAsia="宋体" w:hAnsi="Book Antiqua" w:cs="Times New Roman"/>
          <w:kern w:val="2"/>
          <w:lang w:val="en-US" w:eastAsia="zh-CN"/>
        </w:rPr>
        <w:t>: 226-240 [PMID: 29572618 DOI: 10.1007/s11938-018-0180-4]</w:t>
      </w:r>
    </w:p>
    <w:p w14:paraId="0D3A03A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120 </w:t>
      </w:r>
      <w:r w:rsidRPr="00644ED5">
        <w:rPr>
          <w:rFonts w:ascii="Book Antiqua" w:eastAsia="宋体" w:hAnsi="Book Antiqua" w:cs="Times New Roman"/>
          <w:b/>
          <w:kern w:val="2"/>
          <w:lang w:val="en-US" w:eastAsia="zh-CN"/>
        </w:rPr>
        <w:t>Lodato F</w:t>
      </w:r>
      <w:r w:rsidRPr="00644ED5">
        <w:rPr>
          <w:rFonts w:ascii="Book Antiqua" w:eastAsia="宋体" w:hAnsi="Book Antiqua" w:cs="Times New Roman"/>
          <w:kern w:val="2"/>
          <w:lang w:val="en-US" w:eastAsia="zh-CN"/>
        </w:rPr>
        <w:t xml:space="preserve">, Azzaroli F, Di Girolamo M, Feletti V, Cecinato P, Lisotti A, Festi D, Roda E, Mazzella G. Proton pump inhibitors in cirrhosis: Tradition or evidence based practice? </w:t>
      </w:r>
      <w:r w:rsidRPr="00644ED5">
        <w:rPr>
          <w:rFonts w:ascii="Book Antiqua" w:eastAsia="宋体" w:hAnsi="Book Antiqua" w:cs="Times New Roman"/>
          <w:i/>
          <w:kern w:val="2"/>
          <w:lang w:val="en-US" w:eastAsia="zh-CN"/>
        </w:rPr>
        <w:t>World J Gastroenterol</w:t>
      </w:r>
      <w:r w:rsidRPr="00644ED5">
        <w:rPr>
          <w:rFonts w:ascii="Book Antiqua" w:eastAsia="宋体" w:hAnsi="Book Antiqua" w:cs="Times New Roman"/>
          <w:kern w:val="2"/>
          <w:lang w:val="en-US" w:eastAsia="zh-CN"/>
        </w:rPr>
        <w:t xml:space="preserve"> 2008; </w:t>
      </w:r>
      <w:r w:rsidRPr="00644ED5">
        <w:rPr>
          <w:rFonts w:ascii="Book Antiqua" w:eastAsia="宋体" w:hAnsi="Book Antiqua" w:cs="Times New Roman"/>
          <w:b/>
          <w:kern w:val="2"/>
          <w:lang w:val="en-US" w:eastAsia="zh-CN"/>
        </w:rPr>
        <w:t>14</w:t>
      </w:r>
      <w:r w:rsidRPr="00644ED5">
        <w:rPr>
          <w:rFonts w:ascii="Book Antiqua" w:eastAsia="宋体" w:hAnsi="Book Antiqua" w:cs="Times New Roman"/>
          <w:kern w:val="2"/>
          <w:lang w:val="en-US" w:eastAsia="zh-CN"/>
        </w:rPr>
        <w:t>: 2980-2985 [PMID: 18494046 DOI: 10.3748/wjg.14.2980]</w:t>
      </w:r>
    </w:p>
    <w:p w14:paraId="05A9D99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121 </w:t>
      </w:r>
      <w:r w:rsidRPr="00644ED5">
        <w:rPr>
          <w:rFonts w:ascii="Book Antiqua" w:eastAsia="宋体" w:hAnsi="Book Antiqua" w:cs="Times New Roman"/>
          <w:b/>
          <w:kern w:val="2"/>
          <w:lang w:val="en-US" w:eastAsia="zh-CN"/>
        </w:rPr>
        <w:t>Dam G</w:t>
      </w:r>
      <w:r w:rsidRPr="00644ED5">
        <w:rPr>
          <w:rFonts w:ascii="Book Antiqua" w:eastAsia="宋体" w:hAnsi="Book Antiqua" w:cs="Times New Roman"/>
          <w:kern w:val="2"/>
          <w:lang w:val="en-US" w:eastAsia="zh-CN"/>
        </w:rPr>
        <w:t xml:space="preserve">, Vilstrup H, Watson H, Jepsen P. Proton pump inhibitors as a risk factor for hepatic encephalopathy and spontaneous bacterial peritonitis in patients with cirrhosis with ascites.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64</w:t>
      </w:r>
      <w:r w:rsidRPr="00644ED5">
        <w:rPr>
          <w:rFonts w:ascii="Book Antiqua" w:eastAsia="宋体" w:hAnsi="Book Antiqua" w:cs="Times New Roman"/>
          <w:kern w:val="2"/>
          <w:lang w:val="en-US" w:eastAsia="zh-CN"/>
        </w:rPr>
        <w:t>: 1265-1272 [PMID: 27474889 DOI: 10.1002/hep.28737]</w:t>
      </w:r>
    </w:p>
    <w:p w14:paraId="600CF56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122 </w:t>
      </w:r>
      <w:r w:rsidRPr="00644ED5">
        <w:rPr>
          <w:rFonts w:ascii="Book Antiqua" w:eastAsia="宋体" w:hAnsi="Book Antiqua" w:cs="Times New Roman"/>
          <w:b/>
          <w:kern w:val="2"/>
          <w:lang w:val="en-US" w:eastAsia="zh-CN"/>
        </w:rPr>
        <w:t>Dultz G</w:t>
      </w:r>
      <w:r w:rsidRPr="00644ED5">
        <w:rPr>
          <w:rFonts w:ascii="Book Antiqua" w:eastAsia="宋体" w:hAnsi="Book Antiqua" w:cs="Times New Roman"/>
          <w:kern w:val="2"/>
          <w:lang w:val="en-US" w:eastAsia="zh-CN"/>
        </w:rPr>
        <w:t xml:space="preserve">, Piiper A, Zeuzem S, Kronenberger B, Waidmann O. Proton pump inhibitor treatment is associated with the severity of liver disease and increased mortality in patients with cirrhosis. </w:t>
      </w:r>
      <w:r w:rsidRPr="00644ED5">
        <w:rPr>
          <w:rFonts w:ascii="Book Antiqua" w:eastAsia="宋体" w:hAnsi="Book Antiqua" w:cs="Times New Roman"/>
          <w:i/>
          <w:kern w:val="2"/>
          <w:lang w:val="en-US" w:eastAsia="zh-CN"/>
        </w:rPr>
        <w:t>Aliment Pharmacol Ther</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41</w:t>
      </w:r>
      <w:r w:rsidRPr="00644ED5">
        <w:rPr>
          <w:rFonts w:ascii="Book Antiqua" w:eastAsia="宋体" w:hAnsi="Book Antiqua" w:cs="Times New Roman"/>
          <w:kern w:val="2"/>
          <w:lang w:val="en-US" w:eastAsia="zh-CN"/>
        </w:rPr>
        <w:t>: 459-466 [PMID: 25523381 DOI: 10.1111/apt.13061]</w:t>
      </w:r>
    </w:p>
    <w:p w14:paraId="6C2F6D2C"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123 </w:t>
      </w:r>
      <w:r w:rsidRPr="00644ED5">
        <w:rPr>
          <w:rFonts w:ascii="Book Antiqua" w:eastAsia="宋体" w:hAnsi="Book Antiqua" w:cs="Times New Roman"/>
          <w:b/>
          <w:kern w:val="2"/>
          <w:lang w:val="en-US" w:eastAsia="zh-CN"/>
        </w:rPr>
        <w:t>Trikudanathan G</w:t>
      </w:r>
      <w:r w:rsidRPr="00644ED5">
        <w:rPr>
          <w:rFonts w:ascii="Book Antiqua" w:eastAsia="宋体" w:hAnsi="Book Antiqua" w:cs="Times New Roman"/>
          <w:kern w:val="2"/>
          <w:lang w:val="en-US" w:eastAsia="zh-CN"/>
        </w:rPr>
        <w:t xml:space="preserve">, Israel J, Cappa J, O'Sullivan DM. Association between proton pump inhibitors and spontaneous bacterial peritonitis in cirrhotic patients - a systematic review and meta-analysis. </w:t>
      </w:r>
      <w:r w:rsidRPr="00644ED5">
        <w:rPr>
          <w:rFonts w:ascii="Book Antiqua" w:eastAsia="宋体" w:hAnsi="Book Antiqua" w:cs="Times New Roman"/>
          <w:i/>
          <w:kern w:val="2"/>
          <w:lang w:val="en-US" w:eastAsia="zh-CN"/>
        </w:rPr>
        <w:t>Int J Clin Pract</w:t>
      </w:r>
      <w:r w:rsidRPr="00644ED5">
        <w:rPr>
          <w:rFonts w:ascii="Book Antiqua" w:eastAsia="宋体" w:hAnsi="Book Antiqua" w:cs="Times New Roman"/>
          <w:kern w:val="2"/>
          <w:lang w:val="en-US" w:eastAsia="zh-CN"/>
        </w:rPr>
        <w:t xml:space="preserve"> 2011; </w:t>
      </w:r>
      <w:r w:rsidRPr="00644ED5">
        <w:rPr>
          <w:rFonts w:ascii="Book Antiqua" w:eastAsia="宋体" w:hAnsi="Book Antiqua" w:cs="Times New Roman"/>
          <w:b/>
          <w:kern w:val="2"/>
          <w:lang w:val="en-US" w:eastAsia="zh-CN"/>
        </w:rPr>
        <w:t>65</w:t>
      </w:r>
      <w:r w:rsidRPr="00644ED5">
        <w:rPr>
          <w:rFonts w:ascii="Book Antiqua" w:eastAsia="宋体" w:hAnsi="Book Antiqua" w:cs="Times New Roman"/>
          <w:kern w:val="2"/>
          <w:lang w:val="en-US" w:eastAsia="zh-CN"/>
        </w:rPr>
        <w:t>: 674-678 [PMID: 21564440 DOI: 10.1111/j.1742-1241.2011.02650.x]</w:t>
      </w:r>
    </w:p>
    <w:p w14:paraId="727C1B6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lastRenderedPageBreak/>
        <w:t xml:space="preserve">124 </w:t>
      </w:r>
      <w:r w:rsidRPr="00644ED5">
        <w:rPr>
          <w:rFonts w:ascii="Book Antiqua" w:eastAsia="宋体" w:hAnsi="Book Antiqua" w:cs="Times New Roman"/>
          <w:b/>
          <w:kern w:val="2"/>
          <w:lang w:val="en-US" w:eastAsia="zh-CN"/>
        </w:rPr>
        <w:t>Khan MA</w:t>
      </w:r>
      <w:r w:rsidRPr="00644ED5">
        <w:rPr>
          <w:rFonts w:ascii="Book Antiqua" w:eastAsia="宋体" w:hAnsi="Book Antiqua" w:cs="Times New Roman"/>
          <w:kern w:val="2"/>
          <w:lang w:val="en-US" w:eastAsia="zh-CN"/>
        </w:rPr>
        <w:t xml:space="preserve">, Cholankeril G, Howden CW. Are proton pump inhibitors a threat for spontaneous bacterial peritonitis and hepatic encephalopathy in cirrhosis? Not so fast.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65</w:t>
      </w:r>
      <w:r w:rsidRPr="00644ED5">
        <w:rPr>
          <w:rFonts w:ascii="Book Antiqua" w:eastAsia="宋体" w:hAnsi="Book Antiqua" w:cs="Times New Roman"/>
          <w:kern w:val="2"/>
          <w:lang w:val="en-US" w:eastAsia="zh-CN"/>
        </w:rPr>
        <w:t>: 393 [PMID: 27688049 DOI: 10.1002/hep.28858]</w:t>
      </w:r>
    </w:p>
    <w:p w14:paraId="1E3355B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125 </w:t>
      </w:r>
      <w:r w:rsidRPr="00644ED5">
        <w:rPr>
          <w:rFonts w:ascii="Book Antiqua" w:eastAsia="宋体" w:hAnsi="Book Antiqua" w:cs="Times New Roman"/>
          <w:b/>
          <w:kern w:val="2"/>
          <w:lang w:val="en-US" w:eastAsia="zh-CN"/>
        </w:rPr>
        <w:t>Tsai CF</w:t>
      </w:r>
      <w:r w:rsidRPr="00644ED5">
        <w:rPr>
          <w:rFonts w:ascii="Book Antiqua" w:eastAsia="宋体" w:hAnsi="Book Antiqua" w:cs="Times New Roman"/>
          <w:kern w:val="2"/>
          <w:lang w:val="en-US" w:eastAsia="zh-CN"/>
        </w:rPr>
        <w:t xml:space="preserve">, Chen MH, Wang YP, Chu CJ, Huang YH, Lin HC, Hou MC, Lee FY, Su TP, Lu CL. Proton Pump Inhibitors Increase Risk for Hepatic Encephalopathy in Patients With Cirrhosis in A Population Study.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152</w:t>
      </w:r>
      <w:r w:rsidRPr="00644ED5">
        <w:rPr>
          <w:rFonts w:ascii="Book Antiqua" w:eastAsia="宋体" w:hAnsi="Book Antiqua" w:cs="Times New Roman"/>
          <w:kern w:val="2"/>
          <w:lang w:val="en-US" w:eastAsia="zh-CN"/>
        </w:rPr>
        <w:t>: 134-141 [PMID: 27639806 DOI: 10.1053/j.gastro.2016.09.007]</w:t>
      </w:r>
    </w:p>
    <w:p w14:paraId="326D3D7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126 </w:t>
      </w:r>
      <w:r w:rsidRPr="00644ED5">
        <w:rPr>
          <w:rFonts w:ascii="Book Antiqua" w:eastAsia="宋体" w:hAnsi="Book Antiqua" w:cs="Times New Roman"/>
          <w:b/>
          <w:kern w:val="2"/>
          <w:lang w:val="en-US" w:eastAsia="zh-CN"/>
        </w:rPr>
        <w:t>Woodhouse CA</w:t>
      </w:r>
      <w:r w:rsidRPr="00644ED5">
        <w:rPr>
          <w:rFonts w:ascii="Book Antiqua" w:eastAsia="宋体" w:hAnsi="Book Antiqua" w:cs="Times New Roman"/>
          <w:kern w:val="2"/>
          <w:lang w:val="en-US" w:eastAsia="zh-CN"/>
        </w:rPr>
        <w:t xml:space="preserve">, Patel VC, Singanayagam A, Shawcross DL. Review article: the gut microbiome as a therapeutic target in the pathogenesis and treatment of chronic liver disease. </w:t>
      </w:r>
      <w:r w:rsidRPr="00644ED5">
        <w:rPr>
          <w:rFonts w:ascii="Book Antiqua" w:eastAsia="宋体" w:hAnsi="Book Antiqua" w:cs="Times New Roman"/>
          <w:i/>
          <w:kern w:val="2"/>
          <w:lang w:val="en-US" w:eastAsia="zh-CN"/>
        </w:rPr>
        <w:t>Aliment Pharmacol Ther</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47</w:t>
      </w:r>
      <w:r w:rsidRPr="00644ED5">
        <w:rPr>
          <w:rFonts w:ascii="Book Antiqua" w:eastAsia="宋体" w:hAnsi="Book Antiqua" w:cs="Times New Roman"/>
          <w:kern w:val="2"/>
          <w:lang w:val="en-US" w:eastAsia="zh-CN"/>
        </w:rPr>
        <w:t>: 192-202 [PMID: 29083037 DOI: 10.1111/apt.14397]</w:t>
      </w:r>
    </w:p>
    <w:p w14:paraId="23DB666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127 </w:t>
      </w:r>
      <w:r w:rsidRPr="00644ED5">
        <w:rPr>
          <w:rFonts w:ascii="Book Antiqua" w:eastAsia="宋体" w:hAnsi="Book Antiqua" w:cs="Times New Roman"/>
          <w:b/>
          <w:kern w:val="2"/>
          <w:lang w:val="en-US" w:eastAsia="zh-CN"/>
        </w:rPr>
        <w:t>Bajaj JS</w:t>
      </w:r>
      <w:r w:rsidRPr="00644ED5">
        <w:rPr>
          <w:rFonts w:ascii="Book Antiqua" w:eastAsia="宋体" w:hAnsi="Book Antiqua" w:cs="Times New Roman"/>
          <w:kern w:val="2"/>
          <w:lang w:val="en-US" w:eastAsia="zh-CN"/>
        </w:rPr>
        <w:t xml:space="preserve">, Acharya C, Fagan A, White MB, Gavis E, Heuman DM, Hylemon PB, Fuchs M, Puri P, Schubert ML, Sanyal AJ, Sterling RK, Stravitz RT, Siddiqui MS, Luketic V, Lee H, Sikaroodi M, Gillevet PM. Proton Pump Inhibitor Initiation and Withdrawal affects Gut Microbiota and Readmission Risk in Cirrhosis. </w:t>
      </w:r>
      <w:r w:rsidRPr="00644ED5">
        <w:rPr>
          <w:rFonts w:ascii="Book Antiqua" w:eastAsia="宋体" w:hAnsi="Book Antiqua" w:cs="Times New Roman"/>
          <w:i/>
          <w:kern w:val="2"/>
          <w:lang w:val="en-US" w:eastAsia="zh-CN"/>
        </w:rPr>
        <w:t>Am J Gastroenterol</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113</w:t>
      </w:r>
      <w:r w:rsidRPr="00644ED5">
        <w:rPr>
          <w:rFonts w:ascii="Book Antiqua" w:eastAsia="宋体" w:hAnsi="Book Antiqua" w:cs="Times New Roman"/>
          <w:kern w:val="2"/>
          <w:lang w:val="en-US" w:eastAsia="zh-CN"/>
        </w:rPr>
        <w:t>: 1177-1186 [PMID: 29872220 DOI: 10.1038/s41395-018-0085-9]</w:t>
      </w:r>
    </w:p>
    <w:p w14:paraId="32F4606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128 </w:t>
      </w:r>
      <w:r w:rsidRPr="00644ED5">
        <w:rPr>
          <w:rFonts w:ascii="Book Antiqua" w:eastAsia="宋体" w:hAnsi="Book Antiqua" w:cs="Times New Roman"/>
          <w:b/>
          <w:kern w:val="2"/>
          <w:lang w:val="en-US" w:eastAsia="zh-CN"/>
        </w:rPr>
        <w:t>Ratuapli SK</w:t>
      </w:r>
      <w:r w:rsidRPr="00644ED5">
        <w:rPr>
          <w:rFonts w:ascii="Book Antiqua" w:eastAsia="宋体" w:hAnsi="Book Antiqua" w:cs="Times New Roman"/>
          <w:kern w:val="2"/>
          <w:lang w:val="en-US" w:eastAsia="zh-CN"/>
        </w:rPr>
        <w:t xml:space="preserve">, Ellington TG, O'Neill MT, Umar SB, Harris LA, Foxx-Orenstein AE, Burdick GE, Dibaise JK, Lacy BE, Crowell MD. Proton pump inhibitor therapy use does not predispose to small intestinal bacterial overgrowth. </w:t>
      </w:r>
      <w:r w:rsidRPr="00644ED5">
        <w:rPr>
          <w:rFonts w:ascii="Book Antiqua" w:eastAsia="宋体" w:hAnsi="Book Antiqua" w:cs="Times New Roman"/>
          <w:i/>
          <w:kern w:val="2"/>
          <w:lang w:val="en-US" w:eastAsia="zh-CN"/>
        </w:rPr>
        <w:t>Am J Gastroenterol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107</w:t>
      </w:r>
      <w:r w:rsidRPr="00644ED5">
        <w:rPr>
          <w:rFonts w:ascii="Book Antiqua" w:eastAsia="宋体" w:hAnsi="Book Antiqua" w:cs="Times New Roman"/>
          <w:kern w:val="2"/>
          <w:lang w:val="en-US" w:eastAsia="zh-CN"/>
        </w:rPr>
        <w:t>: 730-735 [PMID: 22334250 DOI: 10.1038/ajg.2012.4]</w:t>
      </w:r>
    </w:p>
    <w:p w14:paraId="642300DE"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129 </w:t>
      </w:r>
      <w:r w:rsidRPr="00644ED5">
        <w:rPr>
          <w:rFonts w:ascii="Book Antiqua" w:eastAsia="宋体" w:hAnsi="Book Antiqua" w:cs="Times New Roman"/>
          <w:b/>
          <w:kern w:val="2"/>
          <w:lang w:val="en-US" w:eastAsia="zh-CN"/>
        </w:rPr>
        <w:t>Assaraf J</w:t>
      </w:r>
      <w:r w:rsidRPr="00644ED5">
        <w:rPr>
          <w:rFonts w:ascii="Book Antiqua" w:eastAsia="宋体" w:hAnsi="Book Antiqua" w:cs="Times New Roman"/>
          <w:kern w:val="2"/>
          <w:lang w:val="en-US" w:eastAsia="zh-CN"/>
        </w:rPr>
        <w:t xml:space="preserve">, Weiss N, Thabut D. Proton Pump Inhibitor Administration Triggers Encephalopathy in Cirrhotic Patients by Modulating Blood-Brain Barrier Drug Transport.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152</w:t>
      </w:r>
      <w:r w:rsidRPr="00644ED5">
        <w:rPr>
          <w:rFonts w:ascii="Book Antiqua" w:eastAsia="宋体" w:hAnsi="Book Antiqua" w:cs="Times New Roman"/>
          <w:kern w:val="2"/>
          <w:lang w:val="en-US" w:eastAsia="zh-CN"/>
        </w:rPr>
        <w:t>: 2077 [PMID: 28478148 DOI: 10.1053/j.gastro.2016.10.049]</w:t>
      </w:r>
    </w:p>
    <w:p w14:paraId="2DE5405B"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130 </w:t>
      </w:r>
      <w:r w:rsidRPr="00644ED5">
        <w:rPr>
          <w:rFonts w:ascii="Book Antiqua" w:eastAsia="宋体" w:hAnsi="Book Antiqua" w:cs="Times New Roman"/>
          <w:b/>
          <w:kern w:val="2"/>
          <w:lang w:val="en-US" w:eastAsia="zh-CN"/>
        </w:rPr>
        <w:t>Khan MA</w:t>
      </w:r>
      <w:r w:rsidRPr="00644ED5">
        <w:rPr>
          <w:rFonts w:ascii="Book Antiqua" w:eastAsia="宋体" w:hAnsi="Book Antiqua" w:cs="Times New Roman"/>
          <w:kern w:val="2"/>
          <w:lang w:val="en-US" w:eastAsia="zh-CN"/>
        </w:rPr>
        <w:t xml:space="preserve">, Cholankeril G, Howden CW. Proton Pump Inhibitors and the Possible Development of Hepatic Encephalopathy in Cirrhotic Patients: True Association or Residual Confounding?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152</w:t>
      </w:r>
      <w:r w:rsidRPr="00644ED5">
        <w:rPr>
          <w:rFonts w:ascii="Book Antiqua" w:eastAsia="宋体" w:hAnsi="Book Antiqua" w:cs="Times New Roman"/>
          <w:kern w:val="2"/>
          <w:lang w:val="en-US" w:eastAsia="zh-CN"/>
        </w:rPr>
        <w:t>: 2076 [PMID: 28478154 DOI: 10.1053/j.gastro.2016.10.050]</w:t>
      </w:r>
    </w:p>
    <w:p w14:paraId="4EE2B8A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131 </w:t>
      </w:r>
      <w:r w:rsidRPr="00644ED5">
        <w:rPr>
          <w:rFonts w:ascii="Book Antiqua" w:eastAsia="宋体" w:hAnsi="Book Antiqua" w:cs="Times New Roman"/>
          <w:b/>
          <w:kern w:val="2"/>
          <w:lang w:val="en-US" w:eastAsia="zh-CN"/>
        </w:rPr>
        <w:t>Terg R</w:t>
      </w:r>
      <w:r w:rsidRPr="00644ED5">
        <w:rPr>
          <w:rFonts w:ascii="Book Antiqua" w:eastAsia="宋体" w:hAnsi="Book Antiqua" w:cs="Times New Roman"/>
          <w:kern w:val="2"/>
          <w:lang w:val="en-US" w:eastAsia="zh-CN"/>
        </w:rPr>
        <w:t xml:space="preserve">, Casciato P, Garbe C, Cartier M, Stieben T, Mendizabal M, Niveyro C, Benavides J, Marino M, Colombato L, Berbara D, Silva M, Salgado P, Barreyro F, Fassio E, Gadano A; Study Group of Cirrhosis Complications of the Argentine </w:t>
      </w:r>
      <w:r w:rsidRPr="00644ED5">
        <w:rPr>
          <w:rFonts w:ascii="Book Antiqua" w:eastAsia="宋体" w:hAnsi="Book Antiqua" w:cs="Times New Roman"/>
          <w:kern w:val="2"/>
          <w:lang w:val="en-US" w:eastAsia="zh-CN"/>
        </w:rPr>
        <w:lastRenderedPageBreak/>
        <w:t xml:space="preserve">Association for the Study of Liver Disease. Proton pump inhibitor therapy does not increase the incidence of spontaneous bacterial peritonitis in cirrhosis: A multicenter prospective study.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2015; </w:t>
      </w:r>
      <w:r w:rsidRPr="00644ED5">
        <w:rPr>
          <w:rFonts w:ascii="Book Antiqua" w:eastAsia="宋体" w:hAnsi="Book Antiqua" w:cs="Times New Roman"/>
          <w:b/>
          <w:kern w:val="2"/>
          <w:lang w:val="en-US" w:eastAsia="zh-CN"/>
        </w:rPr>
        <w:t>62</w:t>
      </w:r>
      <w:r w:rsidRPr="00644ED5">
        <w:rPr>
          <w:rFonts w:ascii="Book Antiqua" w:eastAsia="宋体" w:hAnsi="Book Antiqua" w:cs="Times New Roman"/>
          <w:kern w:val="2"/>
          <w:lang w:val="en-US" w:eastAsia="zh-CN"/>
        </w:rPr>
        <w:t>: 1056-1060 [PMID: 25481567 DOI: 10.1016/j.jhep.2014.11.036]</w:t>
      </w:r>
    </w:p>
    <w:p w14:paraId="6AD1BC9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132 </w:t>
      </w:r>
      <w:r w:rsidRPr="00644ED5">
        <w:rPr>
          <w:rFonts w:ascii="Book Antiqua" w:eastAsia="宋体" w:hAnsi="Book Antiqua" w:cs="Times New Roman"/>
          <w:b/>
          <w:kern w:val="2"/>
          <w:lang w:val="en-US" w:eastAsia="zh-CN"/>
        </w:rPr>
        <w:t>Yu T</w:t>
      </w:r>
      <w:r w:rsidRPr="00644ED5">
        <w:rPr>
          <w:rFonts w:ascii="Book Antiqua" w:eastAsia="宋体" w:hAnsi="Book Antiqua" w:cs="Times New Roman"/>
          <w:kern w:val="2"/>
          <w:lang w:val="en-US" w:eastAsia="zh-CN"/>
        </w:rPr>
        <w:t xml:space="preserve">, Tang Y, Jiang L, Zheng Y, Xiong W, Lin L. Proton pump inhibitor therapy and its association with spontaneous bacterial peritonitis incidence and mortality: A meta-analysis. </w:t>
      </w:r>
      <w:r w:rsidRPr="00644ED5">
        <w:rPr>
          <w:rFonts w:ascii="Book Antiqua" w:eastAsia="宋体" w:hAnsi="Book Antiqua" w:cs="Times New Roman"/>
          <w:i/>
          <w:kern w:val="2"/>
          <w:lang w:val="en-US" w:eastAsia="zh-CN"/>
        </w:rPr>
        <w:t>Dig Liver Dis</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48</w:t>
      </w:r>
      <w:r w:rsidRPr="00644ED5">
        <w:rPr>
          <w:rFonts w:ascii="Book Antiqua" w:eastAsia="宋体" w:hAnsi="Book Antiqua" w:cs="Times New Roman"/>
          <w:kern w:val="2"/>
          <w:lang w:val="en-US" w:eastAsia="zh-CN"/>
        </w:rPr>
        <w:t>: 353-359 [PMID: 26795544 DOI: 10.1016/j.dld.2015.12.009]</w:t>
      </w:r>
    </w:p>
    <w:p w14:paraId="0B3D17B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133 </w:t>
      </w:r>
      <w:r w:rsidRPr="00644ED5">
        <w:rPr>
          <w:rFonts w:ascii="Book Antiqua" w:eastAsia="宋体" w:hAnsi="Book Antiqua" w:cs="Times New Roman"/>
          <w:b/>
          <w:kern w:val="2"/>
          <w:lang w:val="en-US" w:eastAsia="zh-CN"/>
        </w:rPr>
        <w:t>Dhar A</w:t>
      </w:r>
      <w:r w:rsidRPr="00644ED5">
        <w:rPr>
          <w:rFonts w:ascii="Book Antiqua" w:eastAsia="宋体" w:hAnsi="Book Antiqua" w:cs="Times New Roman"/>
          <w:kern w:val="2"/>
          <w:lang w:val="en-US" w:eastAsia="zh-CN"/>
        </w:rPr>
        <w:t xml:space="preserve">, Mullish BH, Thursz MR. Anticoagulation in chronic liver disease.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66</w:t>
      </w:r>
      <w:r w:rsidRPr="00644ED5">
        <w:rPr>
          <w:rFonts w:ascii="Book Antiqua" w:eastAsia="宋体" w:hAnsi="Book Antiqua" w:cs="Times New Roman"/>
          <w:kern w:val="2"/>
          <w:lang w:val="en-US" w:eastAsia="zh-CN"/>
        </w:rPr>
        <w:t>: 1313-1326 [PMID: 28088580 DOI: 10.1016/j.jhep.2017.01.006]</w:t>
      </w:r>
    </w:p>
    <w:p w14:paraId="41C2C08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134 </w:t>
      </w:r>
      <w:r w:rsidRPr="00644ED5">
        <w:rPr>
          <w:rFonts w:ascii="Book Antiqua" w:eastAsia="宋体" w:hAnsi="Book Antiqua" w:cs="Times New Roman"/>
          <w:b/>
          <w:kern w:val="2"/>
          <w:lang w:val="en-US" w:eastAsia="zh-CN"/>
        </w:rPr>
        <w:t>Leonardi F</w:t>
      </w:r>
      <w:r w:rsidRPr="00644ED5">
        <w:rPr>
          <w:rFonts w:ascii="Book Antiqua" w:eastAsia="宋体" w:hAnsi="Book Antiqua" w:cs="Times New Roman"/>
          <w:kern w:val="2"/>
          <w:lang w:val="en-US" w:eastAsia="zh-CN"/>
        </w:rPr>
        <w:t xml:space="preserve">, Maria N, Villa E. Anticoagulation in cirrhosis: A new paradigm? </w:t>
      </w:r>
      <w:r w:rsidRPr="00644ED5">
        <w:rPr>
          <w:rFonts w:ascii="Book Antiqua" w:eastAsia="宋体" w:hAnsi="Book Antiqua" w:cs="Times New Roman"/>
          <w:i/>
          <w:kern w:val="2"/>
          <w:lang w:val="en-US" w:eastAsia="zh-CN"/>
        </w:rPr>
        <w:t>Clin Mol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23</w:t>
      </w:r>
      <w:r w:rsidRPr="00644ED5">
        <w:rPr>
          <w:rFonts w:ascii="Book Antiqua" w:eastAsia="宋体" w:hAnsi="Book Antiqua" w:cs="Times New Roman"/>
          <w:kern w:val="2"/>
          <w:lang w:val="en-US" w:eastAsia="zh-CN"/>
        </w:rPr>
        <w:t>: 13-21 [PMID: 28288507 DOI: 10.3350/cmh.2016.0110]</w:t>
      </w:r>
    </w:p>
    <w:p w14:paraId="67611C7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135 </w:t>
      </w:r>
      <w:r w:rsidRPr="00644ED5">
        <w:rPr>
          <w:rFonts w:ascii="Book Antiqua" w:eastAsia="宋体" w:hAnsi="Book Antiqua" w:cs="Times New Roman"/>
          <w:b/>
          <w:kern w:val="2"/>
          <w:lang w:val="en-US" w:eastAsia="zh-CN"/>
        </w:rPr>
        <w:t>Bitto N</w:t>
      </w:r>
      <w:r w:rsidRPr="00644ED5">
        <w:rPr>
          <w:rFonts w:ascii="Book Antiqua" w:eastAsia="宋体" w:hAnsi="Book Antiqua" w:cs="Times New Roman"/>
          <w:kern w:val="2"/>
          <w:lang w:val="en-US" w:eastAsia="zh-CN"/>
        </w:rPr>
        <w:t xml:space="preserve">, Liguori E, La Mura V. Coagulation, Microenvironment and Liver Fibrosis. </w:t>
      </w:r>
      <w:r w:rsidRPr="00644ED5">
        <w:rPr>
          <w:rFonts w:ascii="Book Antiqua" w:eastAsia="宋体" w:hAnsi="Book Antiqua" w:cs="Times New Roman"/>
          <w:i/>
          <w:kern w:val="2"/>
          <w:lang w:val="en-US" w:eastAsia="zh-CN"/>
        </w:rPr>
        <w:t>Cells</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7</w:t>
      </w:r>
      <w:r w:rsidRPr="00644ED5">
        <w:rPr>
          <w:rFonts w:ascii="Book Antiqua" w:eastAsia="宋体" w:hAnsi="Book Antiqua" w:cs="Times New Roman"/>
          <w:kern w:val="2"/>
          <w:lang w:val="en-US" w:eastAsia="zh-CN"/>
        </w:rPr>
        <w:t xml:space="preserve">: pii: E85 [PMID: </w:t>
      </w:r>
      <w:bookmarkStart w:id="80" w:name="OLE_LINK336"/>
      <w:bookmarkStart w:id="81" w:name="OLE_LINK337"/>
      <w:r w:rsidRPr="00644ED5">
        <w:rPr>
          <w:rFonts w:ascii="Book Antiqua" w:eastAsia="宋体" w:hAnsi="Book Antiqua" w:cs="Times New Roman"/>
          <w:kern w:val="2"/>
          <w:lang w:val="en-US" w:eastAsia="zh-CN"/>
        </w:rPr>
        <w:t>30042349</w:t>
      </w:r>
      <w:bookmarkEnd w:id="80"/>
      <w:bookmarkEnd w:id="81"/>
      <w:r w:rsidRPr="00644ED5">
        <w:rPr>
          <w:rFonts w:ascii="Book Antiqua" w:eastAsia="宋体" w:hAnsi="Book Antiqua" w:cs="Times New Roman"/>
          <w:kern w:val="2"/>
          <w:lang w:val="en-US" w:eastAsia="zh-CN"/>
        </w:rPr>
        <w:t xml:space="preserve"> DOI: 10.3390/cells7080085]</w:t>
      </w:r>
    </w:p>
    <w:p w14:paraId="138CD84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136 </w:t>
      </w:r>
      <w:r w:rsidRPr="00644ED5">
        <w:rPr>
          <w:rFonts w:ascii="Book Antiqua" w:eastAsia="宋体" w:hAnsi="Book Antiqua" w:cs="Times New Roman"/>
          <w:b/>
          <w:kern w:val="2"/>
          <w:lang w:val="en-US" w:eastAsia="zh-CN"/>
        </w:rPr>
        <w:t>Dabbagh O</w:t>
      </w:r>
      <w:r w:rsidRPr="00644ED5">
        <w:rPr>
          <w:rFonts w:ascii="Book Antiqua" w:eastAsia="宋体" w:hAnsi="Book Antiqua" w:cs="Times New Roman"/>
          <w:kern w:val="2"/>
          <w:lang w:val="en-US" w:eastAsia="zh-CN"/>
        </w:rPr>
        <w:t xml:space="preserve">, Oza A, Prakash S, Sunna R, Saettele TM. Coagulopathy does not protect against venous thromboembolism in hospitalized patients with chronic liver disease. </w:t>
      </w:r>
      <w:r w:rsidRPr="00644ED5">
        <w:rPr>
          <w:rFonts w:ascii="Book Antiqua" w:eastAsia="宋体" w:hAnsi="Book Antiqua" w:cs="Times New Roman"/>
          <w:i/>
          <w:kern w:val="2"/>
          <w:lang w:val="en-US" w:eastAsia="zh-CN"/>
        </w:rPr>
        <w:t>Chest</w:t>
      </w:r>
      <w:r w:rsidRPr="00644ED5">
        <w:rPr>
          <w:rFonts w:ascii="Book Antiqua" w:eastAsia="宋体" w:hAnsi="Book Antiqua" w:cs="Times New Roman"/>
          <w:kern w:val="2"/>
          <w:lang w:val="en-US" w:eastAsia="zh-CN"/>
        </w:rPr>
        <w:t xml:space="preserve"> 2010; </w:t>
      </w:r>
      <w:r w:rsidRPr="00644ED5">
        <w:rPr>
          <w:rFonts w:ascii="Book Antiqua" w:eastAsia="宋体" w:hAnsi="Book Antiqua" w:cs="Times New Roman"/>
          <w:b/>
          <w:kern w:val="2"/>
          <w:lang w:val="en-US" w:eastAsia="zh-CN"/>
        </w:rPr>
        <w:t>137</w:t>
      </w:r>
      <w:r w:rsidRPr="00644ED5">
        <w:rPr>
          <w:rFonts w:ascii="Book Antiqua" w:eastAsia="宋体" w:hAnsi="Book Antiqua" w:cs="Times New Roman"/>
          <w:kern w:val="2"/>
          <w:lang w:val="en-US" w:eastAsia="zh-CN"/>
        </w:rPr>
        <w:t>: 1145-1149 [PMID: 20040609 DOI: 10.1378/chest.09-2177]</w:t>
      </w:r>
    </w:p>
    <w:p w14:paraId="1D5191E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137 </w:t>
      </w:r>
      <w:r w:rsidRPr="00644ED5">
        <w:rPr>
          <w:rFonts w:ascii="Book Antiqua" w:eastAsia="宋体" w:hAnsi="Book Antiqua" w:cs="Times New Roman"/>
          <w:b/>
          <w:kern w:val="2"/>
          <w:lang w:val="en-US" w:eastAsia="zh-CN"/>
        </w:rPr>
        <w:t>Villa E</w:t>
      </w:r>
      <w:r w:rsidRPr="00644ED5">
        <w:rPr>
          <w:rFonts w:ascii="Book Antiqua" w:eastAsia="宋体" w:hAnsi="Book Antiqua" w:cs="Times New Roman"/>
          <w:kern w:val="2"/>
          <w:lang w:val="en-US" w:eastAsia="zh-CN"/>
        </w:rPr>
        <w:t xml:space="preserve">,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143</w:t>
      </w:r>
      <w:r w:rsidRPr="00644ED5">
        <w:rPr>
          <w:rFonts w:ascii="Book Antiqua" w:eastAsia="宋体" w:hAnsi="Book Antiqua" w:cs="Times New Roman"/>
          <w:kern w:val="2"/>
          <w:lang w:val="en-US" w:eastAsia="zh-CN"/>
        </w:rPr>
        <w:t>: 1253-1260.e4 [PMID: 22819864 DOI: 10.1053/j.gastro.2012.07.018]</w:t>
      </w:r>
    </w:p>
    <w:p w14:paraId="5D5725A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138 </w:t>
      </w:r>
      <w:r w:rsidRPr="00644ED5">
        <w:rPr>
          <w:rFonts w:ascii="Book Antiqua" w:eastAsia="宋体" w:hAnsi="Book Antiqua" w:cs="Times New Roman"/>
          <w:b/>
          <w:kern w:val="2"/>
          <w:lang w:val="en-US" w:eastAsia="zh-CN"/>
        </w:rPr>
        <w:t>Senzolo M</w:t>
      </w:r>
      <w:r w:rsidRPr="00644ED5">
        <w:rPr>
          <w:rFonts w:ascii="Book Antiqua" w:eastAsia="宋体" w:hAnsi="Book Antiqua" w:cs="Times New Roman"/>
          <w:kern w:val="2"/>
          <w:lang w:val="en-US" w:eastAsia="zh-CN"/>
        </w:rPr>
        <w:t xml:space="preserve">, M Sartori T, Rossetto V, Burra P, Cillo U, Boccagni P, Gasparini D, Miotto D, Simioni P, Tsochatzis E, A Burroughs K. Prospective evaluation of anticoagulation and transjugular intrahepatic portosystemic shunt for the management of portal vein thrombosis in cirrhosis. </w:t>
      </w:r>
      <w:r w:rsidRPr="00644ED5">
        <w:rPr>
          <w:rFonts w:ascii="Book Antiqua" w:eastAsia="宋体" w:hAnsi="Book Antiqua" w:cs="Times New Roman"/>
          <w:i/>
          <w:kern w:val="2"/>
          <w:lang w:val="en-US" w:eastAsia="zh-CN"/>
        </w:rPr>
        <w:t>Liver Int</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32</w:t>
      </w:r>
      <w:r w:rsidRPr="00644ED5">
        <w:rPr>
          <w:rFonts w:ascii="Book Antiqua" w:eastAsia="宋体" w:hAnsi="Book Antiqua" w:cs="Times New Roman"/>
          <w:kern w:val="2"/>
          <w:lang w:val="en-US" w:eastAsia="zh-CN"/>
        </w:rPr>
        <w:t>: 919-927 [PMID: 22435854 DOI: 10.1111/j.1478-3231.2012.02785.x]</w:t>
      </w:r>
    </w:p>
    <w:p w14:paraId="734C7698"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139 </w:t>
      </w:r>
      <w:r w:rsidRPr="00644ED5">
        <w:rPr>
          <w:rFonts w:ascii="Book Antiqua" w:eastAsia="宋体" w:hAnsi="Book Antiqua" w:cs="Times New Roman"/>
          <w:b/>
          <w:kern w:val="2"/>
          <w:lang w:val="en-US" w:eastAsia="zh-CN"/>
        </w:rPr>
        <w:t>Chen H</w:t>
      </w:r>
      <w:r w:rsidRPr="00644ED5">
        <w:rPr>
          <w:rFonts w:ascii="Book Antiqua" w:eastAsia="宋体" w:hAnsi="Book Antiqua" w:cs="Times New Roman"/>
          <w:kern w:val="2"/>
          <w:lang w:val="en-US" w:eastAsia="zh-CN"/>
        </w:rPr>
        <w:t xml:space="preserve">, Liu L, Qi X, He C, Wu F, Fan D, Han G. Efficacy and safety of anticoagulation in more advanced portal vein thrombosis in patients with liver cirrhosis. </w:t>
      </w:r>
      <w:r w:rsidRPr="00644ED5">
        <w:rPr>
          <w:rFonts w:ascii="Book Antiqua" w:eastAsia="宋体" w:hAnsi="Book Antiqua" w:cs="Times New Roman"/>
          <w:i/>
          <w:kern w:val="2"/>
          <w:lang w:val="en-US" w:eastAsia="zh-CN"/>
        </w:rPr>
        <w:t>Eur J Gastroenterol Hepatol</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28</w:t>
      </w:r>
      <w:r w:rsidRPr="00644ED5">
        <w:rPr>
          <w:rFonts w:ascii="Book Antiqua" w:eastAsia="宋体" w:hAnsi="Book Antiqua" w:cs="Times New Roman"/>
          <w:kern w:val="2"/>
          <w:lang w:val="en-US" w:eastAsia="zh-CN"/>
        </w:rPr>
        <w:t xml:space="preserve">: 82-89 [PMID: 26513611 DOI: </w:t>
      </w:r>
      <w:r w:rsidRPr="00644ED5">
        <w:rPr>
          <w:rFonts w:ascii="Book Antiqua" w:eastAsia="宋体" w:hAnsi="Book Antiqua" w:cs="Times New Roman"/>
          <w:kern w:val="2"/>
          <w:lang w:val="en-US" w:eastAsia="zh-CN"/>
        </w:rPr>
        <w:lastRenderedPageBreak/>
        <w:t>10.1097/MEG.0000000000000482]</w:t>
      </w:r>
    </w:p>
    <w:p w14:paraId="576E99E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140 </w:t>
      </w:r>
      <w:r w:rsidRPr="00644ED5">
        <w:rPr>
          <w:rFonts w:ascii="Book Antiqua" w:eastAsia="宋体" w:hAnsi="Book Antiqua" w:cs="Times New Roman"/>
          <w:b/>
          <w:kern w:val="2"/>
          <w:lang w:val="en-US" w:eastAsia="zh-CN"/>
        </w:rPr>
        <w:t>Delgado MG</w:t>
      </w:r>
      <w:r w:rsidRPr="00644ED5">
        <w:rPr>
          <w:rFonts w:ascii="Book Antiqua" w:eastAsia="宋体" w:hAnsi="Book Antiqua" w:cs="Times New Roman"/>
          <w:kern w:val="2"/>
          <w:lang w:val="en-US" w:eastAsia="zh-CN"/>
        </w:rPr>
        <w:t xml:space="preserve">, Seijo S, Yepes I, Achécar L, Catalina MV, García-Criado A, Abraldes JG, de la Peña J, Bañares R, Albillos A, Bosch J, García-Pagán JC. Efficacy and safety of anticoagulation on patients with cirrhosis and portal vein thrombosis. </w:t>
      </w:r>
      <w:r w:rsidRPr="00644ED5">
        <w:rPr>
          <w:rFonts w:ascii="Book Antiqua" w:eastAsia="宋体" w:hAnsi="Book Antiqua" w:cs="Times New Roman"/>
          <w:i/>
          <w:kern w:val="2"/>
          <w:lang w:val="en-US" w:eastAsia="zh-CN"/>
        </w:rPr>
        <w:t>Clin Gastroenterol Hepatol</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10</w:t>
      </w:r>
      <w:r w:rsidRPr="00644ED5">
        <w:rPr>
          <w:rFonts w:ascii="Book Antiqua" w:eastAsia="宋体" w:hAnsi="Book Antiqua" w:cs="Times New Roman"/>
          <w:kern w:val="2"/>
          <w:lang w:val="en-US" w:eastAsia="zh-CN"/>
        </w:rPr>
        <w:t>: 776-783 [PMID: 22289875 DOI: 10.1016/j.cgh.2012.01.012]</w:t>
      </w:r>
    </w:p>
    <w:p w14:paraId="491245E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141 </w:t>
      </w:r>
      <w:r w:rsidRPr="00644ED5">
        <w:rPr>
          <w:rFonts w:ascii="Book Antiqua" w:eastAsia="宋体" w:hAnsi="Book Antiqua" w:cs="Times New Roman"/>
          <w:b/>
          <w:kern w:val="2"/>
          <w:lang w:val="en-US" w:eastAsia="zh-CN"/>
        </w:rPr>
        <w:t>Amitrano L</w:t>
      </w:r>
      <w:r w:rsidRPr="00644ED5">
        <w:rPr>
          <w:rFonts w:ascii="Book Antiqua" w:eastAsia="宋体" w:hAnsi="Book Antiqua" w:cs="Times New Roman"/>
          <w:kern w:val="2"/>
          <w:lang w:val="en-US" w:eastAsia="zh-CN"/>
        </w:rPr>
        <w:t xml:space="preserve">, Guardascione MA, Menchise A, Martino R, Scaglione M, Giovine S, Romano L, Balzano A. Safety and efficacy of anticoagulation therapy with low molecular weight heparin for portal vein thrombosis in patients with liver cirrhosis. </w:t>
      </w:r>
      <w:r w:rsidRPr="00644ED5">
        <w:rPr>
          <w:rFonts w:ascii="Book Antiqua" w:eastAsia="宋体" w:hAnsi="Book Antiqua" w:cs="Times New Roman"/>
          <w:i/>
          <w:kern w:val="2"/>
          <w:lang w:val="en-US" w:eastAsia="zh-CN"/>
        </w:rPr>
        <w:t>J Clin Gastroenterol</w:t>
      </w:r>
      <w:r w:rsidRPr="00644ED5">
        <w:rPr>
          <w:rFonts w:ascii="Book Antiqua" w:eastAsia="宋体" w:hAnsi="Book Antiqua" w:cs="Times New Roman"/>
          <w:kern w:val="2"/>
          <w:lang w:val="en-US" w:eastAsia="zh-CN"/>
        </w:rPr>
        <w:t xml:space="preserve"> 2010; </w:t>
      </w:r>
      <w:r w:rsidRPr="00644ED5">
        <w:rPr>
          <w:rFonts w:ascii="Book Antiqua" w:eastAsia="宋体" w:hAnsi="Book Antiqua" w:cs="Times New Roman"/>
          <w:b/>
          <w:kern w:val="2"/>
          <w:lang w:val="en-US" w:eastAsia="zh-CN"/>
        </w:rPr>
        <w:t>44</w:t>
      </w:r>
      <w:r w:rsidRPr="00644ED5">
        <w:rPr>
          <w:rFonts w:ascii="Book Antiqua" w:eastAsia="宋体" w:hAnsi="Book Antiqua" w:cs="Times New Roman"/>
          <w:kern w:val="2"/>
          <w:lang w:val="en-US" w:eastAsia="zh-CN"/>
        </w:rPr>
        <w:t>: 448-451 [PMID: 19730112 DOI: 10.1097/MCG.0b013e3181b3ab44]</w:t>
      </w:r>
    </w:p>
    <w:p w14:paraId="5D10576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142 </w:t>
      </w:r>
      <w:r w:rsidRPr="00644ED5">
        <w:rPr>
          <w:rFonts w:ascii="Book Antiqua" w:eastAsia="宋体" w:hAnsi="Book Antiqua" w:cs="Times New Roman"/>
          <w:b/>
          <w:kern w:val="2"/>
          <w:lang w:val="en-US" w:eastAsia="zh-CN"/>
        </w:rPr>
        <w:t>Bernardi M</w:t>
      </w:r>
      <w:r w:rsidRPr="00644ED5">
        <w:rPr>
          <w:rFonts w:ascii="Book Antiqua" w:eastAsia="宋体" w:hAnsi="Book Antiqua" w:cs="Times New Roman"/>
          <w:kern w:val="2"/>
          <w:lang w:val="en-US" w:eastAsia="zh-CN"/>
        </w:rPr>
        <w:t xml:space="preserve">, Maggioli C, Zaccherini G. </w:t>
      </w:r>
      <w:bookmarkStart w:id="82" w:name="OLE_LINK334"/>
      <w:bookmarkStart w:id="83" w:name="OLE_LINK335"/>
      <w:r w:rsidRPr="00644ED5">
        <w:rPr>
          <w:rFonts w:ascii="Book Antiqua" w:eastAsia="宋体" w:hAnsi="Book Antiqua" w:cs="Times New Roman"/>
          <w:kern w:val="2"/>
          <w:lang w:val="en-US" w:eastAsia="zh-CN"/>
        </w:rPr>
        <w:t>Human albumin in the management of complications of liver cirrhosis.</w:t>
      </w:r>
      <w:bookmarkEnd w:id="82"/>
      <w:bookmarkEnd w:id="83"/>
      <w:r w:rsidRPr="00644ED5">
        <w:rPr>
          <w:rFonts w:ascii="Book Antiqua" w:eastAsia="宋体" w:hAnsi="Book Antiqua" w:cs="Times New Roman"/>
          <w:kern w:val="2"/>
          <w:lang w:val="en-US" w:eastAsia="zh-CN"/>
        </w:rPr>
        <w:t xml:space="preserve"> </w:t>
      </w:r>
      <w:r w:rsidRPr="00644ED5">
        <w:rPr>
          <w:rFonts w:ascii="Book Antiqua" w:eastAsia="宋体" w:hAnsi="Book Antiqua" w:cs="Times New Roman"/>
          <w:i/>
          <w:kern w:val="2"/>
          <w:lang w:val="en-US" w:eastAsia="zh-CN"/>
        </w:rPr>
        <w:t>Crit Care</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16</w:t>
      </w:r>
      <w:r w:rsidRPr="00644ED5">
        <w:rPr>
          <w:rFonts w:ascii="Book Antiqua" w:eastAsia="宋体" w:hAnsi="Book Antiqua" w:cs="Times New Roman"/>
          <w:kern w:val="2"/>
          <w:lang w:val="en-US" w:eastAsia="zh-CN"/>
        </w:rPr>
        <w:t>: 211 [PMID: 22429536 DOI: 10.1186/cc11218]</w:t>
      </w:r>
    </w:p>
    <w:p w14:paraId="56F5016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143 </w:t>
      </w:r>
      <w:r w:rsidRPr="00644ED5">
        <w:rPr>
          <w:rFonts w:ascii="Book Antiqua" w:eastAsia="宋体" w:hAnsi="Book Antiqua" w:cs="Times New Roman"/>
          <w:b/>
          <w:kern w:val="2"/>
          <w:lang w:val="en-US" w:eastAsia="zh-CN"/>
        </w:rPr>
        <w:t>Arroyo V</w:t>
      </w:r>
      <w:r w:rsidRPr="00644ED5">
        <w:rPr>
          <w:rFonts w:ascii="Book Antiqua" w:eastAsia="宋体" w:hAnsi="Book Antiqua" w:cs="Times New Roman"/>
          <w:kern w:val="2"/>
          <w:lang w:val="en-US" w:eastAsia="zh-CN"/>
        </w:rPr>
        <w:t xml:space="preserve">, García-Martinez R, Salvatella X. Human serum albumin, systemic inflammation, and cirrhosis.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2014; </w:t>
      </w:r>
      <w:r w:rsidRPr="00644ED5">
        <w:rPr>
          <w:rFonts w:ascii="Book Antiqua" w:eastAsia="宋体" w:hAnsi="Book Antiqua" w:cs="Times New Roman"/>
          <w:b/>
          <w:kern w:val="2"/>
          <w:lang w:val="en-US" w:eastAsia="zh-CN"/>
        </w:rPr>
        <w:t>61</w:t>
      </w:r>
      <w:r w:rsidRPr="00644ED5">
        <w:rPr>
          <w:rFonts w:ascii="Book Antiqua" w:eastAsia="宋体" w:hAnsi="Book Antiqua" w:cs="Times New Roman"/>
          <w:kern w:val="2"/>
          <w:lang w:val="en-US" w:eastAsia="zh-CN"/>
        </w:rPr>
        <w:t>: 396-407 [PMID: 24751830 DOI: 10.1016/j.jhep.2014.04.012]</w:t>
      </w:r>
    </w:p>
    <w:p w14:paraId="10429140"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144 </w:t>
      </w:r>
      <w:r w:rsidRPr="00644ED5">
        <w:rPr>
          <w:rFonts w:ascii="Book Antiqua" w:eastAsia="宋体" w:hAnsi="Book Antiqua" w:cs="Times New Roman"/>
          <w:b/>
          <w:kern w:val="2"/>
          <w:lang w:val="en-US" w:eastAsia="zh-CN"/>
        </w:rPr>
        <w:t>Garcia-Martinez R</w:t>
      </w:r>
      <w:r w:rsidRPr="00644ED5">
        <w:rPr>
          <w:rFonts w:ascii="Book Antiqua" w:eastAsia="宋体" w:hAnsi="Book Antiqua" w:cs="Times New Roman"/>
          <w:kern w:val="2"/>
          <w:lang w:val="en-US" w:eastAsia="zh-CN"/>
        </w:rPr>
        <w:t xml:space="preserve">, Caraceni P, Bernardi M, Gines P, Arroyo V, Jalan R. Albumin: Pathophysiologic basis of its role in the treatment of cirrhosis and its complications.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58</w:t>
      </w:r>
      <w:r w:rsidRPr="00644ED5">
        <w:rPr>
          <w:rFonts w:ascii="Book Antiqua" w:eastAsia="宋体" w:hAnsi="Book Antiqua" w:cs="Times New Roman"/>
          <w:kern w:val="2"/>
          <w:lang w:val="en-US" w:eastAsia="zh-CN"/>
        </w:rPr>
        <w:t>: 1836-1846 [PMID: 23423799 DOI: 10.1002/hep.26338]</w:t>
      </w:r>
    </w:p>
    <w:p w14:paraId="64CB01C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145 </w:t>
      </w:r>
      <w:r w:rsidRPr="00644ED5">
        <w:rPr>
          <w:rFonts w:ascii="Book Antiqua" w:eastAsia="宋体" w:hAnsi="Book Antiqua" w:cs="Times New Roman"/>
          <w:b/>
          <w:kern w:val="2"/>
          <w:lang w:val="en-US" w:eastAsia="zh-CN"/>
        </w:rPr>
        <w:t>Salerno F</w:t>
      </w:r>
      <w:r w:rsidRPr="00644ED5">
        <w:rPr>
          <w:rFonts w:ascii="Book Antiqua" w:eastAsia="宋体" w:hAnsi="Book Antiqua" w:cs="Times New Roman"/>
          <w:kern w:val="2"/>
          <w:lang w:val="en-US" w:eastAsia="zh-CN"/>
        </w:rPr>
        <w:t xml:space="preserve">, Navickis RJ, Wilkes MM. Albumin infusion improves outcomes of patients with spontaneous bacterial peritonitis: A meta-analysis of randomized trials. </w:t>
      </w:r>
      <w:r w:rsidRPr="00644ED5">
        <w:rPr>
          <w:rFonts w:ascii="Book Antiqua" w:eastAsia="宋体" w:hAnsi="Book Antiqua" w:cs="Times New Roman"/>
          <w:i/>
          <w:kern w:val="2"/>
          <w:lang w:val="en-US" w:eastAsia="zh-CN"/>
        </w:rPr>
        <w:t>Clin Gastroenterol Hepatol</w:t>
      </w:r>
      <w:r w:rsidRPr="00644ED5">
        <w:rPr>
          <w:rFonts w:ascii="Book Antiqua" w:eastAsia="宋体" w:hAnsi="Book Antiqua" w:cs="Times New Roman"/>
          <w:kern w:val="2"/>
          <w:lang w:val="en-US" w:eastAsia="zh-CN"/>
        </w:rPr>
        <w:t xml:space="preserve"> 2013; </w:t>
      </w:r>
      <w:r w:rsidRPr="00644ED5">
        <w:rPr>
          <w:rFonts w:ascii="Book Antiqua" w:eastAsia="宋体" w:hAnsi="Book Antiqua" w:cs="Times New Roman"/>
          <w:b/>
          <w:kern w:val="2"/>
          <w:lang w:val="en-US" w:eastAsia="zh-CN"/>
        </w:rPr>
        <w:t>11</w:t>
      </w:r>
      <w:r w:rsidRPr="00644ED5">
        <w:rPr>
          <w:rFonts w:ascii="Book Antiqua" w:eastAsia="宋体" w:hAnsi="Book Antiqua" w:cs="Times New Roman"/>
          <w:kern w:val="2"/>
          <w:lang w:val="en-US" w:eastAsia="zh-CN"/>
        </w:rPr>
        <w:t>: 123-30.e1 [PMID: 23178229 DOI: 10.1016/j.cgh.2012.11.007]</w:t>
      </w:r>
    </w:p>
    <w:p w14:paraId="5B0F9AE9"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146 </w:t>
      </w:r>
      <w:r w:rsidRPr="00644ED5">
        <w:rPr>
          <w:rFonts w:ascii="Book Antiqua" w:eastAsia="宋体" w:hAnsi="Book Antiqua" w:cs="Times New Roman"/>
          <w:b/>
          <w:kern w:val="2"/>
          <w:lang w:val="en-US" w:eastAsia="zh-CN"/>
        </w:rPr>
        <w:t>Sanyal AJ</w:t>
      </w:r>
      <w:r w:rsidRPr="00644ED5">
        <w:rPr>
          <w:rFonts w:ascii="Book Antiqua" w:eastAsia="宋体" w:hAnsi="Book Antiqua" w:cs="Times New Roman"/>
          <w:kern w:val="2"/>
          <w:lang w:val="en-US" w:eastAsia="zh-CN"/>
        </w:rPr>
        <w:t xml:space="preserve">, Boyer T, Garcia-Tsao G, Regenstein F, Rossaro L, Appenrodt B, Blei A, Gülberg V, Sigal S, Teuber P; Terlipressin Study Group. A randomized, prospective, double-blind, placebo-controlled trial of terlipressin for type 1 hepatorenal syndrome. </w:t>
      </w:r>
      <w:r w:rsidRPr="00644ED5">
        <w:rPr>
          <w:rFonts w:ascii="Book Antiqua" w:eastAsia="宋体" w:hAnsi="Book Antiqua" w:cs="Times New Roman"/>
          <w:i/>
          <w:kern w:val="2"/>
          <w:lang w:val="en-US" w:eastAsia="zh-CN"/>
        </w:rPr>
        <w:t>Gastroenterology</w:t>
      </w:r>
      <w:r w:rsidRPr="00644ED5">
        <w:rPr>
          <w:rFonts w:ascii="Book Antiqua" w:eastAsia="宋体" w:hAnsi="Book Antiqua" w:cs="Times New Roman"/>
          <w:kern w:val="2"/>
          <w:lang w:val="en-US" w:eastAsia="zh-CN"/>
        </w:rPr>
        <w:t xml:space="preserve"> 2008; </w:t>
      </w:r>
      <w:r w:rsidRPr="00644ED5">
        <w:rPr>
          <w:rFonts w:ascii="Book Antiqua" w:eastAsia="宋体" w:hAnsi="Book Antiqua" w:cs="Times New Roman"/>
          <w:b/>
          <w:kern w:val="2"/>
          <w:lang w:val="en-US" w:eastAsia="zh-CN"/>
        </w:rPr>
        <w:t>134</w:t>
      </w:r>
      <w:r w:rsidRPr="00644ED5">
        <w:rPr>
          <w:rFonts w:ascii="Book Antiqua" w:eastAsia="宋体" w:hAnsi="Book Antiqua" w:cs="Times New Roman"/>
          <w:kern w:val="2"/>
          <w:lang w:val="en-US" w:eastAsia="zh-CN"/>
        </w:rPr>
        <w:t>: 1360-1368 [PMID: 18471513 DOI: 10.1053/j.gastro.2008.02.014]</w:t>
      </w:r>
    </w:p>
    <w:p w14:paraId="00B6CD44"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147 </w:t>
      </w:r>
      <w:r w:rsidRPr="00644ED5">
        <w:rPr>
          <w:rFonts w:ascii="Book Antiqua" w:eastAsia="宋体" w:hAnsi="Book Antiqua" w:cs="Times New Roman"/>
          <w:b/>
          <w:kern w:val="2"/>
          <w:lang w:val="en-US" w:eastAsia="zh-CN"/>
        </w:rPr>
        <w:t>Bernardi M</w:t>
      </w:r>
      <w:r w:rsidRPr="00644ED5">
        <w:rPr>
          <w:rFonts w:ascii="Book Antiqua" w:eastAsia="宋体" w:hAnsi="Book Antiqua" w:cs="Times New Roman"/>
          <w:kern w:val="2"/>
          <w:lang w:val="en-US" w:eastAsia="zh-CN"/>
        </w:rPr>
        <w:t xml:space="preserve">, Caraceni P, Navickis RJ, Wilkes MM. Albumin infusion in patients undergoing large-volume paracentesis: A meta-analysis of randomized trials. </w:t>
      </w:r>
      <w:r w:rsidRPr="00644ED5">
        <w:rPr>
          <w:rFonts w:ascii="Book Antiqua" w:eastAsia="宋体" w:hAnsi="Book Antiqua" w:cs="Times New Roman"/>
          <w:i/>
          <w:kern w:val="2"/>
          <w:lang w:val="en-US" w:eastAsia="zh-CN"/>
        </w:rPr>
        <w:lastRenderedPageBreak/>
        <w:t>Hepatology</w:t>
      </w:r>
      <w:r w:rsidRPr="00644ED5">
        <w:rPr>
          <w:rFonts w:ascii="Book Antiqua" w:eastAsia="宋体" w:hAnsi="Book Antiqua" w:cs="Times New Roman"/>
          <w:kern w:val="2"/>
          <w:lang w:val="en-US" w:eastAsia="zh-CN"/>
        </w:rPr>
        <w:t xml:space="preserve"> 2012; </w:t>
      </w:r>
      <w:r w:rsidRPr="00644ED5">
        <w:rPr>
          <w:rFonts w:ascii="Book Antiqua" w:eastAsia="宋体" w:hAnsi="Book Antiqua" w:cs="Times New Roman"/>
          <w:b/>
          <w:kern w:val="2"/>
          <w:lang w:val="en-US" w:eastAsia="zh-CN"/>
        </w:rPr>
        <w:t>55</w:t>
      </w:r>
      <w:r w:rsidRPr="00644ED5">
        <w:rPr>
          <w:rFonts w:ascii="Book Antiqua" w:eastAsia="宋体" w:hAnsi="Book Antiqua" w:cs="Times New Roman"/>
          <w:kern w:val="2"/>
          <w:lang w:val="en-US" w:eastAsia="zh-CN"/>
        </w:rPr>
        <w:t>: 1172-1181 [PMID: 22095893 DOI: 10.1002/hep.24786]</w:t>
      </w:r>
    </w:p>
    <w:p w14:paraId="7FED5D6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148 </w:t>
      </w:r>
      <w:r w:rsidRPr="00644ED5">
        <w:rPr>
          <w:rFonts w:ascii="Book Antiqua" w:eastAsia="宋体" w:hAnsi="Book Antiqua" w:cs="Times New Roman"/>
          <w:b/>
          <w:kern w:val="2"/>
          <w:lang w:val="en-US" w:eastAsia="zh-CN"/>
        </w:rPr>
        <w:t>Caraceni P</w:t>
      </w:r>
      <w:r w:rsidRPr="00644ED5">
        <w:rPr>
          <w:rFonts w:ascii="Book Antiqua" w:eastAsia="宋体" w:hAnsi="Book Antiqua" w:cs="Times New Roman"/>
          <w:kern w:val="2"/>
          <w:lang w:val="en-US" w:eastAsia="zh-CN"/>
        </w:rPr>
        <w:t xml:space="preserve">, Riggio O, Angeli P, Alessandria C, Neri S, Foschi FG, Levantesi F, Airoldi A, Boccia S, Svegliati-Baroni G, Fagiuoli S, Romanelli RG, Cozzolongo R, Di Marco V, Sangiovanni V, Morisco F, Toniutto P, Tortora A, De Marco R, Angelico M, Cacciola I, Elia G, Federico A, Massironi S, Guarisco R, Galioto A, Ballardini G, Rendina M, Nardelli S, Piano S, Elia C, Prestianni L, Cappa FM, Cesarini L, Simone L, Pasquale C, Cavallin M, Andrealli A, Fidone F, Ruggeri M, Roncadori A, Baldassarre M, Tufoni M, Zaccherini G, Bernardi M; ANSWER Study Investigators. Long-term albumin administration in decompensated cirrhosis (ANSWER): An open-label randomised trial. </w:t>
      </w:r>
      <w:r w:rsidRPr="00644ED5">
        <w:rPr>
          <w:rFonts w:ascii="Book Antiqua" w:eastAsia="宋体" w:hAnsi="Book Antiqua" w:cs="Times New Roman"/>
          <w:i/>
          <w:kern w:val="2"/>
          <w:lang w:val="en-US" w:eastAsia="zh-CN"/>
        </w:rPr>
        <w:t>Lancet</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391</w:t>
      </w:r>
      <w:r w:rsidRPr="00644ED5">
        <w:rPr>
          <w:rFonts w:ascii="Book Antiqua" w:eastAsia="宋体" w:hAnsi="Book Antiqua" w:cs="Times New Roman"/>
          <w:kern w:val="2"/>
          <w:lang w:val="en-US" w:eastAsia="zh-CN"/>
        </w:rPr>
        <w:t>: 2417-2429 [PMID: 29861076 DOI: 10.1016/S0140-6736(18)30840-7]</w:t>
      </w:r>
    </w:p>
    <w:p w14:paraId="50251EF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149 </w:t>
      </w:r>
      <w:r w:rsidRPr="00644ED5">
        <w:rPr>
          <w:rFonts w:ascii="Book Antiqua" w:eastAsia="宋体" w:hAnsi="Book Antiqua" w:cs="Times New Roman"/>
          <w:b/>
          <w:kern w:val="2"/>
          <w:lang w:val="en-US" w:eastAsia="zh-CN"/>
        </w:rPr>
        <w:t>Mullish BH</w:t>
      </w:r>
      <w:r w:rsidRPr="00644ED5">
        <w:rPr>
          <w:rFonts w:ascii="Book Antiqua" w:eastAsia="宋体" w:hAnsi="Book Antiqua" w:cs="Times New Roman"/>
          <w:kern w:val="2"/>
          <w:lang w:val="en-US" w:eastAsia="zh-CN"/>
        </w:rPr>
        <w:t>, Quraishi MN, Segal JP, McCune VL, Baxter M, Marsden GL, Moore DJ, Colville A, Bhala N, Iqbal TH, Settle C, Kontkowski G, Hart AL, Hawkey PM, Goldenberg SD, Williams HRT. The use of faecal microbiota transplant as treatment for recurrent or refractory</w:t>
      </w:r>
      <w:r w:rsidRPr="00644ED5">
        <w:rPr>
          <w:rFonts w:ascii="Book Antiqua" w:eastAsia="宋体" w:hAnsi="Book Antiqua" w:cs="Times New Roman" w:hint="eastAsia"/>
          <w:kern w:val="2"/>
          <w:lang w:val="en-US" w:eastAsia="zh-CN"/>
        </w:rPr>
        <w:t xml:space="preserve"> </w:t>
      </w:r>
      <w:r w:rsidRPr="00644ED5">
        <w:rPr>
          <w:rFonts w:ascii="Book Antiqua" w:eastAsia="宋体" w:hAnsi="Book Antiqua" w:cs="Times New Roman"/>
          <w:i/>
          <w:kern w:val="2"/>
          <w:lang w:val="en-US" w:eastAsia="zh-CN"/>
        </w:rPr>
        <w:t>Clostridium difficile</w:t>
      </w:r>
      <w:r w:rsidRPr="00644ED5">
        <w:rPr>
          <w:rFonts w:ascii="Book Antiqua" w:eastAsia="宋体" w:hAnsi="Book Antiqua" w:cs="Times New Roman" w:hint="eastAsia"/>
          <w:i/>
          <w:kern w:val="2"/>
          <w:lang w:val="en-US" w:eastAsia="zh-CN"/>
        </w:rPr>
        <w:t xml:space="preserve"> </w:t>
      </w:r>
      <w:r w:rsidRPr="00644ED5">
        <w:rPr>
          <w:rFonts w:ascii="Book Antiqua" w:eastAsia="宋体" w:hAnsi="Book Antiqua" w:cs="Times New Roman"/>
          <w:kern w:val="2"/>
          <w:lang w:val="en-US" w:eastAsia="zh-CN"/>
        </w:rPr>
        <w:t xml:space="preserve">infection and other potential indications: Joint British Society of Gastroenterology (BSG) and Healthcare Infection Society (HIS) guidelines. </w:t>
      </w:r>
      <w:r w:rsidRPr="00644ED5">
        <w:rPr>
          <w:rFonts w:ascii="Book Antiqua" w:eastAsia="宋体" w:hAnsi="Book Antiqua" w:cs="Times New Roman"/>
          <w:i/>
          <w:kern w:val="2"/>
          <w:lang w:val="en-US" w:eastAsia="zh-CN"/>
        </w:rPr>
        <w:t>Gut</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67</w:t>
      </w:r>
      <w:r w:rsidRPr="00644ED5">
        <w:rPr>
          <w:rFonts w:ascii="Book Antiqua" w:eastAsia="宋体" w:hAnsi="Book Antiqua" w:cs="Times New Roman"/>
          <w:kern w:val="2"/>
          <w:lang w:val="en-US" w:eastAsia="zh-CN"/>
        </w:rPr>
        <w:t>: 1920-1941 [PMID: 30154172 DOI: 10.1136/gutjnl-2018-316818]</w:t>
      </w:r>
    </w:p>
    <w:p w14:paraId="3B22F521"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150 </w:t>
      </w:r>
      <w:r w:rsidRPr="00644ED5">
        <w:rPr>
          <w:rFonts w:ascii="Book Antiqua" w:eastAsia="宋体" w:hAnsi="Book Antiqua" w:cs="Times New Roman"/>
          <w:b/>
          <w:kern w:val="2"/>
          <w:lang w:val="en-US" w:eastAsia="zh-CN"/>
        </w:rPr>
        <w:t>Bajaj JS</w:t>
      </w:r>
      <w:r w:rsidRPr="00644ED5">
        <w:rPr>
          <w:rFonts w:ascii="Book Antiqua" w:eastAsia="宋体" w:hAnsi="Book Antiqua" w:cs="Times New Roman"/>
          <w:kern w:val="2"/>
          <w:lang w:val="en-US" w:eastAsia="zh-CN"/>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66</w:t>
      </w:r>
      <w:r w:rsidRPr="00644ED5">
        <w:rPr>
          <w:rFonts w:ascii="Book Antiqua" w:eastAsia="宋体" w:hAnsi="Book Antiqua" w:cs="Times New Roman"/>
          <w:kern w:val="2"/>
          <w:lang w:val="en-US" w:eastAsia="zh-CN"/>
        </w:rPr>
        <w:t>: 1727-1738 [PMID: 28586116 DOI: 10.1002/hep.29306]</w:t>
      </w:r>
    </w:p>
    <w:p w14:paraId="4722BA5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151 </w:t>
      </w:r>
      <w:r w:rsidRPr="00644ED5">
        <w:rPr>
          <w:rFonts w:ascii="Book Antiqua" w:eastAsia="宋体" w:hAnsi="Book Antiqua" w:cs="Times New Roman"/>
          <w:b/>
          <w:kern w:val="2"/>
          <w:lang w:val="en-US" w:eastAsia="zh-CN"/>
        </w:rPr>
        <w:t xml:space="preserve">Woodhouse C. </w:t>
      </w:r>
      <w:r w:rsidRPr="00644ED5">
        <w:rPr>
          <w:rFonts w:ascii="Book Antiqua" w:eastAsia="宋体" w:hAnsi="Book Antiqua" w:cs="Times New Roman"/>
          <w:kern w:val="2"/>
          <w:lang w:val="en-US" w:eastAsia="zh-CN"/>
        </w:rPr>
        <w:t xml:space="preserve">Trial of faecal microbiota transplantation in cirrhosis. ISRCTN registry. </w:t>
      </w:r>
      <w:r w:rsidRPr="00644ED5">
        <w:rPr>
          <w:rFonts w:ascii="Book Antiqua" w:eastAsia="Times New Roman" w:hAnsi="Book Antiqua" w:cs="Times New Roman"/>
          <w:bCs/>
          <w:color w:val="000000"/>
          <w:kern w:val="2"/>
          <w:lang w:val="en-US" w:eastAsia="zh-CN"/>
        </w:rPr>
        <w:t>[accessed 201</w:t>
      </w:r>
      <w:r w:rsidRPr="00644ED5">
        <w:rPr>
          <w:rFonts w:ascii="Book Antiqua" w:eastAsia="宋体" w:hAnsi="Book Antiqua" w:cs="Times New Roman" w:hint="eastAsia"/>
          <w:bCs/>
          <w:color w:val="000000"/>
          <w:kern w:val="2"/>
          <w:lang w:val="en-US" w:eastAsia="zh-CN"/>
        </w:rPr>
        <w:t>8</w:t>
      </w:r>
      <w:r w:rsidRPr="00644ED5">
        <w:rPr>
          <w:rFonts w:ascii="Book Antiqua" w:eastAsia="Times New Roman" w:hAnsi="Book Antiqua" w:cs="Times New Roman"/>
          <w:bCs/>
          <w:color w:val="000000"/>
          <w:kern w:val="2"/>
          <w:lang w:val="en-US" w:eastAsia="zh-CN"/>
        </w:rPr>
        <w:t xml:space="preserve"> </w:t>
      </w:r>
      <w:r w:rsidRPr="00644ED5">
        <w:rPr>
          <w:rFonts w:ascii="Book Antiqua" w:eastAsia="宋体" w:hAnsi="Book Antiqua" w:cs="Times New Roman" w:hint="eastAsia"/>
          <w:bCs/>
          <w:color w:val="000000"/>
          <w:kern w:val="2"/>
          <w:lang w:val="en-US" w:eastAsia="zh-CN"/>
        </w:rPr>
        <w:t>May</w:t>
      </w:r>
      <w:r w:rsidRPr="00644ED5">
        <w:rPr>
          <w:rFonts w:ascii="Book Antiqua" w:eastAsia="Times New Roman" w:hAnsi="Book Antiqua" w:cs="Times New Roman"/>
          <w:bCs/>
          <w:color w:val="000000"/>
          <w:kern w:val="2"/>
          <w:lang w:val="en-US" w:eastAsia="zh-CN"/>
        </w:rPr>
        <w:t xml:space="preserve"> </w:t>
      </w:r>
      <w:r w:rsidRPr="00644ED5">
        <w:rPr>
          <w:rFonts w:ascii="Book Antiqua" w:eastAsia="宋体" w:hAnsi="Book Antiqua" w:cs="Times New Roman" w:hint="eastAsia"/>
          <w:bCs/>
          <w:color w:val="000000"/>
          <w:kern w:val="2"/>
          <w:lang w:val="en-US" w:eastAsia="zh-CN"/>
        </w:rPr>
        <w:t>21</w:t>
      </w:r>
      <w:r w:rsidRPr="00644ED5">
        <w:rPr>
          <w:rFonts w:ascii="Book Antiqua" w:eastAsia="Times New Roman" w:hAnsi="Book Antiqua" w:cs="Times New Roman"/>
          <w:bCs/>
          <w:color w:val="000000"/>
          <w:kern w:val="2"/>
          <w:lang w:val="en-US" w:eastAsia="zh-CN"/>
        </w:rPr>
        <w:t>].</w:t>
      </w:r>
      <w:r w:rsidRPr="00644ED5">
        <w:rPr>
          <w:rFonts w:ascii="Book Antiqua" w:eastAsia="宋体" w:hAnsi="Book Antiqua" w:cs="Times New Roman" w:hint="eastAsia"/>
          <w:bCs/>
          <w:color w:val="000000"/>
          <w:kern w:val="2"/>
          <w:lang w:val="en-US" w:eastAsia="zh-CN"/>
        </w:rPr>
        <w:t xml:space="preserve"> </w:t>
      </w:r>
      <w:r w:rsidRPr="00644ED5">
        <w:rPr>
          <w:rFonts w:ascii="Book Antiqua" w:eastAsia="Times New Roman" w:hAnsi="Book Antiqua" w:cs="Times New Roman"/>
          <w:bCs/>
          <w:color w:val="000000"/>
          <w:kern w:val="2"/>
          <w:lang w:val="en-US" w:eastAsia="zh-CN"/>
        </w:rPr>
        <w:t>In:</w:t>
      </w:r>
      <w:r w:rsidRPr="00644ED5">
        <w:rPr>
          <w:rFonts w:ascii="Book Antiqua" w:eastAsia="宋体" w:hAnsi="Book Antiqua" w:cs="Times New Roman" w:hint="eastAsia"/>
          <w:bCs/>
          <w:color w:val="000000"/>
          <w:kern w:val="2"/>
          <w:lang w:val="en-US" w:eastAsia="zh-CN"/>
        </w:rPr>
        <w:t xml:space="preserve"> </w:t>
      </w:r>
      <w:r w:rsidRPr="00644ED5">
        <w:rPr>
          <w:rFonts w:ascii="Book Antiqua" w:eastAsia="宋体" w:hAnsi="Book Antiqua" w:cs="Times New Roman"/>
          <w:kern w:val="2"/>
          <w:lang w:val="en-US" w:eastAsia="zh-CN"/>
        </w:rPr>
        <w:t>ISRCTN registry</w:t>
      </w:r>
      <w:r w:rsidRPr="00644ED5">
        <w:rPr>
          <w:rFonts w:ascii="Book Antiqua" w:eastAsia="宋体" w:hAnsi="Book Antiqua" w:cs="Times New Roman" w:hint="eastAsia"/>
          <w:kern w:val="2"/>
          <w:lang w:val="en-US" w:eastAsia="zh-CN"/>
        </w:rPr>
        <w:t xml:space="preserve"> </w:t>
      </w:r>
      <w:r w:rsidRPr="00644ED5">
        <w:rPr>
          <w:rFonts w:ascii="Book Antiqua" w:eastAsia="Times New Roman" w:hAnsi="Book Antiqua" w:cs="Times New Roman"/>
          <w:bCs/>
          <w:color w:val="000000"/>
          <w:kern w:val="2"/>
          <w:lang w:val="en-US" w:eastAsia="zh-CN"/>
        </w:rPr>
        <w:t>[Internet]</w:t>
      </w:r>
      <w:r w:rsidRPr="00644ED5">
        <w:rPr>
          <w:rFonts w:ascii="Book Antiqua" w:eastAsia="宋体" w:hAnsi="Book Antiqua" w:cs="Times New Roman"/>
          <w:kern w:val="2"/>
          <w:lang w:val="en-US" w:eastAsia="zh-CN"/>
        </w:rPr>
        <w:t xml:space="preserve">. </w:t>
      </w:r>
      <w:r w:rsidRPr="00644ED5">
        <w:rPr>
          <w:rFonts w:ascii="Book Antiqua" w:eastAsia="Times New Roman" w:hAnsi="Book Antiqua" w:cs="Times New Roman"/>
          <w:bCs/>
          <w:color w:val="000000"/>
          <w:kern w:val="2"/>
          <w:lang w:val="en-US" w:eastAsia="zh-CN"/>
        </w:rPr>
        <w:t xml:space="preserve">Available from: </w:t>
      </w:r>
      <w:r w:rsidRPr="00644ED5">
        <w:rPr>
          <w:rFonts w:ascii="Book Antiqua" w:eastAsia="宋体" w:hAnsi="Book Antiqua" w:cs="Times New Roman"/>
          <w:kern w:val="2"/>
          <w:lang w:val="en-US" w:eastAsia="zh-CN"/>
        </w:rPr>
        <w:t>https://doi.org/10.1186/ISRCTN11814003 ISRCTN number: ISRCTN11814003</w:t>
      </w:r>
    </w:p>
    <w:p w14:paraId="1A52B2A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152 </w:t>
      </w:r>
      <w:r w:rsidRPr="00644ED5">
        <w:rPr>
          <w:rFonts w:ascii="Book Antiqua" w:eastAsia="宋体" w:hAnsi="Book Antiqua" w:cs="Times New Roman"/>
          <w:b/>
          <w:kern w:val="2"/>
          <w:lang w:val="en-US" w:eastAsia="zh-CN"/>
        </w:rPr>
        <w:t>Dranoff JA</w:t>
      </w:r>
      <w:r w:rsidRPr="00644ED5">
        <w:rPr>
          <w:rFonts w:ascii="Book Antiqua" w:eastAsia="宋体" w:hAnsi="Book Antiqua" w:cs="Times New Roman"/>
          <w:kern w:val="2"/>
          <w:lang w:val="en-US" w:eastAsia="zh-CN"/>
        </w:rPr>
        <w:t xml:space="preserve">. Coffee Consumption and Prevention of Cirrhosis: In Support of the Caffeine Hypothesis. </w:t>
      </w:r>
      <w:r w:rsidRPr="00644ED5">
        <w:rPr>
          <w:rFonts w:ascii="Book Antiqua" w:eastAsia="宋体" w:hAnsi="Book Antiqua" w:cs="Times New Roman"/>
          <w:i/>
          <w:kern w:val="2"/>
          <w:lang w:val="en-US" w:eastAsia="zh-CN"/>
        </w:rPr>
        <w:t>Gene Expr</w:t>
      </w:r>
      <w:r w:rsidRPr="00644ED5">
        <w:rPr>
          <w:rFonts w:ascii="Book Antiqua" w:eastAsia="宋体" w:hAnsi="Book Antiqua" w:cs="Times New Roman"/>
          <w:kern w:val="2"/>
          <w:lang w:val="en-US" w:eastAsia="zh-CN"/>
        </w:rPr>
        <w:t xml:space="preserve"> 2018; </w:t>
      </w:r>
      <w:r w:rsidRPr="00644ED5">
        <w:rPr>
          <w:rFonts w:ascii="Book Antiqua" w:eastAsia="宋体" w:hAnsi="Book Antiqua" w:cs="Times New Roman"/>
          <w:b/>
          <w:kern w:val="2"/>
          <w:lang w:val="en-US" w:eastAsia="zh-CN"/>
        </w:rPr>
        <w:t>18</w:t>
      </w:r>
      <w:r w:rsidRPr="00644ED5">
        <w:rPr>
          <w:rFonts w:ascii="Book Antiqua" w:eastAsia="宋体" w:hAnsi="Book Antiqua" w:cs="Times New Roman"/>
          <w:kern w:val="2"/>
          <w:lang w:val="en-US" w:eastAsia="zh-CN"/>
        </w:rPr>
        <w:t>: 1-3 [PMID: 28893365 DOI: 10.3727/105221617X15046391179559]</w:t>
      </w:r>
    </w:p>
    <w:p w14:paraId="719BB855"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153 </w:t>
      </w:r>
      <w:r w:rsidRPr="00644ED5">
        <w:rPr>
          <w:rFonts w:ascii="Book Antiqua" w:eastAsia="宋体" w:hAnsi="Book Antiqua" w:cs="Times New Roman"/>
          <w:b/>
          <w:kern w:val="2"/>
          <w:lang w:val="en-US" w:eastAsia="zh-CN"/>
        </w:rPr>
        <w:t>Salomone F</w:t>
      </w:r>
      <w:r w:rsidRPr="00644ED5">
        <w:rPr>
          <w:rFonts w:ascii="Book Antiqua" w:eastAsia="宋体" w:hAnsi="Book Antiqua" w:cs="Times New Roman"/>
          <w:kern w:val="2"/>
          <w:lang w:val="en-US" w:eastAsia="zh-CN"/>
        </w:rPr>
        <w:t xml:space="preserve">, Galvano F, Li Volti G. Molecular Bases Underlying the Hepatoprotective Effects of Coffee. </w:t>
      </w:r>
      <w:r w:rsidRPr="00644ED5">
        <w:rPr>
          <w:rFonts w:ascii="Book Antiqua" w:eastAsia="宋体" w:hAnsi="Book Antiqua" w:cs="Times New Roman"/>
          <w:i/>
          <w:kern w:val="2"/>
          <w:lang w:val="en-US" w:eastAsia="zh-CN"/>
        </w:rPr>
        <w:t>Nutrients</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9</w:t>
      </w:r>
      <w:r w:rsidRPr="00644ED5">
        <w:rPr>
          <w:rFonts w:ascii="Book Antiqua" w:eastAsia="宋体" w:hAnsi="Book Antiqua" w:cs="Times New Roman"/>
          <w:kern w:val="2"/>
          <w:lang w:val="en-US" w:eastAsia="zh-CN"/>
        </w:rPr>
        <w:t xml:space="preserve">: pii: E85 [PMID: </w:t>
      </w:r>
      <w:bookmarkStart w:id="84" w:name="OLE_LINK338"/>
      <w:bookmarkStart w:id="85" w:name="OLE_LINK339"/>
      <w:r w:rsidRPr="00644ED5">
        <w:rPr>
          <w:rFonts w:ascii="Book Antiqua" w:eastAsia="宋体" w:hAnsi="Book Antiqua" w:cs="Times New Roman"/>
          <w:kern w:val="2"/>
          <w:lang w:val="en-US" w:eastAsia="zh-CN"/>
        </w:rPr>
        <w:t>28124992</w:t>
      </w:r>
      <w:bookmarkEnd w:id="84"/>
      <w:bookmarkEnd w:id="85"/>
      <w:r w:rsidRPr="00644ED5">
        <w:rPr>
          <w:rFonts w:ascii="Book Antiqua" w:eastAsia="宋体" w:hAnsi="Book Antiqua" w:cs="Times New Roman"/>
          <w:kern w:val="2"/>
          <w:lang w:val="en-US" w:eastAsia="zh-CN"/>
        </w:rPr>
        <w:t xml:space="preserve"> DOI: </w:t>
      </w:r>
      <w:r w:rsidRPr="00644ED5">
        <w:rPr>
          <w:rFonts w:ascii="Book Antiqua" w:eastAsia="宋体" w:hAnsi="Book Antiqua" w:cs="Times New Roman"/>
          <w:kern w:val="2"/>
          <w:lang w:val="en-US" w:eastAsia="zh-CN"/>
        </w:rPr>
        <w:lastRenderedPageBreak/>
        <w:t>10.3390/nu9010085]</w:t>
      </w:r>
    </w:p>
    <w:p w14:paraId="7DFB79A7"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154 </w:t>
      </w:r>
      <w:r w:rsidRPr="00644ED5">
        <w:rPr>
          <w:rFonts w:ascii="Book Antiqua" w:eastAsia="宋体" w:hAnsi="Book Antiqua" w:cs="Times New Roman"/>
          <w:b/>
          <w:kern w:val="2"/>
          <w:lang w:val="en-US" w:eastAsia="zh-CN"/>
        </w:rPr>
        <w:t>Petta S</w:t>
      </w:r>
      <w:r w:rsidRPr="00644ED5">
        <w:rPr>
          <w:rFonts w:ascii="Book Antiqua" w:eastAsia="宋体" w:hAnsi="Book Antiqua" w:cs="Times New Roman"/>
          <w:kern w:val="2"/>
          <w:lang w:val="en-US" w:eastAsia="zh-CN"/>
        </w:rPr>
        <w:t xml:space="preserve">, Marchesini G. Coffee and tea breaks for liver health.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67</w:t>
      </w:r>
      <w:r w:rsidRPr="00644ED5">
        <w:rPr>
          <w:rFonts w:ascii="Book Antiqua" w:eastAsia="宋体" w:hAnsi="Book Antiqua" w:cs="Times New Roman"/>
          <w:kern w:val="2"/>
          <w:lang w:val="en-US" w:eastAsia="zh-CN"/>
        </w:rPr>
        <w:t>: 221-223 [PMID: 28578838 DOI: 10.1016/j.jhep.2017.04.014]</w:t>
      </w:r>
    </w:p>
    <w:p w14:paraId="337707B6"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155 </w:t>
      </w:r>
      <w:r w:rsidRPr="00644ED5">
        <w:rPr>
          <w:rFonts w:ascii="Book Antiqua" w:eastAsia="宋体" w:hAnsi="Book Antiqua" w:cs="Times New Roman"/>
          <w:b/>
          <w:kern w:val="2"/>
          <w:lang w:val="en-US" w:eastAsia="zh-CN"/>
        </w:rPr>
        <w:t>Corrao G</w:t>
      </w:r>
      <w:r w:rsidRPr="00644ED5">
        <w:rPr>
          <w:rFonts w:ascii="Book Antiqua" w:eastAsia="宋体" w:hAnsi="Book Antiqua" w:cs="Times New Roman"/>
          <w:kern w:val="2"/>
          <w:lang w:val="en-US" w:eastAsia="zh-CN"/>
        </w:rPr>
        <w:t xml:space="preserve">, Zambon A, Bagnardi V, D'Amicis A, Klatsky A; Collaborative SIDECIR Group. </w:t>
      </w:r>
      <w:bookmarkStart w:id="86" w:name="OLE_LINK331"/>
      <w:bookmarkStart w:id="87" w:name="OLE_LINK332"/>
      <w:bookmarkStart w:id="88" w:name="OLE_LINK333"/>
      <w:r w:rsidRPr="00644ED5">
        <w:rPr>
          <w:rFonts w:ascii="Book Antiqua" w:eastAsia="宋体" w:hAnsi="Book Antiqua" w:cs="Times New Roman"/>
          <w:kern w:val="2"/>
          <w:lang w:val="en-US" w:eastAsia="zh-CN"/>
        </w:rPr>
        <w:t>Coffee, caffeine, and the risk of liver cirrhosis.</w:t>
      </w:r>
      <w:bookmarkEnd w:id="86"/>
      <w:bookmarkEnd w:id="87"/>
      <w:bookmarkEnd w:id="88"/>
      <w:r w:rsidRPr="00644ED5">
        <w:rPr>
          <w:rFonts w:ascii="Book Antiqua" w:eastAsia="宋体" w:hAnsi="Book Antiqua" w:cs="Times New Roman"/>
          <w:kern w:val="2"/>
          <w:lang w:val="en-US" w:eastAsia="zh-CN"/>
        </w:rPr>
        <w:t xml:space="preserve"> </w:t>
      </w:r>
      <w:r w:rsidRPr="00644ED5">
        <w:rPr>
          <w:rFonts w:ascii="Book Antiqua" w:eastAsia="宋体" w:hAnsi="Book Antiqua" w:cs="Times New Roman"/>
          <w:i/>
          <w:kern w:val="2"/>
          <w:lang w:val="en-US" w:eastAsia="zh-CN"/>
        </w:rPr>
        <w:t>Ann Epidemiol</w:t>
      </w:r>
      <w:r w:rsidRPr="00644ED5">
        <w:rPr>
          <w:rFonts w:ascii="Book Antiqua" w:eastAsia="宋体" w:hAnsi="Book Antiqua" w:cs="Times New Roman"/>
          <w:kern w:val="2"/>
          <w:lang w:val="en-US" w:eastAsia="zh-CN"/>
        </w:rPr>
        <w:t xml:space="preserve"> 2001; </w:t>
      </w:r>
      <w:r w:rsidRPr="00644ED5">
        <w:rPr>
          <w:rFonts w:ascii="Book Antiqua" w:eastAsia="宋体" w:hAnsi="Book Antiqua" w:cs="Times New Roman"/>
          <w:b/>
          <w:kern w:val="2"/>
          <w:lang w:val="en-US" w:eastAsia="zh-CN"/>
        </w:rPr>
        <w:t>11</w:t>
      </w:r>
      <w:r w:rsidRPr="00644ED5">
        <w:rPr>
          <w:rFonts w:ascii="Book Antiqua" w:eastAsia="宋体" w:hAnsi="Book Antiqua" w:cs="Times New Roman"/>
          <w:kern w:val="2"/>
          <w:lang w:val="en-US" w:eastAsia="zh-CN"/>
        </w:rPr>
        <w:t>: 458-465 [PMID: 11557177</w:t>
      </w:r>
      <w:r w:rsidRPr="00644ED5">
        <w:rPr>
          <w:rFonts w:ascii="Book Antiqua" w:eastAsia="宋体" w:hAnsi="Book Antiqua" w:cs="Times New Roman" w:hint="eastAsia"/>
          <w:kern w:val="2"/>
          <w:lang w:val="en-US" w:eastAsia="zh-CN"/>
        </w:rPr>
        <w:t xml:space="preserve"> DOI: </w:t>
      </w:r>
      <w:r w:rsidRPr="00644ED5">
        <w:rPr>
          <w:rFonts w:ascii="Book Antiqua" w:eastAsia="宋体" w:hAnsi="Book Antiqua" w:cs="Times New Roman"/>
          <w:kern w:val="2"/>
          <w:lang w:val="en-US" w:eastAsia="zh-CN"/>
        </w:rPr>
        <w:t>10.1016/S1047-2797(01)00223-X]</w:t>
      </w:r>
    </w:p>
    <w:p w14:paraId="786F975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156 </w:t>
      </w:r>
      <w:r w:rsidRPr="00644ED5">
        <w:rPr>
          <w:rFonts w:ascii="Book Antiqua" w:eastAsia="宋体" w:hAnsi="Book Antiqua" w:cs="Times New Roman"/>
          <w:b/>
          <w:kern w:val="2"/>
          <w:lang w:val="en-US" w:eastAsia="zh-CN"/>
        </w:rPr>
        <w:t>Alferink LJM</w:t>
      </w:r>
      <w:r w:rsidRPr="00644ED5">
        <w:rPr>
          <w:rFonts w:ascii="Book Antiqua" w:eastAsia="宋体" w:hAnsi="Book Antiqua" w:cs="Times New Roman"/>
          <w:kern w:val="2"/>
          <w:lang w:val="en-US" w:eastAsia="zh-CN"/>
        </w:rPr>
        <w:t xml:space="preserve">, Fittipaldi J, Kiefte-de Jong JC, Taimr P, Hansen BE, Metselaar HJ, Schoufour JD, Ikram MA, Janssen HLA, Franco OH, Darwish Murad S. Coffee and herbal tea consumption is associated with lower liver stiffness in the general population: The Rotterdam study. </w:t>
      </w:r>
      <w:r w:rsidRPr="00644ED5">
        <w:rPr>
          <w:rFonts w:ascii="Book Antiqua" w:eastAsia="宋体" w:hAnsi="Book Antiqua" w:cs="Times New Roman"/>
          <w:i/>
          <w:kern w:val="2"/>
          <w:lang w:val="en-US" w:eastAsia="zh-CN"/>
        </w:rPr>
        <w:t>J Hepatol</w:t>
      </w:r>
      <w:r w:rsidRPr="00644ED5">
        <w:rPr>
          <w:rFonts w:ascii="Book Antiqua" w:eastAsia="宋体" w:hAnsi="Book Antiqua" w:cs="Times New Roman"/>
          <w:kern w:val="2"/>
          <w:lang w:val="en-US" w:eastAsia="zh-CN"/>
        </w:rPr>
        <w:t xml:space="preserve"> 2017; </w:t>
      </w:r>
      <w:r w:rsidRPr="00644ED5">
        <w:rPr>
          <w:rFonts w:ascii="Book Antiqua" w:eastAsia="宋体" w:hAnsi="Book Antiqua" w:cs="Times New Roman"/>
          <w:b/>
          <w:kern w:val="2"/>
          <w:lang w:val="en-US" w:eastAsia="zh-CN"/>
        </w:rPr>
        <w:t>67</w:t>
      </w:r>
      <w:r w:rsidRPr="00644ED5">
        <w:rPr>
          <w:rFonts w:ascii="Book Antiqua" w:eastAsia="宋体" w:hAnsi="Book Antiqua" w:cs="Times New Roman"/>
          <w:kern w:val="2"/>
          <w:lang w:val="en-US" w:eastAsia="zh-CN"/>
        </w:rPr>
        <w:t>: 339-348 [PMID: 28578837 DOI: 10.1016/j.jhep.2017.03.013]</w:t>
      </w:r>
    </w:p>
    <w:p w14:paraId="6C0D2C8F"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157 </w:t>
      </w:r>
      <w:r w:rsidRPr="00644ED5">
        <w:rPr>
          <w:rFonts w:ascii="Book Antiqua" w:eastAsia="宋体" w:hAnsi="Book Antiqua" w:cs="Times New Roman"/>
          <w:b/>
          <w:kern w:val="2"/>
          <w:lang w:val="en-US" w:eastAsia="zh-CN"/>
        </w:rPr>
        <w:t>Yu C</w:t>
      </w:r>
      <w:r w:rsidRPr="00644ED5">
        <w:rPr>
          <w:rFonts w:ascii="Book Antiqua" w:eastAsia="宋体" w:hAnsi="Book Antiqua" w:cs="Times New Roman"/>
          <w:kern w:val="2"/>
          <w:lang w:val="en-US" w:eastAsia="zh-CN"/>
        </w:rPr>
        <w:t xml:space="preserve">, Cao Q, Chen P, Yang S, Deng M, Wang Y, Li L. An updated dose-response meta-analysis of coffee consumption and liver cancer risk. </w:t>
      </w:r>
      <w:r w:rsidRPr="00644ED5">
        <w:rPr>
          <w:rFonts w:ascii="Book Antiqua" w:eastAsia="宋体" w:hAnsi="Book Antiqua" w:cs="Times New Roman"/>
          <w:i/>
          <w:kern w:val="2"/>
          <w:lang w:val="en-US" w:eastAsia="zh-CN"/>
        </w:rPr>
        <w:t>Sci Rep</w:t>
      </w:r>
      <w:r w:rsidRPr="00644ED5">
        <w:rPr>
          <w:rFonts w:ascii="Book Antiqua" w:eastAsia="宋体" w:hAnsi="Book Antiqua" w:cs="Times New Roman"/>
          <w:kern w:val="2"/>
          <w:lang w:val="en-US" w:eastAsia="zh-CN"/>
        </w:rPr>
        <w:t xml:space="preserve"> 2016; </w:t>
      </w:r>
      <w:r w:rsidRPr="00644ED5">
        <w:rPr>
          <w:rFonts w:ascii="Book Antiqua" w:eastAsia="宋体" w:hAnsi="Book Antiqua" w:cs="Times New Roman"/>
          <w:b/>
          <w:kern w:val="2"/>
          <w:lang w:val="en-US" w:eastAsia="zh-CN"/>
        </w:rPr>
        <w:t>6</w:t>
      </w:r>
      <w:r w:rsidRPr="00644ED5">
        <w:rPr>
          <w:rFonts w:ascii="Book Antiqua" w:eastAsia="宋体" w:hAnsi="Book Antiqua" w:cs="Times New Roman"/>
          <w:kern w:val="2"/>
          <w:lang w:val="en-US" w:eastAsia="zh-CN"/>
        </w:rPr>
        <w:t>: 37488 [PMID: 27910873 DOI: 10.1038/srep37488]</w:t>
      </w:r>
    </w:p>
    <w:p w14:paraId="507348E2" w14:textId="77777777" w:rsidR="00950D1A" w:rsidRPr="00644ED5" w:rsidRDefault="00950D1A" w:rsidP="00950D1A">
      <w:pPr>
        <w:widowControl w:val="0"/>
        <w:spacing w:line="360" w:lineRule="auto"/>
        <w:rPr>
          <w:rFonts w:ascii="Book Antiqua" w:eastAsia="宋体" w:hAnsi="Book Antiqua" w:cs="Times New Roman"/>
          <w:kern w:val="2"/>
          <w:lang w:val="en-US" w:eastAsia="zh-CN"/>
        </w:rPr>
      </w:pPr>
      <w:r w:rsidRPr="00644ED5">
        <w:rPr>
          <w:rFonts w:ascii="Book Antiqua" w:eastAsia="宋体" w:hAnsi="Book Antiqua" w:cs="Times New Roman"/>
          <w:kern w:val="2"/>
          <w:lang w:val="en-US" w:eastAsia="zh-CN"/>
        </w:rPr>
        <w:t xml:space="preserve">158 </w:t>
      </w:r>
      <w:r w:rsidRPr="00644ED5">
        <w:rPr>
          <w:rFonts w:ascii="Book Antiqua" w:eastAsia="宋体" w:hAnsi="Book Antiqua" w:cs="Times New Roman"/>
          <w:b/>
          <w:kern w:val="2"/>
          <w:lang w:val="en-US" w:eastAsia="zh-CN"/>
        </w:rPr>
        <w:t>Freedman ND</w:t>
      </w:r>
      <w:r w:rsidRPr="00644ED5">
        <w:rPr>
          <w:rFonts w:ascii="Book Antiqua" w:eastAsia="宋体" w:hAnsi="Book Antiqua" w:cs="Times New Roman"/>
          <w:kern w:val="2"/>
          <w:lang w:val="en-US" w:eastAsia="zh-CN"/>
        </w:rPr>
        <w:t xml:space="preserve">, Everhart JE, Lindsay KL, Ghany MG, Curto TM, Shiffman ML, Lee WM, Lok AS, Di Bisceglie AM, Bonkovsky HL, Hoefs JC, Dienstag JL, Morishima C, Abnet CC, Sinha R; HALT-C Trial Group. </w:t>
      </w:r>
      <w:bookmarkStart w:id="89" w:name="OLE_LINK329"/>
      <w:bookmarkStart w:id="90" w:name="OLE_LINK330"/>
      <w:r w:rsidRPr="00644ED5">
        <w:rPr>
          <w:rFonts w:ascii="Book Antiqua" w:eastAsia="宋体" w:hAnsi="Book Antiqua" w:cs="Times New Roman"/>
          <w:kern w:val="2"/>
          <w:lang w:val="en-US" w:eastAsia="zh-CN"/>
        </w:rPr>
        <w:t xml:space="preserve">Coffee intake is associated with lower rates of liver disease progression in chronic hepatitis C. </w:t>
      </w:r>
      <w:bookmarkEnd w:id="89"/>
      <w:bookmarkEnd w:id="90"/>
      <w:r w:rsidRPr="00644ED5">
        <w:rPr>
          <w:rFonts w:ascii="Book Antiqua" w:eastAsia="宋体" w:hAnsi="Book Antiqua" w:cs="Times New Roman"/>
          <w:i/>
          <w:kern w:val="2"/>
          <w:lang w:val="en-US" w:eastAsia="zh-CN"/>
        </w:rPr>
        <w:t>Hepatology</w:t>
      </w:r>
      <w:r w:rsidRPr="00644ED5">
        <w:rPr>
          <w:rFonts w:ascii="Book Antiqua" w:eastAsia="宋体" w:hAnsi="Book Antiqua" w:cs="Times New Roman"/>
          <w:kern w:val="2"/>
          <w:lang w:val="en-US" w:eastAsia="zh-CN"/>
        </w:rPr>
        <w:t xml:space="preserve"> 2009; </w:t>
      </w:r>
      <w:r w:rsidRPr="00644ED5">
        <w:rPr>
          <w:rFonts w:ascii="Book Antiqua" w:eastAsia="宋体" w:hAnsi="Book Antiqua" w:cs="Times New Roman"/>
          <w:b/>
          <w:kern w:val="2"/>
          <w:lang w:val="en-US" w:eastAsia="zh-CN"/>
        </w:rPr>
        <w:t>50</w:t>
      </w:r>
      <w:r w:rsidRPr="00644ED5">
        <w:rPr>
          <w:rFonts w:ascii="Book Antiqua" w:eastAsia="宋体" w:hAnsi="Book Antiqua" w:cs="Times New Roman"/>
          <w:kern w:val="2"/>
          <w:lang w:val="en-US" w:eastAsia="zh-CN"/>
        </w:rPr>
        <w:t>: 1360-1369 [PMID: 19676128 DOI: 10.1002/hep.23162]</w:t>
      </w:r>
    </w:p>
    <w:p w14:paraId="33D03AE7" w14:textId="77777777" w:rsidR="00380951" w:rsidRPr="00644ED5" w:rsidRDefault="00380951" w:rsidP="00667231">
      <w:pPr>
        <w:spacing w:line="360" w:lineRule="auto"/>
        <w:rPr>
          <w:rFonts w:ascii="Book Antiqua" w:hAnsi="Book Antiqua" w:cs="Times New Roman"/>
          <w:b/>
          <w:lang w:val="en-US" w:eastAsia="zh-CN"/>
        </w:rPr>
      </w:pPr>
    </w:p>
    <w:p w14:paraId="44B0CEBD" w14:textId="6E65D89D" w:rsidR="000F6ABD" w:rsidRPr="00644ED5" w:rsidRDefault="000F6ABD" w:rsidP="000F6ABD">
      <w:pPr>
        <w:widowControl w:val="0"/>
        <w:wordWrap w:val="0"/>
        <w:adjustRightInd w:val="0"/>
        <w:snapToGrid w:val="0"/>
        <w:spacing w:line="360" w:lineRule="auto"/>
        <w:jc w:val="right"/>
        <w:rPr>
          <w:rFonts w:ascii="Book Antiqua" w:eastAsia="宋体" w:hAnsi="Book Antiqua" w:cs="Times New Roman"/>
          <w:color w:val="000000"/>
          <w:kern w:val="2"/>
          <w:lang w:val="en-US" w:eastAsia="zh-CN"/>
        </w:rPr>
      </w:pPr>
      <w:bookmarkStart w:id="91" w:name="OLE_LINK139"/>
      <w:bookmarkStart w:id="92" w:name="OLE_LINK140"/>
      <w:bookmarkStart w:id="93" w:name="OLE_LINK287"/>
      <w:bookmarkStart w:id="94" w:name="OLE_LINK288"/>
      <w:bookmarkStart w:id="95" w:name="OLE_LINK70"/>
      <w:bookmarkStart w:id="96" w:name="OLE_LINK110"/>
      <w:bookmarkStart w:id="97" w:name="OLE_LINK109"/>
      <w:bookmarkStart w:id="98" w:name="OLE_LINK138"/>
      <w:bookmarkStart w:id="99" w:name="OLE_LINK72"/>
      <w:bookmarkStart w:id="100" w:name="OLE_LINK116"/>
      <w:bookmarkStart w:id="101" w:name="OLE_LINK95"/>
      <w:bookmarkStart w:id="102" w:name="OLE_LINK118"/>
      <w:bookmarkStart w:id="103" w:name="OLE_LINK198"/>
      <w:bookmarkStart w:id="104" w:name="OLE_LINK154"/>
      <w:bookmarkStart w:id="105" w:name="OLE_LINK251"/>
      <w:bookmarkStart w:id="106" w:name="OLE_LINK167"/>
      <w:bookmarkStart w:id="107" w:name="OLE_LINK126"/>
      <w:bookmarkStart w:id="108" w:name="OLE_LINK234"/>
      <w:bookmarkStart w:id="109" w:name="OLE_LINK157"/>
      <w:bookmarkStart w:id="110" w:name="OLE_LINK187"/>
      <w:bookmarkStart w:id="111" w:name="OLE_LINK204"/>
      <w:bookmarkStart w:id="112" w:name="OLE_LINK255"/>
      <w:bookmarkStart w:id="113" w:name="OLE_LINK229"/>
      <w:bookmarkStart w:id="114" w:name="OLE_LINK268"/>
      <w:r w:rsidRPr="00644ED5">
        <w:rPr>
          <w:rFonts w:ascii="Book Antiqua" w:eastAsia="宋体" w:hAnsi="Book Antiqua" w:cs="Times New Roman"/>
          <w:b/>
          <w:bCs/>
          <w:color w:val="000000"/>
          <w:kern w:val="2"/>
          <w:lang w:val="en-US" w:eastAsia="zh-CN"/>
        </w:rPr>
        <w:t>P-Reviewer:</w:t>
      </w:r>
      <w:r w:rsidRPr="00644ED5">
        <w:rPr>
          <w:rFonts w:ascii="Book Antiqua" w:eastAsia="宋体" w:hAnsi="Book Antiqua" w:cs="Times New Roman"/>
          <w:bCs/>
          <w:color w:val="000000"/>
          <w:kern w:val="2"/>
          <w:lang w:val="en-US" w:eastAsia="zh-CN"/>
        </w:rPr>
        <w:t xml:space="preserve"> </w:t>
      </w:r>
      <w:r w:rsidRPr="00644ED5">
        <w:rPr>
          <w:rFonts w:ascii="Book Antiqua" w:eastAsia="宋体" w:hAnsi="Book Antiqua" w:cs="Times New Roman"/>
          <w:bCs/>
          <w:color w:val="000000"/>
          <w:kern w:val="2"/>
          <w:lang w:eastAsia="zh-CN"/>
        </w:rPr>
        <w:t>Ikura</w:t>
      </w:r>
      <w:r w:rsidRPr="00644ED5">
        <w:rPr>
          <w:rFonts w:ascii="Book Antiqua" w:eastAsia="宋体" w:hAnsi="Book Antiqua" w:cs="Times New Roman" w:hint="eastAsia"/>
          <w:bCs/>
          <w:color w:val="000000"/>
          <w:kern w:val="2"/>
          <w:lang w:eastAsia="zh-CN"/>
        </w:rPr>
        <w:t xml:space="preserve"> Y, </w:t>
      </w:r>
      <w:r w:rsidRPr="00644ED5">
        <w:rPr>
          <w:rFonts w:ascii="Book Antiqua" w:eastAsia="宋体" w:hAnsi="Book Antiqua" w:cs="Times New Roman"/>
          <w:bCs/>
          <w:color w:val="000000"/>
          <w:kern w:val="2"/>
          <w:lang w:eastAsia="zh-CN"/>
        </w:rPr>
        <w:t>Marcos</w:t>
      </w:r>
      <w:r w:rsidRPr="00644ED5">
        <w:rPr>
          <w:rFonts w:ascii="Book Antiqua" w:eastAsia="宋体" w:hAnsi="Book Antiqua" w:cs="Times New Roman" w:hint="eastAsia"/>
          <w:bCs/>
          <w:color w:val="000000"/>
          <w:kern w:val="2"/>
          <w:lang w:eastAsia="zh-CN"/>
        </w:rPr>
        <w:t xml:space="preserve"> M, </w:t>
      </w:r>
      <w:r w:rsidRPr="00644ED5">
        <w:rPr>
          <w:rFonts w:ascii="Book Antiqua" w:eastAsia="宋体" w:hAnsi="Book Antiqua" w:cs="Times New Roman"/>
          <w:bCs/>
          <w:color w:val="000000"/>
          <w:kern w:val="2"/>
          <w:lang w:eastAsia="zh-CN"/>
        </w:rPr>
        <w:t>Ozenirler</w:t>
      </w:r>
      <w:r w:rsidRPr="00644ED5">
        <w:rPr>
          <w:rFonts w:ascii="Book Antiqua" w:eastAsia="宋体" w:hAnsi="Book Antiqua" w:cs="Times New Roman" w:hint="eastAsia"/>
          <w:bCs/>
          <w:color w:val="000000"/>
          <w:kern w:val="2"/>
          <w:lang w:eastAsia="zh-CN"/>
        </w:rPr>
        <w:t xml:space="preserve"> S </w:t>
      </w:r>
      <w:r w:rsidRPr="00644ED5">
        <w:rPr>
          <w:rFonts w:ascii="Book Antiqua" w:eastAsia="宋体" w:hAnsi="Book Antiqua" w:cs="Times New Roman"/>
          <w:b/>
          <w:bCs/>
          <w:color w:val="000000"/>
          <w:kern w:val="2"/>
          <w:lang w:val="en-US" w:eastAsia="zh-CN"/>
        </w:rPr>
        <w:t>S-Editor:</w:t>
      </w:r>
      <w:r w:rsidRPr="00644ED5">
        <w:rPr>
          <w:rFonts w:ascii="Book Antiqua" w:eastAsia="宋体" w:hAnsi="Book Antiqua" w:cs="Times New Roman"/>
          <w:color w:val="000000"/>
          <w:kern w:val="2"/>
          <w:lang w:val="en-US" w:eastAsia="zh-CN"/>
        </w:rPr>
        <w:t xml:space="preserve"> Yan JP</w:t>
      </w:r>
    </w:p>
    <w:p w14:paraId="4DF7F1B7" w14:textId="1FF6C9EA" w:rsidR="000F6ABD" w:rsidRPr="00644ED5" w:rsidRDefault="000F6ABD" w:rsidP="008F0C71">
      <w:pPr>
        <w:widowControl w:val="0"/>
        <w:wordWrap w:val="0"/>
        <w:adjustRightInd w:val="0"/>
        <w:snapToGrid w:val="0"/>
        <w:spacing w:line="360" w:lineRule="auto"/>
        <w:jc w:val="right"/>
        <w:rPr>
          <w:rFonts w:ascii="Book Antiqua" w:eastAsia="宋体" w:hAnsi="Book Antiqua" w:cs="Times New Roman"/>
          <w:b/>
          <w:bCs/>
          <w:color w:val="000000"/>
          <w:kern w:val="2"/>
          <w:lang w:val="en-US" w:eastAsia="zh-CN"/>
        </w:rPr>
      </w:pPr>
      <w:r w:rsidRPr="00644ED5">
        <w:rPr>
          <w:rFonts w:ascii="Book Antiqua" w:eastAsia="宋体" w:hAnsi="Book Antiqua" w:cs="Times New Roman"/>
          <w:b/>
          <w:bCs/>
          <w:color w:val="000000"/>
          <w:kern w:val="2"/>
          <w:lang w:val="en-US" w:eastAsia="zh-CN"/>
        </w:rPr>
        <w:t>L-Editor:</w:t>
      </w:r>
      <w:r w:rsidRPr="00644ED5">
        <w:rPr>
          <w:rFonts w:ascii="Book Antiqua" w:eastAsia="宋体" w:hAnsi="Book Antiqua" w:cs="Times New Roman"/>
          <w:color w:val="000000"/>
          <w:kern w:val="2"/>
          <w:lang w:val="en-US" w:eastAsia="zh-CN"/>
        </w:rPr>
        <w:t xml:space="preserve"> </w:t>
      </w:r>
      <w:r w:rsidR="008F0C71" w:rsidRPr="00644ED5">
        <w:rPr>
          <w:rFonts w:ascii="Book Antiqua" w:eastAsia="宋体" w:hAnsi="Book Antiqua" w:cs="Times New Roman" w:hint="eastAsia"/>
          <w:color w:val="000000"/>
          <w:kern w:val="2"/>
          <w:lang w:val="en-US" w:eastAsia="zh-CN"/>
        </w:rPr>
        <w:t xml:space="preserve">A </w:t>
      </w:r>
      <w:r w:rsidRPr="00644ED5">
        <w:rPr>
          <w:rFonts w:ascii="Book Antiqua" w:eastAsia="宋体" w:hAnsi="Book Antiqua" w:cs="Times New Roman"/>
          <w:b/>
          <w:bCs/>
          <w:color w:val="000000"/>
          <w:kern w:val="2"/>
          <w:lang w:val="en-US" w:eastAsia="zh-CN"/>
        </w:rPr>
        <w:t>E-Editor:</w:t>
      </w:r>
      <w:r w:rsidR="008F0C71" w:rsidRPr="00644ED5">
        <w:rPr>
          <w:rFonts w:ascii="Book Antiqua" w:eastAsia="宋体" w:hAnsi="Book Antiqua" w:cs="Times New Roman" w:hint="eastAsia"/>
          <w:bCs/>
          <w:color w:val="000000"/>
          <w:kern w:val="2"/>
          <w:lang w:val="en-US" w:eastAsia="zh-CN"/>
        </w:rPr>
        <w:t xml:space="preserve"> Yin SY</w:t>
      </w:r>
    </w:p>
    <w:bookmarkEnd w:id="91"/>
    <w:bookmarkEnd w:id="92"/>
    <w:p w14:paraId="3C00D724" w14:textId="77777777" w:rsidR="000F6ABD" w:rsidRPr="00644ED5" w:rsidRDefault="000F6ABD" w:rsidP="000F6ABD">
      <w:pPr>
        <w:widowControl w:val="0"/>
        <w:adjustRightInd w:val="0"/>
        <w:snapToGrid w:val="0"/>
        <w:spacing w:line="360" w:lineRule="auto"/>
        <w:rPr>
          <w:rFonts w:ascii="Book Antiqua" w:eastAsia="宋体" w:hAnsi="Book Antiqua" w:cs="Times New Roman"/>
          <w:color w:val="000000"/>
          <w:kern w:val="2"/>
          <w:lang w:val="en-US" w:eastAsia="zh-CN"/>
        </w:rPr>
      </w:pPr>
    </w:p>
    <w:p w14:paraId="33D767AD" w14:textId="6BD01D84" w:rsidR="00950D1A" w:rsidRPr="00644ED5" w:rsidRDefault="000F6ABD" w:rsidP="000F6ABD">
      <w:pPr>
        <w:spacing w:line="360" w:lineRule="auto"/>
        <w:jc w:val="left"/>
        <w:rPr>
          <w:rFonts w:ascii="Book Antiqua" w:eastAsia="宋体" w:hAnsi="Book Antiqua" w:cs="宋体"/>
          <w:lang w:val="en-US" w:eastAsia="zh-CN"/>
        </w:rPr>
      </w:pPr>
      <w:r w:rsidRPr="00644ED5">
        <w:rPr>
          <w:rFonts w:ascii="Book Antiqua" w:eastAsia="宋体" w:hAnsi="Book Antiqua" w:cs="宋体"/>
          <w:b/>
          <w:lang w:val="en-US" w:eastAsia="zh-CN"/>
        </w:rPr>
        <w:t xml:space="preserve">Specialty type: </w:t>
      </w:r>
      <w:r w:rsidRPr="00644ED5">
        <w:rPr>
          <w:rFonts w:ascii="Book Antiqua" w:eastAsia="微软雅黑" w:hAnsi="Book Antiqua" w:cs="宋体"/>
          <w:lang w:val="en-US" w:eastAsia="zh-CN"/>
        </w:rPr>
        <w:t>Gastroenterology and hepatology</w:t>
      </w:r>
      <w:r w:rsidRPr="00644ED5">
        <w:rPr>
          <w:rFonts w:ascii="Book Antiqua" w:eastAsia="宋体" w:hAnsi="Book Antiqua" w:cs="宋体"/>
          <w:lang w:val="en-US" w:eastAsia="zh-CN"/>
        </w:rPr>
        <w:t xml:space="preserve"> </w:t>
      </w:r>
      <w:r w:rsidRPr="00644ED5">
        <w:rPr>
          <w:rFonts w:ascii="Book Antiqua" w:eastAsia="宋体" w:hAnsi="Book Antiqua" w:cs="宋体"/>
          <w:lang w:val="en-US" w:eastAsia="zh-CN"/>
        </w:rPr>
        <w:br/>
      </w:r>
      <w:r w:rsidRPr="00644ED5">
        <w:rPr>
          <w:rFonts w:ascii="Book Antiqua" w:eastAsia="宋体" w:hAnsi="Book Antiqua" w:cs="宋体"/>
          <w:b/>
          <w:lang w:val="en-US" w:eastAsia="zh-CN"/>
        </w:rPr>
        <w:t xml:space="preserve">Country of origin: </w:t>
      </w:r>
      <w:r w:rsidRPr="00644ED5">
        <w:rPr>
          <w:rFonts w:ascii="Book Antiqua" w:eastAsia="宋体" w:hAnsi="Book Antiqua" w:cs="宋体"/>
          <w:lang w:val="en-US" w:eastAsia="zh-CN"/>
        </w:rPr>
        <w:t xml:space="preserve">United Kingdom </w:t>
      </w:r>
      <w:r w:rsidRPr="00644ED5">
        <w:rPr>
          <w:rFonts w:ascii="Book Antiqua" w:eastAsia="宋体" w:hAnsi="Book Antiqua" w:cs="宋体"/>
          <w:lang w:val="en-US" w:eastAsia="zh-CN"/>
        </w:rPr>
        <w:br/>
      </w:r>
      <w:r w:rsidRPr="00644ED5">
        <w:rPr>
          <w:rFonts w:ascii="Book Antiqua" w:eastAsia="宋体" w:hAnsi="Book Antiqua" w:cs="宋体"/>
          <w:b/>
          <w:lang w:val="en-US" w:eastAsia="zh-CN"/>
        </w:rPr>
        <w:t>Peer-review report classification</w:t>
      </w:r>
      <w:r w:rsidRPr="00644ED5">
        <w:rPr>
          <w:rFonts w:ascii="Book Antiqua" w:eastAsia="宋体" w:hAnsi="Book Antiqua" w:cs="宋体"/>
          <w:lang w:val="en-US" w:eastAsia="zh-CN"/>
        </w:rPr>
        <w:br/>
      </w:r>
      <w:r w:rsidRPr="00644ED5">
        <w:rPr>
          <w:rFonts w:ascii="Book Antiqua" w:eastAsia="宋体" w:hAnsi="Book Antiqua" w:cs="宋体"/>
          <w:b/>
          <w:lang w:val="en-US" w:eastAsia="zh-CN"/>
        </w:rPr>
        <w:t xml:space="preserve">Grade A (Excellent): </w:t>
      </w:r>
      <w:r w:rsidRPr="00644ED5">
        <w:rPr>
          <w:rFonts w:ascii="Book Antiqua" w:eastAsia="宋体" w:hAnsi="Book Antiqua" w:cs="宋体" w:hint="eastAsia"/>
          <w:lang w:val="en-US" w:eastAsia="zh-CN"/>
        </w:rPr>
        <w:t>0</w:t>
      </w:r>
      <w:r w:rsidRPr="00644ED5">
        <w:rPr>
          <w:rFonts w:ascii="Book Antiqua" w:eastAsia="宋体" w:hAnsi="Book Antiqua" w:cs="宋体"/>
          <w:lang w:val="en-US" w:eastAsia="zh-CN"/>
        </w:rPr>
        <w:br/>
      </w:r>
      <w:r w:rsidRPr="00644ED5">
        <w:rPr>
          <w:rFonts w:ascii="Book Antiqua" w:eastAsia="宋体" w:hAnsi="Book Antiqua" w:cs="宋体"/>
          <w:b/>
          <w:lang w:val="en-US" w:eastAsia="zh-CN"/>
        </w:rPr>
        <w:t xml:space="preserve">Grade B (Very good): </w:t>
      </w:r>
      <w:r w:rsidRPr="00644ED5">
        <w:rPr>
          <w:rFonts w:ascii="Book Antiqua" w:eastAsia="宋体" w:hAnsi="Book Antiqua" w:cs="宋体"/>
          <w:lang w:val="en-US" w:eastAsia="zh-CN"/>
        </w:rPr>
        <w:t>B</w:t>
      </w:r>
      <w:r w:rsidRPr="00644ED5">
        <w:rPr>
          <w:rFonts w:ascii="Book Antiqua" w:eastAsia="宋体" w:hAnsi="Book Antiqua" w:cs="宋体" w:hint="eastAsia"/>
          <w:lang w:val="en-US" w:eastAsia="zh-CN"/>
        </w:rPr>
        <w:t>, B</w:t>
      </w:r>
      <w:r w:rsidRPr="00644ED5">
        <w:rPr>
          <w:rFonts w:ascii="Book Antiqua" w:eastAsia="宋体" w:hAnsi="Book Antiqua" w:cs="宋体"/>
          <w:lang w:val="en-US" w:eastAsia="zh-CN"/>
        </w:rPr>
        <w:br/>
      </w:r>
      <w:r w:rsidRPr="00644ED5">
        <w:rPr>
          <w:rFonts w:ascii="Book Antiqua" w:eastAsia="宋体" w:hAnsi="Book Antiqua" w:cs="宋体"/>
          <w:b/>
          <w:lang w:val="en-US" w:eastAsia="zh-CN"/>
        </w:rPr>
        <w:t xml:space="preserve">Grade C (Good): </w:t>
      </w:r>
      <w:r w:rsidRPr="00644ED5">
        <w:rPr>
          <w:rFonts w:ascii="Book Antiqua" w:eastAsia="宋体" w:hAnsi="Book Antiqua" w:cs="宋体" w:hint="eastAsia"/>
          <w:lang w:val="en-US" w:eastAsia="zh-CN"/>
        </w:rPr>
        <w:t>C</w:t>
      </w:r>
      <w:r w:rsidRPr="00644ED5">
        <w:rPr>
          <w:rFonts w:ascii="Book Antiqua" w:eastAsia="宋体" w:hAnsi="Book Antiqua" w:cs="宋体"/>
          <w:lang w:val="en-US" w:eastAsia="zh-CN"/>
        </w:rPr>
        <w:br/>
      </w:r>
      <w:r w:rsidRPr="00644ED5">
        <w:rPr>
          <w:rFonts w:ascii="Book Antiqua" w:eastAsia="宋体" w:hAnsi="Book Antiqua" w:cs="宋体"/>
          <w:b/>
          <w:lang w:val="en-US" w:eastAsia="zh-CN"/>
        </w:rPr>
        <w:t xml:space="preserve">Grade D (Fair): </w:t>
      </w:r>
      <w:r w:rsidRPr="00644ED5">
        <w:rPr>
          <w:rFonts w:ascii="Book Antiqua" w:eastAsia="宋体" w:hAnsi="Book Antiqua" w:cs="宋体"/>
          <w:lang w:val="en-US" w:eastAsia="zh-CN"/>
        </w:rPr>
        <w:t>0</w:t>
      </w:r>
      <w:r w:rsidRPr="00644ED5">
        <w:rPr>
          <w:rFonts w:ascii="Book Antiqua" w:eastAsia="宋体" w:hAnsi="Book Antiqua" w:cs="宋体"/>
          <w:b/>
          <w:lang w:val="en-US" w:eastAsia="zh-CN"/>
        </w:rPr>
        <w:br/>
        <w:t xml:space="preserve">Grade E (Poor): </w:t>
      </w:r>
      <w:r w:rsidRPr="00644ED5">
        <w:rPr>
          <w:rFonts w:ascii="Book Antiqua" w:eastAsia="宋体" w:hAnsi="Book Antiqua" w:cs="宋体"/>
          <w:lang w:val="en-US" w:eastAsia="zh-CN"/>
        </w:rPr>
        <w:t>0</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bookmarkEnd w:id="50"/>
    <w:p w14:paraId="4269073A" w14:textId="00FCB33D" w:rsidR="00CA1281" w:rsidRPr="00644ED5" w:rsidRDefault="00CA1281">
      <w:pPr>
        <w:jc w:val="left"/>
        <w:rPr>
          <w:rFonts w:ascii="Book Antiqua" w:hAnsi="Book Antiqua" w:cs="Times New Roman"/>
          <w:b/>
        </w:rPr>
      </w:pPr>
      <w:r w:rsidRPr="00644ED5">
        <w:rPr>
          <w:rFonts w:ascii="Book Antiqua" w:hAnsi="Book Antiqua" w:cs="Times New Roman"/>
          <w:b/>
        </w:rPr>
        <w:br w:type="page"/>
      </w:r>
    </w:p>
    <w:p w14:paraId="0334B348" w14:textId="697B5ED6" w:rsidR="001356C5" w:rsidRPr="00644ED5" w:rsidRDefault="001356C5" w:rsidP="00667231">
      <w:pPr>
        <w:spacing w:line="360" w:lineRule="auto"/>
        <w:rPr>
          <w:rFonts w:ascii="Book Antiqua" w:hAnsi="Book Antiqua"/>
          <w:b/>
        </w:rPr>
      </w:pPr>
      <w:r w:rsidRPr="00644ED5">
        <w:rPr>
          <w:rFonts w:ascii="Book Antiqua" w:hAnsi="Book Antiqua"/>
          <w:noProof/>
          <w:color w:val="00B050"/>
          <w:lang w:val="en-US" w:eastAsia="zh-CN"/>
        </w:rPr>
        <w:lastRenderedPageBreak/>
        <mc:AlternateContent>
          <mc:Choice Requires="wpg">
            <w:drawing>
              <wp:inline distT="0" distB="0" distL="0" distR="0" wp14:anchorId="31AECF57" wp14:editId="1A5504B0">
                <wp:extent cx="6037580" cy="4053205"/>
                <wp:effectExtent l="0" t="0" r="20320" b="23495"/>
                <wp:docPr id="5" name="Group 5"/>
                <wp:cNvGraphicFramePr/>
                <a:graphic xmlns:a="http://schemas.openxmlformats.org/drawingml/2006/main">
                  <a:graphicData uri="http://schemas.microsoft.com/office/word/2010/wordprocessingGroup">
                    <wpg:wgp>
                      <wpg:cNvGrpSpPr/>
                      <wpg:grpSpPr>
                        <a:xfrm>
                          <a:off x="0" y="0"/>
                          <a:ext cx="6037580" cy="4053205"/>
                          <a:chOff x="-146657" y="0"/>
                          <a:chExt cx="6038498" cy="4053319"/>
                        </a:xfrm>
                      </wpg:grpSpPr>
                      <wps:wsp>
                        <wps:cNvPr id="7" name="Text Box 2"/>
                        <wps:cNvSpPr txBox="1">
                          <a:spLocks noChangeArrowheads="1"/>
                        </wps:cNvSpPr>
                        <wps:spPr bwMode="auto">
                          <a:xfrm>
                            <a:off x="-146657" y="0"/>
                            <a:ext cx="2427577" cy="836763"/>
                          </a:xfrm>
                          <a:prstGeom prst="rect">
                            <a:avLst/>
                          </a:prstGeom>
                          <a:solidFill>
                            <a:srgbClr val="FFFFFF"/>
                          </a:solidFill>
                          <a:ln w="12700">
                            <a:solidFill>
                              <a:srgbClr val="000000"/>
                            </a:solidFill>
                            <a:miter lim="800000"/>
                            <a:headEnd/>
                            <a:tailEnd/>
                          </a:ln>
                        </wps:spPr>
                        <wps:txbx>
                          <w:txbxContent>
                            <w:p w14:paraId="7D424547" w14:textId="77777777" w:rsidR="00AA19F5" w:rsidRPr="001A6B28" w:rsidRDefault="00AA19F5" w:rsidP="001356C5">
                              <w:pPr>
                                <w:jc w:val="center"/>
                                <w:rPr>
                                  <w:rFonts w:ascii="Book Antiqua" w:hAnsi="Book Antiqua"/>
                                </w:rPr>
                              </w:pPr>
                              <w:r w:rsidRPr="001A6B28">
                                <w:rPr>
                                  <w:rFonts w:ascii="Book Antiqua" w:hAnsi="Book Antiqua"/>
                                </w:rPr>
                                <w:t>Entries identified through database searching</w:t>
                              </w:r>
                            </w:p>
                            <w:p w14:paraId="7268A03D" w14:textId="4064F0DC"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2022</w:t>
                              </w:r>
                            </w:p>
                          </w:txbxContent>
                        </wps:txbx>
                        <wps:bodyPr rot="0" vert="horz" wrap="square" lIns="91440" tIns="45720" rIns="91440" bIns="45720" anchor="t" anchorCtr="0">
                          <a:noAutofit/>
                        </wps:bodyPr>
                      </wps:wsp>
                      <wps:wsp>
                        <wps:cNvPr id="12" name="Text Box 2"/>
                        <wps:cNvSpPr txBox="1">
                          <a:spLocks noChangeArrowheads="1"/>
                        </wps:cNvSpPr>
                        <wps:spPr bwMode="auto">
                          <a:xfrm>
                            <a:off x="3458982" y="0"/>
                            <a:ext cx="2432859" cy="828136"/>
                          </a:xfrm>
                          <a:prstGeom prst="rect">
                            <a:avLst/>
                          </a:prstGeom>
                          <a:solidFill>
                            <a:srgbClr val="FFFFFF"/>
                          </a:solidFill>
                          <a:ln w="12700">
                            <a:solidFill>
                              <a:srgbClr val="000000"/>
                            </a:solidFill>
                            <a:miter lim="800000"/>
                            <a:headEnd/>
                            <a:tailEnd/>
                          </a:ln>
                        </wps:spPr>
                        <wps:txbx>
                          <w:txbxContent>
                            <w:p w14:paraId="32D83048" w14:textId="77777777" w:rsidR="00AA19F5" w:rsidRPr="001A6B28" w:rsidRDefault="00AA19F5" w:rsidP="001356C5">
                              <w:pPr>
                                <w:jc w:val="center"/>
                                <w:rPr>
                                  <w:rFonts w:ascii="Book Antiqua" w:hAnsi="Book Antiqua"/>
                                </w:rPr>
                              </w:pPr>
                              <w:r w:rsidRPr="001A6B28">
                                <w:rPr>
                                  <w:rFonts w:ascii="Book Antiqua" w:hAnsi="Book Antiqua"/>
                                </w:rPr>
                                <w:t>Entries identified through relevant guidelines and reference lists</w:t>
                              </w:r>
                            </w:p>
                            <w:p w14:paraId="2AC11831" w14:textId="7B78F1F3"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9</w:t>
                              </w:r>
                            </w:p>
                          </w:txbxContent>
                        </wps:txbx>
                        <wps:bodyPr rot="0" vert="horz" wrap="square" lIns="91440" tIns="45720" rIns="91440" bIns="45720" anchor="t" anchorCtr="0">
                          <a:noAutofit/>
                        </wps:bodyPr>
                      </wps:wsp>
                      <wps:wsp>
                        <wps:cNvPr id="13" name="Text Box 13"/>
                        <wps:cNvSpPr txBox="1">
                          <a:spLocks noChangeArrowheads="1"/>
                        </wps:cNvSpPr>
                        <wps:spPr bwMode="auto">
                          <a:xfrm>
                            <a:off x="1793692" y="1949501"/>
                            <a:ext cx="2279770" cy="482600"/>
                          </a:xfrm>
                          <a:prstGeom prst="rect">
                            <a:avLst/>
                          </a:prstGeom>
                          <a:solidFill>
                            <a:srgbClr val="FFFFFF"/>
                          </a:solidFill>
                          <a:ln w="12700">
                            <a:solidFill>
                              <a:srgbClr val="000000"/>
                            </a:solidFill>
                            <a:miter lim="800000"/>
                            <a:headEnd/>
                            <a:tailEnd/>
                          </a:ln>
                        </wps:spPr>
                        <wps:txbx>
                          <w:txbxContent>
                            <w:p w14:paraId="4CC9E811" w14:textId="77777777" w:rsidR="00AA19F5" w:rsidRPr="001A6B28" w:rsidRDefault="00AA19F5" w:rsidP="001356C5">
                              <w:pPr>
                                <w:jc w:val="center"/>
                                <w:rPr>
                                  <w:rFonts w:ascii="Book Antiqua" w:hAnsi="Book Antiqua"/>
                                </w:rPr>
                              </w:pPr>
                              <w:r w:rsidRPr="001A6B28">
                                <w:rPr>
                                  <w:rFonts w:ascii="Book Antiqua" w:hAnsi="Book Antiqua"/>
                                </w:rPr>
                                <w:t xml:space="preserve">Number of abstracts screened </w:t>
                              </w:r>
                            </w:p>
                            <w:p w14:paraId="78D8ACF6" w14:textId="59979F20"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2031</w:t>
                              </w:r>
                            </w:p>
                          </w:txbxContent>
                        </wps:txbx>
                        <wps:bodyPr rot="0" vert="horz" wrap="square" lIns="91440" tIns="45720" rIns="91440" bIns="45720" anchor="t" anchorCtr="0">
                          <a:spAutoFit/>
                        </wps:bodyPr>
                      </wps:wsp>
                      <wps:wsp>
                        <wps:cNvPr id="14" name="Text Box 14"/>
                        <wps:cNvSpPr txBox="1">
                          <a:spLocks noChangeArrowheads="1"/>
                        </wps:cNvSpPr>
                        <wps:spPr bwMode="auto">
                          <a:xfrm>
                            <a:off x="1793692" y="3380853"/>
                            <a:ext cx="2279770" cy="672466"/>
                          </a:xfrm>
                          <a:prstGeom prst="rect">
                            <a:avLst/>
                          </a:prstGeom>
                          <a:solidFill>
                            <a:srgbClr val="FFFFFF"/>
                          </a:solidFill>
                          <a:ln w="12700">
                            <a:solidFill>
                              <a:srgbClr val="000000"/>
                            </a:solidFill>
                            <a:miter lim="800000"/>
                            <a:headEnd/>
                            <a:tailEnd/>
                          </a:ln>
                        </wps:spPr>
                        <wps:txbx>
                          <w:txbxContent>
                            <w:p w14:paraId="2B7062F0" w14:textId="77777777" w:rsidR="00AA19F5" w:rsidRPr="001A6B28" w:rsidRDefault="00AA19F5" w:rsidP="001356C5">
                              <w:pPr>
                                <w:jc w:val="center"/>
                                <w:rPr>
                                  <w:rFonts w:ascii="Book Antiqua" w:hAnsi="Book Antiqua"/>
                                </w:rPr>
                              </w:pPr>
                              <w:r w:rsidRPr="001A6B28">
                                <w:rPr>
                                  <w:rFonts w:ascii="Book Antiqua" w:hAnsi="Book Antiqua"/>
                                </w:rPr>
                                <w:t>Number of publications included in review</w:t>
                              </w:r>
                            </w:p>
                            <w:p w14:paraId="1190578C" w14:textId="77691AED" w:rsidR="00AA19F5" w:rsidRPr="00F30F0B" w:rsidRDefault="00AA19F5" w:rsidP="001356C5">
                              <w:pPr>
                                <w:jc w:val="center"/>
                                <w:rPr>
                                  <w:sz w:val="22"/>
                                  <w:szCs w:val="22"/>
                                </w:rPr>
                              </w:pPr>
                              <w:r w:rsidRPr="00AA19F5">
                                <w:rPr>
                                  <w:rFonts w:ascii="Book Antiqua" w:hAnsi="Book Antiqua"/>
                                  <w:i/>
                                </w:rPr>
                                <w:t>n</w:t>
                              </w:r>
                              <w:r w:rsidRPr="001A6B28">
                                <w:rPr>
                                  <w:rFonts w:ascii="Book Antiqua" w:hAnsi="Book Antiqua"/>
                                </w:rPr>
                                <w:t xml:space="preserve"> = 1</w:t>
                              </w:r>
                              <w:r>
                                <w:rPr>
                                  <w:rFonts w:ascii="Book Antiqua" w:hAnsi="Book Antiqua"/>
                                </w:rPr>
                                <w:t>58</w:t>
                              </w:r>
                            </w:p>
                          </w:txbxContent>
                        </wps:txbx>
                        <wps:bodyPr rot="0" vert="horz" wrap="square" lIns="91440" tIns="45720" rIns="91440" bIns="45720" anchor="t" anchorCtr="0">
                          <a:spAutoFit/>
                        </wps:bodyPr>
                      </wps:wsp>
                      <wps:wsp>
                        <wps:cNvPr id="15" name="Straight Connector 15"/>
                        <wps:cNvCnPr/>
                        <wps:spPr>
                          <a:xfrm>
                            <a:off x="2294627" y="353683"/>
                            <a:ext cx="11650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2881223" y="349529"/>
                            <a:ext cx="0" cy="1605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flipV="1">
                            <a:off x="2881223" y="2433352"/>
                            <a:ext cx="0" cy="9475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1AECF57" id="Group 5" o:spid="_x0000_s1026" style="width:475.4pt;height:319.15pt;mso-position-horizontal-relative:char;mso-position-vertical-relative:line" coordorigin="-1466" coordsize="60384,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">
                <v:shapetype id="_x0000_t202" coordsize="21600,21600" o:spt="202" path="m,l,21600r21600,l21600,xe">
                  <v:stroke joinstyle="miter"/>
                  <v:path gradientshapeok="t" o:connecttype="rect"/>
                </v:shapetype>
                <v:shape id="Text Box 2" o:spid="_x0000_s1027" type="#_x0000_t202" style="position:absolute;left:-1466;width:24275;height:8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14:paraId="7D424547" w14:textId="77777777" w:rsidR="00AA19F5" w:rsidRPr="001A6B28" w:rsidRDefault="00AA19F5" w:rsidP="001356C5">
                        <w:pPr>
                          <w:jc w:val="center"/>
                          <w:rPr>
                            <w:rFonts w:ascii="Book Antiqua" w:hAnsi="Book Antiqua"/>
                          </w:rPr>
                        </w:pPr>
                        <w:r w:rsidRPr="001A6B28">
                          <w:rPr>
                            <w:rFonts w:ascii="Book Antiqua" w:hAnsi="Book Antiqua"/>
                          </w:rPr>
                          <w:t>Entries identified through database searching</w:t>
                        </w:r>
                      </w:p>
                      <w:p w14:paraId="7268A03D" w14:textId="4064F0DC"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2022</w:t>
                        </w:r>
                      </w:p>
                    </w:txbxContent>
                  </v:textbox>
                </v:shape>
                <v:shape id="Text Box 2" o:spid="_x0000_s1028" type="#_x0000_t202" style="position:absolute;left:34589;width:24329;height:8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" strokeweight="1pt">
                  <v:textbox>
                    <w:txbxContent>
                      <w:p w14:paraId="32D83048" w14:textId="77777777" w:rsidR="00AA19F5" w:rsidRPr="001A6B28" w:rsidRDefault="00AA19F5" w:rsidP="001356C5">
                        <w:pPr>
                          <w:jc w:val="center"/>
                          <w:rPr>
                            <w:rFonts w:ascii="Book Antiqua" w:hAnsi="Book Antiqua"/>
                          </w:rPr>
                        </w:pPr>
                        <w:r w:rsidRPr="001A6B28">
                          <w:rPr>
                            <w:rFonts w:ascii="Book Antiqua" w:hAnsi="Book Antiqua"/>
                          </w:rPr>
                          <w:t>Entries identified through relevant guidelines and reference lists</w:t>
                        </w:r>
                      </w:p>
                      <w:p w14:paraId="2AC11831" w14:textId="7B78F1F3"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9</w:t>
                        </w:r>
                      </w:p>
                    </w:txbxContent>
                  </v:textbox>
                </v:shape>
                <v:shape id="Text Box 13" o:spid="_x0000_s1029" type="#_x0000_t202" style="position:absolute;left:17936;top:19495;width:22798;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" strokeweight="1pt">
                  <v:textbox style="mso-fit-shape-to-text:t">
                    <w:txbxContent>
                      <w:p w14:paraId="4CC9E811" w14:textId="77777777" w:rsidR="00AA19F5" w:rsidRPr="001A6B28" w:rsidRDefault="00AA19F5" w:rsidP="001356C5">
                        <w:pPr>
                          <w:jc w:val="center"/>
                          <w:rPr>
                            <w:rFonts w:ascii="Book Antiqua" w:hAnsi="Book Antiqua"/>
                          </w:rPr>
                        </w:pPr>
                        <w:r w:rsidRPr="001A6B28">
                          <w:rPr>
                            <w:rFonts w:ascii="Book Antiqua" w:hAnsi="Book Antiqua"/>
                          </w:rPr>
                          <w:t xml:space="preserve">Number of abstracts screened </w:t>
                        </w:r>
                      </w:p>
                      <w:p w14:paraId="78D8ACF6" w14:textId="59979F20" w:rsidR="00AA19F5" w:rsidRPr="001A6B28" w:rsidRDefault="00AA19F5" w:rsidP="001356C5">
                        <w:pPr>
                          <w:jc w:val="center"/>
                          <w:rPr>
                            <w:rFonts w:ascii="Book Antiqua" w:hAnsi="Book Antiqua"/>
                          </w:rPr>
                        </w:pPr>
                        <w:r w:rsidRPr="00AA19F5">
                          <w:rPr>
                            <w:rFonts w:ascii="Book Antiqua" w:hAnsi="Book Antiqua"/>
                            <w:i/>
                          </w:rPr>
                          <w:t>n</w:t>
                        </w:r>
                        <w:r w:rsidRPr="001A6B28">
                          <w:rPr>
                            <w:rFonts w:ascii="Book Antiqua" w:hAnsi="Book Antiqua"/>
                          </w:rPr>
                          <w:t xml:space="preserve"> = </w:t>
                        </w:r>
                        <w:r>
                          <w:rPr>
                            <w:rFonts w:ascii="Book Antiqua" w:hAnsi="Book Antiqua"/>
                          </w:rPr>
                          <w:t>20</w:t>
                        </w:r>
                        <w:bookmarkStart w:id="116" w:name="_GoBack"/>
                        <w:bookmarkEnd w:id="116"/>
                        <w:r>
                          <w:rPr>
                            <w:rFonts w:ascii="Book Antiqua" w:hAnsi="Book Antiqua"/>
                          </w:rPr>
                          <w:t>31</w:t>
                        </w:r>
                      </w:p>
                    </w:txbxContent>
                  </v:textbox>
                </v:shape>
                <v:shape id="Text Box 14" o:spid="_x0000_s1030" type="#_x0000_t202" style="position:absolute;left:17936;top:33808;width:22798;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" strokeweight="1pt">
                  <v:textbox style="mso-fit-shape-to-text:t">
                    <w:txbxContent>
                      <w:p w14:paraId="2B7062F0" w14:textId="77777777" w:rsidR="00AA19F5" w:rsidRPr="001A6B28" w:rsidRDefault="00AA19F5" w:rsidP="001356C5">
                        <w:pPr>
                          <w:jc w:val="center"/>
                          <w:rPr>
                            <w:rFonts w:ascii="Book Antiqua" w:hAnsi="Book Antiqua"/>
                          </w:rPr>
                        </w:pPr>
                        <w:r w:rsidRPr="001A6B28">
                          <w:rPr>
                            <w:rFonts w:ascii="Book Antiqua" w:hAnsi="Book Antiqua"/>
                          </w:rPr>
                          <w:t>Number of publications included in review</w:t>
                        </w:r>
                      </w:p>
                      <w:p w14:paraId="1190578C" w14:textId="77691AED" w:rsidR="00AA19F5" w:rsidRPr="00F30F0B" w:rsidRDefault="00AA19F5" w:rsidP="001356C5">
                        <w:pPr>
                          <w:jc w:val="center"/>
                          <w:rPr>
                            <w:sz w:val="22"/>
                            <w:szCs w:val="22"/>
                          </w:rPr>
                        </w:pPr>
                        <w:r w:rsidRPr="00AA19F5">
                          <w:rPr>
                            <w:rFonts w:ascii="Book Antiqua" w:hAnsi="Book Antiqua"/>
                            <w:i/>
                          </w:rPr>
                          <w:t>n</w:t>
                        </w:r>
                        <w:r w:rsidRPr="001A6B28">
                          <w:rPr>
                            <w:rFonts w:ascii="Book Antiqua" w:hAnsi="Book Antiqua"/>
                          </w:rPr>
                          <w:t xml:space="preserve"> = 1</w:t>
                        </w:r>
                        <w:r>
                          <w:rPr>
                            <w:rFonts w:ascii="Book Antiqua" w:hAnsi="Book Antiqua"/>
                          </w:rPr>
                          <w:t>58</w:t>
                        </w:r>
                      </w:p>
                    </w:txbxContent>
                  </v:textbox>
                </v:shape>
                <v:line id="Straight Connector 15" o:spid="_x0000_s1031" style="position:absolute;visibility:visible;mso-wrap-style:square" from="22946,3536" to="34596,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" strokecolor="black [3213]" strokeweight="1pt">
                  <v:stroke joinstyle="miter"/>
                </v:line>
                <v:line id="Straight Connector 16" o:spid="_x0000_s1032" style="position:absolute;flip:y;visibility:visible;mso-wrap-style:square" from="28812,3495" to="28812,1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" strokecolor="black [3213]" strokeweight="1pt">
                  <v:stroke joinstyle="miter"/>
                </v:line>
                <v:line id="Straight Connector 17" o:spid="_x0000_s1033" style="position:absolute;flip:x y;visibility:visible;mso-wrap-style:square" from="28812,24333" to="28812,3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" strokecolor="black [3213]" strokeweight="1pt">
                  <v:stroke joinstyle="miter"/>
                </v:line>
                <w10:anchorlock/>
              </v:group>
            </w:pict>
          </mc:Fallback>
        </mc:AlternateContent>
      </w:r>
    </w:p>
    <w:p w14:paraId="4AA1A3BC" w14:textId="4257FBDA" w:rsidR="00CA1281" w:rsidRPr="00644ED5" w:rsidRDefault="00CA1281" w:rsidP="00667231">
      <w:pPr>
        <w:spacing w:line="360" w:lineRule="auto"/>
        <w:rPr>
          <w:rFonts w:ascii="Book Antiqua" w:hAnsi="Book Antiqua"/>
          <w:b/>
          <w:lang w:eastAsia="zh-CN"/>
        </w:rPr>
      </w:pPr>
      <w:r w:rsidRPr="00644ED5">
        <w:rPr>
          <w:rFonts w:ascii="Book Antiqua" w:hAnsi="Book Antiqua" w:hint="eastAsia"/>
          <w:b/>
          <w:lang w:eastAsia="zh-CN"/>
        </w:rPr>
        <w:t xml:space="preserve">Figure 1 </w:t>
      </w:r>
      <w:r w:rsidRPr="00644ED5">
        <w:rPr>
          <w:rFonts w:ascii="Book Antiqua" w:hAnsi="Book Antiqua"/>
          <w:b/>
        </w:rPr>
        <w:t>Flow diagram of study inclusion</w:t>
      </w:r>
      <w:r w:rsidRPr="00644ED5">
        <w:rPr>
          <w:rFonts w:ascii="Book Antiqua" w:hAnsi="Book Antiqua" w:hint="eastAsia"/>
          <w:b/>
          <w:lang w:eastAsia="zh-CN"/>
        </w:rPr>
        <w:t>.</w:t>
      </w:r>
    </w:p>
    <w:p w14:paraId="2CA7C5A1" w14:textId="77777777" w:rsidR="00AA19F5" w:rsidRPr="00644ED5" w:rsidRDefault="001356C5" w:rsidP="00667231">
      <w:pPr>
        <w:spacing w:line="360" w:lineRule="auto"/>
        <w:rPr>
          <w:rFonts w:ascii="Book Antiqua" w:hAnsi="Book Antiqua"/>
          <w:b/>
        </w:rPr>
        <w:sectPr w:rsidR="00AA19F5" w:rsidRPr="00644ED5" w:rsidSect="00EB54D5">
          <w:footerReference w:type="default" r:id="rId9"/>
          <w:pgSz w:w="11900" w:h="16840"/>
          <w:pgMar w:top="1417" w:right="1417" w:bottom="1134" w:left="1417" w:header="708" w:footer="708" w:gutter="0"/>
          <w:cols w:space="708"/>
          <w:docGrid w:linePitch="360"/>
        </w:sectPr>
      </w:pPr>
      <w:r w:rsidRPr="00644ED5">
        <w:rPr>
          <w:rFonts w:ascii="Book Antiqua" w:hAnsi="Book Antiqua"/>
          <w:b/>
        </w:rPr>
        <w:br w:type="page"/>
      </w:r>
    </w:p>
    <w:p w14:paraId="47FA18BF" w14:textId="50A464FD" w:rsidR="001356C5" w:rsidRPr="00644ED5" w:rsidRDefault="006E275C" w:rsidP="00667231">
      <w:pPr>
        <w:spacing w:line="360" w:lineRule="auto"/>
        <w:rPr>
          <w:rFonts w:ascii="Book Antiqua" w:hAnsi="Book Antiqua"/>
          <w:b/>
        </w:rPr>
      </w:pPr>
      <w:r w:rsidRPr="00644ED5">
        <w:rPr>
          <w:rFonts w:ascii="Book Antiqua" w:hAnsi="Book Antiqua" w:cs="Arial"/>
          <w:b/>
        </w:rPr>
        <w:lastRenderedPageBreak/>
        <w:t>Table 1 Observational studies investigating the effects of non-selective beta-blockers in advanced cirrhosis</w:t>
      </w:r>
    </w:p>
    <w:tbl>
      <w:tblPr>
        <w:tblStyle w:val="TableGrid1"/>
        <w:tblW w:w="14293" w:type="dxa"/>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1668"/>
        <w:gridCol w:w="1842"/>
        <w:gridCol w:w="3261"/>
        <w:gridCol w:w="2551"/>
        <w:gridCol w:w="4971"/>
      </w:tblGrid>
      <w:tr w:rsidR="00BA0FDC" w:rsidRPr="00644ED5" w14:paraId="393B1BDC" w14:textId="77777777" w:rsidTr="00256678">
        <w:trPr>
          <w:trHeight w:val="677"/>
        </w:trPr>
        <w:tc>
          <w:tcPr>
            <w:tcW w:w="1668" w:type="dxa"/>
          </w:tcPr>
          <w:p w14:paraId="49B4E191" w14:textId="77777777" w:rsidR="001A6B28" w:rsidRPr="00644ED5" w:rsidRDefault="001A6B28" w:rsidP="00667231">
            <w:pPr>
              <w:spacing w:line="360" w:lineRule="auto"/>
              <w:rPr>
                <w:rFonts w:ascii="Book Antiqua" w:eastAsia="Calibri" w:hAnsi="Book Antiqua" w:cs="Arial"/>
                <w:b/>
              </w:rPr>
            </w:pPr>
            <w:r w:rsidRPr="00644ED5">
              <w:rPr>
                <w:rFonts w:ascii="Book Antiqua" w:eastAsia="Calibri" w:hAnsi="Book Antiqua" w:cs="Arial"/>
                <w:b/>
              </w:rPr>
              <w:t xml:space="preserve">Study </w:t>
            </w:r>
          </w:p>
        </w:tc>
        <w:tc>
          <w:tcPr>
            <w:tcW w:w="1842" w:type="dxa"/>
          </w:tcPr>
          <w:p w14:paraId="3B3E4E25" w14:textId="77777777" w:rsidR="001A6B28" w:rsidRPr="00644ED5" w:rsidRDefault="001A6B28" w:rsidP="00667231">
            <w:pPr>
              <w:spacing w:line="360" w:lineRule="auto"/>
              <w:rPr>
                <w:rFonts w:ascii="Book Antiqua" w:eastAsia="Calibri" w:hAnsi="Book Antiqua" w:cs="Arial"/>
                <w:b/>
              </w:rPr>
            </w:pPr>
            <w:r w:rsidRPr="00644ED5">
              <w:rPr>
                <w:rFonts w:ascii="Book Antiqua" w:eastAsia="Calibri" w:hAnsi="Book Antiqua" w:cs="Arial"/>
                <w:b/>
              </w:rPr>
              <w:t>Study type</w:t>
            </w:r>
          </w:p>
        </w:tc>
        <w:tc>
          <w:tcPr>
            <w:tcW w:w="3261" w:type="dxa"/>
          </w:tcPr>
          <w:p w14:paraId="6048AC71" w14:textId="77777777" w:rsidR="001A6B28" w:rsidRPr="00644ED5" w:rsidRDefault="001A6B28" w:rsidP="00667231">
            <w:pPr>
              <w:spacing w:line="360" w:lineRule="auto"/>
              <w:rPr>
                <w:rFonts w:ascii="Book Antiqua" w:eastAsia="Calibri" w:hAnsi="Book Antiqua" w:cs="Arial"/>
                <w:b/>
              </w:rPr>
            </w:pPr>
            <w:r w:rsidRPr="00644ED5">
              <w:rPr>
                <w:rFonts w:ascii="Book Antiqua" w:eastAsia="Calibri" w:hAnsi="Book Antiqua" w:cs="Arial"/>
                <w:b/>
              </w:rPr>
              <w:t>Study population</w:t>
            </w:r>
          </w:p>
        </w:tc>
        <w:tc>
          <w:tcPr>
            <w:tcW w:w="2551" w:type="dxa"/>
          </w:tcPr>
          <w:p w14:paraId="5F0C646F" w14:textId="098C8C02" w:rsidR="001A6B28" w:rsidRPr="00644ED5" w:rsidRDefault="001A6B28" w:rsidP="00667231">
            <w:pPr>
              <w:spacing w:line="360" w:lineRule="auto"/>
              <w:rPr>
                <w:rFonts w:ascii="Book Antiqua" w:eastAsia="Calibri" w:hAnsi="Book Antiqua" w:cs="Arial"/>
                <w:b/>
              </w:rPr>
            </w:pPr>
            <w:r w:rsidRPr="00644ED5">
              <w:rPr>
                <w:rFonts w:ascii="Book Antiqua" w:eastAsia="Calibri" w:hAnsi="Book Antiqua" w:cs="Arial"/>
                <w:b/>
              </w:rPr>
              <w:t>Type of</w:t>
            </w:r>
            <w:r w:rsidR="008668D8" w:rsidRPr="00644ED5">
              <w:rPr>
                <w:rFonts w:ascii="Book Antiqua" w:eastAsia="Calibri" w:hAnsi="Book Antiqua" w:cs="Arial"/>
                <w:b/>
              </w:rPr>
              <w:t xml:space="preserve"> </w:t>
            </w:r>
            <w:r w:rsidRPr="00644ED5">
              <w:rPr>
                <w:rFonts w:ascii="Book Antiqua" w:eastAsia="Calibri" w:hAnsi="Book Antiqua" w:cs="Arial"/>
                <w:b/>
              </w:rPr>
              <w:t>NSBB</w:t>
            </w:r>
          </w:p>
        </w:tc>
        <w:tc>
          <w:tcPr>
            <w:tcW w:w="4971" w:type="dxa"/>
          </w:tcPr>
          <w:p w14:paraId="7975DA0D" w14:textId="77777777" w:rsidR="001A6B28" w:rsidRPr="00644ED5" w:rsidRDefault="001A6B28" w:rsidP="00667231">
            <w:pPr>
              <w:spacing w:line="360" w:lineRule="auto"/>
              <w:rPr>
                <w:rFonts w:ascii="Book Antiqua" w:eastAsia="Calibri" w:hAnsi="Book Antiqua" w:cs="Arial"/>
                <w:b/>
              </w:rPr>
            </w:pPr>
            <w:r w:rsidRPr="00644ED5">
              <w:rPr>
                <w:rFonts w:ascii="Book Antiqua" w:eastAsia="Calibri" w:hAnsi="Book Antiqua" w:cs="Arial"/>
                <w:b/>
              </w:rPr>
              <w:t>Outcomes</w:t>
            </w:r>
          </w:p>
        </w:tc>
      </w:tr>
      <w:tr w:rsidR="00BA0FDC" w:rsidRPr="00644ED5" w14:paraId="3A2EE4F6" w14:textId="77777777" w:rsidTr="00AA19F5">
        <w:trPr>
          <w:trHeight w:val="1426"/>
        </w:trPr>
        <w:tc>
          <w:tcPr>
            <w:tcW w:w="1668" w:type="dxa"/>
            <w:tcBorders>
              <w:bottom w:val="single" w:sz="4" w:space="0" w:color="FFFFFF" w:themeColor="background1"/>
            </w:tcBorders>
          </w:tcPr>
          <w:p w14:paraId="2BA89992" w14:textId="684BF3CE"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t>Sersté</w:t>
            </w:r>
            <w:r w:rsidR="00AA19F5" w:rsidRPr="00644ED5">
              <w:rPr>
                <w:rFonts w:ascii="Book Antiqua" w:hAnsi="Book Antiqua" w:cs="Arial" w:hint="eastAsia"/>
                <w:lang w:eastAsia="zh-CN"/>
              </w:rPr>
              <w:t xml:space="preserve">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[12]</w:t>
            </w:r>
          </w:p>
        </w:tc>
        <w:tc>
          <w:tcPr>
            <w:tcW w:w="1842" w:type="dxa"/>
            <w:tcBorders>
              <w:bottom w:val="single" w:sz="4" w:space="0" w:color="FFFFFF" w:themeColor="background1"/>
            </w:tcBorders>
          </w:tcPr>
          <w:p w14:paraId="7E1836EC"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Single-centre, prospective cohort study</w:t>
            </w:r>
          </w:p>
        </w:tc>
        <w:tc>
          <w:tcPr>
            <w:tcW w:w="3261" w:type="dxa"/>
            <w:tcBorders>
              <w:bottom w:val="single" w:sz="4" w:space="0" w:color="FFFFFF" w:themeColor="background1"/>
            </w:tcBorders>
          </w:tcPr>
          <w:p w14:paraId="0200077B" w14:textId="46C32EB9"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Cirrhotic inpatients with refractory ascites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151; mean MELD 18.8 ±</w:t>
            </w:r>
            <w:r w:rsidR="00AA19F5" w:rsidRPr="00644ED5">
              <w:rPr>
                <w:rFonts w:ascii="Book Antiqua" w:hAnsi="Book Antiqua" w:cs="Arial" w:hint="eastAsia"/>
                <w:lang w:eastAsia="zh-CN"/>
              </w:rPr>
              <w:t xml:space="preserve"> </w:t>
            </w:r>
            <w:r w:rsidRPr="00644ED5">
              <w:rPr>
                <w:rFonts w:ascii="Book Antiqua" w:eastAsia="Calibri" w:hAnsi="Book Antiqua" w:cs="Arial"/>
              </w:rPr>
              <w:t>4.1; 69% diuretic-intractable, 31% diuretic-resistant), all treated with large-volume paracentesis + IV albumin</w:t>
            </w:r>
          </w:p>
          <w:p w14:paraId="79131DE1" w14:textId="25430E2A"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Median follow-up: 8 mo (range 1-47)</w:t>
            </w:r>
          </w:p>
          <w:p w14:paraId="562BA404" w14:textId="3DE4440B" w:rsidR="001A6B28" w:rsidRPr="00644ED5" w:rsidRDefault="001A6B28" w:rsidP="00667231">
            <w:pPr>
              <w:spacing w:line="360" w:lineRule="auto"/>
              <w:rPr>
                <w:rFonts w:ascii="Book Antiqua" w:eastAsia="Calibri" w:hAnsi="Book Antiqua" w:cs="Arial"/>
              </w:rPr>
            </w:pPr>
          </w:p>
        </w:tc>
        <w:tc>
          <w:tcPr>
            <w:tcW w:w="2551" w:type="dxa"/>
            <w:tcBorders>
              <w:bottom w:val="single" w:sz="4" w:space="0" w:color="FFFFFF" w:themeColor="background1"/>
            </w:tcBorders>
          </w:tcPr>
          <w:p w14:paraId="63401F58" w14:textId="11D58104"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Propranolol (40-160</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w:t>
            </w:r>
          </w:p>
        </w:tc>
        <w:tc>
          <w:tcPr>
            <w:tcW w:w="4971" w:type="dxa"/>
            <w:tcBorders>
              <w:bottom w:val="single" w:sz="4" w:space="0" w:color="FFFFFF" w:themeColor="background1"/>
            </w:tcBorders>
          </w:tcPr>
          <w:p w14:paraId="2DFF6769" w14:textId="188331E2" w:rsidR="001A6B28" w:rsidRPr="00644ED5" w:rsidRDefault="001A6B28" w:rsidP="00256678">
            <w:pPr>
              <w:spacing w:line="360" w:lineRule="auto"/>
              <w:rPr>
                <w:rFonts w:ascii="Book Antiqua" w:eastAsia="Calibri" w:hAnsi="Book Antiqua" w:cs="Arial"/>
              </w:rPr>
            </w:pPr>
            <w:r w:rsidRPr="00644ED5">
              <w:rPr>
                <w:rFonts w:ascii="Book Antiqua" w:eastAsia="Calibri" w:hAnsi="Book Antiqua" w:cs="Arial"/>
              </w:rPr>
              <w:t>Median surv</w:t>
            </w:r>
            <w:r w:rsidR="00AA19F5" w:rsidRPr="00644ED5">
              <w:rPr>
                <w:rFonts w:ascii="Book Antiqua" w:eastAsia="Calibri" w:hAnsi="Book Antiqua" w:cs="Arial"/>
              </w:rPr>
              <w:t>ival was 5.0 mo (95% CI 3.5</w:t>
            </w:r>
            <w:r w:rsidR="00AA19F5" w:rsidRPr="00644ED5">
              <w:rPr>
                <w:rFonts w:ascii="Book Antiqua" w:hAnsi="Book Antiqua" w:cs="Arial" w:hint="eastAsia"/>
                <w:lang w:eastAsia="zh-CN"/>
              </w:rPr>
              <w:t>-</w:t>
            </w:r>
            <w:r w:rsidRPr="00644ED5">
              <w:rPr>
                <w:rFonts w:ascii="Book Antiqua" w:eastAsia="Calibri" w:hAnsi="Book Antiqua" w:cs="Arial"/>
              </w:rPr>
              <w:t>6.5 mo) for patients on propranolol comp</w:t>
            </w:r>
            <w:r w:rsidR="00AA19F5" w:rsidRPr="00644ED5">
              <w:rPr>
                <w:rFonts w:ascii="Book Antiqua" w:eastAsia="Calibri" w:hAnsi="Book Antiqua" w:cs="Arial"/>
              </w:rPr>
              <w:t>ared to 20.0 mo (95% CI 4.8</w:t>
            </w:r>
            <w:r w:rsidR="00AA19F5" w:rsidRPr="00644ED5">
              <w:rPr>
                <w:rFonts w:ascii="Book Antiqua" w:hAnsi="Book Antiqua" w:cs="Arial" w:hint="eastAsia"/>
                <w:lang w:eastAsia="zh-CN"/>
              </w:rPr>
              <w:t>-</w:t>
            </w:r>
            <w:r w:rsidRPr="00644ED5">
              <w:rPr>
                <w:rFonts w:ascii="Book Antiqua" w:eastAsia="Calibri" w:hAnsi="Book Antiqua" w:cs="Arial"/>
              </w:rPr>
              <w:t>35.2 mo) for patients not on propranolol (</w:t>
            </w:r>
            <w:r w:rsidR="00AA19F5" w:rsidRPr="00644ED5">
              <w:rPr>
                <w:rFonts w:ascii="Book Antiqua" w:eastAsia="Calibri" w:hAnsi="Book Antiqua" w:cs="Arial"/>
                <w:i/>
              </w:rPr>
              <w:t>P</w:t>
            </w:r>
            <w:r w:rsidR="00AA19F5" w:rsidRPr="00644ED5">
              <w:rPr>
                <w:rFonts w:ascii="Book Antiqua" w:hAnsi="Book Antiqua" w:cs="Arial" w:hint="eastAsia"/>
                <w:lang w:eastAsia="zh-CN"/>
              </w:rPr>
              <w:t xml:space="preserve"> </w:t>
            </w:r>
            <w:r w:rsidRPr="00644ED5">
              <w:rPr>
                <w:rFonts w:ascii="Book Antiqua" w:eastAsia="Calibri" w:hAnsi="Book Antiqua" w:cs="Arial"/>
              </w:rPr>
              <w:t>&lt;</w:t>
            </w:r>
            <w:r w:rsidR="00AA19F5" w:rsidRPr="00644ED5">
              <w:rPr>
                <w:rFonts w:ascii="Book Antiqua" w:hAnsi="Book Antiqua" w:cs="Arial" w:hint="eastAsia"/>
                <w:lang w:eastAsia="zh-CN"/>
              </w:rPr>
              <w:t xml:space="preserve"> </w:t>
            </w:r>
            <w:r w:rsidRPr="00644ED5">
              <w:rPr>
                <w:rFonts w:ascii="Book Antiqua" w:eastAsia="Calibri" w:hAnsi="Book Antiqua" w:cs="Arial"/>
              </w:rPr>
              <w:t xml:space="preserve">0.0001) </w:t>
            </w:r>
          </w:p>
        </w:tc>
      </w:tr>
      <w:tr w:rsidR="00BA0FDC" w:rsidRPr="00644ED5" w14:paraId="543E453F" w14:textId="77777777" w:rsidTr="00AA19F5">
        <w:trPr>
          <w:trHeight w:val="1426"/>
        </w:trPr>
        <w:tc>
          <w:tcPr>
            <w:tcW w:w="1668" w:type="dxa"/>
            <w:tcBorders>
              <w:top w:val="single" w:sz="4" w:space="0" w:color="FFFFFF" w:themeColor="background1"/>
              <w:bottom w:val="single" w:sz="4" w:space="0" w:color="FFFFFF" w:themeColor="background1"/>
            </w:tcBorders>
          </w:tcPr>
          <w:p w14:paraId="34128596" w14:textId="676EC9B6"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t xml:space="preserve">Sersté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[13]</w:t>
            </w:r>
          </w:p>
        </w:tc>
        <w:tc>
          <w:tcPr>
            <w:tcW w:w="1842" w:type="dxa"/>
            <w:tcBorders>
              <w:top w:val="single" w:sz="4" w:space="0" w:color="FFFFFF" w:themeColor="background1"/>
              <w:bottom w:val="single" w:sz="4" w:space="0" w:color="FFFFFF" w:themeColor="background1"/>
            </w:tcBorders>
          </w:tcPr>
          <w:p w14:paraId="459BABA0"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Single centre, retrospective cohort study</w:t>
            </w:r>
          </w:p>
        </w:tc>
        <w:tc>
          <w:tcPr>
            <w:tcW w:w="3261" w:type="dxa"/>
            <w:tcBorders>
              <w:top w:val="single" w:sz="4" w:space="0" w:color="FFFFFF" w:themeColor="background1"/>
              <w:bottom w:val="single" w:sz="4" w:space="0" w:color="FFFFFF" w:themeColor="background1"/>
            </w:tcBorders>
          </w:tcPr>
          <w:p w14:paraId="0013F4B1" w14:textId="445E52FD"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Cirrhotic inpatients with alcoholic hepatitis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139; mean MELD score 27.3 ± 7.6; mean Maddrey score 71.0 ± 34.4), all treated with methylprednisolone</w:t>
            </w:r>
          </w:p>
        </w:tc>
        <w:tc>
          <w:tcPr>
            <w:tcW w:w="2551" w:type="dxa"/>
            <w:tcBorders>
              <w:top w:val="single" w:sz="4" w:space="0" w:color="FFFFFF" w:themeColor="background1"/>
              <w:bottom w:val="single" w:sz="4" w:space="0" w:color="FFFFFF" w:themeColor="background1"/>
            </w:tcBorders>
          </w:tcPr>
          <w:p w14:paraId="189EDC6E" w14:textId="48085E5C"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Propranolol (40-160</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w:t>
            </w:r>
          </w:p>
        </w:tc>
        <w:tc>
          <w:tcPr>
            <w:tcW w:w="4971" w:type="dxa"/>
            <w:tcBorders>
              <w:top w:val="single" w:sz="4" w:space="0" w:color="FFFFFF" w:themeColor="background1"/>
              <w:bottom w:val="single" w:sz="4" w:space="0" w:color="FFFFFF" w:themeColor="background1"/>
            </w:tcBorders>
          </w:tcPr>
          <w:p w14:paraId="217B2F4C" w14:textId="105187F4"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At 168-d follow-up: AKI i</w:t>
            </w:r>
            <w:r w:rsidR="00AA19F5" w:rsidRPr="00644ED5">
              <w:rPr>
                <w:rFonts w:ascii="Book Antiqua" w:eastAsia="Calibri" w:hAnsi="Book Antiqua" w:cs="Arial"/>
              </w:rPr>
              <w:t>ncidence was 89.6% (95% CI 74.9</w:t>
            </w:r>
            <w:r w:rsidR="00AA19F5" w:rsidRPr="00644ED5">
              <w:rPr>
                <w:rFonts w:ascii="Book Antiqua" w:hAnsi="Book Antiqua" w:cs="Arial" w:hint="eastAsia"/>
                <w:lang w:eastAsia="zh-CN"/>
              </w:rPr>
              <w:t>%-</w:t>
            </w:r>
            <w:r w:rsidRPr="00644ED5">
              <w:rPr>
                <w:rFonts w:ascii="Book Antiqua" w:eastAsia="Calibri" w:hAnsi="Book Antiqua" w:cs="Arial"/>
              </w:rPr>
              <w:t>95.9%) for patients on propranolol</w:t>
            </w:r>
            <w:r w:rsidR="00AA19F5" w:rsidRPr="00644ED5">
              <w:rPr>
                <w:rFonts w:ascii="Book Antiqua" w:eastAsia="Calibri" w:hAnsi="Book Antiqua" w:cs="Arial"/>
              </w:rPr>
              <w:t xml:space="preserve"> compared to 50.4% (95% CI 39.0</w:t>
            </w:r>
            <w:r w:rsidR="00AA19F5" w:rsidRPr="00644ED5">
              <w:rPr>
                <w:rFonts w:ascii="Book Antiqua" w:hAnsi="Book Antiqua" w:cs="Arial" w:hint="eastAsia"/>
                <w:lang w:eastAsia="zh-CN"/>
              </w:rPr>
              <w:t>%-</w:t>
            </w:r>
            <w:r w:rsidRPr="00644ED5">
              <w:rPr>
                <w:rFonts w:ascii="Book Antiqua" w:eastAsia="Calibri" w:hAnsi="Book Antiqua" w:cs="Arial"/>
              </w:rPr>
              <w:t>60.7%) for patients not on propranolol (</w:t>
            </w:r>
            <w:r w:rsidR="00AA19F5" w:rsidRPr="00644ED5">
              <w:rPr>
                <w:rFonts w:ascii="Book Antiqua" w:eastAsia="Calibri" w:hAnsi="Book Antiqua" w:cs="Arial"/>
                <w:i/>
              </w:rPr>
              <w:t>P</w:t>
            </w:r>
            <w:r w:rsidR="00AA19F5" w:rsidRPr="00644ED5">
              <w:rPr>
                <w:rFonts w:ascii="Book Antiqua" w:hAnsi="Book Antiqua" w:cs="Arial" w:hint="eastAsia"/>
                <w:lang w:eastAsia="zh-CN"/>
              </w:rPr>
              <w:t xml:space="preserve"> </w:t>
            </w:r>
            <w:r w:rsidRPr="00644ED5">
              <w:rPr>
                <w:rFonts w:ascii="Book Antiqua" w:eastAsia="Calibri" w:hAnsi="Book Antiqua" w:cs="Arial"/>
              </w:rPr>
              <w:t>&lt;</w:t>
            </w:r>
            <w:r w:rsidR="00AA19F5" w:rsidRPr="00644ED5">
              <w:rPr>
                <w:rFonts w:ascii="Book Antiqua" w:hAnsi="Book Antiqua" w:cs="Arial" w:hint="eastAsia"/>
                <w:lang w:eastAsia="zh-CN"/>
              </w:rPr>
              <w:t xml:space="preserve"> </w:t>
            </w:r>
            <w:r w:rsidRPr="00644ED5">
              <w:rPr>
                <w:rFonts w:ascii="Book Antiqua" w:eastAsia="Calibri" w:hAnsi="Book Antiqua" w:cs="Arial"/>
              </w:rPr>
              <w:t>0.0001)</w:t>
            </w:r>
          </w:p>
          <w:p w14:paraId="37400C02" w14:textId="24220C7A"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Transplant-free mortality was 56.8% (95% CI 41</w:t>
            </w:r>
            <w:r w:rsidR="00AA19F5" w:rsidRPr="00644ED5">
              <w:rPr>
                <w:rFonts w:ascii="Book Antiqua" w:eastAsia="Calibri" w:hAnsi="Book Antiqua" w:cs="Arial"/>
              </w:rPr>
              <w:t>.3</w:t>
            </w:r>
            <w:r w:rsidR="00AA19F5" w:rsidRPr="00644ED5">
              <w:rPr>
                <w:rFonts w:ascii="Book Antiqua" w:hAnsi="Book Antiqua" w:cs="Arial" w:hint="eastAsia"/>
                <w:lang w:eastAsia="zh-CN"/>
              </w:rPr>
              <w:t>%-</w:t>
            </w:r>
            <w:r w:rsidRPr="00644ED5">
              <w:rPr>
                <w:rFonts w:ascii="Book Antiqua" w:eastAsia="Calibri" w:hAnsi="Book Antiqua" w:cs="Arial"/>
              </w:rPr>
              <w:t>69.7%) in NSBB users</w:t>
            </w:r>
            <w:r w:rsidR="00AA19F5" w:rsidRPr="00644ED5">
              <w:rPr>
                <w:rFonts w:ascii="Book Antiqua" w:eastAsia="Calibri" w:hAnsi="Book Antiqua" w:cs="Arial"/>
              </w:rPr>
              <w:t xml:space="preserve"> compared to </w:t>
            </w:r>
            <w:r w:rsidR="00AA19F5" w:rsidRPr="00644ED5">
              <w:rPr>
                <w:rFonts w:ascii="Book Antiqua" w:eastAsia="Calibri" w:hAnsi="Book Antiqua" w:cs="Arial"/>
              </w:rPr>
              <w:lastRenderedPageBreak/>
              <w:t>46.7% (95% CI 35.0</w:t>
            </w:r>
            <w:r w:rsidR="00AA19F5" w:rsidRPr="00644ED5">
              <w:rPr>
                <w:rFonts w:ascii="Book Antiqua" w:hAnsi="Book Antiqua" w:cs="Arial" w:hint="eastAsia"/>
                <w:lang w:eastAsia="zh-CN"/>
              </w:rPr>
              <w:t>%-</w:t>
            </w:r>
            <w:r w:rsidRPr="00644ED5">
              <w:rPr>
                <w:rFonts w:ascii="Book Antiqua" w:eastAsia="Calibri" w:hAnsi="Book Antiqua" w:cs="Arial"/>
              </w:rPr>
              <w:t>57.6%) in non-users (</w:t>
            </w:r>
            <w:r w:rsidR="00AA19F5" w:rsidRPr="00644ED5">
              <w:rPr>
                <w:rFonts w:ascii="Book Antiqua" w:eastAsia="Calibri" w:hAnsi="Book Antiqua" w:cs="Arial"/>
                <w:i/>
              </w:rPr>
              <w:t>P</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0.25)</w:t>
            </w:r>
          </w:p>
          <w:p w14:paraId="0DD234BF" w14:textId="6D6E304E" w:rsidR="001A6B28" w:rsidRPr="00644ED5" w:rsidRDefault="001A6B28" w:rsidP="00667231">
            <w:pPr>
              <w:spacing w:line="360" w:lineRule="auto"/>
              <w:rPr>
                <w:rFonts w:ascii="Book Antiqua" w:eastAsia="Calibri" w:hAnsi="Book Antiqua" w:cs="Arial"/>
              </w:rPr>
            </w:pPr>
          </w:p>
        </w:tc>
      </w:tr>
      <w:tr w:rsidR="00BA0FDC" w:rsidRPr="00644ED5" w14:paraId="4B5D5980" w14:textId="77777777" w:rsidTr="00AA19F5">
        <w:trPr>
          <w:trHeight w:val="1426"/>
        </w:trPr>
        <w:tc>
          <w:tcPr>
            <w:tcW w:w="1668" w:type="dxa"/>
            <w:tcBorders>
              <w:top w:val="single" w:sz="4" w:space="0" w:color="FFFFFF" w:themeColor="background1"/>
              <w:bottom w:val="single" w:sz="4" w:space="0" w:color="FFFFFF" w:themeColor="background1"/>
            </w:tcBorders>
          </w:tcPr>
          <w:p w14:paraId="73F37520" w14:textId="64D04EDB"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lastRenderedPageBreak/>
              <w:t>Mandorfer</w:t>
            </w:r>
            <w:r w:rsidR="00AA19F5" w:rsidRPr="00644ED5">
              <w:rPr>
                <w:rFonts w:ascii="Book Antiqua" w:hAnsi="Book Antiqua" w:cs="Arial" w:hint="eastAsia"/>
                <w:lang w:eastAsia="zh-CN"/>
              </w:rPr>
              <w:t xml:space="preserve">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[14]</w:t>
            </w:r>
          </w:p>
        </w:tc>
        <w:tc>
          <w:tcPr>
            <w:tcW w:w="1842" w:type="dxa"/>
            <w:tcBorders>
              <w:top w:val="single" w:sz="4" w:space="0" w:color="FFFFFF" w:themeColor="background1"/>
              <w:bottom w:val="single" w:sz="4" w:space="0" w:color="FFFFFF" w:themeColor="background1"/>
            </w:tcBorders>
          </w:tcPr>
          <w:p w14:paraId="5DE13466"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Single-centre retrospective observational study</w:t>
            </w:r>
          </w:p>
        </w:tc>
        <w:tc>
          <w:tcPr>
            <w:tcW w:w="3261" w:type="dxa"/>
            <w:tcBorders>
              <w:top w:val="single" w:sz="4" w:space="0" w:color="FFFFFF" w:themeColor="background1"/>
              <w:bottom w:val="single" w:sz="4" w:space="0" w:color="FFFFFF" w:themeColor="background1"/>
            </w:tcBorders>
          </w:tcPr>
          <w:p w14:paraId="23A41CED" w14:textId="4D2725EB"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Cirrhotic outpatients with ascites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607; mean MELD 17.5 ± 10.6), all treated with large-volume paracentesis + IV albumin</w:t>
            </w:r>
          </w:p>
          <w:p w14:paraId="69F66AD7"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Follow-up: 660 person-years</w:t>
            </w:r>
          </w:p>
        </w:tc>
        <w:tc>
          <w:tcPr>
            <w:tcW w:w="2551" w:type="dxa"/>
            <w:tcBorders>
              <w:top w:val="single" w:sz="4" w:space="0" w:color="FFFFFF" w:themeColor="background1"/>
              <w:bottom w:val="single" w:sz="4" w:space="0" w:color="FFFFFF" w:themeColor="background1"/>
            </w:tcBorders>
          </w:tcPr>
          <w:p w14:paraId="2D6DA388" w14:textId="31F6109C"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Propranolol (20-120</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 Carvedilol (6.25-25</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w:t>
            </w:r>
          </w:p>
        </w:tc>
        <w:tc>
          <w:tcPr>
            <w:tcW w:w="4971" w:type="dxa"/>
            <w:tcBorders>
              <w:top w:val="single" w:sz="4" w:space="0" w:color="FFFFFF" w:themeColor="background1"/>
              <w:bottom w:val="single" w:sz="4" w:space="0" w:color="FFFFFF" w:themeColor="background1"/>
            </w:tcBorders>
          </w:tcPr>
          <w:p w14:paraId="622761AF" w14:textId="3F3E7BC8"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patients without SBP: NSBB use was associated with higher transplant-free survival (HR 0.75,</w:t>
            </w:r>
            <w:r w:rsidR="00AA19F5" w:rsidRPr="00644ED5">
              <w:rPr>
                <w:rFonts w:ascii="Book Antiqua" w:eastAsia="Calibri" w:hAnsi="Book Antiqua" w:cs="Arial"/>
              </w:rPr>
              <w:t xml:space="preserve"> 95% CI 0.581</w:t>
            </w:r>
            <w:r w:rsidR="00AA19F5" w:rsidRPr="00644ED5">
              <w:rPr>
                <w:rFonts w:ascii="Book Antiqua" w:hAnsi="Book Antiqua" w:cs="Arial" w:hint="eastAsia"/>
                <w:lang w:eastAsia="zh-CN"/>
              </w:rPr>
              <w:t>-</w:t>
            </w:r>
            <w:r w:rsidRPr="00644ED5">
              <w:rPr>
                <w:rFonts w:ascii="Book Antiqua" w:eastAsia="Calibri" w:hAnsi="Book Antiqua" w:cs="Arial"/>
              </w:rPr>
              <w:t>0.968) and with reduced length of hospitalisation</w:t>
            </w:r>
          </w:p>
          <w:p w14:paraId="343040A1" w14:textId="28C3F1A3"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patients with SBP: NSBB use was associated with reduced transplant free su</w:t>
            </w:r>
            <w:r w:rsidR="00AA19F5" w:rsidRPr="00644ED5">
              <w:rPr>
                <w:rFonts w:ascii="Book Antiqua" w:eastAsia="Calibri" w:hAnsi="Book Antiqua" w:cs="Arial"/>
              </w:rPr>
              <w:t>rvival (HR 1.58, 95% CI 1.098</w:t>
            </w:r>
            <w:r w:rsidR="00AA19F5" w:rsidRPr="00644ED5">
              <w:rPr>
                <w:rFonts w:ascii="Book Antiqua" w:hAnsi="Book Antiqua" w:cs="Arial" w:hint="eastAsia"/>
                <w:lang w:eastAsia="zh-CN"/>
              </w:rPr>
              <w:t>-</w:t>
            </w:r>
            <w:r w:rsidRPr="00644ED5">
              <w:rPr>
                <w:rFonts w:ascii="Book Antiqua" w:eastAsia="Calibri" w:hAnsi="Book Antiqua" w:cs="Arial"/>
              </w:rPr>
              <w:t xml:space="preserve">2.274), development of HRS (24% </w:t>
            </w:r>
            <w:r w:rsidRPr="00644ED5">
              <w:rPr>
                <w:rFonts w:ascii="Book Antiqua" w:eastAsia="Calibri" w:hAnsi="Book Antiqua" w:cs="Arial"/>
                <w:i/>
              </w:rPr>
              <w:t>vs</w:t>
            </w:r>
            <w:r w:rsidRPr="00644ED5">
              <w:rPr>
                <w:rFonts w:ascii="Book Antiqua" w:eastAsia="Calibri" w:hAnsi="Book Antiqua" w:cs="Arial"/>
              </w:rPr>
              <w:t xml:space="preserve"> 11%, </w:t>
            </w:r>
            <w:r w:rsidR="00AA19F5" w:rsidRPr="00644ED5">
              <w:rPr>
                <w:rFonts w:ascii="Book Antiqua" w:eastAsia="Calibri" w:hAnsi="Book Antiqua" w:cs="Arial"/>
                <w:i/>
              </w:rPr>
              <w:t>P</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0.03), and increased length of hospitalisation</w:t>
            </w:r>
          </w:p>
          <w:p w14:paraId="1BDB6924" w14:textId="00CF850F" w:rsidR="001A6B28" w:rsidRPr="00644ED5" w:rsidRDefault="001A6B28" w:rsidP="00667231">
            <w:pPr>
              <w:spacing w:line="360" w:lineRule="auto"/>
              <w:rPr>
                <w:rFonts w:ascii="Book Antiqua" w:eastAsia="Calibri" w:hAnsi="Book Antiqua" w:cs="Arial"/>
              </w:rPr>
            </w:pPr>
          </w:p>
        </w:tc>
      </w:tr>
      <w:tr w:rsidR="00BA0FDC" w:rsidRPr="00644ED5" w14:paraId="175CDD10" w14:textId="77777777" w:rsidTr="00AA19F5">
        <w:trPr>
          <w:trHeight w:val="1426"/>
        </w:trPr>
        <w:tc>
          <w:tcPr>
            <w:tcW w:w="1668" w:type="dxa"/>
            <w:tcBorders>
              <w:top w:val="single" w:sz="4" w:space="0" w:color="FFFFFF" w:themeColor="background1"/>
              <w:bottom w:val="single" w:sz="4" w:space="0" w:color="FFFFFF" w:themeColor="background1"/>
            </w:tcBorders>
          </w:tcPr>
          <w:p w14:paraId="573F7205" w14:textId="0532963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 xml:space="preserve">Bang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[15]</w:t>
            </w:r>
          </w:p>
          <w:p w14:paraId="38060096" w14:textId="77777777" w:rsidR="001A6B28" w:rsidRPr="00644ED5" w:rsidRDefault="001A6B28" w:rsidP="00667231">
            <w:pPr>
              <w:spacing w:line="360" w:lineRule="auto"/>
              <w:rPr>
                <w:rFonts w:ascii="Book Antiqua" w:eastAsia="Calibri" w:hAnsi="Book Antiqua" w:cs="Arial"/>
              </w:rPr>
            </w:pPr>
          </w:p>
        </w:tc>
        <w:tc>
          <w:tcPr>
            <w:tcW w:w="1842" w:type="dxa"/>
            <w:tcBorders>
              <w:top w:val="single" w:sz="4" w:space="0" w:color="FFFFFF" w:themeColor="background1"/>
              <w:bottom w:val="single" w:sz="4" w:space="0" w:color="FFFFFF" w:themeColor="background1"/>
            </w:tcBorders>
          </w:tcPr>
          <w:p w14:paraId="59513B01"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 xml:space="preserve">Multicentre, retrospective, propensity-adjusted, longitudinal study of </w:t>
            </w:r>
            <w:r w:rsidRPr="00644ED5">
              <w:rPr>
                <w:rFonts w:ascii="Book Antiqua" w:eastAsia="Calibri" w:hAnsi="Book Antiqua" w:cs="Arial"/>
              </w:rPr>
              <w:lastRenderedPageBreak/>
              <w:t>Danish databases</w:t>
            </w:r>
          </w:p>
        </w:tc>
        <w:tc>
          <w:tcPr>
            <w:tcW w:w="3261" w:type="dxa"/>
            <w:tcBorders>
              <w:top w:val="single" w:sz="4" w:space="0" w:color="FFFFFF" w:themeColor="background1"/>
              <w:bottom w:val="single" w:sz="4" w:space="0" w:color="FFFFFF" w:themeColor="background1"/>
            </w:tcBorders>
          </w:tcPr>
          <w:p w14:paraId="1C517E44" w14:textId="18B140B2"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lastRenderedPageBreak/>
              <w:t>Decompensated cirrhotic in- and outpatients (</w:t>
            </w:r>
            <w:r w:rsidRPr="00644ED5">
              <w:rPr>
                <w:rFonts w:ascii="Book Antiqua" w:eastAsia="Calibri" w:hAnsi="Book Antiqua" w:cs="Arial"/>
                <w:i/>
              </w:rPr>
              <w:t>n</w:t>
            </w:r>
            <w:r w:rsidR="00AA19F5" w:rsidRPr="00644ED5">
              <w:rPr>
                <w:rFonts w:ascii="Book Antiqua" w:hAnsi="Book Antiqua" w:cs="Arial" w:hint="eastAsia"/>
                <w:i/>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 xml:space="preserve">702 propranolol-users matched to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 xml:space="preserve">702 non-users). Stratified into mild decompensation (1-4 </w:t>
            </w:r>
            <w:r w:rsidRPr="00644ED5">
              <w:rPr>
                <w:rFonts w:ascii="Book Antiqua" w:eastAsia="Calibri" w:hAnsi="Book Antiqua" w:cs="Arial"/>
              </w:rPr>
              <w:lastRenderedPageBreak/>
              <w:t>previous paracenteses) and severe decompensation (&gt;</w:t>
            </w:r>
            <w:r w:rsidR="00AA19F5" w:rsidRPr="00644ED5">
              <w:rPr>
                <w:rFonts w:ascii="Book Antiqua" w:hAnsi="Book Antiqua" w:cs="Arial" w:hint="eastAsia"/>
                <w:lang w:eastAsia="zh-CN"/>
              </w:rPr>
              <w:t xml:space="preserve"> </w:t>
            </w:r>
            <w:r w:rsidRPr="00644ED5">
              <w:rPr>
                <w:rFonts w:ascii="Book Antiqua" w:eastAsia="Calibri" w:hAnsi="Book Antiqua" w:cs="Arial"/>
              </w:rPr>
              <w:t>4 paracenteses)</w:t>
            </w:r>
          </w:p>
        </w:tc>
        <w:tc>
          <w:tcPr>
            <w:tcW w:w="2551" w:type="dxa"/>
            <w:tcBorders>
              <w:top w:val="single" w:sz="4" w:space="0" w:color="FFFFFF" w:themeColor="background1"/>
              <w:bottom w:val="single" w:sz="4" w:space="0" w:color="FFFFFF" w:themeColor="background1"/>
            </w:tcBorders>
          </w:tcPr>
          <w:p w14:paraId="7D65B591" w14:textId="0C0E1D15"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lastRenderedPageBreak/>
              <w:t>Propranolol (&lt;</w:t>
            </w:r>
            <w:r w:rsidR="00AA19F5" w:rsidRPr="00644ED5">
              <w:rPr>
                <w:rFonts w:ascii="Book Antiqua" w:hAnsi="Book Antiqua" w:cs="Arial" w:hint="eastAsia"/>
                <w:lang w:eastAsia="zh-CN"/>
              </w:rPr>
              <w:t xml:space="preserve"> </w:t>
            </w:r>
            <w:r w:rsidRPr="00644ED5">
              <w:rPr>
                <w:rFonts w:ascii="Book Antiqua" w:eastAsia="Calibri" w:hAnsi="Book Antiqua" w:cs="Arial"/>
              </w:rPr>
              <w:t>80</w:t>
            </w:r>
            <w:r w:rsidR="00AA19F5" w:rsidRPr="00644ED5">
              <w:rPr>
                <w:rFonts w:ascii="Book Antiqua" w:hAnsi="Book Antiqua" w:cs="Arial" w:hint="eastAsia"/>
                <w:lang w:eastAsia="zh-CN"/>
              </w:rPr>
              <w:t xml:space="preserve"> </w:t>
            </w:r>
            <w:r w:rsidRPr="00644ED5">
              <w:rPr>
                <w:rFonts w:ascii="Book Antiqua" w:eastAsia="Calibri" w:hAnsi="Book Antiqua" w:cs="Arial"/>
              </w:rPr>
              <w:t>mg, 80-160 or &gt;</w:t>
            </w:r>
            <w:r w:rsidR="00AA19F5" w:rsidRPr="00644ED5">
              <w:rPr>
                <w:rFonts w:ascii="Book Antiqua" w:hAnsi="Book Antiqua" w:cs="Arial" w:hint="eastAsia"/>
                <w:lang w:eastAsia="zh-CN"/>
              </w:rPr>
              <w:t xml:space="preserve"> </w:t>
            </w:r>
            <w:r w:rsidRPr="00644ED5">
              <w:rPr>
                <w:rFonts w:ascii="Book Antiqua" w:eastAsia="Calibri" w:hAnsi="Book Antiqua" w:cs="Arial"/>
              </w:rPr>
              <w:t>160</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w:t>
            </w:r>
          </w:p>
        </w:tc>
        <w:tc>
          <w:tcPr>
            <w:tcW w:w="4971" w:type="dxa"/>
            <w:tcBorders>
              <w:top w:val="single" w:sz="4" w:space="0" w:color="FFFFFF" w:themeColor="background1"/>
              <w:bottom w:val="single" w:sz="4" w:space="0" w:color="FFFFFF" w:themeColor="background1"/>
            </w:tcBorders>
          </w:tcPr>
          <w:p w14:paraId="41F364BA"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At 2-year follow-up:</w:t>
            </w:r>
          </w:p>
          <w:p w14:paraId="4C98B345" w14:textId="2CBBF3EB"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 xml:space="preserve">Propranolol use was associated with lower mortality in patients with mildly decompensated </w:t>
            </w:r>
            <w:r w:rsidR="00AA19F5" w:rsidRPr="00644ED5">
              <w:rPr>
                <w:rFonts w:ascii="Book Antiqua" w:eastAsia="Calibri" w:hAnsi="Book Antiqua" w:cs="Arial"/>
              </w:rPr>
              <w:t>cirrhosis (HR 0.7, 95% CI 0.6</w:t>
            </w:r>
            <w:r w:rsidR="00AA19F5" w:rsidRPr="00644ED5">
              <w:rPr>
                <w:rFonts w:ascii="Book Antiqua" w:hAnsi="Book Antiqua" w:cs="Arial" w:hint="eastAsia"/>
                <w:lang w:eastAsia="zh-CN"/>
              </w:rPr>
              <w:t>-</w:t>
            </w:r>
            <w:r w:rsidRPr="00644ED5">
              <w:rPr>
                <w:rFonts w:ascii="Book Antiqua" w:eastAsia="Calibri" w:hAnsi="Book Antiqua" w:cs="Arial"/>
              </w:rPr>
              <w:t xml:space="preserve">0.9) and severely decompensated </w:t>
            </w:r>
            <w:r w:rsidR="00AA19F5" w:rsidRPr="00644ED5">
              <w:rPr>
                <w:rFonts w:ascii="Book Antiqua" w:eastAsia="Calibri" w:hAnsi="Book Antiqua" w:cs="Arial"/>
              </w:rPr>
              <w:t>cirrhosis (HR 0.6, 95% CI 0.4</w:t>
            </w:r>
            <w:r w:rsidR="00AA19F5" w:rsidRPr="00644ED5">
              <w:rPr>
                <w:rFonts w:ascii="Book Antiqua" w:hAnsi="Book Antiqua" w:cs="Arial" w:hint="eastAsia"/>
                <w:lang w:eastAsia="zh-CN"/>
              </w:rPr>
              <w:t>-</w:t>
            </w:r>
            <w:r w:rsidRPr="00644ED5">
              <w:rPr>
                <w:rFonts w:ascii="Book Antiqua" w:eastAsia="Calibri" w:hAnsi="Book Antiqua" w:cs="Arial"/>
              </w:rPr>
              <w:t xml:space="preserve">0.9). Survival </w:t>
            </w:r>
            <w:r w:rsidRPr="00644ED5">
              <w:rPr>
                <w:rFonts w:ascii="Book Antiqua" w:eastAsia="Calibri" w:hAnsi="Book Antiqua" w:cs="Arial"/>
              </w:rPr>
              <w:lastRenderedPageBreak/>
              <w:t>benefit was only found for propranolol doses &lt;</w:t>
            </w:r>
            <w:r w:rsidR="00AA19F5" w:rsidRPr="00644ED5">
              <w:rPr>
                <w:rFonts w:ascii="Book Antiqua" w:hAnsi="Book Antiqua" w:cs="Arial" w:hint="eastAsia"/>
                <w:lang w:eastAsia="zh-CN"/>
              </w:rPr>
              <w:t xml:space="preserve"> </w:t>
            </w:r>
            <w:r w:rsidRPr="00644ED5">
              <w:rPr>
                <w:rFonts w:ascii="Book Antiqua" w:eastAsia="Calibri" w:hAnsi="Book Antiqua" w:cs="Arial"/>
              </w:rPr>
              <w:t>160</w:t>
            </w:r>
            <w:r w:rsidR="00AA19F5" w:rsidRPr="00644ED5">
              <w:rPr>
                <w:rFonts w:ascii="Book Antiqua" w:hAnsi="Book Antiqua" w:cs="Arial" w:hint="eastAsia"/>
                <w:lang w:eastAsia="zh-CN"/>
              </w:rPr>
              <w:t xml:space="preserve"> </w:t>
            </w:r>
            <w:r w:rsidRPr="00644ED5">
              <w:rPr>
                <w:rFonts w:ascii="Book Antiqua" w:eastAsia="Calibri" w:hAnsi="Book Antiqua" w:cs="Arial"/>
              </w:rPr>
              <w:t>mg/d.</w:t>
            </w:r>
          </w:p>
          <w:p w14:paraId="316C0086" w14:textId="3A2C3276" w:rsidR="001A6B28" w:rsidRPr="00644ED5" w:rsidRDefault="001A6B28" w:rsidP="00667231">
            <w:pPr>
              <w:spacing w:line="360" w:lineRule="auto"/>
              <w:rPr>
                <w:rFonts w:ascii="Book Antiqua" w:eastAsia="Calibri" w:hAnsi="Book Antiqua" w:cs="Arial"/>
              </w:rPr>
            </w:pPr>
          </w:p>
        </w:tc>
      </w:tr>
      <w:tr w:rsidR="00BA0FDC" w:rsidRPr="00644ED5" w14:paraId="29EDEBC1" w14:textId="77777777" w:rsidTr="00AA19F5">
        <w:trPr>
          <w:trHeight w:val="1426"/>
        </w:trPr>
        <w:tc>
          <w:tcPr>
            <w:tcW w:w="1668" w:type="dxa"/>
            <w:tcBorders>
              <w:top w:val="single" w:sz="4" w:space="0" w:color="FFFFFF" w:themeColor="background1"/>
              <w:bottom w:val="single" w:sz="4" w:space="0" w:color="FFFFFF" w:themeColor="background1"/>
            </w:tcBorders>
          </w:tcPr>
          <w:p w14:paraId="6099741F" w14:textId="6802293B"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lastRenderedPageBreak/>
              <w:t xml:space="preserve">Kim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[22]</w:t>
            </w:r>
          </w:p>
        </w:tc>
        <w:tc>
          <w:tcPr>
            <w:tcW w:w="1842" w:type="dxa"/>
            <w:tcBorders>
              <w:top w:val="single" w:sz="4" w:space="0" w:color="FFFFFF" w:themeColor="background1"/>
              <w:bottom w:val="single" w:sz="4" w:space="0" w:color="FFFFFF" w:themeColor="background1"/>
            </w:tcBorders>
          </w:tcPr>
          <w:p w14:paraId="7A08A3C6"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Single-centre, retrospective, nested case-control study</w:t>
            </w:r>
          </w:p>
        </w:tc>
        <w:tc>
          <w:tcPr>
            <w:tcW w:w="3261" w:type="dxa"/>
            <w:tcBorders>
              <w:top w:val="single" w:sz="4" w:space="0" w:color="FFFFFF" w:themeColor="background1"/>
              <w:bottom w:val="single" w:sz="4" w:space="0" w:color="FFFFFF" w:themeColor="background1"/>
            </w:tcBorders>
          </w:tcPr>
          <w:p w14:paraId="387FCCF4" w14:textId="0BD4456C"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Cirrhotic patients listed for liver transplantation who developed AKI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 xml:space="preserve">205 patients with AKI matched to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205 patients without AKI)</w:t>
            </w:r>
          </w:p>
          <w:p w14:paraId="19E68762" w14:textId="3804535A"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t>Median follow-up: 18.2 mo (range 1-198 mo)</w:t>
            </w:r>
          </w:p>
        </w:tc>
        <w:tc>
          <w:tcPr>
            <w:tcW w:w="2551" w:type="dxa"/>
            <w:tcBorders>
              <w:top w:val="single" w:sz="4" w:space="0" w:color="FFFFFF" w:themeColor="background1"/>
              <w:bottom w:val="single" w:sz="4" w:space="0" w:color="FFFFFF" w:themeColor="background1"/>
            </w:tcBorders>
          </w:tcPr>
          <w:p w14:paraId="3BE46CCE" w14:textId="2D8E27DA"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Propranolol and nadolol (propranolol equivalent 40</w:t>
            </w:r>
            <w:r w:rsidR="00AA19F5" w:rsidRPr="00644ED5">
              <w:rPr>
                <w:rFonts w:ascii="Book Antiqua" w:hAnsi="Book Antiqua" w:cs="Arial" w:hint="eastAsia"/>
                <w:lang w:eastAsia="zh-CN"/>
              </w:rPr>
              <w:t xml:space="preserve"> </w:t>
            </w:r>
            <w:r w:rsidR="00AA19F5" w:rsidRPr="00644ED5">
              <w:rPr>
                <w:rFonts w:ascii="Book Antiqua" w:eastAsia="Calibri" w:hAnsi="Book Antiqua" w:cs="Arial"/>
              </w:rPr>
              <w:t>mg per day, IQR 30.0–</w:t>
            </w:r>
            <w:r w:rsidRPr="00644ED5">
              <w:rPr>
                <w:rFonts w:ascii="Book Antiqua" w:eastAsia="Calibri" w:hAnsi="Book Antiqua" w:cs="Arial"/>
              </w:rPr>
              <w:t>60.0</w:t>
            </w:r>
            <w:r w:rsidR="00AA19F5" w:rsidRPr="00644ED5">
              <w:rPr>
                <w:rFonts w:ascii="Book Antiqua" w:hAnsi="Book Antiqua" w:cs="Arial" w:hint="eastAsia"/>
                <w:lang w:eastAsia="zh-CN"/>
              </w:rPr>
              <w:t xml:space="preserve"> </w:t>
            </w:r>
            <w:r w:rsidRPr="00644ED5">
              <w:rPr>
                <w:rFonts w:ascii="Book Antiqua" w:eastAsia="Calibri" w:hAnsi="Book Antiqua" w:cs="Arial"/>
              </w:rPr>
              <w:t>mg)</w:t>
            </w:r>
          </w:p>
        </w:tc>
        <w:tc>
          <w:tcPr>
            <w:tcW w:w="4971" w:type="dxa"/>
            <w:tcBorders>
              <w:top w:val="single" w:sz="4" w:space="0" w:color="FFFFFF" w:themeColor="background1"/>
              <w:bottom w:val="single" w:sz="4" w:space="0" w:color="FFFFFF" w:themeColor="background1"/>
            </w:tcBorders>
          </w:tcPr>
          <w:p w14:paraId="452EE923" w14:textId="7D3A88F1"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patients with ascites: NSBB use was associated with an increased risk</w:t>
            </w:r>
            <w:r w:rsidR="00AA19F5" w:rsidRPr="00644ED5">
              <w:rPr>
                <w:rFonts w:ascii="Book Antiqua" w:eastAsia="Calibri" w:hAnsi="Book Antiqua" w:cs="Arial"/>
              </w:rPr>
              <w:t xml:space="preserve"> of AKI (HR 3.31, 95% CI 1.57</w:t>
            </w:r>
            <w:r w:rsidR="00AA19F5" w:rsidRPr="00644ED5">
              <w:rPr>
                <w:rFonts w:ascii="Book Antiqua" w:hAnsi="Book Antiqua" w:cs="Arial" w:hint="eastAsia"/>
                <w:lang w:eastAsia="zh-CN"/>
              </w:rPr>
              <w:t>-</w:t>
            </w:r>
            <w:r w:rsidRPr="00644ED5">
              <w:rPr>
                <w:rFonts w:ascii="Book Antiqua" w:eastAsia="Calibri" w:hAnsi="Book Antiqua" w:cs="Arial"/>
              </w:rPr>
              <w:t>6.95)</w:t>
            </w:r>
          </w:p>
          <w:p w14:paraId="33B2B670"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patients without ascites:</w:t>
            </w:r>
          </w:p>
          <w:p w14:paraId="72AA5FEB" w14:textId="1AAFE008"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NSBB use was associated with a reduced risk</w:t>
            </w:r>
            <w:r w:rsidR="00AA19F5" w:rsidRPr="00644ED5">
              <w:rPr>
                <w:rFonts w:ascii="Book Antiqua" w:eastAsia="Calibri" w:hAnsi="Book Antiqua" w:cs="Arial"/>
              </w:rPr>
              <w:t xml:space="preserve"> of AKI (HR 0.19, 95% CI 0.06</w:t>
            </w:r>
            <w:r w:rsidR="00AA19F5" w:rsidRPr="00644ED5">
              <w:rPr>
                <w:rFonts w:ascii="Book Antiqua" w:hAnsi="Book Antiqua" w:cs="Arial" w:hint="eastAsia"/>
                <w:lang w:eastAsia="zh-CN"/>
              </w:rPr>
              <w:t>-</w:t>
            </w:r>
            <w:r w:rsidRPr="00644ED5">
              <w:rPr>
                <w:rFonts w:ascii="Book Antiqua" w:eastAsia="Calibri" w:hAnsi="Book Antiqua" w:cs="Arial"/>
              </w:rPr>
              <w:t>0.60)</w:t>
            </w:r>
          </w:p>
          <w:p w14:paraId="6A0DAE8B" w14:textId="582DDDFF" w:rsidR="001A6B28" w:rsidRPr="00644ED5" w:rsidRDefault="001A6B28" w:rsidP="00667231">
            <w:pPr>
              <w:spacing w:line="360" w:lineRule="auto"/>
              <w:rPr>
                <w:rFonts w:ascii="Book Antiqua" w:eastAsia="Calibri" w:hAnsi="Book Antiqua" w:cs="Arial"/>
              </w:rPr>
            </w:pPr>
          </w:p>
        </w:tc>
      </w:tr>
      <w:tr w:rsidR="00BA0FDC" w:rsidRPr="00644ED5" w14:paraId="7B0BF5BB" w14:textId="77777777" w:rsidTr="00AA19F5">
        <w:trPr>
          <w:trHeight w:val="1426"/>
        </w:trPr>
        <w:tc>
          <w:tcPr>
            <w:tcW w:w="1668" w:type="dxa"/>
            <w:tcBorders>
              <w:top w:val="single" w:sz="4" w:space="0" w:color="FFFFFF" w:themeColor="background1"/>
              <w:bottom w:val="single" w:sz="4" w:space="0" w:color="FFFFFF" w:themeColor="background1"/>
            </w:tcBorders>
          </w:tcPr>
          <w:p w14:paraId="277A1C1D" w14:textId="630C4059"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t xml:space="preserve">Bossen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[23]</w:t>
            </w:r>
          </w:p>
        </w:tc>
        <w:tc>
          <w:tcPr>
            <w:tcW w:w="1842" w:type="dxa"/>
            <w:tcBorders>
              <w:top w:val="single" w:sz="4" w:space="0" w:color="FFFFFF" w:themeColor="background1"/>
              <w:bottom w:val="single" w:sz="4" w:space="0" w:color="FFFFFF" w:themeColor="background1"/>
            </w:tcBorders>
          </w:tcPr>
          <w:p w14:paraId="12954593"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Post-hoc observational analysis of three multicentre RCTs (satavaptan vs placebo)</w:t>
            </w:r>
          </w:p>
        </w:tc>
        <w:tc>
          <w:tcPr>
            <w:tcW w:w="3261" w:type="dxa"/>
            <w:tcBorders>
              <w:top w:val="single" w:sz="4" w:space="0" w:color="FFFFFF" w:themeColor="background1"/>
              <w:bottom w:val="single" w:sz="4" w:space="0" w:color="FFFFFF" w:themeColor="background1"/>
            </w:tcBorders>
          </w:tcPr>
          <w:p w14:paraId="039AE55C" w14:textId="4A77480D"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Cirrhotic patients with diuretic-responsive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600) and refractory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588) ascites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 xml:space="preserve">559 NSBB users,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629 non-users)</w:t>
            </w:r>
          </w:p>
        </w:tc>
        <w:tc>
          <w:tcPr>
            <w:tcW w:w="2551" w:type="dxa"/>
            <w:tcBorders>
              <w:top w:val="single" w:sz="4" w:space="0" w:color="FFFFFF" w:themeColor="background1"/>
              <w:bottom w:val="single" w:sz="4" w:space="0" w:color="FFFFFF" w:themeColor="background1"/>
            </w:tcBorders>
          </w:tcPr>
          <w:p w14:paraId="685D9C70"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Propranolol and carvedilol (doses not specified)</w:t>
            </w:r>
          </w:p>
        </w:tc>
        <w:tc>
          <w:tcPr>
            <w:tcW w:w="4971" w:type="dxa"/>
            <w:tcBorders>
              <w:top w:val="single" w:sz="4" w:space="0" w:color="FFFFFF" w:themeColor="background1"/>
              <w:bottom w:val="single" w:sz="4" w:space="0" w:color="FFFFFF" w:themeColor="background1"/>
            </w:tcBorders>
          </w:tcPr>
          <w:p w14:paraId="6A47605B" w14:textId="028AFE52"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At 52-wk follow-up:</w:t>
            </w:r>
          </w:p>
          <w:p w14:paraId="4F4883EF" w14:textId="75354103"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patients with refractory ascites, the cumulative mortality in NSBB users was 30.5% compared to 30.9% in no</w:t>
            </w:r>
            <w:r w:rsidR="00AA19F5" w:rsidRPr="00644ED5">
              <w:rPr>
                <w:rFonts w:ascii="Book Antiqua" w:eastAsia="Calibri" w:hAnsi="Book Antiqua" w:cs="Arial"/>
              </w:rPr>
              <w:t>n-users (HR 1.02, 95% CI 0.74</w:t>
            </w:r>
            <w:r w:rsidR="00AA19F5" w:rsidRPr="00644ED5">
              <w:rPr>
                <w:rFonts w:ascii="Book Antiqua" w:hAnsi="Book Antiqua" w:cs="Arial" w:hint="eastAsia"/>
                <w:lang w:eastAsia="zh-CN"/>
              </w:rPr>
              <w:t>-</w:t>
            </w:r>
            <w:r w:rsidRPr="00644ED5">
              <w:rPr>
                <w:rFonts w:ascii="Book Antiqua" w:eastAsia="Calibri" w:hAnsi="Book Antiqua" w:cs="Arial"/>
              </w:rPr>
              <w:t>1.39).</w:t>
            </w:r>
          </w:p>
          <w:p w14:paraId="2BFA51D9" w14:textId="3B50A25C"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patients with diuretic-responsive ascites, the cumulative mortality in NSBB users was 17.0% compared to 19.5% in no</w:t>
            </w:r>
            <w:r w:rsidR="00AA19F5" w:rsidRPr="00644ED5">
              <w:rPr>
                <w:rFonts w:ascii="Book Antiqua" w:eastAsia="Calibri" w:hAnsi="Book Antiqua" w:cs="Arial"/>
              </w:rPr>
              <w:t xml:space="preserve">n-users (HR </w:t>
            </w:r>
            <w:r w:rsidR="00AA19F5" w:rsidRPr="00644ED5">
              <w:rPr>
                <w:rFonts w:ascii="Book Antiqua" w:eastAsia="Calibri" w:hAnsi="Book Antiqua" w:cs="Arial"/>
              </w:rPr>
              <w:lastRenderedPageBreak/>
              <w:t>0.78, 95% CI 0.53</w:t>
            </w:r>
            <w:r w:rsidR="00AA19F5" w:rsidRPr="00644ED5">
              <w:rPr>
                <w:rFonts w:ascii="Book Antiqua" w:hAnsi="Book Antiqua" w:cs="Arial" w:hint="eastAsia"/>
                <w:lang w:eastAsia="zh-CN"/>
              </w:rPr>
              <w:t>-</w:t>
            </w:r>
            <w:r w:rsidRPr="00644ED5">
              <w:rPr>
                <w:rFonts w:ascii="Book Antiqua" w:eastAsia="Calibri" w:hAnsi="Book Antiqua" w:cs="Arial"/>
              </w:rPr>
              <w:t>1.16)</w:t>
            </w:r>
          </w:p>
          <w:p w14:paraId="3D22CC7F" w14:textId="77777777" w:rsidR="001A6B28" w:rsidRPr="00644ED5" w:rsidRDefault="001A6B28" w:rsidP="00667231">
            <w:pPr>
              <w:spacing w:line="360" w:lineRule="auto"/>
              <w:rPr>
                <w:rFonts w:ascii="Book Antiqua" w:eastAsia="Calibri" w:hAnsi="Book Antiqua" w:cs="Arial"/>
              </w:rPr>
            </w:pPr>
          </w:p>
        </w:tc>
      </w:tr>
      <w:tr w:rsidR="00BA0FDC" w:rsidRPr="00644ED5" w14:paraId="61056592" w14:textId="77777777" w:rsidTr="00256678">
        <w:trPr>
          <w:trHeight w:val="1426"/>
        </w:trPr>
        <w:tc>
          <w:tcPr>
            <w:tcW w:w="1668" w:type="dxa"/>
            <w:tcBorders>
              <w:top w:val="single" w:sz="4" w:space="0" w:color="FFFFFF" w:themeColor="background1"/>
              <w:bottom w:val="single" w:sz="4" w:space="0" w:color="FFFFFF" w:themeColor="background1"/>
            </w:tcBorders>
          </w:tcPr>
          <w:p w14:paraId="14DEFFB9" w14:textId="3FBB3470"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lastRenderedPageBreak/>
              <w:t xml:space="preserve">Leithead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[24]</w:t>
            </w:r>
          </w:p>
        </w:tc>
        <w:tc>
          <w:tcPr>
            <w:tcW w:w="1842" w:type="dxa"/>
            <w:tcBorders>
              <w:top w:val="single" w:sz="4" w:space="0" w:color="FFFFFF" w:themeColor="background1"/>
              <w:bottom w:val="single" w:sz="4" w:space="0" w:color="FFFFFF" w:themeColor="background1"/>
            </w:tcBorders>
          </w:tcPr>
          <w:p w14:paraId="4A050831"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Single-centre, retrospective, propensity-adjusted, observational study</w:t>
            </w:r>
          </w:p>
        </w:tc>
        <w:tc>
          <w:tcPr>
            <w:tcW w:w="3261" w:type="dxa"/>
            <w:tcBorders>
              <w:top w:val="single" w:sz="4" w:space="0" w:color="FFFFFF" w:themeColor="background1"/>
              <w:bottom w:val="single" w:sz="4" w:space="0" w:color="FFFFFF" w:themeColor="background1"/>
            </w:tcBorders>
          </w:tcPr>
          <w:p w14:paraId="3E180B2E" w14:textId="7FD2AB35"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Consecutive cirrhotic patients with ascites listed for liver transplantation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 xml:space="preserve">105 NSBB users matched to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105 non-users)</w:t>
            </w:r>
          </w:p>
          <w:p w14:paraId="3B71B336" w14:textId="47F4F19F"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t>Median follow-up: 72 d (IQR 27-162 d)</w:t>
            </w:r>
          </w:p>
        </w:tc>
        <w:tc>
          <w:tcPr>
            <w:tcW w:w="2551" w:type="dxa"/>
            <w:tcBorders>
              <w:top w:val="single" w:sz="4" w:space="0" w:color="FFFFFF" w:themeColor="background1"/>
              <w:bottom w:val="single" w:sz="4" w:space="0" w:color="FFFFFF" w:themeColor="background1"/>
            </w:tcBorders>
          </w:tcPr>
          <w:p w14:paraId="13F4EDBF" w14:textId="08241EE0"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Propranolol (median dose 80mg per day, range 10-240</w:t>
            </w:r>
            <w:r w:rsidR="00AA19F5" w:rsidRPr="00644ED5">
              <w:rPr>
                <w:rFonts w:ascii="Book Antiqua" w:hAnsi="Book Antiqua" w:cs="Arial" w:hint="eastAsia"/>
                <w:lang w:eastAsia="zh-CN"/>
              </w:rPr>
              <w:t xml:space="preserve"> </w:t>
            </w:r>
            <w:r w:rsidRPr="00644ED5">
              <w:rPr>
                <w:rFonts w:ascii="Book Antiqua" w:eastAsia="Calibri" w:hAnsi="Book Antiqua" w:cs="Arial"/>
              </w:rPr>
              <w:t>mg); Carvedilol (median dose 6.25</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 range 3.125-12.5)</w:t>
            </w:r>
          </w:p>
        </w:tc>
        <w:tc>
          <w:tcPr>
            <w:tcW w:w="4971" w:type="dxa"/>
            <w:tcBorders>
              <w:top w:val="single" w:sz="4" w:space="0" w:color="FFFFFF" w:themeColor="background1"/>
              <w:bottom w:val="single" w:sz="4" w:space="0" w:color="FFFFFF" w:themeColor="background1"/>
            </w:tcBorders>
          </w:tcPr>
          <w:p w14:paraId="365164AC"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 xml:space="preserve">In patients with diuretic-responsive ascites: </w:t>
            </w:r>
          </w:p>
          <w:p w14:paraId="6B8FDB5F" w14:textId="0AE4D455"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NSBB users showed lower waitlist mortality compared to non-users (HR 0.55, 95% CI 0.32</w:t>
            </w:r>
            <w:r w:rsidR="00AA19F5" w:rsidRPr="00644ED5">
              <w:rPr>
                <w:rFonts w:ascii="Book Antiqua" w:hAnsi="Book Antiqua" w:cs="Arial" w:hint="eastAsia"/>
                <w:lang w:eastAsia="zh-CN"/>
              </w:rPr>
              <w:t>-</w:t>
            </w:r>
            <w:r w:rsidRPr="00644ED5">
              <w:rPr>
                <w:rFonts w:ascii="Book Antiqua" w:eastAsia="Calibri" w:hAnsi="Book Antiqua" w:cs="Arial"/>
              </w:rPr>
              <w:t>0.95)</w:t>
            </w:r>
          </w:p>
          <w:p w14:paraId="08DFB0E5"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 xml:space="preserve">In patients with refractory ascites: </w:t>
            </w:r>
          </w:p>
          <w:p w14:paraId="0468CFEC" w14:textId="7D87485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NSBB users showed lower waitlist mortality compared to non-users (HR 0.35, 95% CI 0.14</w:t>
            </w:r>
            <w:r w:rsidR="00AA19F5" w:rsidRPr="00644ED5">
              <w:rPr>
                <w:rFonts w:ascii="Book Antiqua" w:hAnsi="Book Antiqua" w:cs="Arial" w:hint="eastAsia"/>
                <w:lang w:eastAsia="zh-CN"/>
              </w:rPr>
              <w:t>-</w:t>
            </w:r>
            <w:r w:rsidRPr="00644ED5">
              <w:rPr>
                <w:rFonts w:ascii="Book Antiqua" w:eastAsia="Calibri" w:hAnsi="Book Antiqua" w:cs="Arial"/>
              </w:rPr>
              <w:t>0.85)</w:t>
            </w:r>
          </w:p>
          <w:p w14:paraId="0891EB88" w14:textId="0D7DF69B" w:rsidR="001A6B28" w:rsidRPr="00644ED5" w:rsidRDefault="001A6B28" w:rsidP="00667231">
            <w:pPr>
              <w:spacing w:line="360" w:lineRule="auto"/>
              <w:rPr>
                <w:rFonts w:ascii="Book Antiqua" w:eastAsia="Calibri" w:hAnsi="Book Antiqua" w:cs="Arial"/>
              </w:rPr>
            </w:pPr>
          </w:p>
        </w:tc>
      </w:tr>
      <w:tr w:rsidR="00BA0FDC" w:rsidRPr="00644ED5" w14:paraId="0681E22D" w14:textId="77777777" w:rsidTr="00256678">
        <w:trPr>
          <w:trHeight w:val="1426"/>
        </w:trPr>
        <w:tc>
          <w:tcPr>
            <w:tcW w:w="1668" w:type="dxa"/>
            <w:tcBorders>
              <w:top w:val="single" w:sz="4" w:space="0" w:color="FFFFFF" w:themeColor="background1"/>
              <w:bottom w:val="single" w:sz="4" w:space="0" w:color="auto"/>
            </w:tcBorders>
          </w:tcPr>
          <w:p w14:paraId="27166F7A" w14:textId="303ACC40" w:rsidR="001A6B28" w:rsidRPr="00644ED5" w:rsidRDefault="001A6B28" w:rsidP="00AA19F5">
            <w:pPr>
              <w:spacing w:line="360" w:lineRule="auto"/>
              <w:rPr>
                <w:rFonts w:ascii="Book Antiqua" w:eastAsia="Calibri" w:hAnsi="Book Antiqua" w:cs="Arial"/>
              </w:rPr>
            </w:pPr>
            <w:r w:rsidRPr="00644ED5">
              <w:rPr>
                <w:rFonts w:ascii="Book Antiqua" w:eastAsia="Calibri" w:hAnsi="Book Antiqua" w:cs="Arial"/>
              </w:rPr>
              <w:t xml:space="preserve">Onali </w:t>
            </w:r>
            <w:r w:rsidR="00AA19F5" w:rsidRPr="00644ED5">
              <w:rPr>
                <w:rFonts w:ascii="Book Antiqua" w:hAnsi="Book Antiqua" w:cs="Arial" w:hint="eastAsia"/>
                <w:i/>
                <w:lang w:eastAsia="zh-CN"/>
              </w:rPr>
              <w:t>et al</w:t>
            </w:r>
            <w:r w:rsidR="00BA0FDC" w:rsidRPr="00644ED5">
              <w:rPr>
                <w:rFonts w:ascii="Book Antiqua" w:eastAsia="Calibri" w:hAnsi="Book Antiqua" w:cs="Arial"/>
                <w:vertAlign w:val="superscript"/>
              </w:rPr>
              <w:t>[25]</w:t>
            </w:r>
          </w:p>
        </w:tc>
        <w:tc>
          <w:tcPr>
            <w:tcW w:w="1842" w:type="dxa"/>
            <w:tcBorders>
              <w:top w:val="single" w:sz="4" w:space="0" w:color="FFFFFF" w:themeColor="background1"/>
              <w:bottom w:val="single" w:sz="4" w:space="0" w:color="auto"/>
            </w:tcBorders>
          </w:tcPr>
          <w:p w14:paraId="22BF6234" w14:textId="77777777"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Single-centre, retrospective audit</w:t>
            </w:r>
          </w:p>
        </w:tc>
        <w:tc>
          <w:tcPr>
            <w:tcW w:w="3261" w:type="dxa"/>
            <w:tcBorders>
              <w:top w:val="single" w:sz="4" w:space="0" w:color="FFFFFF" w:themeColor="background1"/>
              <w:bottom w:val="single" w:sz="4" w:space="0" w:color="auto"/>
            </w:tcBorders>
          </w:tcPr>
          <w:p w14:paraId="2327384A" w14:textId="1B1D7A39"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Consecutive cirrhotic patients with ascites assessed for liver transplant suitability (</w:t>
            </w:r>
            <w:r w:rsidRPr="00644ED5">
              <w:rPr>
                <w:rFonts w:ascii="Book Antiqua" w:eastAsia="Calibri" w:hAnsi="Book Antiqua" w:cs="Arial"/>
                <w:i/>
              </w:rPr>
              <w:t>n</w:t>
            </w:r>
            <w:r w:rsidR="00AA19F5" w:rsidRPr="00644ED5">
              <w:rPr>
                <w:rFonts w:ascii="Book Antiqua" w:hAnsi="Book Antiqua" w:cs="Arial" w:hint="eastAsia"/>
                <w:lang w:eastAsia="zh-CN"/>
              </w:rPr>
              <w:t xml:space="preserve"> </w:t>
            </w:r>
            <w:r w:rsidRPr="00644ED5">
              <w:rPr>
                <w:rFonts w:ascii="Book Antiqua" w:eastAsia="Calibri" w:hAnsi="Book Antiqua" w:cs="Arial"/>
              </w:rPr>
              <w:t>=</w:t>
            </w:r>
            <w:r w:rsidR="00AA19F5" w:rsidRPr="00644ED5">
              <w:rPr>
                <w:rFonts w:ascii="Book Antiqua" w:hAnsi="Book Antiqua" w:cs="Arial" w:hint="eastAsia"/>
                <w:lang w:eastAsia="zh-CN"/>
              </w:rPr>
              <w:t xml:space="preserve"> </w:t>
            </w:r>
            <w:r w:rsidRPr="00644ED5">
              <w:rPr>
                <w:rFonts w:ascii="Book Antiqua" w:eastAsia="Calibri" w:hAnsi="Book Antiqua" w:cs="Arial"/>
              </w:rPr>
              <w:t>316, median MELD score 15, range 6-40)</w:t>
            </w:r>
          </w:p>
          <w:p w14:paraId="32A728BB" w14:textId="7C1D6FA8" w:rsidR="001A6B28" w:rsidRPr="00644ED5" w:rsidRDefault="001A6B28" w:rsidP="00256678">
            <w:pPr>
              <w:spacing w:line="360" w:lineRule="auto"/>
              <w:rPr>
                <w:rFonts w:ascii="Book Antiqua" w:eastAsia="Calibri" w:hAnsi="Book Antiqua" w:cs="Arial"/>
              </w:rPr>
            </w:pPr>
            <w:r w:rsidRPr="00644ED5">
              <w:rPr>
                <w:rFonts w:ascii="Book Antiqua" w:eastAsia="Calibri" w:hAnsi="Book Antiqua" w:cs="Arial"/>
              </w:rPr>
              <w:t>Median follow-up: 7 mo (±</w:t>
            </w:r>
            <w:r w:rsidR="00AA19F5" w:rsidRPr="00644ED5">
              <w:rPr>
                <w:rFonts w:ascii="Book Antiqua" w:hAnsi="Book Antiqua" w:cs="Arial" w:hint="eastAsia"/>
                <w:lang w:eastAsia="zh-CN"/>
              </w:rPr>
              <w:t xml:space="preserve"> </w:t>
            </w:r>
            <w:r w:rsidRPr="00644ED5">
              <w:rPr>
                <w:rFonts w:ascii="Book Antiqua" w:eastAsia="Calibri" w:hAnsi="Book Antiqua" w:cs="Arial"/>
              </w:rPr>
              <w:t>12)</w:t>
            </w:r>
          </w:p>
        </w:tc>
        <w:tc>
          <w:tcPr>
            <w:tcW w:w="2551" w:type="dxa"/>
            <w:tcBorders>
              <w:top w:val="single" w:sz="4" w:space="0" w:color="FFFFFF" w:themeColor="background1"/>
              <w:bottom w:val="single" w:sz="4" w:space="0" w:color="auto"/>
            </w:tcBorders>
          </w:tcPr>
          <w:p w14:paraId="51D24A1A" w14:textId="477FBC5E"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Propranolol (median dose 80</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 IQR 40); Carvedilol (median dose 6.25</w:t>
            </w:r>
            <w:r w:rsidR="00AA19F5" w:rsidRPr="00644ED5">
              <w:rPr>
                <w:rFonts w:ascii="Book Antiqua" w:hAnsi="Book Antiqua" w:cs="Arial" w:hint="eastAsia"/>
                <w:lang w:eastAsia="zh-CN"/>
              </w:rPr>
              <w:t xml:space="preserve"> </w:t>
            </w:r>
            <w:r w:rsidRPr="00644ED5">
              <w:rPr>
                <w:rFonts w:ascii="Book Antiqua" w:eastAsia="Calibri" w:hAnsi="Book Antiqua" w:cs="Arial"/>
              </w:rPr>
              <w:t>mg per day, IQR not specified)</w:t>
            </w:r>
          </w:p>
        </w:tc>
        <w:tc>
          <w:tcPr>
            <w:tcW w:w="4971" w:type="dxa"/>
            <w:tcBorders>
              <w:top w:val="single" w:sz="4" w:space="0" w:color="FFFFFF" w:themeColor="background1"/>
              <w:bottom w:val="single" w:sz="4" w:space="0" w:color="auto"/>
            </w:tcBorders>
          </w:tcPr>
          <w:p w14:paraId="0B719BD1" w14:textId="78C5634F" w:rsidR="001A6B28"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the whole population, NSBB use was associated with lower mo</w:t>
            </w:r>
            <w:r w:rsidR="00AA19F5" w:rsidRPr="00644ED5">
              <w:rPr>
                <w:rFonts w:ascii="Book Antiqua" w:eastAsia="Calibri" w:hAnsi="Book Antiqua" w:cs="Arial"/>
              </w:rPr>
              <w:t>rtality (HR 0.55, 95% CI 0.33</w:t>
            </w:r>
            <w:r w:rsidR="00AA19F5" w:rsidRPr="00644ED5">
              <w:rPr>
                <w:rFonts w:ascii="Book Antiqua" w:hAnsi="Book Antiqua" w:cs="Arial" w:hint="eastAsia"/>
                <w:lang w:eastAsia="zh-CN"/>
              </w:rPr>
              <w:t>-</w:t>
            </w:r>
            <w:r w:rsidRPr="00644ED5">
              <w:rPr>
                <w:rFonts w:ascii="Book Antiqua" w:eastAsia="Calibri" w:hAnsi="Book Antiqua" w:cs="Arial"/>
              </w:rPr>
              <w:t xml:space="preserve">0.94). </w:t>
            </w:r>
          </w:p>
          <w:p w14:paraId="207368A2" w14:textId="79370A80" w:rsidR="0066271A" w:rsidRPr="00644ED5" w:rsidRDefault="001A6B28" w:rsidP="00667231">
            <w:pPr>
              <w:spacing w:line="360" w:lineRule="auto"/>
              <w:rPr>
                <w:rFonts w:ascii="Book Antiqua" w:eastAsia="Calibri" w:hAnsi="Book Antiqua" w:cs="Arial"/>
              </w:rPr>
            </w:pPr>
            <w:r w:rsidRPr="00644ED5">
              <w:rPr>
                <w:rFonts w:ascii="Book Antiqua" w:eastAsia="Calibri" w:hAnsi="Book Antiqua" w:cs="Arial"/>
              </w:rPr>
              <w:t>In patients with refractory ascites, there was no difference in survival in NSBB users compared to no</w:t>
            </w:r>
            <w:r w:rsidR="00AA19F5" w:rsidRPr="00644ED5">
              <w:rPr>
                <w:rFonts w:ascii="Book Antiqua" w:eastAsia="Calibri" w:hAnsi="Book Antiqua" w:cs="Arial"/>
              </w:rPr>
              <w:t>n-users (HR 0.43, 95% CI 0.20</w:t>
            </w:r>
            <w:r w:rsidR="00AA19F5" w:rsidRPr="00644ED5">
              <w:rPr>
                <w:rFonts w:ascii="Book Antiqua" w:hAnsi="Book Antiqua" w:cs="Arial" w:hint="eastAsia"/>
                <w:lang w:eastAsia="zh-CN"/>
              </w:rPr>
              <w:t>-</w:t>
            </w:r>
            <w:r w:rsidRPr="00644ED5">
              <w:rPr>
                <w:rFonts w:ascii="Book Antiqua" w:eastAsia="Calibri" w:hAnsi="Book Antiqua" w:cs="Arial"/>
              </w:rPr>
              <w:t>1.11)</w:t>
            </w:r>
          </w:p>
        </w:tc>
      </w:tr>
    </w:tbl>
    <w:p w14:paraId="3B8FFC06" w14:textId="731F4F77" w:rsidR="00AA19F5" w:rsidRPr="00644ED5" w:rsidRDefault="00AA19F5" w:rsidP="00AA19F5">
      <w:pPr>
        <w:spacing w:line="360" w:lineRule="auto"/>
        <w:rPr>
          <w:rFonts w:ascii="Book Antiqua" w:hAnsi="Book Antiqua" w:cs="Arial"/>
          <w:lang w:eastAsia="zh-CN"/>
        </w:rPr>
      </w:pPr>
      <w:r w:rsidRPr="00644ED5">
        <w:rPr>
          <w:rFonts w:ascii="Book Antiqua" w:hAnsi="Book Antiqua" w:cs="Arial"/>
        </w:rPr>
        <w:lastRenderedPageBreak/>
        <w:t>AKI</w:t>
      </w:r>
      <w:r w:rsidRPr="00644ED5">
        <w:rPr>
          <w:rFonts w:ascii="Book Antiqua" w:hAnsi="Book Antiqua" w:cs="Arial" w:hint="eastAsia"/>
          <w:lang w:eastAsia="zh-CN"/>
        </w:rPr>
        <w:t xml:space="preserve">: </w:t>
      </w:r>
      <w:r w:rsidRPr="00644ED5">
        <w:rPr>
          <w:rFonts w:ascii="Book Antiqua" w:hAnsi="Book Antiqua" w:cs="Arial"/>
        </w:rPr>
        <w:t>Acute kidney injury; CI</w:t>
      </w:r>
      <w:r w:rsidRPr="00644ED5">
        <w:rPr>
          <w:rFonts w:ascii="Book Antiqua" w:hAnsi="Book Antiqua" w:cs="Arial" w:hint="eastAsia"/>
          <w:lang w:eastAsia="zh-CN"/>
        </w:rPr>
        <w:t xml:space="preserve">: </w:t>
      </w:r>
      <w:r w:rsidRPr="00644ED5">
        <w:rPr>
          <w:rFonts w:ascii="Book Antiqua" w:hAnsi="Book Antiqua" w:cs="Arial"/>
        </w:rPr>
        <w:t>Confidence interval; HR</w:t>
      </w:r>
      <w:r w:rsidRPr="00644ED5">
        <w:rPr>
          <w:rFonts w:ascii="Book Antiqua" w:hAnsi="Book Antiqua" w:cs="Arial" w:hint="eastAsia"/>
          <w:lang w:eastAsia="zh-CN"/>
        </w:rPr>
        <w:t xml:space="preserve">: </w:t>
      </w:r>
      <w:r w:rsidRPr="00644ED5">
        <w:rPr>
          <w:rFonts w:ascii="Book Antiqua" w:hAnsi="Book Antiqua" w:cs="Arial"/>
        </w:rPr>
        <w:t>Hazard ratio; HRS</w:t>
      </w:r>
      <w:r w:rsidRPr="00644ED5">
        <w:rPr>
          <w:rFonts w:ascii="Book Antiqua" w:hAnsi="Book Antiqua" w:cs="Arial" w:hint="eastAsia"/>
          <w:lang w:eastAsia="zh-CN"/>
        </w:rPr>
        <w:t xml:space="preserve">: </w:t>
      </w:r>
      <w:r w:rsidRPr="00644ED5">
        <w:rPr>
          <w:rFonts w:ascii="Book Antiqua" w:hAnsi="Book Antiqua" w:cs="Arial"/>
        </w:rPr>
        <w:t>Hepatorenal syndrome; IQR</w:t>
      </w:r>
      <w:r w:rsidRPr="00644ED5">
        <w:rPr>
          <w:rFonts w:ascii="Book Antiqua" w:hAnsi="Book Antiqua" w:cs="Arial" w:hint="eastAsia"/>
          <w:lang w:eastAsia="zh-CN"/>
        </w:rPr>
        <w:t xml:space="preserve">: </w:t>
      </w:r>
      <w:r w:rsidRPr="00644ED5">
        <w:rPr>
          <w:rFonts w:ascii="Book Antiqua" w:hAnsi="Book Antiqua" w:cs="Arial"/>
        </w:rPr>
        <w:t>Interquartile range; IV</w:t>
      </w:r>
      <w:r w:rsidRPr="00644ED5">
        <w:rPr>
          <w:rFonts w:ascii="Book Antiqua" w:hAnsi="Book Antiqua" w:cs="Arial" w:hint="eastAsia"/>
          <w:lang w:eastAsia="zh-CN"/>
        </w:rPr>
        <w:t xml:space="preserve">: </w:t>
      </w:r>
      <w:r w:rsidRPr="00644ED5">
        <w:rPr>
          <w:rFonts w:ascii="Book Antiqua" w:hAnsi="Book Antiqua" w:cs="Arial"/>
        </w:rPr>
        <w:t>Intravenous; MELD</w:t>
      </w:r>
      <w:r w:rsidRPr="00644ED5">
        <w:rPr>
          <w:rFonts w:ascii="Book Antiqua" w:hAnsi="Book Antiqua" w:cs="Arial" w:hint="eastAsia"/>
          <w:lang w:eastAsia="zh-CN"/>
        </w:rPr>
        <w:t xml:space="preserve">: </w:t>
      </w:r>
      <w:r w:rsidRPr="00644ED5">
        <w:rPr>
          <w:rFonts w:ascii="Book Antiqua" w:hAnsi="Book Antiqua" w:cs="Arial"/>
        </w:rPr>
        <w:t>Model for end stage liver disease; NSBB</w:t>
      </w:r>
      <w:r w:rsidRPr="00644ED5">
        <w:rPr>
          <w:rFonts w:ascii="Book Antiqua" w:hAnsi="Book Antiqua" w:cs="Arial" w:hint="eastAsia"/>
          <w:lang w:eastAsia="zh-CN"/>
        </w:rPr>
        <w:t xml:space="preserve">: </w:t>
      </w:r>
      <w:r w:rsidRPr="00644ED5">
        <w:rPr>
          <w:rFonts w:ascii="Book Antiqua" w:hAnsi="Book Antiqua" w:cs="Arial"/>
        </w:rPr>
        <w:t>Non-selective beta-blocker; RCT</w:t>
      </w:r>
      <w:r w:rsidRPr="00644ED5">
        <w:rPr>
          <w:rFonts w:ascii="Book Antiqua" w:hAnsi="Book Antiqua" w:cs="Arial" w:hint="eastAsia"/>
          <w:lang w:eastAsia="zh-CN"/>
        </w:rPr>
        <w:t xml:space="preserve">: </w:t>
      </w:r>
      <w:r w:rsidRPr="00644ED5">
        <w:rPr>
          <w:rFonts w:ascii="Book Antiqua" w:hAnsi="Book Antiqua" w:cs="Arial"/>
        </w:rPr>
        <w:t>Randomised controlled trial; SBP</w:t>
      </w:r>
      <w:r w:rsidRPr="00644ED5">
        <w:rPr>
          <w:rFonts w:ascii="Book Antiqua" w:hAnsi="Book Antiqua" w:cs="Arial" w:hint="eastAsia"/>
          <w:lang w:eastAsia="zh-CN"/>
        </w:rPr>
        <w:t xml:space="preserve">: </w:t>
      </w:r>
      <w:r w:rsidRPr="00644ED5">
        <w:rPr>
          <w:rFonts w:ascii="Book Antiqua" w:hAnsi="Book Antiqua" w:cs="Arial"/>
        </w:rPr>
        <w:t>Spontaneous bacterial peritonitis</w:t>
      </w:r>
      <w:r w:rsidR="00256678" w:rsidRPr="00644ED5">
        <w:rPr>
          <w:rFonts w:ascii="Book Antiqua" w:hAnsi="Book Antiqua" w:cs="Arial" w:hint="eastAsia"/>
          <w:lang w:eastAsia="zh-CN"/>
        </w:rPr>
        <w:t>.</w:t>
      </w:r>
    </w:p>
    <w:p w14:paraId="36B33BDC" w14:textId="77777777" w:rsidR="00380951" w:rsidRPr="00644ED5" w:rsidRDefault="00380951" w:rsidP="00667231">
      <w:pPr>
        <w:spacing w:line="360" w:lineRule="auto"/>
        <w:rPr>
          <w:rFonts w:ascii="Book Antiqua" w:hAnsi="Book Antiqua"/>
        </w:rPr>
      </w:pPr>
    </w:p>
    <w:p w14:paraId="6947AE98" w14:textId="5083FA3F" w:rsidR="00256678" w:rsidRPr="00644ED5" w:rsidRDefault="00256678">
      <w:pPr>
        <w:jc w:val="left"/>
        <w:rPr>
          <w:rFonts w:ascii="Book Antiqua" w:hAnsi="Book Antiqua"/>
        </w:rPr>
      </w:pPr>
      <w:r w:rsidRPr="00644ED5">
        <w:rPr>
          <w:rFonts w:ascii="Book Antiqua" w:hAnsi="Book Antiqua"/>
        </w:rPr>
        <w:br w:type="page"/>
      </w:r>
    </w:p>
    <w:p w14:paraId="4BC84BD9" w14:textId="6AC89029" w:rsidR="006A572C" w:rsidRPr="00644ED5" w:rsidRDefault="006E275C" w:rsidP="00667231">
      <w:pPr>
        <w:spacing w:line="360" w:lineRule="auto"/>
        <w:rPr>
          <w:rFonts w:ascii="Book Antiqua" w:hAnsi="Book Antiqua"/>
          <w:lang w:eastAsia="zh-CN"/>
        </w:rPr>
      </w:pPr>
      <w:bookmarkStart w:id="115" w:name="_Hlk530578497"/>
      <w:r w:rsidRPr="00644ED5">
        <w:rPr>
          <w:rFonts w:ascii="Book Antiqua" w:hAnsi="Book Antiqua"/>
          <w:b/>
        </w:rPr>
        <w:lastRenderedPageBreak/>
        <w:t>Table 2 Summary of further pharmacological agents with potentially therapeutic effects</w:t>
      </w:r>
    </w:p>
    <w:tbl>
      <w:tblPr>
        <w:tblStyle w:val="aa"/>
        <w:tblW w:w="14330" w:type="dxa"/>
        <w:tblInd w:w="137" w:type="dxa"/>
        <w:tblLayout w:type="fixed"/>
        <w:tblLook w:val="04A0" w:firstRow="1" w:lastRow="0" w:firstColumn="1" w:lastColumn="0" w:noHBand="0" w:noVBand="1"/>
      </w:tblPr>
      <w:tblGrid>
        <w:gridCol w:w="1814"/>
        <w:gridCol w:w="5387"/>
        <w:gridCol w:w="7129"/>
      </w:tblGrid>
      <w:tr w:rsidR="006A572C" w:rsidRPr="00644ED5" w14:paraId="73EDCB7F" w14:textId="77777777" w:rsidTr="00256678">
        <w:trPr>
          <w:trHeight w:val="612"/>
        </w:trPr>
        <w:tc>
          <w:tcPr>
            <w:tcW w:w="1814" w:type="dxa"/>
            <w:tcBorders>
              <w:left w:val="nil"/>
              <w:right w:val="nil"/>
            </w:tcBorders>
          </w:tcPr>
          <w:p w14:paraId="5E129C05" w14:textId="77777777" w:rsidR="006A572C" w:rsidRPr="00644ED5" w:rsidRDefault="006A572C" w:rsidP="00667231">
            <w:pPr>
              <w:spacing w:line="360" w:lineRule="auto"/>
              <w:rPr>
                <w:rFonts w:ascii="Book Antiqua" w:hAnsi="Book Antiqua" w:cs="Arial"/>
                <w:b/>
              </w:rPr>
            </w:pPr>
            <w:r w:rsidRPr="00644ED5">
              <w:rPr>
                <w:rFonts w:ascii="Book Antiqua" w:hAnsi="Book Antiqua" w:cs="Arial"/>
                <w:b/>
              </w:rPr>
              <w:t>Treatment</w:t>
            </w:r>
          </w:p>
        </w:tc>
        <w:tc>
          <w:tcPr>
            <w:tcW w:w="5387" w:type="dxa"/>
            <w:tcBorders>
              <w:left w:val="nil"/>
              <w:right w:val="nil"/>
            </w:tcBorders>
          </w:tcPr>
          <w:p w14:paraId="0AF86401" w14:textId="64923FD5" w:rsidR="006A572C" w:rsidRPr="00644ED5" w:rsidRDefault="006A572C" w:rsidP="00667231">
            <w:pPr>
              <w:spacing w:line="360" w:lineRule="auto"/>
              <w:rPr>
                <w:rFonts w:ascii="Book Antiqua" w:hAnsi="Book Antiqua" w:cs="Arial"/>
                <w:b/>
              </w:rPr>
            </w:pPr>
            <w:r w:rsidRPr="00644ED5">
              <w:rPr>
                <w:rFonts w:ascii="Book Antiqua" w:hAnsi="Book Antiqua" w:cs="Arial"/>
                <w:b/>
              </w:rPr>
              <w:t>Potential mechanism of Acion</w:t>
            </w:r>
          </w:p>
        </w:tc>
        <w:tc>
          <w:tcPr>
            <w:tcW w:w="7129" w:type="dxa"/>
            <w:tcBorders>
              <w:left w:val="nil"/>
              <w:right w:val="nil"/>
            </w:tcBorders>
          </w:tcPr>
          <w:p w14:paraId="76213B53" w14:textId="77777777" w:rsidR="006A572C" w:rsidRPr="00644ED5" w:rsidRDefault="006A572C" w:rsidP="00667231">
            <w:pPr>
              <w:spacing w:line="360" w:lineRule="auto"/>
              <w:rPr>
                <w:rFonts w:ascii="Book Antiqua" w:hAnsi="Book Antiqua" w:cs="Arial"/>
                <w:b/>
              </w:rPr>
            </w:pPr>
            <w:r w:rsidRPr="00644ED5">
              <w:rPr>
                <w:rFonts w:ascii="Book Antiqua" w:hAnsi="Book Antiqua" w:cs="Arial"/>
                <w:b/>
              </w:rPr>
              <w:t>Indications and Evidence</w:t>
            </w:r>
          </w:p>
        </w:tc>
      </w:tr>
      <w:tr w:rsidR="006A572C" w:rsidRPr="00644ED5" w14:paraId="0FC63E3C" w14:textId="77777777" w:rsidTr="00256678">
        <w:trPr>
          <w:trHeight w:val="773"/>
        </w:trPr>
        <w:tc>
          <w:tcPr>
            <w:tcW w:w="1814" w:type="dxa"/>
            <w:tcBorders>
              <w:left w:val="nil"/>
              <w:bottom w:val="nil"/>
              <w:right w:val="nil"/>
            </w:tcBorders>
          </w:tcPr>
          <w:p w14:paraId="04A4BA28"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Human Serum Albumin (HAS)</w:t>
            </w:r>
          </w:p>
        </w:tc>
        <w:tc>
          <w:tcPr>
            <w:tcW w:w="5387" w:type="dxa"/>
            <w:tcBorders>
              <w:left w:val="nil"/>
              <w:bottom w:val="nil"/>
              <w:right w:val="nil"/>
            </w:tcBorders>
          </w:tcPr>
          <w:p w14:paraId="3E863D1D"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Oncotic properties: Acts as a plasma expander to counteract splanchnic arterial vasodilatation in cirrhosis.</w:t>
            </w:r>
          </w:p>
          <w:p w14:paraId="3EE35E4C"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Non-oncotic properties: Modulation of the inflammatory response through binding of reactive oxygen species and NO. Also affects capillary integrity. Furthermore, cirrhosis affects the capacity of albumin to bind endogenous and exogenous substances, which may be compensated for by albumin infusion.</w:t>
            </w:r>
          </w:p>
        </w:tc>
        <w:tc>
          <w:tcPr>
            <w:tcW w:w="7129" w:type="dxa"/>
            <w:tcBorders>
              <w:left w:val="nil"/>
              <w:bottom w:val="nil"/>
              <w:right w:val="nil"/>
            </w:tcBorders>
          </w:tcPr>
          <w:p w14:paraId="33A55E81"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A recent meta-analysis found that HAS infusion in combination with antibiotics decreases the incidence of renal failure and mortality in patients with SBP.</w:t>
            </w:r>
          </w:p>
          <w:p w14:paraId="6A274CFC"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Several studies demonstrate that HAS infusion together with vasoconstrictors reduces mortality in patients with type 1 HRS.</w:t>
            </w:r>
          </w:p>
          <w:p w14:paraId="00C13C63"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 xml:space="preserve">A meta-analysis by Bernardi </w:t>
            </w:r>
            <w:r w:rsidRPr="00644ED5">
              <w:rPr>
                <w:rFonts w:ascii="Book Antiqua" w:hAnsi="Book Antiqua" w:cs="Arial"/>
                <w:i/>
              </w:rPr>
              <w:t>et al</w:t>
            </w:r>
            <w:r w:rsidRPr="00644ED5">
              <w:rPr>
                <w:rFonts w:ascii="Book Antiqua" w:hAnsi="Book Antiqua" w:cs="Arial"/>
              </w:rPr>
              <w:t xml:space="preserve"> showed that HAS infusion was effective in preventing paracentesis-induced circulatory dysfunction.</w:t>
            </w:r>
          </w:p>
          <w:p w14:paraId="10365778" w14:textId="6F3A256E" w:rsidR="008943E7" w:rsidRPr="00644ED5" w:rsidRDefault="006A572C" w:rsidP="00667231">
            <w:pPr>
              <w:spacing w:line="360" w:lineRule="auto"/>
              <w:rPr>
                <w:rFonts w:ascii="Book Antiqua" w:hAnsi="Book Antiqua" w:cs="Arial"/>
                <w:lang w:eastAsia="zh-CN"/>
              </w:rPr>
            </w:pPr>
            <w:r w:rsidRPr="00644ED5">
              <w:rPr>
                <w:rFonts w:ascii="Book Antiqua" w:hAnsi="Book Antiqua" w:cs="Arial"/>
              </w:rPr>
              <w:t xml:space="preserve">A multicentre RCT by Caraceni </w:t>
            </w:r>
            <w:r w:rsidRPr="00644ED5">
              <w:rPr>
                <w:rFonts w:ascii="Book Antiqua" w:hAnsi="Book Antiqua" w:cs="Arial"/>
                <w:i/>
              </w:rPr>
              <w:t>et al</w:t>
            </w:r>
            <w:r w:rsidR="00256678" w:rsidRPr="00644ED5">
              <w:rPr>
                <w:rFonts w:ascii="Book Antiqua" w:hAnsi="Book Antiqua" w:cs="Arial" w:hint="eastAsia"/>
                <w:vertAlign w:val="superscript"/>
                <w:lang w:eastAsia="zh-CN"/>
              </w:rPr>
              <w:t>[148]</w:t>
            </w:r>
            <w:r w:rsidRPr="00644ED5">
              <w:rPr>
                <w:rFonts w:ascii="Book Antiqua" w:hAnsi="Book Antiqua" w:cs="Arial"/>
              </w:rPr>
              <w:t xml:space="preserve"> (</w:t>
            </w:r>
            <w:r w:rsidRPr="00644ED5">
              <w:rPr>
                <w:rFonts w:ascii="Book Antiqua" w:hAnsi="Book Antiqua" w:cs="Arial"/>
                <w:i/>
              </w:rPr>
              <w:t>n</w:t>
            </w:r>
            <w:r w:rsidR="00256678" w:rsidRPr="00644ED5">
              <w:rPr>
                <w:rFonts w:ascii="Book Antiqua" w:hAnsi="Book Antiqua" w:cs="Arial" w:hint="eastAsia"/>
                <w:lang w:eastAsia="zh-CN"/>
              </w:rPr>
              <w:t xml:space="preserve"> </w:t>
            </w:r>
            <w:r w:rsidRPr="00644ED5">
              <w:rPr>
                <w:rFonts w:ascii="Book Antiqua" w:hAnsi="Book Antiqua" w:cs="Arial"/>
              </w:rPr>
              <w:t>=</w:t>
            </w:r>
            <w:r w:rsidR="00256678" w:rsidRPr="00644ED5">
              <w:rPr>
                <w:rFonts w:ascii="Book Antiqua" w:hAnsi="Book Antiqua" w:cs="Arial" w:hint="eastAsia"/>
                <w:lang w:eastAsia="zh-CN"/>
              </w:rPr>
              <w:t xml:space="preserve"> </w:t>
            </w:r>
            <w:r w:rsidRPr="00644ED5">
              <w:rPr>
                <w:rFonts w:ascii="Book Antiqua" w:hAnsi="Book Antiqua" w:cs="Arial"/>
              </w:rPr>
              <w:t>440) in cirrhotic patients with uncomplicated ascites showed that long-term HAS plus diuretics prolonged survival compared to diuretics alone</w:t>
            </w:r>
            <w:r w:rsidR="00BA0FDC" w:rsidRPr="00644ED5">
              <w:rPr>
                <w:rFonts w:ascii="Book Antiqua" w:hAnsi="Book Antiqua" w:cs="Arial"/>
                <w:vertAlign w:val="superscript"/>
              </w:rPr>
              <w:t>[142-148]</w:t>
            </w:r>
            <w:r w:rsidR="00256678" w:rsidRPr="00644ED5">
              <w:rPr>
                <w:rFonts w:ascii="Book Antiqua" w:hAnsi="Book Antiqua" w:cs="Arial" w:hint="eastAsia"/>
                <w:lang w:eastAsia="zh-CN"/>
              </w:rPr>
              <w:t>.</w:t>
            </w:r>
          </w:p>
        </w:tc>
      </w:tr>
      <w:tr w:rsidR="006A572C" w:rsidRPr="00644ED5" w14:paraId="0206CC8B" w14:textId="77777777" w:rsidTr="00256678">
        <w:trPr>
          <w:trHeight w:val="773"/>
        </w:trPr>
        <w:tc>
          <w:tcPr>
            <w:tcW w:w="1814" w:type="dxa"/>
            <w:tcBorders>
              <w:top w:val="nil"/>
              <w:left w:val="nil"/>
              <w:bottom w:val="nil"/>
              <w:right w:val="nil"/>
            </w:tcBorders>
          </w:tcPr>
          <w:p w14:paraId="434E4625"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Faecal microbiota transplant (FMT)</w:t>
            </w:r>
          </w:p>
        </w:tc>
        <w:tc>
          <w:tcPr>
            <w:tcW w:w="5387" w:type="dxa"/>
            <w:tcBorders>
              <w:top w:val="nil"/>
              <w:left w:val="nil"/>
              <w:bottom w:val="nil"/>
              <w:right w:val="nil"/>
            </w:tcBorders>
          </w:tcPr>
          <w:p w14:paraId="2CE5E06F"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 xml:space="preserve">As described previously, cirrhosis and its progression have been closely linked to gut dysbiosis with a predominance of pathogenic bacterial taxa and SIBO. Amelioration or even reversion of dysbiosis may be achieved through </w:t>
            </w:r>
            <w:r w:rsidRPr="00644ED5">
              <w:rPr>
                <w:rFonts w:ascii="Book Antiqua" w:hAnsi="Book Antiqua" w:cs="Arial"/>
              </w:rPr>
              <w:lastRenderedPageBreak/>
              <w:t>direct manipulation of the intestinal microbiome using FMT.</w:t>
            </w:r>
          </w:p>
        </w:tc>
        <w:tc>
          <w:tcPr>
            <w:tcW w:w="7129" w:type="dxa"/>
            <w:tcBorders>
              <w:top w:val="nil"/>
              <w:left w:val="nil"/>
              <w:bottom w:val="nil"/>
              <w:right w:val="nil"/>
            </w:tcBorders>
          </w:tcPr>
          <w:p w14:paraId="6742A026" w14:textId="32928ABD" w:rsidR="008943E7" w:rsidRPr="00644ED5" w:rsidRDefault="006A572C" w:rsidP="00667231">
            <w:pPr>
              <w:spacing w:line="360" w:lineRule="auto"/>
              <w:rPr>
                <w:rFonts w:ascii="Book Antiqua" w:hAnsi="Book Antiqua" w:cs="Arial"/>
                <w:lang w:eastAsia="zh-CN"/>
              </w:rPr>
            </w:pPr>
            <w:r w:rsidRPr="00644ED5">
              <w:rPr>
                <w:rFonts w:ascii="Book Antiqua" w:hAnsi="Book Antiqua" w:cs="Arial"/>
              </w:rPr>
              <w:lastRenderedPageBreak/>
              <w:t xml:space="preserve">Although FMT has been extremely successful in repopulating the healthy intestinal microbiome of patients with </w:t>
            </w:r>
            <w:r w:rsidRPr="00644ED5">
              <w:rPr>
                <w:rFonts w:ascii="Book Antiqua" w:hAnsi="Book Antiqua" w:cs="Arial"/>
                <w:i/>
              </w:rPr>
              <w:t>C.</w:t>
            </w:r>
            <w:r w:rsidR="00256678" w:rsidRPr="00644ED5">
              <w:rPr>
                <w:rFonts w:ascii="Book Antiqua" w:hAnsi="Book Antiqua" w:cs="Arial" w:hint="eastAsia"/>
                <w:i/>
                <w:lang w:eastAsia="zh-CN"/>
              </w:rPr>
              <w:t xml:space="preserve"> </w:t>
            </w:r>
            <w:r w:rsidRPr="00644ED5">
              <w:rPr>
                <w:rFonts w:ascii="Book Antiqua" w:hAnsi="Book Antiqua" w:cs="Arial"/>
                <w:i/>
              </w:rPr>
              <w:t>difficile</w:t>
            </w:r>
            <w:r w:rsidRPr="00644ED5">
              <w:rPr>
                <w:rFonts w:ascii="Book Antiqua" w:hAnsi="Book Antiqua" w:cs="Arial"/>
              </w:rPr>
              <w:t xml:space="preserve"> diarrhoea and has even been endorsed in guidelines for the treatment of recurrent </w:t>
            </w:r>
            <w:r w:rsidRPr="00644ED5">
              <w:rPr>
                <w:rFonts w:ascii="Book Antiqua" w:hAnsi="Book Antiqua" w:cs="Arial"/>
                <w:i/>
              </w:rPr>
              <w:t>C.</w:t>
            </w:r>
            <w:r w:rsidR="00256678" w:rsidRPr="00644ED5">
              <w:rPr>
                <w:rFonts w:ascii="Book Antiqua" w:hAnsi="Book Antiqua" w:cs="Arial" w:hint="eastAsia"/>
                <w:i/>
                <w:lang w:eastAsia="zh-CN"/>
              </w:rPr>
              <w:t xml:space="preserve"> </w:t>
            </w:r>
            <w:r w:rsidRPr="00644ED5">
              <w:rPr>
                <w:rFonts w:ascii="Book Antiqua" w:hAnsi="Book Antiqua" w:cs="Arial"/>
                <w:i/>
              </w:rPr>
              <w:t>difficile</w:t>
            </w:r>
            <w:r w:rsidRPr="00644ED5">
              <w:rPr>
                <w:rFonts w:ascii="Book Antiqua" w:hAnsi="Book Antiqua" w:cs="Arial"/>
              </w:rPr>
              <w:t xml:space="preserve"> diarrhoea, studies of FMT in patients with liver disease are smaller and more limited. A pilot </w:t>
            </w:r>
            <w:r w:rsidRPr="00644ED5">
              <w:rPr>
                <w:rFonts w:ascii="Book Antiqua" w:hAnsi="Book Antiqua" w:cs="Arial"/>
              </w:rPr>
              <w:lastRenderedPageBreak/>
              <w:t xml:space="preserve">study suggested a reduced burden of HE in patients given a single FMT enema compared to standard-of-care therapy. Currently, </w:t>
            </w:r>
            <w:r w:rsidR="002C67CE" w:rsidRPr="00644ED5">
              <w:rPr>
                <w:rFonts w:ascii="Book Antiqua" w:hAnsi="Book Antiqua" w:cs="Arial"/>
              </w:rPr>
              <w:t xml:space="preserve">Woodhouse </w:t>
            </w:r>
            <w:r w:rsidRPr="00644ED5">
              <w:rPr>
                <w:rFonts w:ascii="Book Antiqua" w:hAnsi="Book Antiqua" w:cs="Arial"/>
                <w:i/>
              </w:rPr>
              <w:t>et al</w:t>
            </w:r>
            <w:r w:rsidR="00256678" w:rsidRPr="00644ED5">
              <w:rPr>
                <w:rFonts w:ascii="Book Antiqua" w:hAnsi="Book Antiqua" w:cs="Arial" w:hint="eastAsia"/>
                <w:vertAlign w:val="superscript"/>
                <w:lang w:eastAsia="zh-CN"/>
              </w:rPr>
              <w:t>[126]</w:t>
            </w:r>
            <w:r w:rsidRPr="00644ED5">
              <w:rPr>
                <w:rFonts w:ascii="Book Antiqua" w:hAnsi="Book Antiqua" w:cs="Arial"/>
              </w:rPr>
              <w:t xml:space="preserve"> are in the process of conducting a randomised, single-blinded, placebo-controlled trial in 32 cirrhotic patients in order to assess the safety and tolerability of FMT delivered by upper GI endoscopy</w:t>
            </w:r>
            <w:r w:rsidR="00BA0FDC" w:rsidRPr="00644ED5">
              <w:rPr>
                <w:rFonts w:ascii="Book Antiqua" w:hAnsi="Book Antiqua" w:cs="Arial"/>
                <w:vertAlign w:val="superscript"/>
              </w:rPr>
              <w:t>[126,149-151]</w:t>
            </w:r>
            <w:r w:rsidR="00256678" w:rsidRPr="00644ED5">
              <w:rPr>
                <w:rFonts w:ascii="Book Antiqua" w:hAnsi="Book Antiqua" w:cs="Arial"/>
              </w:rPr>
              <w:t>.</w:t>
            </w:r>
          </w:p>
        </w:tc>
      </w:tr>
      <w:tr w:rsidR="006A572C" w:rsidRPr="00644ED5" w14:paraId="77C56D48" w14:textId="77777777" w:rsidTr="00256678">
        <w:trPr>
          <w:trHeight w:val="773"/>
        </w:trPr>
        <w:tc>
          <w:tcPr>
            <w:tcW w:w="1814" w:type="dxa"/>
            <w:tcBorders>
              <w:top w:val="nil"/>
              <w:left w:val="nil"/>
              <w:bottom w:val="single" w:sz="4" w:space="0" w:color="auto"/>
              <w:right w:val="nil"/>
            </w:tcBorders>
          </w:tcPr>
          <w:p w14:paraId="1F1E6A04" w14:textId="77777777" w:rsidR="008943E7" w:rsidRPr="00644ED5" w:rsidRDefault="006A572C" w:rsidP="00667231">
            <w:pPr>
              <w:spacing w:line="360" w:lineRule="auto"/>
              <w:rPr>
                <w:rFonts w:ascii="Book Antiqua" w:hAnsi="Book Antiqua" w:cs="Arial"/>
              </w:rPr>
            </w:pPr>
            <w:r w:rsidRPr="00644ED5">
              <w:rPr>
                <w:rFonts w:ascii="Book Antiqua" w:hAnsi="Book Antiqua" w:cs="Arial"/>
              </w:rPr>
              <w:lastRenderedPageBreak/>
              <w:t>Caffeine</w:t>
            </w:r>
            <w:r w:rsidR="008943E7" w:rsidRPr="00644ED5">
              <w:rPr>
                <w:rFonts w:ascii="Book Antiqua" w:hAnsi="Book Antiqua" w:cs="Arial"/>
              </w:rPr>
              <w:t>/</w:t>
            </w:r>
          </w:p>
          <w:p w14:paraId="59E191D7" w14:textId="01160F0F" w:rsidR="006A572C" w:rsidRPr="00644ED5" w:rsidRDefault="006A572C" w:rsidP="00667231">
            <w:pPr>
              <w:spacing w:line="360" w:lineRule="auto"/>
              <w:rPr>
                <w:rFonts w:ascii="Book Antiqua" w:hAnsi="Book Antiqua" w:cs="Arial"/>
              </w:rPr>
            </w:pPr>
            <w:r w:rsidRPr="00644ED5">
              <w:rPr>
                <w:rFonts w:ascii="Book Antiqua" w:hAnsi="Book Antiqua" w:cs="Arial"/>
              </w:rPr>
              <w:t>Coffee</w:t>
            </w:r>
          </w:p>
        </w:tc>
        <w:tc>
          <w:tcPr>
            <w:tcW w:w="5387" w:type="dxa"/>
            <w:tcBorders>
              <w:top w:val="nil"/>
              <w:left w:val="nil"/>
              <w:bottom w:val="single" w:sz="4" w:space="0" w:color="auto"/>
              <w:right w:val="nil"/>
            </w:tcBorders>
          </w:tcPr>
          <w:p w14:paraId="3DA4B86E" w14:textId="77777777" w:rsidR="006A572C" w:rsidRPr="00644ED5" w:rsidRDefault="006A572C" w:rsidP="00667231">
            <w:pPr>
              <w:spacing w:line="360" w:lineRule="auto"/>
              <w:rPr>
                <w:rFonts w:ascii="Book Antiqua" w:hAnsi="Book Antiqua" w:cs="Arial"/>
              </w:rPr>
            </w:pPr>
            <w:r w:rsidRPr="00644ED5">
              <w:rPr>
                <w:rFonts w:ascii="Book Antiqua" w:hAnsi="Book Antiqua" w:cs="Arial"/>
              </w:rPr>
              <w:t>Caffeine antagonizes the A2a adenosine receptor on hepatic stellate cells, the effector cells of fibrogenesis. Activation of the A2a adenosine receptor has been directly associated with matrix production in rodent models. However, decaffeinated coffee has also been shown to lower transaminases. Hence there may be additional anti-fibrotic constituents of coffee such as polyphenols which are potent anti-inflammatories and anti-oxidants.</w:t>
            </w:r>
          </w:p>
        </w:tc>
        <w:tc>
          <w:tcPr>
            <w:tcW w:w="7129" w:type="dxa"/>
            <w:tcBorders>
              <w:top w:val="nil"/>
              <w:left w:val="nil"/>
              <w:bottom w:val="single" w:sz="4" w:space="0" w:color="auto"/>
              <w:right w:val="nil"/>
            </w:tcBorders>
          </w:tcPr>
          <w:p w14:paraId="73441DD6" w14:textId="79A886B0" w:rsidR="006A572C" w:rsidRPr="00644ED5" w:rsidRDefault="00F90B58" w:rsidP="00667231">
            <w:pPr>
              <w:spacing w:line="360" w:lineRule="auto"/>
              <w:rPr>
                <w:rFonts w:ascii="Book Antiqua" w:hAnsi="Book Antiqua" w:cs="Arial"/>
              </w:rPr>
            </w:pPr>
            <w:r w:rsidRPr="00644ED5">
              <w:rPr>
                <w:rFonts w:ascii="Book Antiqua" w:hAnsi="Book Antiqua" w:cs="Arial"/>
              </w:rPr>
              <w:t>Both r</w:t>
            </w:r>
            <w:r w:rsidR="006A572C" w:rsidRPr="00644ED5">
              <w:rPr>
                <w:rFonts w:ascii="Book Antiqua" w:hAnsi="Book Antiqua" w:cs="Arial"/>
              </w:rPr>
              <w:t xml:space="preserve">etrospective </w:t>
            </w:r>
            <w:r w:rsidRPr="00644ED5">
              <w:rPr>
                <w:rFonts w:ascii="Book Antiqua" w:hAnsi="Book Antiqua" w:cs="Arial"/>
              </w:rPr>
              <w:t xml:space="preserve">and prospective observational </w:t>
            </w:r>
            <w:r w:rsidR="006A572C" w:rsidRPr="00644ED5">
              <w:rPr>
                <w:rFonts w:ascii="Book Antiqua" w:hAnsi="Book Antiqua" w:cs="Arial"/>
              </w:rPr>
              <w:t>studies have indicated that an inverse dose-response relationship</w:t>
            </w:r>
            <w:r w:rsidRPr="00644ED5">
              <w:rPr>
                <w:rFonts w:ascii="Book Antiqua" w:hAnsi="Book Antiqua" w:cs="Arial"/>
              </w:rPr>
              <w:t xml:space="preserve"> exists</w:t>
            </w:r>
            <w:r w:rsidR="006A572C" w:rsidRPr="00644ED5">
              <w:rPr>
                <w:rFonts w:ascii="Book Antiqua" w:hAnsi="Book Antiqua" w:cs="Arial"/>
              </w:rPr>
              <w:t xml:space="preserve"> between coffee consumption and cirrhosis risk</w:t>
            </w:r>
            <w:r w:rsidRPr="00644ED5">
              <w:rPr>
                <w:rFonts w:ascii="Book Antiqua" w:hAnsi="Book Antiqua" w:cs="Arial"/>
              </w:rPr>
              <w:t xml:space="preserve"> as well as cirrhosis-related complications</w:t>
            </w:r>
            <w:r w:rsidR="006A572C" w:rsidRPr="00644ED5">
              <w:rPr>
                <w:rFonts w:ascii="Book Antiqua" w:hAnsi="Book Antiqua" w:cs="Arial"/>
              </w:rPr>
              <w:t xml:space="preserve">. Corrao </w:t>
            </w:r>
            <w:r w:rsidR="006A572C" w:rsidRPr="00644ED5">
              <w:rPr>
                <w:rFonts w:ascii="Book Antiqua" w:hAnsi="Book Antiqua" w:cs="Arial"/>
                <w:i/>
              </w:rPr>
              <w:t>et al</w:t>
            </w:r>
            <w:r w:rsidR="00256678" w:rsidRPr="00644ED5">
              <w:rPr>
                <w:rFonts w:ascii="Book Antiqua" w:hAnsi="Book Antiqua" w:cs="Arial" w:hint="eastAsia"/>
                <w:vertAlign w:val="superscript"/>
                <w:lang w:eastAsia="zh-CN"/>
              </w:rPr>
              <w:t>[155]</w:t>
            </w:r>
            <w:r w:rsidR="006A572C" w:rsidRPr="00644ED5">
              <w:rPr>
                <w:rFonts w:ascii="Book Antiqua" w:hAnsi="Book Antiqua" w:cs="Arial"/>
              </w:rPr>
              <w:t xml:space="preserve"> retrospectively analysed 274 decompensated cirrhotic patients and 458 matched controls with chronic liver disease, finding that daily consumption of one cup of coffee conferred an odds ratio of 0.47, while daily consumption of four cups of coffee even conferred an odds ratio of 0.16 for cirrhosis risk. </w:t>
            </w:r>
          </w:p>
          <w:p w14:paraId="0AA3E727" w14:textId="4193E050" w:rsidR="00F90B58" w:rsidRPr="00644ED5" w:rsidRDefault="00F90B58" w:rsidP="00667231">
            <w:pPr>
              <w:spacing w:line="360" w:lineRule="auto"/>
              <w:rPr>
                <w:rFonts w:ascii="Book Antiqua" w:hAnsi="Book Antiqua" w:cs="Arial"/>
              </w:rPr>
            </w:pPr>
            <w:r w:rsidRPr="00644ED5">
              <w:rPr>
                <w:rFonts w:ascii="Book Antiqua" w:hAnsi="Book Antiqua" w:cs="Arial"/>
              </w:rPr>
              <w:t>Similarly, a prospective cohort study of patients with advanced hepatitis C induced liver disease found that liver-related mortality and complication rates declined with increasing coffee consumption (12.1/100 person years for &gt;</w:t>
            </w:r>
            <w:r w:rsidR="00256678" w:rsidRPr="00644ED5">
              <w:rPr>
                <w:rFonts w:ascii="Book Antiqua" w:hAnsi="Book Antiqua" w:cs="Arial" w:hint="eastAsia"/>
                <w:lang w:eastAsia="zh-CN"/>
              </w:rPr>
              <w:t xml:space="preserve"> </w:t>
            </w:r>
            <w:r w:rsidRPr="00644ED5">
              <w:rPr>
                <w:rFonts w:ascii="Book Antiqua" w:hAnsi="Book Antiqua" w:cs="Arial"/>
              </w:rPr>
              <w:t>1 cup/d; 8.2/100 for 1-3 cups/d; 6.3/100 for &gt;</w:t>
            </w:r>
            <w:r w:rsidR="00256678" w:rsidRPr="00644ED5">
              <w:rPr>
                <w:rFonts w:ascii="Book Antiqua" w:hAnsi="Book Antiqua" w:cs="Arial" w:hint="eastAsia"/>
                <w:lang w:eastAsia="zh-CN"/>
              </w:rPr>
              <w:t xml:space="preserve"> </w:t>
            </w:r>
            <w:r w:rsidRPr="00644ED5">
              <w:rPr>
                <w:rFonts w:ascii="Book Antiqua" w:hAnsi="Book Antiqua" w:cs="Arial"/>
              </w:rPr>
              <w:t>3 cups/d; p-trend</w:t>
            </w:r>
            <w:r w:rsidR="00256678" w:rsidRPr="00644ED5">
              <w:rPr>
                <w:rFonts w:ascii="Book Antiqua" w:hAnsi="Book Antiqua" w:cs="Arial" w:hint="eastAsia"/>
                <w:lang w:eastAsia="zh-CN"/>
              </w:rPr>
              <w:t xml:space="preserve"> </w:t>
            </w:r>
            <w:r w:rsidRPr="00644ED5">
              <w:rPr>
                <w:rFonts w:ascii="Book Antiqua" w:hAnsi="Book Antiqua" w:cs="Arial"/>
              </w:rPr>
              <w:t>=</w:t>
            </w:r>
            <w:r w:rsidR="00256678" w:rsidRPr="00644ED5">
              <w:rPr>
                <w:rFonts w:ascii="Book Antiqua" w:hAnsi="Book Antiqua" w:cs="Arial" w:hint="eastAsia"/>
                <w:lang w:eastAsia="zh-CN"/>
              </w:rPr>
              <w:t xml:space="preserve"> </w:t>
            </w:r>
            <w:r w:rsidRPr="00644ED5">
              <w:rPr>
                <w:rFonts w:ascii="Book Antiqua" w:hAnsi="Book Antiqua" w:cs="Arial"/>
              </w:rPr>
              <w:t>0.001).</w:t>
            </w:r>
          </w:p>
          <w:p w14:paraId="17399EB2" w14:textId="6DC45E75" w:rsidR="006A572C" w:rsidRPr="00644ED5" w:rsidRDefault="006A572C" w:rsidP="00667231">
            <w:pPr>
              <w:spacing w:line="360" w:lineRule="auto"/>
              <w:rPr>
                <w:rFonts w:ascii="Book Antiqua" w:hAnsi="Book Antiqua" w:cs="Arial"/>
              </w:rPr>
            </w:pPr>
            <w:r w:rsidRPr="00644ED5">
              <w:rPr>
                <w:rFonts w:ascii="Book Antiqua" w:hAnsi="Book Antiqua" w:cs="Arial"/>
              </w:rPr>
              <w:lastRenderedPageBreak/>
              <w:t>A recent prospective cohort study analysed non-invasive liver stiffness measurements in the general Dutch population (</w:t>
            </w:r>
            <w:r w:rsidRPr="00644ED5">
              <w:rPr>
                <w:rFonts w:ascii="Book Antiqua" w:hAnsi="Book Antiqua" w:cs="Arial"/>
                <w:i/>
              </w:rPr>
              <w:t>n</w:t>
            </w:r>
            <w:r w:rsidR="00256678" w:rsidRPr="00644ED5">
              <w:rPr>
                <w:rFonts w:ascii="Book Antiqua" w:hAnsi="Book Antiqua" w:cs="Arial" w:hint="eastAsia"/>
                <w:lang w:eastAsia="zh-CN"/>
              </w:rPr>
              <w:t xml:space="preserve"> </w:t>
            </w:r>
            <w:r w:rsidRPr="00644ED5">
              <w:rPr>
                <w:rFonts w:ascii="Book Antiqua" w:hAnsi="Book Antiqua" w:cs="Arial"/>
              </w:rPr>
              <w:t>=</w:t>
            </w:r>
            <w:r w:rsidR="00256678" w:rsidRPr="00644ED5">
              <w:rPr>
                <w:rFonts w:ascii="Book Antiqua" w:hAnsi="Book Antiqua" w:cs="Arial" w:hint="eastAsia"/>
                <w:lang w:eastAsia="zh-CN"/>
              </w:rPr>
              <w:t xml:space="preserve"> </w:t>
            </w:r>
            <w:r w:rsidRPr="00644ED5">
              <w:rPr>
                <w:rFonts w:ascii="Book Antiqua" w:hAnsi="Book Antiqua" w:cs="Arial"/>
              </w:rPr>
              <w:t>2424), observing that coffee consumption was inversely correlated with liver stiffness.</w:t>
            </w:r>
          </w:p>
          <w:p w14:paraId="1889C133" w14:textId="15AA2B8C" w:rsidR="006A572C" w:rsidRPr="00644ED5" w:rsidRDefault="006A572C" w:rsidP="00667231">
            <w:pPr>
              <w:spacing w:line="360" w:lineRule="auto"/>
              <w:rPr>
                <w:rFonts w:ascii="Book Antiqua" w:hAnsi="Book Antiqua" w:cs="Arial"/>
              </w:rPr>
            </w:pPr>
            <w:r w:rsidRPr="00644ED5">
              <w:rPr>
                <w:rFonts w:ascii="Book Antiqua" w:hAnsi="Book Antiqua" w:cs="Arial"/>
              </w:rPr>
              <w:t>Similarly, recent data from a meta-analysis showed a favourable effect of coffee consumption on risk of HCC de</w:t>
            </w:r>
            <w:r w:rsidR="00256678" w:rsidRPr="00644ED5">
              <w:rPr>
                <w:rFonts w:ascii="Book Antiqua" w:hAnsi="Book Antiqua" w:cs="Arial"/>
              </w:rPr>
              <w:t>velopment (RR 0.55, 95% CI 0.44</w:t>
            </w:r>
            <w:r w:rsidR="00256678" w:rsidRPr="00644ED5">
              <w:rPr>
                <w:rFonts w:ascii="Book Antiqua" w:hAnsi="Book Antiqua" w:cs="Arial" w:hint="eastAsia"/>
                <w:lang w:eastAsia="zh-CN"/>
              </w:rPr>
              <w:t>-</w:t>
            </w:r>
            <w:r w:rsidRPr="00644ED5">
              <w:rPr>
                <w:rFonts w:ascii="Book Antiqua" w:hAnsi="Book Antiqua" w:cs="Arial"/>
              </w:rPr>
              <w:t>0.67). At present, no guidelines exist regarding the prescription of coffee to patients with cirrhosis or chronic liver disease</w:t>
            </w:r>
            <w:r w:rsidR="00BA0FDC" w:rsidRPr="00644ED5">
              <w:rPr>
                <w:rFonts w:ascii="Book Antiqua" w:hAnsi="Book Antiqua" w:cs="Arial"/>
                <w:vertAlign w:val="superscript"/>
              </w:rPr>
              <w:t>[152-158]</w:t>
            </w:r>
            <w:r w:rsidRPr="00644ED5">
              <w:rPr>
                <w:rFonts w:ascii="Book Antiqua" w:hAnsi="Book Antiqua" w:cs="Arial"/>
              </w:rPr>
              <w:t xml:space="preserve">. </w:t>
            </w:r>
          </w:p>
        </w:tc>
      </w:tr>
    </w:tbl>
    <w:bookmarkEnd w:id="115"/>
    <w:p w14:paraId="16B62C32" w14:textId="1CAA2E60" w:rsidR="00256678" w:rsidRPr="0072067C" w:rsidRDefault="00256678" w:rsidP="00256678">
      <w:pPr>
        <w:spacing w:line="360" w:lineRule="auto"/>
        <w:rPr>
          <w:rFonts w:ascii="Book Antiqua" w:hAnsi="Book Antiqua"/>
          <w:lang w:eastAsia="zh-CN"/>
        </w:rPr>
      </w:pPr>
      <w:r w:rsidRPr="00644ED5">
        <w:rPr>
          <w:rFonts w:ascii="Book Antiqua" w:hAnsi="Book Antiqua"/>
        </w:rPr>
        <w:lastRenderedPageBreak/>
        <w:t>CI</w:t>
      </w:r>
      <w:r w:rsidRPr="00644ED5">
        <w:rPr>
          <w:rFonts w:ascii="Book Antiqua" w:hAnsi="Book Antiqua" w:hint="eastAsia"/>
          <w:lang w:eastAsia="zh-CN"/>
        </w:rPr>
        <w:t xml:space="preserve">: </w:t>
      </w:r>
      <w:r w:rsidRPr="00644ED5">
        <w:rPr>
          <w:rFonts w:ascii="Book Antiqua" w:hAnsi="Book Antiqua"/>
        </w:rPr>
        <w:t>Confidence interval; FMT</w:t>
      </w:r>
      <w:r w:rsidRPr="00644ED5">
        <w:rPr>
          <w:rFonts w:ascii="Book Antiqua" w:hAnsi="Book Antiqua" w:hint="eastAsia"/>
          <w:lang w:eastAsia="zh-CN"/>
        </w:rPr>
        <w:t xml:space="preserve">: </w:t>
      </w:r>
      <w:r w:rsidRPr="00644ED5">
        <w:rPr>
          <w:rFonts w:ascii="Book Antiqua" w:hAnsi="Book Antiqua"/>
        </w:rPr>
        <w:t>Faecal microbiota transplant; GI</w:t>
      </w:r>
      <w:r w:rsidRPr="00644ED5">
        <w:rPr>
          <w:rFonts w:ascii="Book Antiqua" w:hAnsi="Book Antiqua" w:hint="eastAsia"/>
          <w:lang w:eastAsia="zh-CN"/>
        </w:rPr>
        <w:t xml:space="preserve">: </w:t>
      </w:r>
      <w:r w:rsidRPr="00644ED5">
        <w:rPr>
          <w:rFonts w:ascii="Book Antiqua" w:hAnsi="Book Antiqua"/>
        </w:rPr>
        <w:t>Gastrointestinal; HAS</w:t>
      </w:r>
      <w:r w:rsidRPr="00644ED5">
        <w:rPr>
          <w:rFonts w:ascii="Book Antiqua" w:hAnsi="Book Antiqua" w:hint="eastAsia"/>
          <w:lang w:eastAsia="zh-CN"/>
        </w:rPr>
        <w:t xml:space="preserve">: </w:t>
      </w:r>
      <w:r w:rsidRPr="00644ED5">
        <w:rPr>
          <w:rFonts w:ascii="Book Antiqua" w:hAnsi="Book Antiqua"/>
        </w:rPr>
        <w:t>Human Serum Albumin; HCC</w:t>
      </w:r>
      <w:r w:rsidRPr="00644ED5">
        <w:rPr>
          <w:rFonts w:ascii="Book Antiqua" w:hAnsi="Book Antiqua" w:hint="eastAsia"/>
          <w:lang w:eastAsia="zh-CN"/>
        </w:rPr>
        <w:t xml:space="preserve">: </w:t>
      </w:r>
      <w:r w:rsidRPr="00644ED5">
        <w:rPr>
          <w:rFonts w:ascii="Book Antiqua" w:hAnsi="Book Antiqua"/>
        </w:rPr>
        <w:t>Hepatocellular carcinoma; HE</w:t>
      </w:r>
      <w:r w:rsidRPr="00644ED5">
        <w:rPr>
          <w:rFonts w:ascii="Book Antiqua" w:hAnsi="Book Antiqua" w:hint="eastAsia"/>
          <w:lang w:eastAsia="zh-CN"/>
        </w:rPr>
        <w:t xml:space="preserve">: </w:t>
      </w:r>
      <w:r w:rsidRPr="00644ED5">
        <w:rPr>
          <w:rFonts w:ascii="Book Antiqua" w:hAnsi="Book Antiqua"/>
        </w:rPr>
        <w:t>Hepatic encephalopathy; HRS</w:t>
      </w:r>
      <w:r w:rsidRPr="00644ED5">
        <w:rPr>
          <w:rFonts w:ascii="Book Antiqua" w:hAnsi="Book Antiqua" w:hint="eastAsia"/>
          <w:lang w:eastAsia="zh-CN"/>
        </w:rPr>
        <w:t xml:space="preserve">: </w:t>
      </w:r>
      <w:r w:rsidRPr="00644ED5">
        <w:rPr>
          <w:rFonts w:ascii="Book Antiqua" w:hAnsi="Book Antiqua"/>
        </w:rPr>
        <w:t>Hepatorenal syndrome; NO</w:t>
      </w:r>
      <w:r w:rsidRPr="00644ED5">
        <w:rPr>
          <w:rFonts w:ascii="Book Antiqua" w:hAnsi="Book Antiqua" w:hint="eastAsia"/>
          <w:lang w:eastAsia="zh-CN"/>
        </w:rPr>
        <w:t xml:space="preserve">: </w:t>
      </w:r>
      <w:r w:rsidRPr="00644ED5">
        <w:rPr>
          <w:rFonts w:ascii="Book Antiqua" w:hAnsi="Book Antiqua"/>
        </w:rPr>
        <w:t>Nitric oxide; RCT</w:t>
      </w:r>
      <w:r w:rsidRPr="00644ED5">
        <w:rPr>
          <w:rFonts w:ascii="Book Antiqua" w:hAnsi="Book Antiqua" w:hint="eastAsia"/>
          <w:lang w:eastAsia="zh-CN"/>
        </w:rPr>
        <w:t xml:space="preserve">: </w:t>
      </w:r>
      <w:r w:rsidRPr="00644ED5">
        <w:rPr>
          <w:rFonts w:ascii="Book Antiqua" w:hAnsi="Book Antiqua"/>
        </w:rPr>
        <w:t>Randomised controlled trial; RR</w:t>
      </w:r>
      <w:r w:rsidRPr="00644ED5">
        <w:rPr>
          <w:rFonts w:ascii="Book Antiqua" w:hAnsi="Book Antiqua" w:hint="eastAsia"/>
          <w:lang w:eastAsia="zh-CN"/>
        </w:rPr>
        <w:t xml:space="preserve">: </w:t>
      </w:r>
      <w:r w:rsidRPr="00644ED5">
        <w:rPr>
          <w:rFonts w:ascii="Book Antiqua" w:hAnsi="Book Antiqua"/>
        </w:rPr>
        <w:t>Relative risk; SBP</w:t>
      </w:r>
      <w:r w:rsidRPr="00644ED5">
        <w:rPr>
          <w:rFonts w:ascii="Book Antiqua" w:hAnsi="Book Antiqua" w:hint="eastAsia"/>
          <w:lang w:eastAsia="zh-CN"/>
        </w:rPr>
        <w:t xml:space="preserve">: </w:t>
      </w:r>
      <w:r w:rsidRPr="00644ED5">
        <w:rPr>
          <w:rFonts w:ascii="Book Antiqua" w:hAnsi="Book Antiqua"/>
        </w:rPr>
        <w:t>Spontaneous bacterial peritonitis; SIBO</w:t>
      </w:r>
      <w:r w:rsidRPr="00644ED5">
        <w:rPr>
          <w:rFonts w:ascii="Book Antiqua" w:hAnsi="Book Antiqua" w:hint="eastAsia"/>
          <w:lang w:eastAsia="zh-CN"/>
        </w:rPr>
        <w:t xml:space="preserve">: </w:t>
      </w:r>
      <w:r w:rsidRPr="00644ED5">
        <w:rPr>
          <w:rFonts w:ascii="Book Antiqua" w:hAnsi="Book Antiqua"/>
        </w:rPr>
        <w:t>Small intestinal bacterial overgrowth</w:t>
      </w:r>
      <w:r w:rsidRPr="00644ED5">
        <w:rPr>
          <w:rFonts w:ascii="Book Antiqua" w:hAnsi="Book Antiqua" w:hint="eastAsia"/>
          <w:lang w:eastAsia="zh-CN"/>
        </w:rPr>
        <w:t>.</w:t>
      </w:r>
      <w:bookmarkStart w:id="116" w:name="_GoBack"/>
      <w:bookmarkEnd w:id="116"/>
    </w:p>
    <w:p w14:paraId="6B48908E" w14:textId="30594DFD" w:rsidR="00784392" w:rsidRPr="00EB54D5" w:rsidRDefault="00784392" w:rsidP="00667231">
      <w:pPr>
        <w:spacing w:line="360" w:lineRule="auto"/>
        <w:rPr>
          <w:rFonts w:ascii="Book Antiqua" w:hAnsi="Book Antiqua"/>
          <w:lang w:eastAsia="zh-CN"/>
        </w:rPr>
      </w:pPr>
    </w:p>
    <w:sectPr w:rsidR="00784392" w:rsidRPr="00EB54D5" w:rsidSect="00AA19F5">
      <w:headerReference w:type="default" r:id="rId10"/>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5C9D" w14:textId="77777777" w:rsidR="009A657C" w:rsidRDefault="009A657C" w:rsidP="003E06E6">
      <w:r>
        <w:separator/>
      </w:r>
    </w:p>
  </w:endnote>
  <w:endnote w:type="continuationSeparator" w:id="0">
    <w:p w14:paraId="3C7EB7EC" w14:textId="77777777" w:rsidR="009A657C" w:rsidRDefault="009A657C" w:rsidP="003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40072"/>
      <w:docPartObj>
        <w:docPartGallery w:val="Page Numbers (Bottom of Page)"/>
        <w:docPartUnique/>
      </w:docPartObj>
    </w:sdtPr>
    <w:sdtEndPr>
      <w:rPr>
        <w:noProof/>
      </w:rPr>
    </w:sdtEndPr>
    <w:sdtContent>
      <w:p w14:paraId="292D78C8" w14:textId="7C96B4EE" w:rsidR="00AA19F5" w:rsidRDefault="00AA19F5" w:rsidP="001B3075">
        <w:pPr>
          <w:pStyle w:val="ad"/>
          <w:tabs>
            <w:tab w:val="clear" w:pos="4513"/>
            <w:tab w:val="left" w:pos="4370"/>
            <w:tab w:val="center" w:pos="4533"/>
          </w:tabs>
          <w:jc w:val="left"/>
        </w:pPr>
        <w:r>
          <w:tab/>
        </w:r>
        <w:r>
          <w:tab/>
        </w:r>
        <w:r>
          <w:fldChar w:fldCharType="begin"/>
        </w:r>
        <w:r>
          <w:instrText xml:space="preserve"> PAGE   \* MERGEFORMAT </w:instrText>
        </w:r>
        <w:r>
          <w:fldChar w:fldCharType="separate"/>
        </w:r>
        <w:r w:rsidR="00644ED5">
          <w:rPr>
            <w:noProof/>
          </w:rPr>
          <w:t>51</w:t>
        </w:r>
        <w:r>
          <w:rPr>
            <w:noProof/>
          </w:rPr>
          <w:fldChar w:fldCharType="end"/>
        </w:r>
      </w:p>
    </w:sdtContent>
  </w:sdt>
  <w:p w14:paraId="619A32C2" w14:textId="77777777" w:rsidR="00AA19F5" w:rsidRDefault="00AA19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7416E" w14:textId="77777777" w:rsidR="009A657C" w:rsidRDefault="009A657C" w:rsidP="003E06E6">
      <w:r>
        <w:separator/>
      </w:r>
    </w:p>
  </w:footnote>
  <w:footnote w:type="continuationSeparator" w:id="0">
    <w:p w14:paraId="0085DEC5" w14:textId="77777777" w:rsidR="009A657C" w:rsidRDefault="009A657C" w:rsidP="003E0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E7433" w14:textId="77777777" w:rsidR="00AA19F5" w:rsidRDefault="00AA19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44B"/>
    <w:multiLevelType w:val="hybridMultilevel"/>
    <w:tmpl w:val="2674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926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0418"/>
    <w:multiLevelType w:val="hybridMultilevel"/>
    <w:tmpl w:val="94283C32"/>
    <w:lvl w:ilvl="0" w:tplc="013C9F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92618"/>
    <w:multiLevelType w:val="hybridMultilevel"/>
    <w:tmpl w:val="682847CA"/>
    <w:lvl w:ilvl="0" w:tplc="013C9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ED6BC0"/>
    <w:multiLevelType w:val="multilevel"/>
    <w:tmpl w:val="DCD68D8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41023E"/>
    <w:multiLevelType w:val="hybridMultilevel"/>
    <w:tmpl w:val="FE92D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CA4139"/>
    <w:multiLevelType w:val="hybridMultilevel"/>
    <w:tmpl w:val="6CC4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70149"/>
    <w:multiLevelType w:val="hybridMultilevel"/>
    <w:tmpl w:val="685C1EC0"/>
    <w:lvl w:ilvl="0" w:tplc="013C9F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727656"/>
    <w:multiLevelType w:val="multilevel"/>
    <w:tmpl w:val="11A2F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FF23012"/>
    <w:multiLevelType w:val="hybridMultilevel"/>
    <w:tmpl w:val="58867E74"/>
    <w:lvl w:ilvl="0" w:tplc="D1564ED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8"/>
  </w:num>
  <w:num w:numId="6">
    <w:abstractNumId w:val="4"/>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92"/>
    <w:rsid w:val="000012C2"/>
    <w:rsid w:val="00001AC9"/>
    <w:rsid w:val="0000420B"/>
    <w:rsid w:val="0000702D"/>
    <w:rsid w:val="00017B0D"/>
    <w:rsid w:val="0002061A"/>
    <w:rsid w:val="00021426"/>
    <w:rsid w:val="000316EC"/>
    <w:rsid w:val="0003292C"/>
    <w:rsid w:val="000335DA"/>
    <w:rsid w:val="00034275"/>
    <w:rsid w:val="00035A09"/>
    <w:rsid w:val="00035A72"/>
    <w:rsid w:val="000410F3"/>
    <w:rsid w:val="0004208D"/>
    <w:rsid w:val="000428BB"/>
    <w:rsid w:val="00045290"/>
    <w:rsid w:val="00046AD5"/>
    <w:rsid w:val="00054D1C"/>
    <w:rsid w:val="00062090"/>
    <w:rsid w:val="00064964"/>
    <w:rsid w:val="00065A07"/>
    <w:rsid w:val="00066917"/>
    <w:rsid w:val="000678A8"/>
    <w:rsid w:val="00070D59"/>
    <w:rsid w:val="00070F68"/>
    <w:rsid w:val="00081348"/>
    <w:rsid w:val="00081444"/>
    <w:rsid w:val="000861D6"/>
    <w:rsid w:val="00086E9B"/>
    <w:rsid w:val="000870F5"/>
    <w:rsid w:val="00090E8F"/>
    <w:rsid w:val="00093B7A"/>
    <w:rsid w:val="000977A1"/>
    <w:rsid w:val="000A2AD7"/>
    <w:rsid w:val="000A54F3"/>
    <w:rsid w:val="000B0F67"/>
    <w:rsid w:val="000B41BE"/>
    <w:rsid w:val="000B699A"/>
    <w:rsid w:val="000C7AC8"/>
    <w:rsid w:val="000D63AF"/>
    <w:rsid w:val="000D6475"/>
    <w:rsid w:val="000D6961"/>
    <w:rsid w:val="000D79A2"/>
    <w:rsid w:val="000E207F"/>
    <w:rsid w:val="000E208E"/>
    <w:rsid w:val="000E4A5C"/>
    <w:rsid w:val="000E7CAE"/>
    <w:rsid w:val="000F0A77"/>
    <w:rsid w:val="000F166D"/>
    <w:rsid w:val="000F6ABD"/>
    <w:rsid w:val="00101D59"/>
    <w:rsid w:val="001065F2"/>
    <w:rsid w:val="00111B4C"/>
    <w:rsid w:val="001153C4"/>
    <w:rsid w:val="00123897"/>
    <w:rsid w:val="001242FC"/>
    <w:rsid w:val="00124DFD"/>
    <w:rsid w:val="001269B2"/>
    <w:rsid w:val="00133A1C"/>
    <w:rsid w:val="00134532"/>
    <w:rsid w:val="001356C5"/>
    <w:rsid w:val="0014211F"/>
    <w:rsid w:val="001427A4"/>
    <w:rsid w:val="001439CB"/>
    <w:rsid w:val="00143FD1"/>
    <w:rsid w:val="00144953"/>
    <w:rsid w:val="0015011A"/>
    <w:rsid w:val="00150BE7"/>
    <w:rsid w:val="0015258A"/>
    <w:rsid w:val="00160CEE"/>
    <w:rsid w:val="0016577A"/>
    <w:rsid w:val="00171060"/>
    <w:rsid w:val="00172BCC"/>
    <w:rsid w:val="001817E5"/>
    <w:rsid w:val="00183D8E"/>
    <w:rsid w:val="00186998"/>
    <w:rsid w:val="00195FBC"/>
    <w:rsid w:val="001A6B28"/>
    <w:rsid w:val="001A6E35"/>
    <w:rsid w:val="001B0FD6"/>
    <w:rsid w:val="001B3075"/>
    <w:rsid w:val="001B51E1"/>
    <w:rsid w:val="001B6AD6"/>
    <w:rsid w:val="001B6C73"/>
    <w:rsid w:val="001B6E12"/>
    <w:rsid w:val="001C1A66"/>
    <w:rsid w:val="001C2DFE"/>
    <w:rsid w:val="001C708D"/>
    <w:rsid w:val="001C749A"/>
    <w:rsid w:val="001D1C1E"/>
    <w:rsid w:val="001D4197"/>
    <w:rsid w:val="001E2D8E"/>
    <w:rsid w:val="001E5E24"/>
    <w:rsid w:val="001F3C85"/>
    <w:rsid w:val="001F53D2"/>
    <w:rsid w:val="00200E75"/>
    <w:rsid w:val="00200F60"/>
    <w:rsid w:val="00206180"/>
    <w:rsid w:val="0021146F"/>
    <w:rsid w:val="0021535C"/>
    <w:rsid w:val="002171A5"/>
    <w:rsid w:val="00217B57"/>
    <w:rsid w:val="00222F7C"/>
    <w:rsid w:val="00225D5A"/>
    <w:rsid w:val="00230BD3"/>
    <w:rsid w:val="00230DC8"/>
    <w:rsid w:val="002378CA"/>
    <w:rsid w:val="002378D5"/>
    <w:rsid w:val="0024097E"/>
    <w:rsid w:val="002433AD"/>
    <w:rsid w:val="0024362A"/>
    <w:rsid w:val="00243721"/>
    <w:rsid w:val="0024600A"/>
    <w:rsid w:val="0025045B"/>
    <w:rsid w:val="00256678"/>
    <w:rsid w:val="00256BB9"/>
    <w:rsid w:val="00257985"/>
    <w:rsid w:val="002609AF"/>
    <w:rsid w:val="00260F30"/>
    <w:rsid w:val="0026105F"/>
    <w:rsid w:val="00263865"/>
    <w:rsid w:val="00263D8C"/>
    <w:rsid w:val="0027173B"/>
    <w:rsid w:val="00274D0D"/>
    <w:rsid w:val="00284E67"/>
    <w:rsid w:val="00293E69"/>
    <w:rsid w:val="002A1197"/>
    <w:rsid w:val="002A5F2F"/>
    <w:rsid w:val="002B138A"/>
    <w:rsid w:val="002B242D"/>
    <w:rsid w:val="002B2C94"/>
    <w:rsid w:val="002C271C"/>
    <w:rsid w:val="002C534D"/>
    <w:rsid w:val="002C5873"/>
    <w:rsid w:val="002C67CE"/>
    <w:rsid w:val="002D01A8"/>
    <w:rsid w:val="002D1118"/>
    <w:rsid w:val="002D2329"/>
    <w:rsid w:val="002E1CE2"/>
    <w:rsid w:val="002E5226"/>
    <w:rsid w:val="002E7F8C"/>
    <w:rsid w:val="002F0469"/>
    <w:rsid w:val="002F5100"/>
    <w:rsid w:val="0030343A"/>
    <w:rsid w:val="00312C64"/>
    <w:rsid w:val="00314A17"/>
    <w:rsid w:val="003246F2"/>
    <w:rsid w:val="0032524C"/>
    <w:rsid w:val="003254E6"/>
    <w:rsid w:val="00326A17"/>
    <w:rsid w:val="003270ED"/>
    <w:rsid w:val="0033664A"/>
    <w:rsid w:val="00336FC4"/>
    <w:rsid w:val="00341E9C"/>
    <w:rsid w:val="003421AE"/>
    <w:rsid w:val="00345832"/>
    <w:rsid w:val="003458A2"/>
    <w:rsid w:val="003474DD"/>
    <w:rsid w:val="003515E2"/>
    <w:rsid w:val="00354127"/>
    <w:rsid w:val="00354D68"/>
    <w:rsid w:val="00362CA7"/>
    <w:rsid w:val="00363E8F"/>
    <w:rsid w:val="00366718"/>
    <w:rsid w:val="00371971"/>
    <w:rsid w:val="00373725"/>
    <w:rsid w:val="00380951"/>
    <w:rsid w:val="0038512A"/>
    <w:rsid w:val="003852A6"/>
    <w:rsid w:val="00385364"/>
    <w:rsid w:val="0038599C"/>
    <w:rsid w:val="003869F9"/>
    <w:rsid w:val="00386F8E"/>
    <w:rsid w:val="003872CE"/>
    <w:rsid w:val="00390192"/>
    <w:rsid w:val="003937A5"/>
    <w:rsid w:val="0039438C"/>
    <w:rsid w:val="00394C3B"/>
    <w:rsid w:val="003B23E3"/>
    <w:rsid w:val="003B2702"/>
    <w:rsid w:val="003B2B7C"/>
    <w:rsid w:val="003B325A"/>
    <w:rsid w:val="003B4EEA"/>
    <w:rsid w:val="003B5FF2"/>
    <w:rsid w:val="003B6AA0"/>
    <w:rsid w:val="003B7C50"/>
    <w:rsid w:val="003C1633"/>
    <w:rsid w:val="003D1BFF"/>
    <w:rsid w:val="003E06E6"/>
    <w:rsid w:val="003F483D"/>
    <w:rsid w:val="003F4C5A"/>
    <w:rsid w:val="003F6BF2"/>
    <w:rsid w:val="00400E7F"/>
    <w:rsid w:val="00412A92"/>
    <w:rsid w:val="004155F9"/>
    <w:rsid w:val="00416D69"/>
    <w:rsid w:val="0041736F"/>
    <w:rsid w:val="00417C81"/>
    <w:rsid w:val="0042408E"/>
    <w:rsid w:val="00425527"/>
    <w:rsid w:val="0042586F"/>
    <w:rsid w:val="00425A8F"/>
    <w:rsid w:val="004261A4"/>
    <w:rsid w:val="00426E16"/>
    <w:rsid w:val="00427223"/>
    <w:rsid w:val="0043002B"/>
    <w:rsid w:val="00430A44"/>
    <w:rsid w:val="00446699"/>
    <w:rsid w:val="00461526"/>
    <w:rsid w:val="004629F3"/>
    <w:rsid w:val="00467AD8"/>
    <w:rsid w:val="00470371"/>
    <w:rsid w:val="00477BA5"/>
    <w:rsid w:val="00481189"/>
    <w:rsid w:val="00484620"/>
    <w:rsid w:val="00484BD1"/>
    <w:rsid w:val="004858CC"/>
    <w:rsid w:val="004910EC"/>
    <w:rsid w:val="004A4E63"/>
    <w:rsid w:val="004B2644"/>
    <w:rsid w:val="004B5FCB"/>
    <w:rsid w:val="004C42A3"/>
    <w:rsid w:val="004C54AF"/>
    <w:rsid w:val="004F025C"/>
    <w:rsid w:val="004F5BFF"/>
    <w:rsid w:val="004F786F"/>
    <w:rsid w:val="00500569"/>
    <w:rsid w:val="005029E4"/>
    <w:rsid w:val="00505026"/>
    <w:rsid w:val="00507E30"/>
    <w:rsid w:val="00521057"/>
    <w:rsid w:val="00527C48"/>
    <w:rsid w:val="005320C7"/>
    <w:rsid w:val="00532929"/>
    <w:rsid w:val="00533784"/>
    <w:rsid w:val="00534ABC"/>
    <w:rsid w:val="00535274"/>
    <w:rsid w:val="005377FA"/>
    <w:rsid w:val="0054512A"/>
    <w:rsid w:val="0055071F"/>
    <w:rsid w:val="005508EA"/>
    <w:rsid w:val="00563E76"/>
    <w:rsid w:val="00570DD8"/>
    <w:rsid w:val="00572743"/>
    <w:rsid w:val="00573F35"/>
    <w:rsid w:val="00575571"/>
    <w:rsid w:val="00580A5F"/>
    <w:rsid w:val="00580C0F"/>
    <w:rsid w:val="00582626"/>
    <w:rsid w:val="00596E55"/>
    <w:rsid w:val="005971A8"/>
    <w:rsid w:val="005B5361"/>
    <w:rsid w:val="005C2B5E"/>
    <w:rsid w:val="005D4741"/>
    <w:rsid w:val="005D6AB9"/>
    <w:rsid w:val="005D6E8B"/>
    <w:rsid w:val="005E3BAB"/>
    <w:rsid w:val="005F0F7B"/>
    <w:rsid w:val="005F1CBE"/>
    <w:rsid w:val="005F62EB"/>
    <w:rsid w:val="006007D2"/>
    <w:rsid w:val="00601A4E"/>
    <w:rsid w:val="00601E0A"/>
    <w:rsid w:val="00602C9A"/>
    <w:rsid w:val="00604780"/>
    <w:rsid w:val="006061BD"/>
    <w:rsid w:val="00606DF2"/>
    <w:rsid w:val="00607D8A"/>
    <w:rsid w:val="00610115"/>
    <w:rsid w:val="006102FF"/>
    <w:rsid w:val="00613D35"/>
    <w:rsid w:val="00614F3B"/>
    <w:rsid w:val="006153F6"/>
    <w:rsid w:val="00620F70"/>
    <w:rsid w:val="0062560D"/>
    <w:rsid w:val="00627827"/>
    <w:rsid w:val="00630437"/>
    <w:rsid w:val="006355E3"/>
    <w:rsid w:val="00641F92"/>
    <w:rsid w:val="0064373B"/>
    <w:rsid w:val="00643BAA"/>
    <w:rsid w:val="006443E1"/>
    <w:rsid w:val="00644E75"/>
    <w:rsid w:val="00644ED5"/>
    <w:rsid w:val="00646F67"/>
    <w:rsid w:val="006502FA"/>
    <w:rsid w:val="006507FB"/>
    <w:rsid w:val="00653816"/>
    <w:rsid w:val="00653926"/>
    <w:rsid w:val="0065544E"/>
    <w:rsid w:val="0065723A"/>
    <w:rsid w:val="0066271A"/>
    <w:rsid w:val="00667231"/>
    <w:rsid w:val="00674FEC"/>
    <w:rsid w:val="00685F77"/>
    <w:rsid w:val="00691D74"/>
    <w:rsid w:val="00692D80"/>
    <w:rsid w:val="00692DD6"/>
    <w:rsid w:val="00697810"/>
    <w:rsid w:val="006A3036"/>
    <w:rsid w:val="006A37D2"/>
    <w:rsid w:val="006A3D10"/>
    <w:rsid w:val="006A48DE"/>
    <w:rsid w:val="006A4E9F"/>
    <w:rsid w:val="006A572C"/>
    <w:rsid w:val="006B2EBF"/>
    <w:rsid w:val="006B409E"/>
    <w:rsid w:val="006C25BF"/>
    <w:rsid w:val="006C344C"/>
    <w:rsid w:val="006C54E5"/>
    <w:rsid w:val="006C6790"/>
    <w:rsid w:val="006C76A3"/>
    <w:rsid w:val="006D056A"/>
    <w:rsid w:val="006D1FC3"/>
    <w:rsid w:val="006D3F62"/>
    <w:rsid w:val="006E121A"/>
    <w:rsid w:val="006E275C"/>
    <w:rsid w:val="006E5E32"/>
    <w:rsid w:val="006E7BDD"/>
    <w:rsid w:val="006F55D7"/>
    <w:rsid w:val="006F663A"/>
    <w:rsid w:val="00703292"/>
    <w:rsid w:val="00704F8C"/>
    <w:rsid w:val="007114D4"/>
    <w:rsid w:val="007122B0"/>
    <w:rsid w:val="00714B4A"/>
    <w:rsid w:val="00715B0F"/>
    <w:rsid w:val="0072014E"/>
    <w:rsid w:val="0072035F"/>
    <w:rsid w:val="0072067C"/>
    <w:rsid w:val="007215E1"/>
    <w:rsid w:val="00722DD5"/>
    <w:rsid w:val="00724A9C"/>
    <w:rsid w:val="00726417"/>
    <w:rsid w:val="00733E9F"/>
    <w:rsid w:val="00734176"/>
    <w:rsid w:val="007344BB"/>
    <w:rsid w:val="007441AF"/>
    <w:rsid w:val="00746161"/>
    <w:rsid w:val="0074648C"/>
    <w:rsid w:val="007464F4"/>
    <w:rsid w:val="00746654"/>
    <w:rsid w:val="0074742D"/>
    <w:rsid w:val="00760436"/>
    <w:rsid w:val="00762311"/>
    <w:rsid w:val="00762CDF"/>
    <w:rsid w:val="00763CB9"/>
    <w:rsid w:val="00767333"/>
    <w:rsid w:val="00772EB2"/>
    <w:rsid w:val="0077543A"/>
    <w:rsid w:val="00775527"/>
    <w:rsid w:val="00777063"/>
    <w:rsid w:val="00780775"/>
    <w:rsid w:val="00781921"/>
    <w:rsid w:val="00784392"/>
    <w:rsid w:val="00786124"/>
    <w:rsid w:val="00787541"/>
    <w:rsid w:val="007949AD"/>
    <w:rsid w:val="00797F00"/>
    <w:rsid w:val="007A5212"/>
    <w:rsid w:val="007B02B5"/>
    <w:rsid w:val="007B0B5F"/>
    <w:rsid w:val="007B3779"/>
    <w:rsid w:val="007B533A"/>
    <w:rsid w:val="007B763D"/>
    <w:rsid w:val="007B79F2"/>
    <w:rsid w:val="007B7AF9"/>
    <w:rsid w:val="007C2417"/>
    <w:rsid w:val="007C2D61"/>
    <w:rsid w:val="007C5390"/>
    <w:rsid w:val="007C6D9A"/>
    <w:rsid w:val="007D04FD"/>
    <w:rsid w:val="007D2E47"/>
    <w:rsid w:val="007D7C1B"/>
    <w:rsid w:val="007E6B20"/>
    <w:rsid w:val="007F4049"/>
    <w:rsid w:val="007F56C7"/>
    <w:rsid w:val="007F5891"/>
    <w:rsid w:val="007F6482"/>
    <w:rsid w:val="007F7651"/>
    <w:rsid w:val="007F7D43"/>
    <w:rsid w:val="00801043"/>
    <w:rsid w:val="00803A38"/>
    <w:rsid w:val="00807988"/>
    <w:rsid w:val="0081032C"/>
    <w:rsid w:val="0081238F"/>
    <w:rsid w:val="00812F37"/>
    <w:rsid w:val="00813267"/>
    <w:rsid w:val="00814D45"/>
    <w:rsid w:val="00815391"/>
    <w:rsid w:val="00820B9F"/>
    <w:rsid w:val="0082140E"/>
    <w:rsid w:val="00825092"/>
    <w:rsid w:val="00825887"/>
    <w:rsid w:val="008270F1"/>
    <w:rsid w:val="00827310"/>
    <w:rsid w:val="00831647"/>
    <w:rsid w:val="00833BAB"/>
    <w:rsid w:val="00834694"/>
    <w:rsid w:val="008349FD"/>
    <w:rsid w:val="008376B4"/>
    <w:rsid w:val="00837983"/>
    <w:rsid w:val="00837989"/>
    <w:rsid w:val="00840EF3"/>
    <w:rsid w:val="00843742"/>
    <w:rsid w:val="008514B4"/>
    <w:rsid w:val="0085332A"/>
    <w:rsid w:val="00853CB0"/>
    <w:rsid w:val="008603C3"/>
    <w:rsid w:val="008668D8"/>
    <w:rsid w:val="00874E06"/>
    <w:rsid w:val="008757E6"/>
    <w:rsid w:val="008758E0"/>
    <w:rsid w:val="00883EF8"/>
    <w:rsid w:val="00886C6D"/>
    <w:rsid w:val="008907BC"/>
    <w:rsid w:val="008914BB"/>
    <w:rsid w:val="00891A58"/>
    <w:rsid w:val="008921A4"/>
    <w:rsid w:val="008943E7"/>
    <w:rsid w:val="0089543D"/>
    <w:rsid w:val="008A3F76"/>
    <w:rsid w:val="008B0AB0"/>
    <w:rsid w:val="008B55C8"/>
    <w:rsid w:val="008B7605"/>
    <w:rsid w:val="008D236B"/>
    <w:rsid w:val="008D530C"/>
    <w:rsid w:val="008E4D80"/>
    <w:rsid w:val="008E7285"/>
    <w:rsid w:val="008F0C71"/>
    <w:rsid w:val="008F4042"/>
    <w:rsid w:val="008F7354"/>
    <w:rsid w:val="00901020"/>
    <w:rsid w:val="009041C7"/>
    <w:rsid w:val="00914B9C"/>
    <w:rsid w:val="00916C2A"/>
    <w:rsid w:val="009216A2"/>
    <w:rsid w:val="009229D2"/>
    <w:rsid w:val="0093189B"/>
    <w:rsid w:val="009326CA"/>
    <w:rsid w:val="0093666D"/>
    <w:rsid w:val="00936AD4"/>
    <w:rsid w:val="00937C45"/>
    <w:rsid w:val="00937D9D"/>
    <w:rsid w:val="009449EA"/>
    <w:rsid w:val="00946584"/>
    <w:rsid w:val="00950D1A"/>
    <w:rsid w:val="00951E5E"/>
    <w:rsid w:val="00953F98"/>
    <w:rsid w:val="00955864"/>
    <w:rsid w:val="00957847"/>
    <w:rsid w:val="009631E1"/>
    <w:rsid w:val="009645D7"/>
    <w:rsid w:val="00964EF1"/>
    <w:rsid w:val="0097126B"/>
    <w:rsid w:val="0097152D"/>
    <w:rsid w:val="00971B78"/>
    <w:rsid w:val="00976C34"/>
    <w:rsid w:val="00982B02"/>
    <w:rsid w:val="009835BF"/>
    <w:rsid w:val="00985083"/>
    <w:rsid w:val="00991DAB"/>
    <w:rsid w:val="009940B4"/>
    <w:rsid w:val="009968AA"/>
    <w:rsid w:val="009A13D0"/>
    <w:rsid w:val="009A3EF3"/>
    <w:rsid w:val="009A657C"/>
    <w:rsid w:val="009A67C3"/>
    <w:rsid w:val="009B0E06"/>
    <w:rsid w:val="009B25D4"/>
    <w:rsid w:val="009B2A71"/>
    <w:rsid w:val="009B5C70"/>
    <w:rsid w:val="009B6750"/>
    <w:rsid w:val="009B7BCB"/>
    <w:rsid w:val="009C34B9"/>
    <w:rsid w:val="009C520F"/>
    <w:rsid w:val="009D4DAB"/>
    <w:rsid w:val="009D572C"/>
    <w:rsid w:val="009E212E"/>
    <w:rsid w:val="009E3704"/>
    <w:rsid w:val="009E4109"/>
    <w:rsid w:val="009E6F5D"/>
    <w:rsid w:val="009F75B6"/>
    <w:rsid w:val="00A03F81"/>
    <w:rsid w:val="00A06766"/>
    <w:rsid w:val="00A11BEA"/>
    <w:rsid w:val="00A12380"/>
    <w:rsid w:val="00A20A10"/>
    <w:rsid w:val="00A32773"/>
    <w:rsid w:val="00A40B8D"/>
    <w:rsid w:val="00A43A35"/>
    <w:rsid w:val="00A4470F"/>
    <w:rsid w:val="00A50264"/>
    <w:rsid w:val="00A51E10"/>
    <w:rsid w:val="00A63E35"/>
    <w:rsid w:val="00A64CEE"/>
    <w:rsid w:val="00A64E4B"/>
    <w:rsid w:val="00A66D82"/>
    <w:rsid w:val="00A75513"/>
    <w:rsid w:val="00A7799F"/>
    <w:rsid w:val="00A82183"/>
    <w:rsid w:val="00A830E5"/>
    <w:rsid w:val="00A870F0"/>
    <w:rsid w:val="00A944DC"/>
    <w:rsid w:val="00AA19F5"/>
    <w:rsid w:val="00AA28DA"/>
    <w:rsid w:val="00AA42A6"/>
    <w:rsid w:val="00AA6350"/>
    <w:rsid w:val="00AB65E1"/>
    <w:rsid w:val="00AB6CE1"/>
    <w:rsid w:val="00AB7396"/>
    <w:rsid w:val="00AC1DB5"/>
    <w:rsid w:val="00AD4286"/>
    <w:rsid w:val="00AD4A4D"/>
    <w:rsid w:val="00AE1A00"/>
    <w:rsid w:val="00AE20E2"/>
    <w:rsid w:val="00AE73C0"/>
    <w:rsid w:val="00AF2AD5"/>
    <w:rsid w:val="00AF5F13"/>
    <w:rsid w:val="00AF79BD"/>
    <w:rsid w:val="00B00A64"/>
    <w:rsid w:val="00B029BD"/>
    <w:rsid w:val="00B02DC5"/>
    <w:rsid w:val="00B04485"/>
    <w:rsid w:val="00B05668"/>
    <w:rsid w:val="00B12A67"/>
    <w:rsid w:val="00B15C78"/>
    <w:rsid w:val="00B17417"/>
    <w:rsid w:val="00B30F20"/>
    <w:rsid w:val="00B371D0"/>
    <w:rsid w:val="00B42EAE"/>
    <w:rsid w:val="00B466CA"/>
    <w:rsid w:val="00B46B26"/>
    <w:rsid w:val="00B5137D"/>
    <w:rsid w:val="00B53875"/>
    <w:rsid w:val="00B57BFB"/>
    <w:rsid w:val="00B60E91"/>
    <w:rsid w:val="00B6399F"/>
    <w:rsid w:val="00B6640C"/>
    <w:rsid w:val="00B669C3"/>
    <w:rsid w:val="00B714B1"/>
    <w:rsid w:val="00B73D6A"/>
    <w:rsid w:val="00B75266"/>
    <w:rsid w:val="00B75323"/>
    <w:rsid w:val="00B75BC2"/>
    <w:rsid w:val="00B77EF4"/>
    <w:rsid w:val="00B85679"/>
    <w:rsid w:val="00B85E81"/>
    <w:rsid w:val="00B9218C"/>
    <w:rsid w:val="00BA0FDC"/>
    <w:rsid w:val="00BA4838"/>
    <w:rsid w:val="00BA69CE"/>
    <w:rsid w:val="00BA7787"/>
    <w:rsid w:val="00BA7DF2"/>
    <w:rsid w:val="00BB1167"/>
    <w:rsid w:val="00BB7959"/>
    <w:rsid w:val="00BC569E"/>
    <w:rsid w:val="00BC6263"/>
    <w:rsid w:val="00BD3C9B"/>
    <w:rsid w:val="00BD4C5E"/>
    <w:rsid w:val="00BD5173"/>
    <w:rsid w:val="00BD69A6"/>
    <w:rsid w:val="00BD77DC"/>
    <w:rsid w:val="00BE17B6"/>
    <w:rsid w:val="00BE1B6F"/>
    <w:rsid w:val="00BE61A3"/>
    <w:rsid w:val="00BF5BFA"/>
    <w:rsid w:val="00BF5D56"/>
    <w:rsid w:val="00C00AB7"/>
    <w:rsid w:val="00C04D2F"/>
    <w:rsid w:val="00C07217"/>
    <w:rsid w:val="00C113AD"/>
    <w:rsid w:val="00C12BA1"/>
    <w:rsid w:val="00C150B7"/>
    <w:rsid w:val="00C1621E"/>
    <w:rsid w:val="00C177E8"/>
    <w:rsid w:val="00C23F42"/>
    <w:rsid w:val="00C2428D"/>
    <w:rsid w:val="00C27A73"/>
    <w:rsid w:val="00C321B9"/>
    <w:rsid w:val="00C332A5"/>
    <w:rsid w:val="00C33EB1"/>
    <w:rsid w:val="00C42F2B"/>
    <w:rsid w:val="00C46C28"/>
    <w:rsid w:val="00C505A7"/>
    <w:rsid w:val="00C520FF"/>
    <w:rsid w:val="00C5286E"/>
    <w:rsid w:val="00C550EC"/>
    <w:rsid w:val="00C619D8"/>
    <w:rsid w:val="00C62944"/>
    <w:rsid w:val="00C637BF"/>
    <w:rsid w:val="00C70EAE"/>
    <w:rsid w:val="00C721D1"/>
    <w:rsid w:val="00C72E7E"/>
    <w:rsid w:val="00C731C9"/>
    <w:rsid w:val="00C73515"/>
    <w:rsid w:val="00C7458E"/>
    <w:rsid w:val="00C746E9"/>
    <w:rsid w:val="00C80478"/>
    <w:rsid w:val="00C817FC"/>
    <w:rsid w:val="00C84E40"/>
    <w:rsid w:val="00C87172"/>
    <w:rsid w:val="00C935DC"/>
    <w:rsid w:val="00C96007"/>
    <w:rsid w:val="00C97125"/>
    <w:rsid w:val="00C975AE"/>
    <w:rsid w:val="00C975C2"/>
    <w:rsid w:val="00CA1281"/>
    <w:rsid w:val="00CA3B43"/>
    <w:rsid w:val="00CA4F21"/>
    <w:rsid w:val="00CB2DE5"/>
    <w:rsid w:val="00CB4E7A"/>
    <w:rsid w:val="00CB758E"/>
    <w:rsid w:val="00CC0182"/>
    <w:rsid w:val="00CC1C8E"/>
    <w:rsid w:val="00CC22CE"/>
    <w:rsid w:val="00CC32C2"/>
    <w:rsid w:val="00CC38C3"/>
    <w:rsid w:val="00CC715F"/>
    <w:rsid w:val="00CC75B9"/>
    <w:rsid w:val="00CC7C05"/>
    <w:rsid w:val="00CD341A"/>
    <w:rsid w:val="00CD6AD0"/>
    <w:rsid w:val="00CF02EB"/>
    <w:rsid w:val="00CF1C2B"/>
    <w:rsid w:val="00CF4207"/>
    <w:rsid w:val="00CF5C2F"/>
    <w:rsid w:val="00D00704"/>
    <w:rsid w:val="00D0300E"/>
    <w:rsid w:val="00D03BFA"/>
    <w:rsid w:val="00D0486B"/>
    <w:rsid w:val="00D07E61"/>
    <w:rsid w:val="00D10911"/>
    <w:rsid w:val="00D13FBA"/>
    <w:rsid w:val="00D2160B"/>
    <w:rsid w:val="00D32E1A"/>
    <w:rsid w:val="00D36948"/>
    <w:rsid w:val="00D36BFB"/>
    <w:rsid w:val="00D41AA9"/>
    <w:rsid w:val="00D4226C"/>
    <w:rsid w:val="00D45F66"/>
    <w:rsid w:val="00D464CF"/>
    <w:rsid w:val="00D46EAF"/>
    <w:rsid w:val="00D53AC2"/>
    <w:rsid w:val="00D57E9E"/>
    <w:rsid w:val="00D60C7D"/>
    <w:rsid w:val="00D85A09"/>
    <w:rsid w:val="00D86808"/>
    <w:rsid w:val="00D96546"/>
    <w:rsid w:val="00D96823"/>
    <w:rsid w:val="00DA1736"/>
    <w:rsid w:val="00DA3A1F"/>
    <w:rsid w:val="00DB4973"/>
    <w:rsid w:val="00DC2E83"/>
    <w:rsid w:val="00DC5827"/>
    <w:rsid w:val="00DC77F3"/>
    <w:rsid w:val="00DD1055"/>
    <w:rsid w:val="00DD603E"/>
    <w:rsid w:val="00DD7B75"/>
    <w:rsid w:val="00DE0775"/>
    <w:rsid w:val="00DE1291"/>
    <w:rsid w:val="00DE2972"/>
    <w:rsid w:val="00DE2992"/>
    <w:rsid w:val="00DE2B7B"/>
    <w:rsid w:val="00DE6167"/>
    <w:rsid w:val="00DF7458"/>
    <w:rsid w:val="00E00BC5"/>
    <w:rsid w:val="00E0172D"/>
    <w:rsid w:val="00E02758"/>
    <w:rsid w:val="00E04F54"/>
    <w:rsid w:val="00E061E8"/>
    <w:rsid w:val="00E073D4"/>
    <w:rsid w:val="00E0761E"/>
    <w:rsid w:val="00E1144C"/>
    <w:rsid w:val="00E16955"/>
    <w:rsid w:val="00E16AFB"/>
    <w:rsid w:val="00E16E88"/>
    <w:rsid w:val="00E17244"/>
    <w:rsid w:val="00E21687"/>
    <w:rsid w:val="00E2583B"/>
    <w:rsid w:val="00E27F03"/>
    <w:rsid w:val="00E307E4"/>
    <w:rsid w:val="00E3164B"/>
    <w:rsid w:val="00E32900"/>
    <w:rsid w:val="00E33DF3"/>
    <w:rsid w:val="00E4516A"/>
    <w:rsid w:val="00E45642"/>
    <w:rsid w:val="00E53AAB"/>
    <w:rsid w:val="00E55869"/>
    <w:rsid w:val="00E62E84"/>
    <w:rsid w:val="00E63BB0"/>
    <w:rsid w:val="00E6506B"/>
    <w:rsid w:val="00E74DDA"/>
    <w:rsid w:val="00E77AC9"/>
    <w:rsid w:val="00E8168B"/>
    <w:rsid w:val="00E8329F"/>
    <w:rsid w:val="00E8419B"/>
    <w:rsid w:val="00E84F97"/>
    <w:rsid w:val="00E859C9"/>
    <w:rsid w:val="00E90052"/>
    <w:rsid w:val="00E90438"/>
    <w:rsid w:val="00E93EF1"/>
    <w:rsid w:val="00E955DC"/>
    <w:rsid w:val="00E961D1"/>
    <w:rsid w:val="00E96499"/>
    <w:rsid w:val="00EA0D04"/>
    <w:rsid w:val="00EA31A7"/>
    <w:rsid w:val="00EA39D3"/>
    <w:rsid w:val="00EB20FA"/>
    <w:rsid w:val="00EB32F6"/>
    <w:rsid w:val="00EB4371"/>
    <w:rsid w:val="00EB54D5"/>
    <w:rsid w:val="00EB75EA"/>
    <w:rsid w:val="00EB7859"/>
    <w:rsid w:val="00EC11C6"/>
    <w:rsid w:val="00EC5C7B"/>
    <w:rsid w:val="00EC5E9E"/>
    <w:rsid w:val="00EC61B3"/>
    <w:rsid w:val="00ED672A"/>
    <w:rsid w:val="00ED70B8"/>
    <w:rsid w:val="00EE0CEC"/>
    <w:rsid w:val="00EE19AF"/>
    <w:rsid w:val="00EE628E"/>
    <w:rsid w:val="00EF0BBF"/>
    <w:rsid w:val="00EF642A"/>
    <w:rsid w:val="00EF6590"/>
    <w:rsid w:val="00F03F4E"/>
    <w:rsid w:val="00F040FA"/>
    <w:rsid w:val="00F1081E"/>
    <w:rsid w:val="00F12A77"/>
    <w:rsid w:val="00F229CC"/>
    <w:rsid w:val="00F24FE3"/>
    <w:rsid w:val="00F30F0B"/>
    <w:rsid w:val="00F41C91"/>
    <w:rsid w:val="00F46243"/>
    <w:rsid w:val="00F514D6"/>
    <w:rsid w:val="00F53374"/>
    <w:rsid w:val="00F5560B"/>
    <w:rsid w:val="00F665EB"/>
    <w:rsid w:val="00F72B2E"/>
    <w:rsid w:val="00F73679"/>
    <w:rsid w:val="00F774C4"/>
    <w:rsid w:val="00F81E79"/>
    <w:rsid w:val="00F90B58"/>
    <w:rsid w:val="00F91B9F"/>
    <w:rsid w:val="00F93EC0"/>
    <w:rsid w:val="00F954B8"/>
    <w:rsid w:val="00F96D88"/>
    <w:rsid w:val="00FA0514"/>
    <w:rsid w:val="00FA1E1D"/>
    <w:rsid w:val="00FA5A5F"/>
    <w:rsid w:val="00FB0026"/>
    <w:rsid w:val="00FB6447"/>
    <w:rsid w:val="00FB78F5"/>
    <w:rsid w:val="00FC0434"/>
    <w:rsid w:val="00FC3F8F"/>
    <w:rsid w:val="00FC6549"/>
    <w:rsid w:val="00FD10DA"/>
    <w:rsid w:val="00FD470A"/>
    <w:rsid w:val="00FE0DD1"/>
    <w:rsid w:val="00FE55D2"/>
    <w:rsid w:val="00FE63E0"/>
    <w:rsid w:val="00FF1A38"/>
    <w:rsid w:val="00FF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4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B7"/>
    <w:pPr>
      <w:jc w:val="both"/>
    </w:pPr>
    <w:rPr>
      <w:rFonts w:ascii="Arial" w:hAnsi="Arial"/>
      <w:lang w:val="en-GB"/>
    </w:rPr>
  </w:style>
  <w:style w:type="paragraph" w:styleId="1">
    <w:name w:val="heading 1"/>
    <w:basedOn w:val="a"/>
    <w:next w:val="a"/>
    <w:link w:val="1Char"/>
    <w:uiPriority w:val="9"/>
    <w:qFormat/>
    <w:rsid w:val="00507E30"/>
    <w:pPr>
      <w:keepNext/>
      <w:keepLines/>
      <w:spacing w:before="240"/>
      <w:outlineLvl w:val="0"/>
    </w:pPr>
    <w:rPr>
      <w:rFonts w:eastAsiaTheme="majorEastAsia" w:cstheme="majorBidi"/>
      <w:b/>
      <w:szCs w:val="32"/>
    </w:rPr>
  </w:style>
  <w:style w:type="paragraph" w:styleId="2">
    <w:name w:val="heading 2"/>
    <w:basedOn w:val="a"/>
    <w:next w:val="a"/>
    <w:link w:val="2Char"/>
    <w:uiPriority w:val="9"/>
    <w:unhideWhenUsed/>
    <w:qFormat/>
    <w:rsid w:val="0026105F"/>
    <w:pPr>
      <w:keepNext/>
      <w:keepLines/>
      <w:spacing w:before="40" w:line="360" w:lineRule="auto"/>
      <w:outlineLvl w:val="1"/>
    </w:pPr>
    <w:rPr>
      <w:rFonts w:eastAsiaTheme="majorEastAsia" w:cstheme="majorBidi"/>
      <w:i/>
      <w:szCs w:val="26"/>
    </w:rPr>
  </w:style>
  <w:style w:type="paragraph" w:styleId="3">
    <w:name w:val="heading 3"/>
    <w:basedOn w:val="a"/>
    <w:next w:val="a"/>
    <w:link w:val="3Char"/>
    <w:uiPriority w:val="9"/>
    <w:unhideWhenUsed/>
    <w:qFormat/>
    <w:rsid w:val="00784392"/>
    <w:pPr>
      <w:keepNext/>
      <w:keepLines/>
      <w:spacing w:before="40"/>
      <w:outlineLvl w:val="2"/>
    </w:pPr>
    <w:rPr>
      <w:rFonts w:eastAsiaTheme="majorEastAsia" w:cstheme="majorBidi"/>
      <w: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84392"/>
    <w:rPr>
      <w:rFonts w:ascii="Arial" w:eastAsiaTheme="majorEastAsia" w:hAnsi="Arial" w:cstheme="majorBidi"/>
      <w:i/>
      <w:color w:val="000000" w:themeColor="text1"/>
    </w:rPr>
  </w:style>
  <w:style w:type="paragraph" w:styleId="a3">
    <w:name w:val="Normal (Web)"/>
    <w:basedOn w:val="a"/>
    <w:uiPriority w:val="99"/>
    <w:unhideWhenUsed/>
    <w:rsid w:val="00AA42A6"/>
    <w:pPr>
      <w:spacing w:before="100" w:beforeAutospacing="1" w:after="100" w:afterAutospacing="1"/>
    </w:pPr>
    <w:rPr>
      <w:rFonts w:ascii="Times New Roman" w:hAnsi="Times New Roman" w:cs="Times New Roman"/>
    </w:rPr>
  </w:style>
  <w:style w:type="paragraph" w:styleId="a4">
    <w:name w:val="Title"/>
    <w:basedOn w:val="a"/>
    <w:next w:val="a"/>
    <w:link w:val="Char"/>
    <w:uiPriority w:val="10"/>
    <w:qFormat/>
    <w:rsid w:val="00BA69CE"/>
    <w:pPr>
      <w:spacing w:line="360" w:lineRule="auto"/>
      <w:contextualSpacing/>
      <w:jc w:val="center"/>
    </w:pPr>
    <w:rPr>
      <w:rFonts w:eastAsiaTheme="majorEastAsia" w:cstheme="majorBidi"/>
      <w:b/>
      <w:spacing w:val="-10"/>
      <w:kern w:val="28"/>
      <w:szCs w:val="56"/>
    </w:rPr>
  </w:style>
  <w:style w:type="character" w:customStyle="1" w:styleId="Char">
    <w:name w:val="标题 Char"/>
    <w:basedOn w:val="a0"/>
    <w:link w:val="a4"/>
    <w:uiPriority w:val="10"/>
    <w:rsid w:val="00BA69CE"/>
    <w:rPr>
      <w:rFonts w:ascii="Arial" w:eastAsiaTheme="majorEastAsia" w:hAnsi="Arial" w:cstheme="majorBidi"/>
      <w:b/>
      <w:spacing w:val="-10"/>
      <w:kern w:val="28"/>
      <w:szCs w:val="56"/>
    </w:rPr>
  </w:style>
  <w:style w:type="character" w:customStyle="1" w:styleId="1Char">
    <w:name w:val="标题 1 Char"/>
    <w:basedOn w:val="a0"/>
    <w:link w:val="1"/>
    <w:uiPriority w:val="9"/>
    <w:rsid w:val="00507E30"/>
    <w:rPr>
      <w:rFonts w:ascii="Arial" w:eastAsiaTheme="majorEastAsia" w:hAnsi="Arial" w:cstheme="majorBidi"/>
      <w:b/>
      <w:szCs w:val="32"/>
    </w:rPr>
  </w:style>
  <w:style w:type="character" w:customStyle="1" w:styleId="2Char">
    <w:name w:val="标题 2 Char"/>
    <w:basedOn w:val="a0"/>
    <w:link w:val="2"/>
    <w:uiPriority w:val="9"/>
    <w:rsid w:val="0026105F"/>
    <w:rPr>
      <w:rFonts w:ascii="Arial" w:eastAsiaTheme="majorEastAsia" w:hAnsi="Arial" w:cstheme="majorBidi"/>
      <w:i/>
      <w:szCs w:val="26"/>
    </w:rPr>
  </w:style>
  <w:style w:type="paragraph" w:styleId="TOC">
    <w:name w:val="TOC Heading"/>
    <w:basedOn w:val="1"/>
    <w:next w:val="a"/>
    <w:uiPriority w:val="39"/>
    <w:unhideWhenUsed/>
    <w:qFormat/>
    <w:rsid w:val="00C00AB7"/>
    <w:pPr>
      <w:spacing w:line="259" w:lineRule="auto"/>
      <w:outlineLvl w:val="9"/>
    </w:pPr>
    <w:rPr>
      <w:rFonts w:asciiTheme="majorHAnsi" w:hAnsiTheme="majorHAnsi"/>
      <w:b w:val="0"/>
      <w:color w:val="2E74B5" w:themeColor="accent1" w:themeShade="BF"/>
      <w:sz w:val="32"/>
    </w:rPr>
  </w:style>
  <w:style w:type="paragraph" w:styleId="10">
    <w:name w:val="toc 1"/>
    <w:basedOn w:val="a"/>
    <w:next w:val="a"/>
    <w:autoRedefine/>
    <w:uiPriority w:val="39"/>
    <w:unhideWhenUsed/>
    <w:rsid w:val="00C00AB7"/>
    <w:pPr>
      <w:spacing w:after="100"/>
    </w:pPr>
  </w:style>
  <w:style w:type="paragraph" w:styleId="30">
    <w:name w:val="toc 3"/>
    <w:basedOn w:val="a"/>
    <w:next w:val="a"/>
    <w:autoRedefine/>
    <w:uiPriority w:val="39"/>
    <w:unhideWhenUsed/>
    <w:rsid w:val="00C00AB7"/>
    <w:pPr>
      <w:spacing w:after="100"/>
      <w:ind w:left="480"/>
    </w:pPr>
  </w:style>
  <w:style w:type="paragraph" w:styleId="20">
    <w:name w:val="toc 2"/>
    <w:basedOn w:val="a"/>
    <w:next w:val="a"/>
    <w:autoRedefine/>
    <w:uiPriority w:val="39"/>
    <w:unhideWhenUsed/>
    <w:rsid w:val="00C00AB7"/>
    <w:pPr>
      <w:spacing w:after="100"/>
      <w:ind w:left="240"/>
    </w:pPr>
  </w:style>
  <w:style w:type="character" w:styleId="a5">
    <w:name w:val="Hyperlink"/>
    <w:basedOn w:val="a0"/>
    <w:uiPriority w:val="99"/>
    <w:unhideWhenUsed/>
    <w:rsid w:val="00C00AB7"/>
    <w:rPr>
      <w:color w:val="0563C1" w:themeColor="hyperlink"/>
      <w:u w:val="single"/>
    </w:rPr>
  </w:style>
  <w:style w:type="paragraph" w:styleId="a6">
    <w:name w:val="Balloon Text"/>
    <w:basedOn w:val="a"/>
    <w:link w:val="Char0"/>
    <w:uiPriority w:val="99"/>
    <w:semiHidden/>
    <w:unhideWhenUsed/>
    <w:rsid w:val="00F5560B"/>
    <w:rPr>
      <w:rFonts w:ascii="Segoe UI" w:hAnsi="Segoe UI" w:cs="Segoe UI"/>
      <w:sz w:val="18"/>
      <w:szCs w:val="18"/>
    </w:rPr>
  </w:style>
  <w:style w:type="character" w:customStyle="1" w:styleId="Char0">
    <w:name w:val="批注框文本 Char"/>
    <w:basedOn w:val="a0"/>
    <w:link w:val="a6"/>
    <w:uiPriority w:val="99"/>
    <w:semiHidden/>
    <w:rsid w:val="00F5560B"/>
    <w:rPr>
      <w:rFonts w:ascii="Segoe UI" w:hAnsi="Segoe UI" w:cs="Segoe UI"/>
      <w:sz w:val="18"/>
      <w:szCs w:val="18"/>
    </w:rPr>
  </w:style>
  <w:style w:type="character" w:styleId="a7">
    <w:name w:val="annotation reference"/>
    <w:basedOn w:val="a0"/>
    <w:uiPriority w:val="99"/>
    <w:semiHidden/>
    <w:unhideWhenUsed/>
    <w:rsid w:val="00F5560B"/>
    <w:rPr>
      <w:sz w:val="16"/>
      <w:szCs w:val="16"/>
    </w:rPr>
  </w:style>
  <w:style w:type="paragraph" w:styleId="a8">
    <w:name w:val="annotation text"/>
    <w:basedOn w:val="a"/>
    <w:link w:val="Char1"/>
    <w:uiPriority w:val="99"/>
    <w:semiHidden/>
    <w:unhideWhenUsed/>
    <w:rsid w:val="00F5560B"/>
    <w:rPr>
      <w:sz w:val="20"/>
      <w:szCs w:val="20"/>
    </w:rPr>
  </w:style>
  <w:style w:type="character" w:customStyle="1" w:styleId="Char1">
    <w:name w:val="批注文字 Char"/>
    <w:basedOn w:val="a0"/>
    <w:link w:val="a8"/>
    <w:uiPriority w:val="99"/>
    <w:semiHidden/>
    <w:rsid w:val="00F5560B"/>
    <w:rPr>
      <w:rFonts w:ascii="Arial" w:hAnsi="Arial"/>
      <w:sz w:val="20"/>
      <w:szCs w:val="20"/>
    </w:rPr>
  </w:style>
  <w:style w:type="paragraph" w:styleId="a9">
    <w:name w:val="annotation subject"/>
    <w:basedOn w:val="a8"/>
    <w:next w:val="a8"/>
    <w:link w:val="Char2"/>
    <w:uiPriority w:val="99"/>
    <w:semiHidden/>
    <w:unhideWhenUsed/>
    <w:rsid w:val="00F5560B"/>
    <w:rPr>
      <w:b/>
      <w:bCs/>
    </w:rPr>
  </w:style>
  <w:style w:type="character" w:customStyle="1" w:styleId="Char2">
    <w:name w:val="批注主题 Char"/>
    <w:basedOn w:val="Char1"/>
    <w:link w:val="a9"/>
    <w:uiPriority w:val="99"/>
    <w:semiHidden/>
    <w:rsid w:val="00F5560B"/>
    <w:rPr>
      <w:rFonts w:ascii="Arial" w:hAnsi="Arial"/>
      <w:b/>
      <w:bCs/>
      <w:sz w:val="20"/>
      <w:szCs w:val="20"/>
    </w:rPr>
  </w:style>
  <w:style w:type="table" w:styleId="aa">
    <w:name w:val="Table Grid"/>
    <w:basedOn w:val="a1"/>
    <w:uiPriority w:val="39"/>
    <w:rsid w:val="00573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870F5"/>
    <w:pPr>
      <w:ind w:left="720"/>
      <w:contextualSpacing/>
    </w:pPr>
  </w:style>
  <w:style w:type="paragraph" w:styleId="ac">
    <w:name w:val="header"/>
    <w:basedOn w:val="a"/>
    <w:link w:val="Char3"/>
    <w:uiPriority w:val="99"/>
    <w:unhideWhenUsed/>
    <w:rsid w:val="003E06E6"/>
    <w:pPr>
      <w:tabs>
        <w:tab w:val="center" w:pos="4513"/>
        <w:tab w:val="right" w:pos="9026"/>
      </w:tabs>
    </w:pPr>
  </w:style>
  <w:style w:type="character" w:customStyle="1" w:styleId="Char3">
    <w:name w:val="页眉 Char"/>
    <w:basedOn w:val="a0"/>
    <w:link w:val="ac"/>
    <w:uiPriority w:val="99"/>
    <w:rsid w:val="003E06E6"/>
    <w:rPr>
      <w:rFonts w:ascii="Arial" w:hAnsi="Arial"/>
    </w:rPr>
  </w:style>
  <w:style w:type="paragraph" w:styleId="ad">
    <w:name w:val="footer"/>
    <w:basedOn w:val="a"/>
    <w:link w:val="Char4"/>
    <w:uiPriority w:val="99"/>
    <w:unhideWhenUsed/>
    <w:rsid w:val="003E06E6"/>
    <w:pPr>
      <w:tabs>
        <w:tab w:val="center" w:pos="4513"/>
        <w:tab w:val="right" w:pos="9026"/>
      </w:tabs>
    </w:pPr>
  </w:style>
  <w:style w:type="character" w:customStyle="1" w:styleId="Char4">
    <w:name w:val="页脚 Char"/>
    <w:basedOn w:val="a0"/>
    <w:link w:val="ad"/>
    <w:uiPriority w:val="99"/>
    <w:rsid w:val="003E06E6"/>
    <w:rPr>
      <w:rFonts w:ascii="Arial" w:hAnsi="Arial"/>
    </w:rPr>
  </w:style>
  <w:style w:type="character" w:styleId="ae">
    <w:name w:val="line number"/>
    <w:basedOn w:val="a0"/>
    <w:uiPriority w:val="99"/>
    <w:semiHidden/>
    <w:unhideWhenUsed/>
    <w:rsid w:val="003E06E6"/>
  </w:style>
  <w:style w:type="character" w:customStyle="1" w:styleId="complextitleprimary">
    <w:name w:val="complextitle_primary"/>
    <w:basedOn w:val="a0"/>
    <w:rsid w:val="009229D2"/>
  </w:style>
  <w:style w:type="character" w:customStyle="1" w:styleId="complextitlesecondary">
    <w:name w:val="complextitle_secondary"/>
    <w:basedOn w:val="a0"/>
    <w:rsid w:val="009229D2"/>
  </w:style>
  <w:style w:type="character" w:customStyle="1" w:styleId="UnresolvedMention1">
    <w:name w:val="Unresolved Mention1"/>
    <w:basedOn w:val="a0"/>
    <w:uiPriority w:val="99"/>
    <w:semiHidden/>
    <w:unhideWhenUsed/>
    <w:rsid w:val="00AD4286"/>
    <w:rPr>
      <w:color w:val="605E5C"/>
      <w:shd w:val="clear" w:color="auto" w:fill="E1DFDD"/>
    </w:rPr>
  </w:style>
  <w:style w:type="paragraph" w:styleId="af">
    <w:name w:val="Revision"/>
    <w:hidden/>
    <w:uiPriority w:val="99"/>
    <w:semiHidden/>
    <w:rsid w:val="00AD4286"/>
    <w:rPr>
      <w:rFonts w:ascii="Arial" w:hAnsi="Arial"/>
      <w:lang w:val="en-GB"/>
    </w:rPr>
  </w:style>
  <w:style w:type="character" w:styleId="af0">
    <w:name w:val="FollowedHyperlink"/>
    <w:basedOn w:val="a0"/>
    <w:uiPriority w:val="99"/>
    <w:semiHidden/>
    <w:unhideWhenUsed/>
    <w:rsid w:val="00AD4286"/>
    <w:rPr>
      <w:color w:val="954F72" w:themeColor="followedHyperlink"/>
      <w:u w:val="single"/>
    </w:rPr>
  </w:style>
  <w:style w:type="table" w:customStyle="1" w:styleId="TableGrid1">
    <w:name w:val="Table Grid1"/>
    <w:basedOn w:val="a1"/>
    <w:next w:val="aa"/>
    <w:uiPriority w:val="39"/>
    <w:rsid w:val="00172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B7"/>
    <w:pPr>
      <w:jc w:val="both"/>
    </w:pPr>
    <w:rPr>
      <w:rFonts w:ascii="Arial" w:hAnsi="Arial"/>
      <w:lang w:val="en-GB"/>
    </w:rPr>
  </w:style>
  <w:style w:type="paragraph" w:styleId="1">
    <w:name w:val="heading 1"/>
    <w:basedOn w:val="a"/>
    <w:next w:val="a"/>
    <w:link w:val="1Char"/>
    <w:uiPriority w:val="9"/>
    <w:qFormat/>
    <w:rsid w:val="00507E30"/>
    <w:pPr>
      <w:keepNext/>
      <w:keepLines/>
      <w:spacing w:before="240"/>
      <w:outlineLvl w:val="0"/>
    </w:pPr>
    <w:rPr>
      <w:rFonts w:eastAsiaTheme="majorEastAsia" w:cstheme="majorBidi"/>
      <w:b/>
      <w:szCs w:val="32"/>
    </w:rPr>
  </w:style>
  <w:style w:type="paragraph" w:styleId="2">
    <w:name w:val="heading 2"/>
    <w:basedOn w:val="a"/>
    <w:next w:val="a"/>
    <w:link w:val="2Char"/>
    <w:uiPriority w:val="9"/>
    <w:unhideWhenUsed/>
    <w:qFormat/>
    <w:rsid w:val="0026105F"/>
    <w:pPr>
      <w:keepNext/>
      <w:keepLines/>
      <w:spacing w:before="40" w:line="360" w:lineRule="auto"/>
      <w:outlineLvl w:val="1"/>
    </w:pPr>
    <w:rPr>
      <w:rFonts w:eastAsiaTheme="majorEastAsia" w:cstheme="majorBidi"/>
      <w:i/>
      <w:szCs w:val="26"/>
    </w:rPr>
  </w:style>
  <w:style w:type="paragraph" w:styleId="3">
    <w:name w:val="heading 3"/>
    <w:basedOn w:val="a"/>
    <w:next w:val="a"/>
    <w:link w:val="3Char"/>
    <w:uiPriority w:val="9"/>
    <w:unhideWhenUsed/>
    <w:qFormat/>
    <w:rsid w:val="00784392"/>
    <w:pPr>
      <w:keepNext/>
      <w:keepLines/>
      <w:spacing w:before="40"/>
      <w:outlineLvl w:val="2"/>
    </w:pPr>
    <w:rPr>
      <w:rFonts w:eastAsiaTheme="majorEastAsia" w:cstheme="majorBidi"/>
      <w: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84392"/>
    <w:rPr>
      <w:rFonts w:ascii="Arial" w:eastAsiaTheme="majorEastAsia" w:hAnsi="Arial" w:cstheme="majorBidi"/>
      <w:i/>
      <w:color w:val="000000" w:themeColor="text1"/>
    </w:rPr>
  </w:style>
  <w:style w:type="paragraph" w:styleId="a3">
    <w:name w:val="Normal (Web)"/>
    <w:basedOn w:val="a"/>
    <w:uiPriority w:val="99"/>
    <w:unhideWhenUsed/>
    <w:rsid w:val="00AA42A6"/>
    <w:pPr>
      <w:spacing w:before="100" w:beforeAutospacing="1" w:after="100" w:afterAutospacing="1"/>
    </w:pPr>
    <w:rPr>
      <w:rFonts w:ascii="Times New Roman" w:hAnsi="Times New Roman" w:cs="Times New Roman"/>
    </w:rPr>
  </w:style>
  <w:style w:type="paragraph" w:styleId="a4">
    <w:name w:val="Title"/>
    <w:basedOn w:val="a"/>
    <w:next w:val="a"/>
    <w:link w:val="Char"/>
    <w:uiPriority w:val="10"/>
    <w:qFormat/>
    <w:rsid w:val="00BA69CE"/>
    <w:pPr>
      <w:spacing w:line="360" w:lineRule="auto"/>
      <w:contextualSpacing/>
      <w:jc w:val="center"/>
    </w:pPr>
    <w:rPr>
      <w:rFonts w:eastAsiaTheme="majorEastAsia" w:cstheme="majorBidi"/>
      <w:b/>
      <w:spacing w:val="-10"/>
      <w:kern w:val="28"/>
      <w:szCs w:val="56"/>
    </w:rPr>
  </w:style>
  <w:style w:type="character" w:customStyle="1" w:styleId="Char">
    <w:name w:val="标题 Char"/>
    <w:basedOn w:val="a0"/>
    <w:link w:val="a4"/>
    <w:uiPriority w:val="10"/>
    <w:rsid w:val="00BA69CE"/>
    <w:rPr>
      <w:rFonts w:ascii="Arial" w:eastAsiaTheme="majorEastAsia" w:hAnsi="Arial" w:cstheme="majorBidi"/>
      <w:b/>
      <w:spacing w:val="-10"/>
      <w:kern w:val="28"/>
      <w:szCs w:val="56"/>
    </w:rPr>
  </w:style>
  <w:style w:type="character" w:customStyle="1" w:styleId="1Char">
    <w:name w:val="标题 1 Char"/>
    <w:basedOn w:val="a0"/>
    <w:link w:val="1"/>
    <w:uiPriority w:val="9"/>
    <w:rsid w:val="00507E30"/>
    <w:rPr>
      <w:rFonts w:ascii="Arial" w:eastAsiaTheme="majorEastAsia" w:hAnsi="Arial" w:cstheme="majorBidi"/>
      <w:b/>
      <w:szCs w:val="32"/>
    </w:rPr>
  </w:style>
  <w:style w:type="character" w:customStyle="1" w:styleId="2Char">
    <w:name w:val="标题 2 Char"/>
    <w:basedOn w:val="a0"/>
    <w:link w:val="2"/>
    <w:uiPriority w:val="9"/>
    <w:rsid w:val="0026105F"/>
    <w:rPr>
      <w:rFonts w:ascii="Arial" w:eastAsiaTheme="majorEastAsia" w:hAnsi="Arial" w:cstheme="majorBidi"/>
      <w:i/>
      <w:szCs w:val="26"/>
    </w:rPr>
  </w:style>
  <w:style w:type="paragraph" w:styleId="TOC">
    <w:name w:val="TOC Heading"/>
    <w:basedOn w:val="1"/>
    <w:next w:val="a"/>
    <w:uiPriority w:val="39"/>
    <w:unhideWhenUsed/>
    <w:qFormat/>
    <w:rsid w:val="00C00AB7"/>
    <w:pPr>
      <w:spacing w:line="259" w:lineRule="auto"/>
      <w:outlineLvl w:val="9"/>
    </w:pPr>
    <w:rPr>
      <w:rFonts w:asciiTheme="majorHAnsi" w:hAnsiTheme="majorHAnsi"/>
      <w:b w:val="0"/>
      <w:color w:val="2E74B5" w:themeColor="accent1" w:themeShade="BF"/>
      <w:sz w:val="32"/>
    </w:rPr>
  </w:style>
  <w:style w:type="paragraph" w:styleId="10">
    <w:name w:val="toc 1"/>
    <w:basedOn w:val="a"/>
    <w:next w:val="a"/>
    <w:autoRedefine/>
    <w:uiPriority w:val="39"/>
    <w:unhideWhenUsed/>
    <w:rsid w:val="00C00AB7"/>
    <w:pPr>
      <w:spacing w:after="100"/>
    </w:pPr>
  </w:style>
  <w:style w:type="paragraph" w:styleId="30">
    <w:name w:val="toc 3"/>
    <w:basedOn w:val="a"/>
    <w:next w:val="a"/>
    <w:autoRedefine/>
    <w:uiPriority w:val="39"/>
    <w:unhideWhenUsed/>
    <w:rsid w:val="00C00AB7"/>
    <w:pPr>
      <w:spacing w:after="100"/>
      <w:ind w:left="480"/>
    </w:pPr>
  </w:style>
  <w:style w:type="paragraph" w:styleId="20">
    <w:name w:val="toc 2"/>
    <w:basedOn w:val="a"/>
    <w:next w:val="a"/>
    <w:autoRedefine/>
    <w:uiPriority w:val="39"/>
    <w:unhideWhenUsed/>
    <w:rsid w:val="00C00AB7"/>
    <w:pPr>
      <w:spacing w:after="100"/>
      <w:ind w:left="240"/>
    </w:pPr>
  </w:style>
  <w:style w:type="character" w:styleId="a5">
    <w:name w:val="Hyperlink"/>
    <w:basedOn w:val="a0"/>
    <w:uiPriority w:val="99"/>
    <w:unhideWhenUsed/>
    <w:rsid w:val="00C00AB7"/>
    <w:rPr>
      <w:color w:val="0563C1" w:themeColor="hyperlink"/>
      <w:u w:val="single"/>
    </w:rPr>
  </w:style>
  <w:style w:type="paragraph" w:styleId="a6">
    <w:name w:val="Balloon Text"/>
    <w:basedOn w:val="a"/>
    <w:link w:val="Char0"/>
    <w:uiPriority w:val="99"/>
    <w:semiHidden/>
    <w:unhideWhenUsed/>
    <w:rsid w:val="00F5560B"/>
    <w:rPr>
      <w:rFonts w:ascii="Segoe UI" w:hAnsi="Segoe UI" w:cs="Segoe UI"/>
      <w:sz w:val="18"/>
      <w:szCs w:val="18"/>
    </w:rPr>
  </w:style>
  <w:style w:type="character" w:customStyle="1" w:styleId="Char0">
    <w:name w:val="批注框文本 Char"/>
    <w:basedOn w:val="a0"/>
    <w:link w:val="a6"/>
    <w:uiPriority w:val="99"/>
    <w:semiHidden/>
    <w:rsid w:val="00F5560B"/>
    <w:rPr>
      <w:rFonts w:ascii="Segoe UI" w:hAnsi="Segoe UI" w:cs="Segoe UI"/>
      <w:sz w:val="18"/>
      <w:szCs w:val="18"/>
    </w:rPr>
  </w:style>
  <w:style w:type="character" w:styleId="a7">
    <w:name w:val="annotation reference"/>
    <w:basedOn w:val="a0"/>
    <w:uiPriority w:val="99"/>
    <w:semiHidden/>
    <w:unhideWhenUsed/>
    <w:rsid w:val="00F5560B"/>
    <w:rPr>
      <w:sz w:val="16"/>
      <w:szCs w:val="16"/>
    </w:rPr>
  </w:style>
  <w:style w:type="paragraph" w:styleId="a8">
    <w:name w:val="annotation text"/>
    <w:basedOn w:val="a"/>
    <w:link w:val="Char1"/>
    <w:uiPriority w:val="99"/>
    <w:semiHidden/>
    <w:unhideWhenUsed/>
    <w:rsid w:val="00F5560B"/>
    <w:rPr>
      <w:sz w:val="20"/>
      <w:szCs w:val="20"/>
    </w:rPr>
  </w:style>
  <w:style w:type="character" w:customStyle="1" w:styleId="Char1">
    <w:name w:val="批注文字 Char"/>
    <w:basedOn w:val="a0"/>
    <w:link w:val="a8"/>
    <w:uiPriority w:val="99"/>
    <w:semiHidden/>
    <w:rsid w:val="00F5560B"/>
    <w:rPr>
      <w:rFonts w:ascii="Arial" w:hAnsi="Arial"/>
      <w:sz w:val="20"/>
      <w:szCs w:val="20"/>
    </w:rPr>
  </w:style>
  <w:style w:type="paragraph" w:styleId="a9">
    <w:name w:val="annotation subject"/>
    <w:basedOn w:val="a8"/>
    <w:next w:val="a8"/>
    <w:link w:val="Char2"/>
    <w:uiPriority w:val="99"/>
    <w:semiHidden/>
    <w:unhideWhenUsed/>
    <w:rsid w:val="00F5560B"/>
    <w:rPr>
      <w:b/>
      <w:bCs/>
    </w:rPr>
  </w:style>
  <w:style w:type="character" w:customStyle="1" w:styleId="Char2">
    <w:name w:val="批注主题 Char"/>
    <w:basedOn w:val="Char1"/>
    <w:link w:val="a9"/>
    <w:uiPriority w:val="99"/>
    <w:semiHidden/>
    <w:rsid w:val="00F5560B"/>
    <w:rPr>
      <w:rFonts w:ascii="Arial" w:hAnsi="Arial"/>
      <w:b/>
      <w:bCs/>
      <w:sz w:val="20"/>
      <w:szCs w:val="20"/>
    </w:rPr>
  </w:style>
  <w:style w:type="table" w:styleId="aa">
    <w:name w:val="Table Grid"/>
    <w:basedOn w:val="a1"/>
    <w:uiPriority w:val="39"/>
    <w:rsid w:val="00573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870F5"/>
    <w:pPr>
      <w:ind w:left="720"/>
      <w:contextualSpacing/>
    </w:pPr>
  </w:style>
  <w:style w:type="paragraph" w:styleId="ac">
    <w:name w:val="header"/>
    <w:basedOn w:val="a"/>
    <w:link w:val="Char3"/>
    <w:uiPriority w:val="99"/>
    <w:unhideWhenUsed/>
    <w:rsid w:val="003E06E6"/>
    <w:pPr>
      <w:tabs>
        <w:tab w:val="center" w:pos="4513"/>
        <w:tab w:val="right" w:pos="9026"/>
      </w:tabs>
    </w:pPr>
  </w:style>
  <w:style w:type="character" w:customStyle="1" w:styleId="Char3">
    <w:name w:val="页眉 Char"/>
    <w:basedOn w:val="a0"/>
    <w:link w:val="ac"/>
    <w:uiPriority w:val="99"/>
    <w:rsid w:val="003E06E6"/>
    <w:rPr>
      <w:rFonts w:ascii="Arial" w:hAnsi="Arial"/>
    </w:rPr>
  </w:style>
  <w:style w:type="paragraph" w:styleId="ad">
    <w:name w:val="footer"/>
    <w:basedOn w:val="a"/>
    <w:link w:val="Char4"/>
    <w:uiPriority w:val="99"/>
    <w:unhideWhenUsed/>
    <w:rsid w:val="003E06E6"/>
    <w:pPr>
      <w:tabs>
        <w:tab w:val="center" w:pos="4513"/>
        <w:tab w:val="right" w:pos="9026"/>
      </w:tabs>
    </w:pPr>
  </w:style>
  <w:style w:type="character" w:customStyle="1" w:styleId="Char4">
    <w:name w:val="页脚 Char"/>
    <w:basedOn w:val="a0"/>
    <w:link w:val="ad"/>
    <w:uiPriority w:val="99"/>
    <w:rsid w:val="003E06E6"/>
    <w:rPr>
      <w:rFonts w:ascii="Arial" w:hAnsi="Arial"/>
    </w:rPr>
  </w:style>
  <w:style w:type="character" w:styleId="ae">
    <w:name w:val="line number"/>
    <w:basedOn w:val="a0"/>
    <w:uiPriority w:val="99"/>
    <w:semiHidden/>
    <w:unhideWhenUsed/>
    <w:rsid w:val="003E06E6"/>
  </w:style>
  <w:style w:type="character" w:customStyle="1" w:styleId="complextitleprimary">
    <w:name w:val="complextitle_primary"/>
    <w:basedOn w:val="a0"/>
    <w:rsid w:val="009229D2"/>
  </w:style>
  <w:style w:type="character" w:customStyle="1" w:styleId="complextitlesecondary">
    <w:name w:val="complextitle_secondary"/>
    <w:basedOn w:val="a0"/>
    <w:rsid w:val="009229D2"/>
  </w:style>
  <w:style w:type="character" w:customStyle="1" w:styleId="UnresolvedMention1">
    <w:name w:val="Unresolved Mention1"/>
    <w:basedOn w:val="a0"/>
    <w:uiPriority w:val="99"/>
    <w:semiHidden/>
    <w:unhideWhenUsed/>
    <w:rsid w:val="00AD4286"/>
    <w:rPr>
      <w:color w:val="605E5C"/>
      <w:shd w:val="clear" w:color="auto" w:fill="E1DFDD"/>
    </w:rPr>
  </w:style>
  <w:style w:type="paragraph" w:styleId="af">
    <w:name w:val="Revision"/>
    <w:hidden/>
    <w:uiPriority w:val="99"/>
    <w:semiHidden/>
    <w:rsid w:val="00AD4286"/>
    <w:rPr>
      <w:rFonts w:ascii="Arial" w:hAnsi="Arial"/>
      <w:lang w:val="en-GB"/>
    </w:rPr>
  </w:style>
  <w:style w:type="character" w:styleId="af0">
    <w:name w:val="FollowedHyperlink"/>
    <w:basedOn w:val="a0"/>
    <w:uiPriority w:val="99"/>
    <w:semiHidden/>
    <w:unhideWhenUsed/>
    <w:rsid w:val="00AD4286"/>
    <w:rPr>
      <w:color w:val="954F72" w:themeColor="followedHyperlink"/>
      <w:u w:val="single"/>
    </w:rPr>
  </w:style>
  <w:style w:type="table" w:customStyle="1" w:styleId="TableGrid1">
    <w:name w:val="Table Grid1"/>
    <w:basedOn w:val="a1"/>
    <w:next w:val="aa"/>
    <w:uiPriority w:val="39"/>
    <w:rsid w:val="00172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245">
      <w:bodyDiv w:val="1"/>
      <w:marLeft w:val="0"/>
      <w:marRight w:val="0"/>
      <w:marTop w:val="0"/>
      <w:marBottom w:val="0"/>
      <w:divBdr>
        <w:top w:val="none" w:sz="0" w:space="0" w:color="auto"/>
        <w:left w:val="none" w:sz="0" w:space="0" w:color="auto"/>
        <w:bottom w:val="none" w:sz="0" w:space="0" w:color="auto"/>
        <w:right w:val="none" w:sz="0" w:space="0" w:color="auto"/>
      </w:divBdr>
    </w:div>
    <w:div w:id="92552892">
      <w:bodyDiv w:val="1"/>
      <w:marLeft w:val="0"/>
      <w:marRight w:val="0"/>
      <w:marTop w:val="0"/>
      <w:marBottom w:val="0"/>
      <w:divBdr>
        <w:top w:val="none" w:sz="0" w:space="0" w:color="auto"/>
        <w:left w:val="none" w:sz="0" w:space="0" w:color="auto"/>
        <w:bottom w:val="none" w:sz="0" w:space="0" w:color="auto"/>
        <w:right w:val="none" w:sz="0" w:space="0" w:color="auto"/>
      </w:divBdr>
    </w:div>
    <w:div w:id="151989993">
      <w:bodyDiv w:val="1"/>
      <w:marLeft w:val="0"/>
      <w:marRight w:val="0"/>
      <w:marTop w:val="0"/>
      <w:marBottom w:val="0"/>
      <w:divBdr>
        <w:top w:val="none" w:sz="0" w:space="0" w:color="auto"/>
        <w:left w:val="none" w:sz="0" w:space="0" w:color="auto"/>
        <w:bottom w:val="none" w:sz="0" w:space="0" w:color="auto"/>
        <w:right w:val="none" w:sz="0" w:space="0" w:color="auto"/>
      </w:divBdr>
    </w:div>
    <w:div w:id="154534180">
      <w:bodyDiv w:val="1"/>
      <w:marLeft w:val="0"/>
      <w:marRight w:val="0"/>
      <w:marTop w:val="0"/>
      <w:marBottom w:val="0"/>
      <w:divBdr>
        <w:top w:val="none" w:sz="0" w:space="0" w:color="auto"/>
        <w:left w:val="none" w:sz="0" w:space="0" w:color="auto"/>
        <w:bottom w:val="none" w:sz="0" w:space="0" w:color="auto"/>
        <w:right w:val="none" w:sz="0" w:space="0" w:color="auto"/>
      </w:divBdr>
    </w:div>
    <w:div w:id="155197143">
      <w:bodyDiv w:val="1"/>
      <w:marLeft w:val="0"/>
      <w:marRight w:val="0"/>
      <w:marTop w:val="0"/>
      <w:marBottom w:val="0"/>
      <w:divBdr>
        <w:top w:val="none" w:sz="0" w:space="0" w:color="auto"/>
        <w:left w:val="none" w:sz="0" w:space="0" w:color="auto"/>
        <w:bottom w:val="none" w:sz="0" w:space="0" w:color="auto"/>
        <w:right w:val="none" w:sz="0" w:space="0" w:color="auto"/>
      </w:divBdr>
    </w:div>
    <w:div w:id="156699156">
      <w:bodyDiv w:val="1"/>
      <w:marLeft w:val="0"/>
      <w:marRight w:val="0"/>
      <w:marTop w:val="0"/>
      <w:marBottom w:val="0"/>
      <w:divBdr>
        <w:top w:val="none" w:sz="0" w:space="0" w:color="auto"/>
        <w:left w:val="none" w:sz="0" w:space="0" w:color="auto"/>
        <w:bottom w:val="none" w:sz="0" w:space="0" w:color="auto"/>
        <w:right w:val="none" w:sz="0" w:space="0" w:color="auto"/>
      </w:divBdr>
    </w:div>
    <w:div w:id="208104955">
      <w:bodyDiv w:val="1"/>
      <w:marLeft w:val="0"/>
      <w:marRight w:val="0"/>
      <w:marTop w:val="0"/>
      <w:marBottom w:val="0"/>
      <w:divBdr>
        <w:top w:val="none" w:sz="0" w:space="0" w:color="auto"/>
        <w:left w:val="none" w:sz="0" w:space="0" w:color="auto"/>
        <w:bottom w:val="none" w:sz="0" w:space="0" w:color="auto"/>
        <w:right w:val="none" w:sz="0" w:space="0" w:color="auto"/>
      </w:divBdr>
    </w:div>
    <w:div w:id="215165903">
      <w:bodyDiv w:val="1"/>
      <w:marLeft w:val="0"/>
      <w:marRight w:val="0"/>
      <w:marTop w:val="0"/>
      <w:marBottom w:val="0"/>
      <w:divBdr>
        <w:top w:val="none" w:sz="0" w:space="0" w:color="auto"/>
        <w:left w:val="none" w:sz="0" w:space="0" w:color="auto"/>
        <w:bottom w:val="none" w:sz="0" w:space="0" w:color="auto"/>
        <w:right w:val="none" w:sz="0" w:space="0" w:color="auto"/>
      </w:divBdr>
    </w:div>
    <w:div w:id="247738273">
      <w:bodyDiv w:val="1"/>
      <w:marLeft w:val="0"/>
      <w:marRight w:val="0"/>
      <w:marTop w:val="0"/>
      <w:marBottom w:val="0"/>
      <w:divBdr>
        <w:top w:val="none" w:sz="0" w:space="0" w:color="auto"/>
        <w:left w:val="none" w:sz="0" w:space="0" w:color="auto"/>
        <w:bottom w:val="none" w:sz="0" w:space="0" w:color="auto"/>
        <w:right w:val="none" w:sz="0" w:space="0" w:color="auto"/>
      </w:divBdr>
    </w:div>
    <w:div w:id="249315468">
      <w:bodyDiv w:val="1"/>
      <w:marLeft w:val="0"/>
      <w:marRight w:val="0"/>
      <w:marTop w:val="0"/>
      <w:marBottom w:val="0"/>
      <w:divBdr>
        <w:top w:val="none" w:sz="0" w:space="0" w:color="auto"/>
        <w:left w:val="none" w:sz="0" w:space="0" w:color="auto"/>
        <w:bottom w:val="none" w:sz="0" w:space="0" w:color="auto"/>
        <w:right w:val="none" w:sz="0" w:space="0" w:color="auto"/>
      </w:divBdr>
    </w:div>
    <w:div w:id="252053831">
      <w:bodyDiv w:val="1"/>
      <w:marLeft w:val="0"/>
      <w:marRight w:val="0"/>
      <w:marTop w:val="0"/>
      <w:marBottom w:val="0"/>
      <w:divBdr>
        <w:top w:val="none" w:sz="0" w:space="0" w:color="auto"/>
        <w:left w:val="none" w:sz="0" w:space="0" w:color="auto"/>
        <w:bottom w:val="none" w:sz="0" w:space="0" w:color="auto"/>
        <w:right w:val="none" w:sz="0" w:space="0" w:color="auto"/>
      </w:divBdr>
    </w:div>
    <w:div w:id="252278966">
      <w:bodyDiv w:val="1"/>
      <w:marLeft w:val="0"/>
      <w:marRight w:val="0"/>
      <w:marTop w:val="0"/>
      <w:marBottom w:val="0"/>
      <w:divBdr>
        <w:top w:val="none" w:sz="0" w:space="0" w:color="auto"/>
        <w:left w:val="none" w:sz="0" w:space="0" w:color="auto"/>
        <w:bottom w:val="none" w:sz="0" w:space="0" w:color="auto"/>
        <w:right w:val="none" w:sz="0" w:space="0" w:color="auto"/>
      </w:divBdr>
    </w:div>
    <w:div w:id="284193669">
      <w:bodyDiv w:val="1"/>
      <w:marLeft w:val="0"/>
      <w:marRight w:val="0"/>
      <w:marTop w:val="0"/>
      <w:marBottom w:val="0"/>
      <w:divBdr>
        <w:top w:val="none" w:sz="0" w:space="0" w:color="auto"/>
        <w:left w:val="none" w:sz="0" w:space="0" w:color="auto"/>
        <w:bottom w:val="none" w:sz="0" w:space="0" w:color="auto"/>
        <w:right w:val="none" w:sz="0" w:space="0" w:color="auto"/>
      </w:divBdr>
    </w:div>
    <w:div w:id="288555672">
      <w:bodyDiv w:val="1"/>
      <w:marLeft w:val="0"/>
      <w:marRight w:val="0"/>
      <w:marTop w:val="0"/>
      <w:marBottom w:val="0"/>
      <w:divBdr>
        <w:top w:val="none" w:sz="0" w:space="0" w:color="auto"/>
        <w:left w:val="none" w:sz="0" w:space="0" w:color="auto"/>
        <w:bottom w:val="none" w:sz="0" w:space="0" w:color="auto"/>
        <w:right w:val="none" w:sz="0" w:space="0" w:color="auto"/>
      </w:divBdr>
    </w:div>
    <w:div w:id="321667712">
      <w:bodyDiv w:val="1"/>
      <w:marLeft w:val="0"/>
      <w:marRight w:val="0"/>
      <w:marTop w:val="0"/>
      <w:marBottom w:val="0"/>
      <w:divBdr>
        <w:top w:val="none" w:sz="0" w:space="0" w:color="auto"/>
        <w:left w:val="none" w:sz="0" w:space="0" w:color="auto"/>
        <w:bottom w:val="none" w:sz="0" w:space="0" w:color="auto"/>
        <w:right w:val="none" w:sz="0" w:space="0" w:color="auto"/>
      </w:divBdr>
    </w:div>
    <w:div w:id="333531048">
      <w:bodyDiv w:val="1"/>
      <w:marLeft w:val="0"/>
      <w:marRight w:val="0"/>
      <w:marTop w:val="0"/>
      <w:marBottom w:val="0"/>
      <w:divBdr>
        <w:top w:val="none" w:sz="0" w:space="0" w:color="auto"/>
        <w:left w:val="none" w:sz="0" w:space="0" w:color="auto"/>
        <w:bottom w:val="none" w:sz="0" w:space="0" w:color="auto"/>
        <w:right w:val="none" w:sz="0" w:space="0" w:color="auto"/>
      </w:divBdr>
    </w:div>
    <w:div w:id="390423719">
      <w:bodyDiv w:val="1"/>
      <w:marLeft w:val="0"/>
      <w:marRight w:val="0"/>
      <w:marTop w:val="0"/>
      <w:marBottom w:val="0"/>
      <w:divBdr>
        <w:top w:val="none" w:sz="0" w:space="0" w:color="auto"/>
        <w:left w:val="none" w:sz="0" w:space="0" w:color="auto"/>
        <w:bottom w:val="none" w:sz="0" w:space="0" w:color="auto"/>
        <w:right w:val="none" w:sz="0" w:space="0" w:color="auto"/>
      </w:divBdr>
    </w:div>
    <w:div w:id="404501192">
      <w:bodyDiv w:val="1"/>
      <w:marLeft w:val="0"/>
      <w:marRight w:val="0"/>
      <w:marTop w:val="0"/>
      <w:marBottom w:val="0"/>
      <w:divBdr>
        <w:top w:val="none" w:sz="0" w:space="0" w:color="auto"/>
        <w:left w:val="none" w:sz="0" w:space="0" w:color="auto"/>
        <w:bottom w:val="none" w:sz="0" w:space="0" w:color="auto"/>
        <w:right w:val="none" w:sz="0" w:space="0" w:color="auto"/>
      </w:divBdr>
    </w:div>
    <w:div w:id="425033130">
      <w:bodyDiv w:val="1"/>
      <w:marLeft w:val="0"/>
      <w:marRight w:val="0"/>
      <w:marTop w:val="0"/>
      <w:marBottom w:val="0"/>
      <w:divBdr>
        <w:top w:val="none" w:sz="0" w:space="0" w:color="auto"/>
        <w:left w:val="none" w:sz="0" w:space="0" w:color="auto"/>
        <w:bottom w:val="none" w:sz="0" w:space="0" w:color="auto"/>
        <w:right w:val="none" w:sz="0" w:space="0" w:color="auto"/>
      </w:divBdr>
      <w:divsChild>
        <w:div w:id="2052336327">
          <w:marLeft w:val="0"/>
          <w:marRight w:val="0"/>
          <w:marTop w:val="0"/>
          <w:marBottom w:val="0"/>
          <w:divBdr>
            <w:top w:val="none" w:sz="0" w:space="0" w:color="auto"/>
            <w:left w:val="none" w:sz="0" w:space="0" w:color="auto"/>
            <w:bottom w:val="none" w:sz="0" w:space="0" w:color="auto"/>
            <w:right w:val="none" w:sz="0" w:space="0" w:color="auto"/>
          </w:divBdr>
        </w:div>
        <w:div w:id="777723633">
          <w:marLeft w:val="0"/>
          <w:marRight w:val="0"/>
          <w:marTop w:val="0"/>
          <w:marBottom w:val="0"/>
          <w:divBdr>
            <w:top w:val="none" w:sz="0" w:space="0" w:color="auto"/>
            <w:left w:val="none" w:sz="0" w:space="0" w:color="auto"/>
            <w:bottom w:val="none" w:sz="0" w:space="0" w:color="auto"/>
            <w:right w:val="none" w:sz="0" w:space="0" w:color="auto"/>
          </w:divBdr>
        </w:div>
      </w:divsChild>
    </w:div>
    <w:div w:id="426928744">
      <w:bodyDiv w:val="1"/>
      <w:marLeft w:val="0"/>
      <w:marRight w:val="0"/>
      <w:marTop w:val="0"/>
      <w:marBottom w:val="0"/>
      <w:divBdr>
        <w:top w:val="none" w:sz="0" w:space="0" w:color="auto"/>
        <w:left w:val="none" w:sz="0" w:space="0" w:color="auto"/>
        <w:bottom w:val="none" w:sz="0" w:space="0" w:color="auto"/>
        <w:right w:val="none" w:sz="0" w:space="0" w:color="auto"/>
      </w:divBdr>
    </w:div>
    <w:div w:id="436484252">
      <w:bodyDiv w:val="1"/>
      <w:marLeft w:val="0"/>
      <w:marRight w:val="0"/>
      <w:marTop w:val="0"/>
      <w:marBottom w:val="0"/>
      <w:divBdr>
        <w:top w:val="none" w:sz="0" w:space="0" w:color="auto"/>
        <w:left w:val="none" w:sz="0" w:space="0" w:color="auto"/>
        <w:bottom w:val="none" w:sz="0" w:space="0" w:color="auto"/>
        <w:right w:val="none" w:sz="0" w:space="0" w:color="auto"/>
      </w:divBdr>
    </w:div>
    <w:div w:id="443960331">
      <w:bodyDiv w:val="1"/>
      <w:marLeft w:val="0"/>
      <w:marRight w:val="0"/>
      <w:marTop w:val="0"/>
      <w:marBottom w:val="0"/>
      <w:divBdr>
        <w:top w:val="none" w:sz="0" w:space="0" w:color="auto"/>
        <w:left w:val="none" w:sz="0" w:space="0" w:color="auto"/>
        <w:bottom w:val="none" w:sz="0" w:space="0" w:color="auto"/>
        <w:right w:val="none" w:sz="0" w:space="0" w:color="auto"/>
      </w:divBdr>
    </w:div>
    <w:div w:id="458424704">
      <w:bodyDiv w:val="1"/>
      <w:marLeft w:val="0"/>
      <w:marRight w:val="0"/>
      <w:marTop w:val="0"/>
      <w:marBottom w:val="0"/>
      <w:divBdr>
        <w:top w:val="none" w:sz="0" w:space="0" w:color="auto"/>
        <w:left w:val="none" w:sz="0" w:space="0" w:color="auto"/>
        <w:bottom w:val="none" w:sz="0" w:space="0" w:color="auto"/>
        <w:right w:val="none" w:sz="0" w:space="0" w:color="auto"/>
      </w:divBdr>
    </w:div>
    <w:div w:id="498349004">
      <w:bodyDiv w:val="1"/>
      <w:marLeft w:val="0"/>
      <w:marRight w:val="0"/>
      <w:marTop w:val="0"/>
      <w:marBottom w:val="0"/>
      <w:divBdr>
        <w:top w:val="none" w:sz="0" w:space="0" w:color="auto"/>
        <w:left w:val="none" w:sz="0" w:space="0" w:color="auto"/>
        <w:bottom w:val="none" w:sz="0" w:space="0" w:color="auto"/>
        <w:right w:val="none" w:sz="0" w:space="0" w:color="auto"/>
      </w:divBdr>
    </w:div>
    <w:div w:id="503400542">
      <w:bodyDiv w:val="1"/>
      <w:marLeft w:val="0"/>
      <w:marRight w:val="0"/>
      <w:marTop w:val="0"/>
      <w:marBottom w:val="0"/>
      <w:divBdr>
        <w:top w:val="none" w:sz="0" w:space="0" w:color="auto"/>
        <w:left w:val="none" w:sz="0" w:space="0" w:color="auto"/>
        <w:bottom w:val="none" w:sz="0" w:space="0" w:color="auto"/>
        <w:right w:val="none" w:sz="0" w:space="0" w:color="auto"/>
      </w:divBdr>
    </w:div>
    <w:div w:id="507401778">
      <w:bodyDiv w:val="1"/>
      <w:marLeft w:val="0"/>
      <w:marRight w:val="0"/>
      <w:marTop w:val="0"/>
      <w:marBottom w:val="0"/>
      <w:divBdr>
        <w:top w:val="none" w:sz="0" w:space="0" w:color="auto"/>
        <w:left w:val="none" w:sz="0" w:space="0" w:color="auto"/>
        <w:bottom w:val="none" w:sz="0" w:space="0" w:color="auto"/>
        <w:right w:val="none" w:sz="0" w:space="0" w:color="auto"/>
      </w:divBdr>
    </w:div>
    <w:div w:id="557936076">
      <w:bodyDiv w:val="1"/>
      <w:marLeft w:val="0"/>
      <w:marRight w:val="0"/>
      <w:marTop w:val="0"/>
      <w:marBottom w:val="0"/>
      <w:divBdr>
        <w:top w:val="none" w:sz="0" w:space="0" w:color="auto"/>
        <w:left w:val="none" w:sz="0" w:space="0" w:color="auto"/>
        <w:bottom w:val="none" w:sz="0" w:space="0" w:color="auto"/>
        <w:right w:val="none" w:sz="0" w:space="0" w:color="auto"/>
      </w:divBdr>
    </w:div>
    <w:div w:id="564265228">
      <w:bodyDiv w:val="1"/>
      <w:marLeft w:val="0"/>
      <w:marRight w:val="0"/>
      <w:marTop w:val="0"/>
      <w:marBottom w:val="0"/>
      <w:divBdr>
        <w:top w:val="none" w:sz="0" w:space="0" w:color="auto"/>
        <w:left w:val="none" w:sz="0" w:space="0" w:color="auto"/>
        <w:bottom w:val="none" w:sz="0" w:space="0" w:color="auto"/>
        <w:right w:val="none" w:sz="0" w:space="0" w:color="auto"/>
      </w:divBdr>
    </w:div>
    <w:div w:id="570191805">
      <w:bodyDiv w:val="1"/>
      <w:marLeft w:val="0"/>
      <w:marRight w:val="0"/>
      <w:marTop w:val="0"/>
      <w:marBottom w:val="0"/>
      <w:divBdr>
        <w:top w:val="none" w:sz="0" w:space="0" w:color="auto"/>
        <w:left w:val="none" w:sz="0" w:space="0" w:color="auto"/>
        <w:bottom w:val="none" w:sz="0" w:space="0" w:color="auto"/>
        <w:right w:val="none" w:sz="0" w:space="0" w:color="auto"/>
      </w:divBdr>
    </w:div>
    <w:div w:id="601229576">
      <w:bodyDiv w:val="1"/>
      <w:marLeft w:val="0"/>
      <w:marRight w:val="0"/>
      <w:marTop w:val="0"/>
      <w:marBottom w:val="0"/>
      <w:divBdr>
        <w:top w:val="none" w:sz="0" w:space="0" w:color="auto"/>
        <w:left w:val="none" w:sz="0" w:space="0" w:color="auto"/>
        <w:bottom w:val="none" w:sz="0" w:space="0" w:color="auto"/>
        <w:right w:val="none" w:sz="0" w:space="0" w:color="auto"/>
      </w:divBdr>
    </w:div>
    <w:div w:id="603152223">
      <w:bodyDiv w:val="1"/>
      <w:marLeft w:val="0"/>
      <w:marRight w:val="0"/>
      <w:marTop w:val="0"/>
      <w:marBottom w:val="0"/>
      <w:divBdr>
        <w:top w:val="none" w:sz="0" w:space="0" w:color="auto"/>
        <w:left w:val="none" w:sz="0" w:space="0" w:color="auto"/>
        <w:bottom w:val="none" w:sz="0" w:space="0" w:color="auto"/>
        <w:right w:val="none" w:sz="0" w:space="0" w:color="auto"/>
      </w:divBdr>
    </w:div>
    <w:div w:id="609893942">
      <w:bodyDiv w:val="1"/>
      <w:marLeft w:val="0"/>
      <w:marRight w:val="0"/>
      <w:marTop w:val="0"/>
      <w:marBottom w:val="0"/>
      <w:divBdr>
        <w:top w:val="none" w:sz="0" w:space="0" w:color="auto"/>
        <w:left w:val="none" w:sz="0" w:space="0" w:color="auto"/>
        <w:bottom w:val="none" w:sz="0" w:space="0" w:color="auto"/>
        <w:right w:val="none" w:sz="0" w:space="0" w:color="auto"/>
      </w:divBdr>
    </w:div>
    <w:div w:id="687102477">
      <w:bodyDiv w:val="1"/>
      <w:marLeft w:val="0"/>
      <w:marRight w:val="0"/>
      <w:marTop w:val="0"/>
      <w:marBottom w:val="0"/>
      <w:divBdr>
        <w:top w:val="none" w:sz="0" w:space="0" w:color="auto"/>
        <w:left w:val="none" w:sz="0" w:space="0" w:color="auto"/>
        <w:bottom w:val="none" w:sz="0" w:space="0" w:color="auto"/>
        <w:right w:val="none" w:sz="0" w:space="0" w:color="auto"/>
      </w:divBdr>
    </w:div>
    <w:div w:id="751047931">
      <w:bodyDiv w:val="1"/>
      <w:marLeft w:val="0"/>
      <w:marRight w:val="0"/>
      <w:marTop w:val="0"/>
      <w:marBottom w:val="0"/>
      <w:divBdr>
        <w:top w:val="none" w:sz="0" w:space="0" w:color="auto"/>
        <w:left w:val="none" w:sz="0" w:space="0" w:color="auto"/>
        <w:bottom w:val="none" w:sz="0" w:space="0" w:color="auto"/>
        <w:right w:val="none" w:sz="0" w:space="0" w:color="auto"/>
      </w:divBdr>
    </w:div>
    <w:div w:id="768041480">
      <w:bodyDiv w:val="1"/>
      <w:marLeft w:val="0"/>
      <w:marRight w:val="0"/>
      <w:marTop w:val="0"/>
      <w:marBottom w:val="0"/>
      <w:divBdr>
        <w:top w:val="none" w:sz="0" w:space="0" w:color="auto"/>
        <w:left w:val="none" w:sz="0" w:space="0" w:color="auto"/>
        <w:bottom w:val="none" w:sz="0" w:space="0" w:color="auto"/>
        <w:right w:val="none" w:sz="0" w:space="0" w:color="auto"/>
      </w:divBdr>
    </w:div>
    <w:div w:id="797459393">
      <w:bodyDiv w:val="1"/>
      <w:marLeft w:val="0"/>
      <w:marRight w:val="0"/>
      <w:marTop w:val="0"/>
      <w:marBottom w:val="0"/>
      <w:divBdr>
        <w:top w:val="none" w:sz="0" w:space="0" w:color="auto"/>
        <w:left w:val="none" w:sz="0" w:space="0" w:color="auto"/>
        <w:bottom w:val="none" w:sz="0" w:space="0" w:color="auto"/>
        <w:right w:val="none" w:sz="0" w:space="0" w:color="auto"/>
      </w:divBdr>
    </w:div>
    <w:div w:id="823815452">
      <w:bodyDiv w:val="1"/>
      <w:marLeft w:val="0"/>
      <w:marRight w:val="0"/>
      <w:marTop w:val="0"/>
      <w:marBottom w:val="0"/>
      <w:divBdr>
        <w:top w:val="none" w:sz="0" w:space="0" w:color="auto"/>
        <w:left w:val="none" w:sz="0" w:space="0" w:color="auto"/>
        <w:bottom w:val="none" w:sz="0" w:space="0" w:color="auto"/>
        <w:right w:val="none" w:sz="0" w:space="0" w:color="auto"/>
      </w:divBdr>
    </w:div>
    <w:div w:id="852261043">
      <w:bodyDiv w:val="1"/>
      <w:marLeft w:val="0"/>
      <w:marRight w:val="0"/>
      <w:marTop w:val="0"/>
      <w:marBottom w:val="0"/>
      <w:divBdr>
        <w:top w:val="none" w:sz="0" w:space="0" w:color="auto"/>
        <w:left w:val="none" w:sz="0" w:space="0" w:color="auto"/>
        <w:bottom w:val="none" w:sz="0" w:space="0" w:color="auto"/>
        <w:right w:val="none" w:sz="0" w:space="0" w:color="auto"/>
      </w:divBdr>
    </w:div>
    <w:div w:id="981537810">
      <w:bodyDiv w:val="1"/>
      <w:marLeft w:val="0"/>
      <w:marRight w:val="0"/>
      <w:marTop w:val="0"/>
      <w:marBottom w:val="0"/>
      <w:divBdr>
        <w:top w:val="none" w:sz="0" w:space="0" w:color="auto"/>
        <w:left w:val="none" w:sz="0" w:space="0" w:color="auto"/>
        <w:bottom w:val="none" w:sz="0" w:space="0" w:color="auto"/>
        <w:right w:val="none" w:sz="0" w:space="0" w:color="auto"/>
      </w:divBdr>
    </w:div>
    <w:div w:id="999230788">
      <w:bodyDiv w:val="1"/>
      <w:marLeft w:val="0"/>
      <w:marRight w:val="0"/>
      <w:marTop w:val="0"/>
      <w:marBottom w:val="0"/>
      <w:divBdr>
        <w:top w:val="none" w:sz="0" w:space="0" w:color="auto"/>
        <w:left w:val="none" w:sz="0" w:space="0" w:color="auto"/>
        <w:bottom w:val="none" w:sz="0" w:space="0" w:color="auto"/>
        <w:right w:val="none" w:sz="0" w:space="0" w:color="auto"/>
      </w:divBdr>
    </w:div>
    <w:div w:id="1038973810">
      <w:bodyDiv w:val="1"/>
      <w:marLeft w:val="0"/>
      <w:marRight w:val="0"/>
      <w:marTop w:val="0"/>
      <w:marBottom w:val="0"/>
      <w:divBdr>
        <w:top w:val="none" w:sz="0" w:space="0" w:color="auto"/>
        <w:left w:val="none" w:sz="0" w:space="0" w:color="auto"/>
        <w:bottom w:val="none" w:sz="0" w:space="0" w:color="auto"/>
        <w:right w:val="none" w:sz="0" w:space="0" w:color="auto"/>
      </w:divBdr>
    </w:div>
    <w:div w:id="1097487000">
      <w:bodyDiv w:val="1"/>
      <w:marLeft w:val="0"/>
      <w:marRight w:val="0"/>
      <w:marTop w:val="0"/>
      <w:marBottom w:val="0"/>
      <w:divBdr>
        <w:top w:val="none" w:sz="0" w:space="0" w:color="auto"/>
        <w:left w:val="none" w:sz="0" w:space="0" w:color="auto"/>
        <w:bottom w:val="none" w:sz="0" w:space="0" w:color="auto"/>
        <w:right w:val="none" w:sz="0" w:space="0" w:color="auto"/>
      </w:divBdr>
    </w:div>
    <w:div w:id="1124617769">
      <w:bodyDiv w:val="1"/>
      <w:marLeft w:val="0"/>
      <w:marRight w:val="0"/>
      <w:marTop w:val="0"/>
      <w:marBottom w:val="0"/>
      <w:divBdr>
        <w:top w:val="none" w:sz="0" w:space="0" w:color="auto"/>
        <w:left w:val="none" w:sz="0" w:space="0" w:color="auto"/>
        <w:bottom w:val="none" w:sz="0" w:space="0" w:color="auto"/>
        <w:right w:val="none" w:sz="0" w:space="0" w:color="auto"/>
      </w:divBdr>
    </w:div>
    <w:div w:id="1140339441">
      <w:bodyDiv w:val="1"/>
      <w:marLeft w:val="0"/>
      <w:marRight w:val="0"/>
      <w:marTop w:val="0"/>
      <w:marBottom w:val="0"/>
      <w:divBdr>
        <w:top w:val="none" w:sz="0" w:space="0" w:color="auto"/>
        <w:left w:val="none" w:sz="0" w:space="0" w:color="auto"/>
        <w:bottom w:val="none" w:sz="0" w:space="0" w:color="auto"/>
        <w:right w:val="none" w:sz="0" w:space="0" w:color="auto"/>
      </w:divBdr>
    </w:div>
    <w:div w:id="1145006064">
      <w:bodyDiv w:val="1"/>
      <w:marLeft w:val="0"/>
      <w:marRight w:val="0"/>
      <w:marTop w:val="0"/>
      <w:marBottom w:val="0"/>
      <w:divBdr>
        <w:top w:val="none" w:sz="0" w:space="0" w:color="auto"/>
        <w:left w:val="none" w:sz="0" w:space="0" w:color="auto"/>
        <w:bottom w:val="none" w:sz="0" w:space="0" w:color="auto"/>
        <w:right w:val="none" w:sz="0" w:space="0" w:color="auto"/>
      </w:divBdr>
    </w:div>
    <w:div w:id="1148326740">
      <w:bodyDiv w:val="1"/>
      <w:marLeft w:val="0"/>
      <w:marRight w:val="0"/>
      <w:marTop w:val="0"/>
      <w:marBottom w:val="0"/>
      <w:divBdr>
        <w:top w:val="none" w:sz="0" w:space="0" w:color="auto"/>
        <w:left w:val="none" w:sz="0" w:space="0" w:color="auto"/>
        <w:bottom w:val="none" w:sz="0" w:space="0" w:color="auto"/>
        <w:right w:val="none" w:sz="0" w:space="0" w:color="auto"/>
      </w:divBdr>
    </w:div>
    <w:div w:id="1192456720">
      <w:bodyDiv w:val="1"/>
      <w:marLeft w:val="0"/>
      <w:marRight w:val="0"/>
      <w:marTop w:val="0"/>
      <w:marBottom w:val="0"/>
      <w:divBdr>
        <w:top w:val="none" w:sz="0" w:space="0" w:color="auto"/>
        <w:left w:val="none" w:sz="0" w:space="0" w:color="auto"/>
        <w:bottom w:val="none" w:sz="0" w:space="0" w:color="auto"/>
        <w:right w:val="none" w:sz="0" w:space="0" w:color="auto"/>
      </w:divBdr>
    </w:div>
    <w:div w:id="1220896610">
      <w:bodyDiv w:val="1"/>
      <w:marLeft w:val="0"/>
      <w:marRight w:val="0"/>
      <w:marTop w:val="0"/>
      <w:marBottom w:val="0"/>
      <w:divBdr>
        <w:top w:val="none" w:sz="0" w:space="0" w:color="auto"/>
        <w:left w:val="none" w:sz="0" w:space="0" w:color="auto"/>
        <w:bottom w:val="none" w:sz="0" w:space="0" w:color="auto"/>
        <w:right w:val="none" w:sz="0" w:space="0" w:color="auto"/>
      </w:divBdr>
    </w:div>
    <w:div w:id="1230575832">
      <w:bodyDiv w:val="1"/>
      <w:marLeft w:val="0"/>
      <w:marRight w:val="0"/>
      <w:marTop w:val="0"/>
      <w:marBottom w:val="0"/>
      <w:divBdr>
        <w:top w:val="none" w:sz="0" w:space="0" w:color="auto"/>
        <w:left w:val="none" w:sz="0" w:space="0" w:color="auto"/>
        <w:bottom w:val="none" w:sz="0" w:space="0" w:color="auto"/>
        <w:right w:val="none" w:sz="0" w:space="0" w:color="auto"/>
      </w:divBdr>
    </w:div>
    <w:div w:id="1243179703">
      <w:bodyDiv w:val="1"/>
      <w:marLeft w:val="0"/>
      <w:marRight w:val="0"/>
      <w:marTop w:val="0"/>
      <w:marBottom w:val="0"/>
      <w:divBdr>
        <w:top w:val="none" w:sz="0" w:space="0" w:color="auto"/>
        <w:left w:val="none" w:sz="0" w:space="0" w:color="auto"/>
        <w:bottom w:val="none" w:sz="0" w:space="0" w:color="auto"/>
        <w:right w:val="none" w:sz="0" w:space="0" w:color="auto"/>
      </w:divBdr>
    </w:div>
    <w:div w:id="1312829989">
      <w:bodyDiv w:val="1"/>
      <w:marLeft w:val="0"/>
      <w:marRight w:val="0"/>
      <w:marTop w:val="0"/>
      <w:marBottom w:val="0"/>
      <w:divBdr>
        <w:top w:val="none" w:sz="0" w:space="0" w:color="auto"/>
        <w:left w:val="none" w:sz="0" w:space="0" w:color="auto"/>
        <w:bottom w:val="none" w:sz="0" w:space="0" w:color="auto"/>
        <w:right w:val="none" w:sz="0" w:space="0" w:color="auto"/>
      </w:divBdr>
    </w:div>
    <w:div w:id="1321733493">
      <w:bodyDiv w:val="1"/>
      <w:marLeft w:val="0"/>
      <w:marRight w:val="0"/>
      <w:marTop w:val="0"/>
      <w:marBottom w:val="0"/>
      <w:divBdr>
        <w:top w:val="none" w:sz="0" w:space="0" w:color="auto"/>
        <w:left w:val="none" w:sz="0" w:space="0" w:color="auto"/>
        <w:bottom w:val="none" w:sz="0" w:space="0" w:color="auto"/>
        <w:right w:val="none" w:sz="0" w:space="0" w:color="auto"/>
      </w:divBdr>
    </w:div>
    <w:div w:id="1363944957">
      <w:bodyDiv w:val="1"/>
      <w:marLeft w:val="0"/>
      <w:marRight w:val="0"/>
      <w:marTop w:val="0"/>
      <w:marBottom w:val="0"/>
      <w:divBdr>
        <w:top w:val="none" w:sz="0" w:space="0" w:color="auto"/>
        <w:left w:val="none" w:sz="0" w:space="0" w:color="auto"/>
        <w:bottom w:val="none" w:sz="0" w:space="0" w:color="auto"/>
        <w:right w:val="none" w:sz="0" w:space="0" w:color="auto"/>
      </w:divBdr>
    </w:div>
    <w:div w:id="1364861131">
      <w:bodyDiv w:val="1"/>
      <w:marLeft w:val="0"/>
      <w:marRight w:val="0"/>
      <w:marTop w:val="0"/>
      <w:marBottom w:val="0"/>
      <w:divBdr>
        <w:top w:val="none" w:sz="0" w:space="0" w:color="auto"/>
        <w:left w:val="none" w:sz="0" w:space="0" w:color="auto"/>
        <w:bottom w:val="none" w:sz="0" w:space="0" w:color="auto"/>
        <w:right w:val="none" w:sz="0" w:space="0" w:color="auto"/>
      </w:divBdr>
    </w:div>
    <w:div w:id="1391073760">
      <w:bodyDiv w:val="1"/>
      <w:marLeft w:val="0"/>
      <w:marRight w:val="0"/>
      <w:marTop w:val="0"/>
      <w:marBottom w:val="0"/>
      <w:divBdr>
        <w:top w:val="none" w:sz="0" w:space="0" w:color="auto"/>
        <w:left w:val="none" w:sz="0" w:space="0" w:color="auto"/>
        <w:bottom w:val="none" w:sz="0" w:space="0" w:color="auto"/>
        <w:right w:val="none" w:sz="0" w:space="0" w:color="auto"/>
      </w:divBdr>
    </w:div>
    <w:div w:id="1425807814">
      <w:bodyDiv w:val="1"/>
      <w:marLeft w:val="0"/>
      <w:marRight w:val="0"/>
      <w:marTop w:val="0"/>
      <w:marBottom w:val="0"/>
      <w:divBdr>
        <w:top w:val="none" w:sz="0" w:space="0" w:color="auto"/>
        <w:left w:val="none" w:sz="0" w:space="0" w:color="auto"/>
        <w:bottom w:val="none" w:sz="0" w:space="0" w:color="auto"/>
        <w:right w:val="none" w:sz="0" w:space="0" w:color="auto"/>
      </w:divBdr>
    </w:div>
    <w:div w:id="1433432208">
      <w:bodyDiv w:val="1"/>
      <w:marLeft w:val="0"/>
      <w:marRight w:val="0"/>
      <w:marTop w:val="0"/>
      <w:marBottom w:val="0"/>
      <w:divBdr>
        <w:top w:val="none" w:sz="0" w:space="0" w:color="auto"/>
        <w:left w:val="none" w:sz="0" w:space="0" w:color="auto"/>
        <w:bottom w:val="none" w:sz="0" w:space="0" w:color="auto"/>
        <w:right w:val="none" w:sz="0" w:space="0" w:color="auto"/>
      </w:divBdr>
    </w:div>
    <w:div w:id="1483696120">
      <w:bodyDiv w:val="1"/>
      <w:marLeft w:val="0"/>
      <w:marRight w:val="0"/>
      <w:marTop w:val="0"/>
      <w:marBottom w:val="0"/>
      <w:divBdr>
        <w:top w:val="none" w:sz="0" w:space="0" w:color="auto"/>
        <w:left w:val="none" w:sz="0" w:space="0" w:color="auto"/>
        <w:bottom w:val="none" w:sz="0" w:space="0" w:color="auto"/>
        <w:right w:val="none" w:sz="0" w:space="0" w:color="auto"/>
      </w:divBdr>
    </w:div>
    <w:div w:id="1484393445">
      <w:bodyDiv w:val="1"/>
      <w:marLeft w:val="0"/>
      <w:marRight w:val="0"/>
      <w:marTop w:val="0"/>
      <w:marBottom w:val="0"/>
      <w:divBdr>
        <w:top w:val="none" w:sz="0" w:space="0" w:color="auto"/>
        <w:left w:val="none" w:sz="0" w:space="0" w:color="auto"/>
        <w:bottom w:val="none" w:sz="0" w:space="0" w:color="auto"/>
        <w:right w:val="none" w:sz="0" w:space="0" w:color="auto"/>
      </w:divBdr>
    </w:div>
    <w:div w:id="1519658449">
      <w:bodyDiv w:val="1"/>
      <w:marLeft w:val="0"/>
      <w:marRight w:val="0"/>
      <w:marTop w:val="0"/>
      <w:marBottom w:val="0"/>
      <w:divBdr>
        <w:top w:val="none" w:sz="0" w:space="0" w:color="auto"/>
        <w:left w:val="none" w:sz="0" w:space="0" w:color="auto"/>
        <w:bottom w:val="none" w:sz="0" w:space="0" w:color="auto"/>
        <w:right w:val="none" w:sz="0" w:space="0" w:color="auto"/>
      </w:divBdr>
    </w:div>
    <w:div w:id="1525168704">
      <w:bodyDiv w:val="1"/>
      <w:marLeft w:val="0"/>
      <w:marRight w:val="0"/>
      <w:marTop w:val="0"/>
      <w:marBottom w:val="0"/>
      <w:divBdr>
        <w:top w:val="none" w:sz="0" w:space="0" w:color="auto"/>
        <w:left w:val="none" w:sz="0" w:space="0" w:color="auto"/>
        <w:bottom w:val="none" w:sz="0" w:space="0" w:color="auto"/>
        <w:right w:val="none" w:sz="0" w:space="0" w:color="auto"/>
      </w:divBdr>
    </w:div>
    <w:div w:id="1569226243">
      <w:bodyDiv w:val="1"/>
      <w:marLeft w:val="0"/>
      <w:marRight w:val="0"/>
      <w:marTop w:val="0"/>
      <w:marBottom w:val="0"/>
      <w:divBdr>
        <w:top w:val="none" w:sz="0" w:space="0" w:color="auto"/>
        <w:left w:val="none" w:sz="0" w:space="0" w:color="auto"/>
        <w:bottom w:val="none" w:sz="0" w:space="0" w:color="auto"/>
        <w:right w:val="none" w:sz="0" w:space="0" w:color="auto"/>
      </w:divBdr>
    </w:div>
    <w:div w:id="1605452796">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sChild>
        <w:div w:id="148640282">
          <w:marLeft w:val="0"/>
          <w:marRight w:val="0"/>
          <w:marTop w:val="0"/>
          <w:marBottom w:val="0"/>
          <w:divBdr>
            <w:top w:val="none" w:sz="0" w:space="0" w:color="auto"/>
            <w:left w:val="none" w:sz="0" w:space="0" w:color="auto"/>
            <w:bottom w:val="none" w:sz="0" w:space="0" w:color="auto"/>
            <w:right w:val="none" w:sz="0" w:space="0" w:color="auto"/>
          </w:divBdr>
        </w:div>
        <w:div w:id="189422210">
          <w:marLeft w:val="0"/>
          <w:marRight w:val="0"/>
          <w:marTop w:val="0"/>
          <w:marBottom w:val="0"/>
          <w:divBdr>
            <w:top w:val="none" w:sz="0" w:space="0" w:color="auto"/>
            <w:left w:val="none" w:sz="0" w:space="0" w:color="auto"/>
            <w:bottom w:val="none" w:sz="0" w:space="0" w:color="auto"/>
            <w:right w:val="none" w:sz="0" w:space="0" w:color="auto"/>
          </w:divBdr>
        </w:div>
      </w:divsChild>
    </w:div>
    <w:div w:id="1620800077">
      <w:bodyDiv w:val="1"/>
      <w:marLeft w:val="0"/>
      <w:marRight w:val="0"/>
      <w:marTop w:val="0"/>
      <w:marBottom w:val="0"/>
      <w:divBdr>
        <w:top w:val="none" w:sz="0" w:space="0" w:color="auto"/>
        <w:left w:val="none" w:sz="0" w:space="0" w:color="auto"/>
        <w:bottom w:val="none" w:sz="0" w:space="0" w:color="auto"/>
        <w:right w:val="none" w:sz="0" w:space="0" w:color="auto"/>
      </w:divBdr>
    </w:div>
    <w:div w:id="1653101060">
      <w:bodyDiv w:val="1"/>
      <w:marLeft w:val="0"/>
      <w:marRight w:val="0"/>
      <w:marTop w:val="0"/>
      <w:marBottom w:val="0"/>
      <w:divBdr>
        <w:top w:val="none" w:sz="0" w:space="0" w:color="auto"/>
        <w:left w:val="none" w:sz="0" w:space="0" w:color="auto"/>
        <w:bottom w:val="none" w:sz="0" w:space="0" w:color="auto"/>
        <w:right w:val="none" w:sz="0" w:space="0" w:color="auto"/>
      </w:divBdr>
    </w:div>
    <w:div w:id="1653412156">
      <w:bodyDiv w:val="1"/>
      <w:marLeft w:val="0"/>
      <w:marRight w:val="0"/>
      <w:marTop w:val="0"/>
      <w:marBottom w:val="0"/>
      <w:divBdr>
        <w:top w:val="none" w:sz="0" w:space="0" w:color="auto"/>
        <w:left w:val="none" w:sz="0" w:space="0" w:color="auto"/>
        <w:bottom w:val="none" w:sz="0" w:space="0" w:color="auto"/>
        <w:right w:val="none" w:sz="0" w:space="0" w:color="auto"/>
      </w:divBdr>
    </w:div>
    <w:div w:id="1697388394">
      <w:bodyDiv w:val="1"/>
      <w:marLeft w:val="0"/>
      <w:marRight w:val="0"/>
      <w:marTop w:val="0"/>
      <w:marBottom w:val="0"/>
      <w:divBdr>
        <w:top w:val="none" w:sz="0" w:space="0" w:color="auto"/>
        <w:left w:val="none" w:sz="0" w:space="0" w:color="auto"/>
        <w:bottom w:val="none" w:sz="0" w:space="0" w:color="auto"/>
        <w:right w:val="none" w:sz="0" w:space="0" w:color="auto"/>
      </w:divBdr>
    </w:div>
    <w:div w:id="1699549593">
      <w:bodyDiv w:val="1"/>
      <w:marLeft w:val="0"/>
      <w:marRight w:val="0"/>
      <w:marTop w:val="0"/>
      <w:marBottom w:val="0"/>
      <w:divBdr>
        <w:top w:val="none" w:sz="0" w:space="0" w:color="auto"/>
        <w:left w:val="none" w:sz="0" w:space="0" w:color="auto"/>
        <w:bottom w:val="none" w:sz="0" w:space="0" w:color="auto"/>
        <w:right w:val="none" w:sz="0" w:space="0" w:color="auto"/>
      </w:divBdr>
    </w:div>
    <w:div w:id="1705055025">
      <w:bodyDiv w:val="1"/>
      <w:marLeft w:val="0"/>
      <w:marRight w:val="0"/>
      <w:marTop w:val="0"/>
      <w:marBottom w:val="0"/>
      <w:divBdr>
        <w:top w:val="none" w:sz="0" w:space="0" w:color="auto"/>
        <w:left w:val="none" w:sz="0" w:space="0" w:color="auto"/>
        <w:bottom w:val="none" w:sz="0" w:space="0" w:color="auto"/>
        <w:right w:val="none" w:sz="0" w:space="0" w:color="auto"/>
      </w:divBdr>
    </w:div>
    <w:div w:id="1716813604">
      <w:bodyDiv w:val="1"/>
      <w:marLeft w:val="0"/>
      <w:marRight w:val="0"/>
      <w:marTop w:val="0"/>
      <w:marBottom w:val="0"/>
      <w:divBdr>
        <w:top w:val="none" w:sz="0" w:space="0" w:color="auto"/>
        <w:left w:val="none" w:sz="0" w:space="0" w:color="auto"/>
        <w:bottom w:val="none" w:sz="0" w:space="0" w:color="auto"/>
        <w:right w:val="none" w:sz="0" w:space="0" w:color="auto"/>
      </w:divBdr>
    </w:div>
    <w:div w:id="1717581086">
      <w:bodyDiv w:val="1"/>
      <w:marLeft w:val="0"/>
      <w:marRight w:val="0"/>
      <w:marTop w:val="0"/>
      <w:marBottom w:val="0"/>
      <w:divBdr>
        <w:top w:val="none" w:sz="0" w:space="0" w:color="auto"/>
        <w:left w:val="none" w:sz="0" w:space="0" w:color="auto"/>
        <w:bottom w:val="none" w:sz="0" w:space="0" w:color="auto"/>
        <w:right w:val="none" w:sz="0" w:space="0" w:color="auto"/>
      </w:divBdr>
    </w:div>
    <w:div w:id="1727023782">
      <w:bodyDiv w:val="1"/>
      <w:marLeft w:val="0"/>
      <w:marRight w:val="0"/>
      <w:marTop w:val="0"/>
      <w:marBottom w:val="0"/>
      <w:divBdr>
        <w:top w:val="none" w:sz="0" w:space="0" w:color="auto"/>
        <w:left w:val="none" w:sz="0" w:space="0" w:color="auto"/>
        <w:bottom w:val="none" w:sz="0" w:space="0" w:color="auto"/>
        <w:right w:val="none" w:sz="0" w:space="0" w:color="auto"/>
      </w:divBdr>
    </w:div>
    <w:div w:id="1738823872">
      <w:bodyDiv w:val="1"/>
      <w:marLeft w:val="0"/>
      <w:marRight w:val="0"/>
      <w:marTop w:val="0"/>
      <w:marBottom w:val="0"/>
      <w:divBdr>
        <w:top w:val="none" w:sz="0" w:space="0" w:color="auto"/>
        <w:left w:val="none" w:sz="0" w:space="0" w:color="auto"/>
        <w:bottom w:val="none" w:sz="0" w:space="0" w:color="auto"/>
        <w:right w:val="none" w:sz="0" w:space="0" w:color="auto"/>
      </w:divBdr>
    </w:div>
    <w:div w:id="1758480722">
      <w:bodyDiv w:val="1"/>
      <w:marLeft w:val="0"/>
      <w:marRight w:val="0"/>
      <w:marTop w:val="0"/>
      <w:marBottom w:val="0"/>
      <w:divBdr>
        <w:top w:val="none" w:sz="0" w:space="0" w:color="auto"/>
        <w:left w:val="none" w:sz="0" w:space="0" w:color="auto"/>
        <w:bottom w:val="none" w:sz="0" w:space="0" w:color="auto"/>
        <w:right w:val="none" w:sz="0" w:space="0" w:color="auto"/>
      </w:divBdr>
    </w:div>
    <w:div w:id="1779642922">
      <w:bodyDiv w:val="1"/>
      <w:marLeft w:val="0"/>
      <w:marRight w:val="0"/>
      <w:marTop w:val="0"/>
      <w:marBottom w:val="0"/>
      <w:divBdr>
        <w:top w:val="none" w:sz="0" w:space="0" w:color="auto"/>
        <w:left w:val="none" w:sz="0" w:space="0" w:color="auto"/>
        <w:bottom w:val="none" w:sz="0" w:space="0" w:color="auto"/>
        <w:right w:val="none" w:sz="0" w:space="0" w:color="auto"/>
      </w:divBdr>
    </w:div>
    <w:div w:id="1819103588">
      <w:bodyDiv w:val="1"/>
      <w:marLeft w:val="0"/>
      <w:marRight w:val="0"/>
      <w:marTop w:val="0"/>
      <w:marBottom w:val="0"/>
      <w:divBdr>
        <w:top w:val="none" w:sz="0" w:space="0" w:color="auto"/>
        <w:left w:val="none" w:sz="0" w:space="0" w:color="auto"/>
        <w:bottom w:val="none" w:sz="0" w:space="0" w:color="auto"/>
        <w:right w:val="none" w:sz="0" w:space="0" w:color="auto"/>
      </w:divBdr>
      <w:divsChild>
        <w:div w:id="1622763165">
          <w:marLeft w:val="0"/>
          <w:marRight w:val="0"/>
          <w:marTop w:val="0"/>
          <w:marBottom w:val="0"/>
          <w:divBdr>
            <w:top w:val="none" w:sz="0" w:space="0" w:color="auto"/>
            <w:left w:val="none" w:sz="0" w:space="0" w:color="auto"/>
            <w:bottom w:val="none" w:sz="0" w:space="0" w:color="auto"/>
            <w:right w:val="none" w:sz="0" w:space="0" w:color="auto"/>
          </w:divBdr>
          <w:divsChild>
            <w:div w:id="1773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9140">
      <w:bodyDiv w:val="1"/>
      <w:marLeft w:val="0"/>
      <w:marRight w:val="0"/>
      <w:marTop w:val="0"/>
      <w:marBottom w:val="0"/>
      <w:divBdr>
        <w:top w:val="none" w:sz="0" w:space="0" w:color="auto"/>
        <w:left w:val="none" w:sz="0" w:space="0" w:color="auto"/>
        <w:bottom w:val="none" w:sz="0" w:space="0" w:color="auto"/>
        <w:right w:val="none" w:sz="0" w:space="0" w:color="auto"/>
      </w:divBdr>
    </w:div>
    <w:div w:id="1836452696">
      <w:bodyDiv w:val="1"/>
      <w:marLeft w:val="0"/>
      <w:marRight w:val="0"/>
      <w:marTop w:val="0"/>
      <w:marBottom w:val="0"/>
      <w:divBdr>
        <w:top w:val="none" w:sz="0" w:space="0" w:color="auto"/>
        <w:left w:val="none" w:sz="0" w:space="0" w:color="auto"/>
        <w:bottom w:val="none" w:sz="0" w:space="0" w:color="auto"/>
        <w:right w:val="none" w:sz="0" w:space="0" w:color="auto"/>
      </w:divBdr>
    </w:div>
    <w:div w:id="1839811510">
      <w:bodyDiv w:val="1"/>
      <w:marLeft w:val="0"/>
      <w:marRight w:val="0"/>
      <w:marTop w:val="0"/>
      <w:marBottom w:val="0"/>
      <w:divBdr>
        <w:top w:val="none" w:sz="0" w:space="0" w:color="auto"/>
        <w:left w:val="none" w:sz="0" w:space="0" w:color="auto"/>
        <w:bottom w:val="none" w:sz="0" w:space="0" w:color="auto"/>
        <w:right w:val="none" w:sz="0" w:space="0" w:color="auto"/>
      </w:divBdr>
    </w:div>
    <w:div w:id="1859930419">
      <w:bodyDiv w:val="1"/>
      <w:marLeft w:val="0"/>
      <w:marRight w:val="0"/>
      <w:marTop w:val="0"/>
      <w:marBottom w:val="0"/>
      <w:divBdr>
        <w:top w:val="none" w:sz="0" w:space="0" w:color="auto"/>
        <w:left w:val="none" w:sz="0" w:space="0" w:color="auto"/>
        <w:bottom w:val="none" w:sz="0" w:space="0" w:color="auto"/>
        <w:right w:val="none" w:sz="0" w:space="0" w:color="auto"/>
      </w:divBdr>
    </w:div>
    <w:div w:id="1874149377">
      <w:bodyDiv w:val="1"/>
      <w:marLeft w:val="0"/>
      <w:marRight w:val="0"/>
      <w:marTop w:val="0"/>
      <w:marBottom w:val="0"/>
      <w:divBdr>
        <w:top w:val="none" w:sz="0" w:space="0" w:color="auto"/>
        <w:left w:val="none" w:sz="0" w:space="0" w:color="auto"/>
        <w:bottom w:val="none" w:sz="0" w:space="0" w:color="auto"/>
        <w:right w:val="none" w:sz="0" w:space="0" w:color="auto"/>
      </w:divBdr>
    </w:div>
    <w:div w:id="1881892537">
      <w:bodyDiv w:val="1"/>
      <w:marLeft w:val="0"/>
      <w:marRight w:val="0"/>
      <w:marTop w:val="0"/>
      <w:marBottom w:val="0"/>
      <w:divBdr>
        <w:top w:val="none" w:sz="0" w:space="0" w:color="auto"/>
        <w:left w:val="none" w:sz="0" w:space="0" w:color="auto"/>
        <w:bottom w:val="none" w:sz="0" w:space="0" w:color="auto"/>
        <w:right w:val="none" w:sz="0" w:space="0" w:color="auto"/>
      </w:divBdr>
    </w:div>
    <w:div w:id="1887569980">
      <w:bodyDiv w:val="1"/>
      <w:marLeft w:val="0"/>
      <w:marRight w:val="0"/>
      <w:marTop w:val="0"/>
      <w:marBottom w:val="0"/>
      <w:divBdr>
        <w:top w:val="none" w:sz="0" w:space="0" w:color="auto"/>
        <w:left w:val="none" w:sz="0" w:space="0" w:color="auto"/>
        <w:bottom w:val="none" w:sz="0" w:space="0" w:color="auto"/>
        <w:right w:val="none" w:sz="0" w:space="0" w:color="auto"/>
      </w:divBdr>
    </w:div>
    <w:div w:id="1910268740">
      <w:bodyDiv w:val="1"/>
      <w:marLeft w:val="0"/>
      <w:marRight w:val="0"/>
      <w:marTop w:val="0"/>
      <w:marBottom w:val="0"/>
      <w:divBdr>
        <w:top w:val="none" w:sz="0" w:space="0" w:color="auto"/>
        <w:left w:val="none" w:sz="0" w:space="0" w:color="auto"/>
        <w:bottom w:val="none" w:sz="0" w:space="0" w:color="auto"/>
        <w:right w:val="none" w:sz="0" w:space="0" w:color="auto"/>
      </w:divBdr>
    </w:div>
    <w:div w:id="1913080615">
      <w:bodyDiv w:val="1"/>
      <w:marLeft w:val="0"/>
      <w:marRight w:val="0"/>
      <w:marTop w:val="0"/>
      <w:marBottom w:val="0"/>
      <w:divBdr>
        <w:top w:val="none" w:sz="0" w:space="0" w:color="auto"/>
        <w:left w:val="none" w:sz="0" w:space="0" w:color="auto"/>
        <w:bottom w:val="none" w:sz="0" w:space="0" w:color="auto"/>
        <w:right w:val="none" w:sz="0" w:space="0" w:color="auto"/>
      </w:divBdr>
    </w:div>
    <w:div w:id="1941251710">
      <w:bodyDiv w:val="1"/>
      <w:marLeft w:val="0"/>
      <w:marRight w:val="0"/>
      <w:marTop w:val="0"/>
      <w:marBottom w:val="0"/>
      <w:divBdr>
        <w:top w:val="none" w:sz="0" w:space="0" w:color="auto"/>
        <w:left w:val="none" w:sz="0" w:space="0" w:color="auto"/>
        <w:bottom w:val="none" w:sz="0" w:space="0" w:color="auto"/>
        <w:right w:val="none" w:sz="0" w:space="0" w:color="auto"/>
      </w:divBdr>
    </w:div>
    <w:div w:id="1942106191">
      <w:bodyDiv w:val="1"/>
      <w:marLeft w:val="0"/>
      <w:marRight w:val="0"/>
      <w:marTop w:val="0"/>
      <w:marBottom w:val="0"/>
      <w:divBdr>
        <w:top w:val="none" w:sz="0" w:space="0" w:color="auto"/>
        <w:left w:val="none" w:sz="0" w:space="0" w:color="auto"/>
        <w:bottom w:val="none" w:sz="0" w:space="0" w:color="auto"/>
        <w:right w:val="none" w:sz="0" w:space="0" w:color="auto"/>
      </w:divBdr>
    </w:div>
    <w:div w:id="1951350463">
      <w:bodyDiv w:val="1"/>
      <w:marLeft w:val="0"/>
      <w:marRight w:val="0"/>
      <w:marTop w:val="0"/>
      <w:marBottom w:val="0"/>
      <w:divBdr>
        <w:top w:val="none" w:sz="0" w:space="0" w:color="auto"/>
        <w:left w:val="none" w:sz="0" w:space="0" w:color="auto"/>
        <w:bottom w:val="none" w:sz="0" w:space="0" w:color="auto"/>
        <w:right w:val="none" w:sz="0" w:space="0" w:color="auto"/>
      </w:divBdr>
    </w:div>
    <w:div w:id="1952472406">
      <w:bodyDiv w:val="1"/>
      <w:marLeft w:val="0"/>
      <w:marRight w:val="0"/>
      <w:marTop w:val="0"/>
      <w:marBottom w:val="0"/>
      <w:divBdr>
        <w:top w:val="none" w:sz="0" w:space="0" w:color="auto"/>
        <w:left w:val="none" w:sz="0" w:space="0" w:color="auto"/>
        <w:bottom w:val="none" w:sz="0" w:space="0" w:color="auto"/>
        <w:right w:val="none" w:sz="0" w:space="0" w:color="auto"/>
      </w:divBdr>
    </w:div>
    <w:div w:id="1973948722">
      <w:bodyDiv w:val="1"/>
      <w:marLeft w:val="0"/>
      <w:marRight w:val="0"/>
      <w:marTop w:val="0"/>
      <w:marBottom w:val="0"/>
      <w:divBdr>
        <w:top w:val="none" w:sz="0" w:space="0" w:color="auto"/>
        <w:left w:val="none" w:sz="0" w:space="0" w:color="auto"/>
        <w:bottom w:val="none" w:sz="0" w:space="0" w:color="auto"/>
        <w:right w:val="none" w:sz="0" w:space="0" w:color="auto"/>
      </w:divBdr>
    </w:div>
    <w:div w:id="2040814398">
      <w:bodyDiv w:val="1"/>
      <w:marLeft w:val="0"/>
      <w:marRight w:val="0"/>
      <w:marTop w:val="0"/>
      <w:marBottom w:val="0"/>
      <w:divBdr>
        <w:top w:val="none" w:sz="0" w:space="0" w:color="auto"/>
        <w:left w:val="none" w:sz="0" w:space="0" w:color="auto"/>
        <w:bottom w:val="none" w:sz="0" w:space="0" w:color="auto"/>
        <w:right w:val="none" w:sz="0" w:space="0" w:color="auto"/>
      </w:divBdr>
    </w:div>
    <w:div w:id="2066291733">
      <w:bodyDiv w:val="1"/>
      <w:marLeft w:val="0"/>
      <w:marRight w:val="0"/>
      <w:marTop w:val="0"/>
      <w:marBottom w:val="0"/>
      <w:divBdr>
        <w:top w:val="none" w:sz="0" w:space="0" w:color="auto"/>
        <w:left w:val="none" w:sz="0" w:space="0" w:color="auto"/>
        <w:bottom w:val="none" w:sz="0" w:space="0" w:color="auto"/>
        <w:right w:val="none" w:sz="0" w:space="0" w:color="auto"/>
      </w:divBdr>
    </w:div>
    <w:div w:id="2096827786">
      <w:bodyDiv w:val="1"/>
      <w:marLeft w:val="0"/>
      <w:marRight w:val="0"/>
      <w:marTop w:val="0"/>
      <w:marBottom w:val="0"/>
      <w:divBdr>
        <w:top w:val="none" w:sz="0" w:space="0" w:color="auto"/>
        <w:left w:val="none" w:sz="0" w:space="0" w:color="auto"/>
        <w:bottom w:val="none" w:sz="0" w:space="0" w:color="auto"/>
        <w:right w:val="none" w:sz="0" w:space="0" w:color="auto"/>
      </w:divBdr>
    </w:div>
    <w:div w:id="2110660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3EAA-5D0F-44C0-B6BF-3A041773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16961</Words>
  <Characters>96678</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_</vt:lpstr>
    </vt:vector>
  </TitlesOfParts>
  <Company>Imperial College London</Company>
  <LinksUpToDate>false</LinksUpToDate>
  <CharactersWithSpaces>113413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Kockerling, David</dc:creator>
  <cp:keywords/>
  <cp:lastModifiedBy>Administrator</cp:lastModifiedBy>
  <cp:revision>4</cp:revision>
  <cp:lastPrinted>2018-11-21T14:39:00Z</cp:lastPrinted>
  <dcterms:created xsi:type="dcterms:W3CDTF">2019-01-26T05:11:00Z</dcterms:created>
  <dcterms:modified xsi:type="dcterms:W3CDTF">2019-02-27T02:40:00Z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26065</vt:lpwstr>
  </property>
  <property fmtid="{D5CDD505-2E9C-101B-9397-08002B2CF9AE}" pid="3" name="WnCSubscriberId">
    <vt:lpwstr>3534</vt:lpwstr>
  </property>
  <property fmtid="{D5CDD505-2E9C-101B-9397-08002B2CF9AE}" pid="4" name="WnCOutputStyleId">
    <vt:lpwstr>12887</vt:lpwstr>
  </property>
  <property fmtid="{D5CDD505-2E9C-101B-9397-08002B2CF9AE}" pid="5" name="RWProductId">
    <vt:lpwstr>WnC</vt:lpwstr>
  </property>
  <property fmtid="{D5CDD505-2E9C-101B-9397-08002B2CF9AE}" pid="6" name="WnC4Folder">
    <vt:lpwstr>Documents///WJG revision</vt:lpwstr>
  </property>
</Properties>
</file>