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BE6" w:rsidRPr="00580532" w:rsidRDefault="00603BE6" w:rsidP="00AD4B85">
      <w:pPr>
        <w:adjustRightInd w:val="0"/>
        <w:snapToGrid w:val="0"/>
        <w:spacing w:line="360" w:lineRule="auto"/>
        <w:rPr>
          <w:rFonts w:ascii="Book Antiqua" w:hAnsi="Book Antiqua" w:cs="Arial"/>
          <w:b/>
          <w:sz w:val="24"/>
          <w:szCs w:val="24"/>
        </w:rPr>
      </w:pPr>
      <w:bookmarkStart w:id="0" w:name="_GoBack"/>
      <w:bookmarkEnd w:id="0"/>
      <w:r w:rsidRPr="00580532">
        <w:rPr>
          <w:rFonts w:ascii="Book Antiqua" w:hAnsi="Book Antiqua" w:cs="Arial"/>
          <w:b/>
          <w:sz w:val="24"/>
          <w:szCs w:val="24"/>
        </w:rPr>
        <w:t xml:space="preserve">Name of Journal: </w:t>
      </w:r>
      <w:r w:rsidRPr="00580532">
        <w:rPr>
          <w:rFonts w:ascii="Book Antiqua" w:hAnsi="Book Antiqua" w:cs="Arial"/>
          <w:i/>
          <w:sz w:val="24"/>
          <w:szCs w:val="24"/>
        </w:rPr>
        <w:t>World Journal of Gastrointestinal Oncology</w:t>
      </w:r>
    </w:p>
    <w:p w:rsidR="00603BE6" w:rsidRPr="00580532" w:rsidRDefault="00603BE6" w:rsidP="00AD4B85">
      <w:pPr>
        <w:adjustRightInd w:val="0"/>
        <w:snapToGrid w:val="0"/>
        <w:spacing w:line="360" w:lineRule="auto"/>
        <w:rPr>
          <w:rFonts w:ascii="Book Antiqua" w:hAnsi="Book Antiqua" w:cs="Arial"/>
          <w:b/>
          <w:sz w:val="24"/>
          <w:szCs w:val="24"/>
        </w:rPr>
      </w:pPr>
      <w:r w:rsidRPr="00580532">
        <w:rPr>
          <w:rFonts w:ascii="Book Antiqua" w:hAnsi="Book Antiqua" w:cs="Arial"/>
          <w:b/>
          <w:sz w:val="24"/>
          <w:szCs w:val="24"/>
        </w:rPr>
        <w:t xml:space="preserve">Manuscript NO: </w:t>
      </w:r>
      <w:r w:rsidRPr="00580532">
        <w:rPr>
          <w:rFonts w:ascii="Book Antiqua" w:hAnsi="Book Antiqua" w:cs="Arial"/>
          <w:sz w:val="24"/>
          <w:szCs w:val="24"/>
        </w:rPr>
        <w:t>45516</w:t>
      </w:r>
    </w:p>
    <w:p w:rsidR="00E75FED" w:rsidRPr="00580532" w:rsidRDefault="00603BE6" w:rsidP="00AD4B85">
      <w:pPr>
        <w:adjustRightInd w:val="0"/>
        <w:snapToGrid w:val="0"/>
        <w:spacing w:line="360" w:lineRule="auto"/>
        <w:rPr>
          <w:rFonts w:ascii="Book Antiqua" w:hAnsi="Book Antiqua" w:cs="Arial"/>
          <w:b/>
          <w:sz w:val="24"/>
          <w:szCs w:val="24"/>
        </w:rPr>
      </w:pPr>
      <w:bookmarkStart w:id="1" w:name="OLE_LINK3"/>
      <w:bookmarkStart w:id="2" w:name="OLE_LINK4"/>
      <w:r w:rsidRPr="00580532">
        <w:rPr>
          <w:rFonts w:ascii="Book Antiqua" w:hAnsi="Book Antiqua"/>
          <w:b/>
          <w:sz w:val="24"/>
          <w:szCs w:val="24"/>
        </w:rPr>
        <w:t>Manuscript Type:</w:t>
      </w:r>
      <w:bookmarkEnd w:id="1"/>
      <w:bookmarkEnd w:id="2"/>
      <w:r w:rsidRPr="00580532">
        <w:rPr>
          <w:rFonts w:ascii="Book Antiqua" w:hAnsi="Book Antiqua" w:cs="Arial"/>
          <w:b/>
          <w:sz w:val="24"/>
          <w:szCs w:val="24"/>
        </w:rPr>
        <w:t xml:space="preserve"> </w:t>
      </w:r>
      <w:r w:rsidR="00E75FED" w:rsidRPr="00580532">
        <w:rPr>
          <w:rFonts w:ascii="Book Antiqua" w:hAnsi="Book Antiqua"/>
          <w:kern w:val="0"/>
          <w:sz w:val="24"/>
          <w:szCs w:val="24"/>
        </w:rPr>
        <w:t>ORIGINAL ARTICLE</w:t>
      </w:r>
    </w:p>
    <w:p w:rsidR="00E75FED" w:rsidRPr="00580532" w:rsidRDefault="00E75FED" w:rsidP="00AD4B85">
      <w:pPr>
        <w:adjustRightInd w:val="0"/>
        <w:snapToGrid w:val="0"/>
        <w:spacing w:line="360" w:lineRule="auto"/>
        <w:rPr>
          <w:rFonts w:ascii="Book Antiqua" w:hAnsi="Book Antiqua" w:cs="Arial"/>
          <w:b/>
          <w:sz w:val="24"/>
          <w:szCs w:val="24"/>
        </w:rPr>
      </w:pPr>
    </w:p>
    <w:p w:rsidR="00603BE6" w:rsidRPr="00580532" w:rsidRDefault="00E75FED" w:rsidP="00AD4B85">
      <w:pPr>
        <w:adjustRightInd w:val="0"/>
        <w:snapToGrid w:val="0"/>
        <w:spacing w:line="360" w:lineRule="auto"/>
        <w:rPr>
          <w:rFonts w:ascii="Book Antiqua" w:eastAsia="幼圆" w:hAnsi="Book Antiqua"/>
          <w:b/>
          <w:i/>
          <w:sz w:val="24"/>
          <w:szCs w:val="24"/>
        </w:rPr>
      </w:pPr>
      <w:r w:rsidRPr="00580532">
        <w:rPr>
          <w:rFonts w:ascii="Book Antiqua" w:eastAsia="幼圆" w:hAnsi="Book Antiqua"/>
          <w:b/>
          <w:i/>
          <w:sz w:val="24"/>
          <w:szCs w:val="24"/>
        </w:rPr>
        <w:t>Retrospective Study</w:t>
      </w:r>
    </w:p>
    <w:p w:rsidR="00604A9C" w:rsidRPr="00580532" w:rsidRDefault="00604A9C" w:rsidP="00AD4B85">
      <w:pPr>
        <w:spacing w:line="360" w:lineRule="auto"/>
        <w:rPr>
          <w:rFonts w:ascii="Book Antiqua" w:hAnsi="Book Antiqua"/>
          <w:b/>
          <w:sz w:val="24"/>
          <w:szCs w:val="24"/>
          <w:lang w:val="en-GB"/>
        </w:rPr>
      </w:pPr>
      <w:r w:rsidRPr="00580532">
        <w:rPr>
          <w:rFonts w:ascii="Book Antiqua" w:hAnsi="Book Antiqua"/>
          <w:b/>
          <w:sz w:val="24"/>
          <w:szCs w:val="24"/>
          <w:lang w:val="en-GB"/>
        </w:rPr>
        <w:t>Histopathological characteristics of needle core biopsy and surgical specimens from patients with solitary hepatocellular carcinoma or i</w:t>
      </w:r>
      <w:r w:rsidR="003B77C5" w:rsidRPr="00580532">
        <w:rPr>
          <w:rFonts w:ascii="Book Antiqua" w:hAnsi="Book Antiqua"/>
          <w:b/>
          <w:sz w:val="24"/>
          <w:szCs w:val="24"/>
          <w:lang w:val="en-GB"/>
        </w:rPr>
        <w:t>ntrahepatic cholangiocarcinoma</w:t>
      </w:r>
    </w:p>
    <w:p w:rsidR="00603BE6" w:rsidRPr="00580532" w:rsidRDefault="00603BE6" w:rsidP="00AD4B85">
      <w:pPr>
        <w:spacing w:line="360" w:lineRule="auto"/>
        <w:rPr>
          <w:rFonts w:ascii="Book Antiqua" w:hAnsi="Book Antiqua"/>
          <w:b/>
          <w:sz w:val="24"/>
          <w:szCs w:val="24"/>
          <w:lang w:val="en-GB"/>
        </w:rPr>
      </w:pPr>
    </w:p>
    <w:p w:rsidR="00603BE6" w:rsidRPr="00580532" w:rsidRDefault="00603BE6" w:rsidP="00AD4B85">
      <w:pPr>
        <w:spacing w:line="360" w:lineRule="auto"/>
        <w:rPr>
          <w:rFonts w:ascii="Book Antiqua" w:hAnsi="Book Antiqua"/>
          <w:sz w:val="24"/>
          <w:szCs w:val="24"/>
          <w:lang w:val="en-GB"/>
        </w:rPr>
      </w:pPr>
      <w:r w:rsidRPr="00580532">
        <w:rPr>
          <w:rFonts w:ascii="Book Antiqua" w:hAnsi="Book Antiqua"/>
          <w:sz w:val="24"/>
          <w:szCs w:val="24"/>
          <w:lang w:val="en-GB"/>
        </w:rPr>
        <w:t xml:space="preserve">Wu JS </w:t>
      </w:r>
      <w:r w:rsidRPr="00580532">
        <w:rPr>
          <w:rFonts w:ascii="Book Antiqua" w:hAnsi="Book Antiqua"/>
          <w:i/>
          <w:sz w:val="24"/>
          <w:szCs w:val="24"/>
          <w:lang w:val="en-GB"/>
        </w:rPr>
        <w:t>et al</w:t>
      </w:r>
      <w:r w:rsidRPr="00580532">
        <w:rPr>
          <w:rFonts w:ascii="Book Antiqua" w:hAnsi="Book Antiqua"/>
          <w:sz w:val="24"/>
          <w:szCs w:val="24"/>
          <w:lang w:val="en-GB"/>
        </w:rPr>
        <w:t xml:space="preserve">. Histopathological characteristics of </w:t>
      </w:r>
      <w:r w:rsidR="0032140A" w:rsidRPr="00580532">
        <w:rPr>
          <w:rFonts w:ascii="Book Antiqua" w:hAnsi="Book Antiqua"/>
          <w:sz w:val="24"/>
          <w:szCs w:val="24"/>
          <w:lang w:val="en-GB"/>
        </w:rPr>
        <w:t>NCB</w:t>
      </w:r>
      <w:r w:rsidRPr="00580532">
        <w:rPr>
          <w:rFonts w:ascii="Book Antiqua" w:hAnsi="Book Antiqua"/>
          <w:sz w:val="24"/>
          <w:szCs w:val="24"/>
          <w:lang w:val="en-GB"/>
        </w:rPr>
        <w:t xml:space="preserve"> and surgical specimens</w:t>
      </w:r>
    </w:p>
    <w:p w:rsidR="00E75FED" w:rsidRPr="00580532" w:rsidRDefault="00E75FED" w:rsidP="00AD4B85">
      <w:pPr>
        <w:spacing w:line="360" w:lineRule="auto"/>
        <w:rPr>
          <w:rFonts w:ascii="Book Antiqua" w:hAnsi="Book Antiqua"/>
          <w:sz w:val="24"/>
          <w:szCs w:val="24"/>
          <w:lang w:val="en-GB"/>
        </w:rPr>
      </w:pPr>
    </w:p>
    <w:p w:rsidR="00E75FED" w:rsidRPr="00580532" w:rsidRDefault="00E75FED" w:rsidP="00AD4B85">
      <w:pPr>
        <w:spacing w:line="360" w:lineRule="auto"/>
        <w:rPr>
          <w:rFonts w:ascii="Book Antiqua" w:hAnsi="Book Antiqua"/>
          <w:sz w:val="24"/>
          <w:szCs w:val="24"/>
          <w:vertAlign w:val="superscript"/>
          <w:lang w:val="en-GB"/>
        </w:rPr>
      </w:pPr>
      <w:r w:rsidRPr="00580532">
        <w:rPr>
          <w:rFonts w:ascii="Book Antiqua" w:hAnsi="Book Antiqua"/>
          <w:sz w:val="24"/>
          <w:szCs w:val="24"/>
          <w:lang w:val="en-GB"/>
        </w:rPr>
        <w:t>Ju-Shan Wu, Ji-Liang Feng, Rui-Dong Zhu, San-Guang Liu</w:t>
      </w:r>
      <w:r w:rsidRPr="00580532">
        <w:rPr>
          <w:rFonts w:ascii="Book Antiqua" w:hAnsi="Book Antiqua"/>
          <w:sz w:val="24"/>
          <w:szCs w:val="24"/>
        </w:rPr>
        <w:t xml:space="preserve">, </w:t>
      </w:r>
      <w:r w:rsidRPr="00580532">
        <w:rPr>
          <w:rFonts w:ascii="Book Antiqua" w:hAnsi="Book Antiqua"/>
          <w:sz w:val="24"/>
          <w:szCs w:val="24"/>
          <w:lang w:val="en-GB"/>
        </w:rPr>
        <w:t>Da-Wei</w:t>
      </w:r>
      <w:r w:rsidRPr="00580532">
        <w:rPr>
          <w:rFonts w:ascii="Book Antiqua" w:hAnsi="Book Antiqua"/>
          <w:sz w:val="24"/>
          <w:szCs w:val="24"/>
          <w:vertAlign w:val="superscript"/>
        </w:rPr>
        <w:t xml:space="preserve"> </w:t>
      </w:r>
      <w:r w:rsidRPr="00580532">
        <w:rPr>
          <w:rFonts w:ascii="Book Antiqua" w:hAnsi="Book Antiqua"/>
          <w:sz w:val="24"/>
          <w:szCs w:val="24"/>
          <w:lang w:val="en-GB"/>
        </w:rPr>
        <w:t>Zhao, Ning Li</w:t>
      </w:r>
    </w:p>
    <w:p w:rsidR="008F1CE7" w:rsidRPr="00580532" w:rsidRDefault="008F1CE7" w:rsidP="00AD4B85">
      <w:pPr>
        <w:spacing w:line="360" w:lineRule="auto"/>
        <w:rPr>
          <w:rFonts w:ascii="Book Antiqua" w:hAnsi="Book Antiqua"/>
          <w:sz w:val="24"/>
          <w:szCs w:val="24"/>
          <w:lang w:val="en-GB"/>
        </w:rPr>
      </w:pPr>
    </w:p>
    <w:p w:rsidR="00604A9C" w:rsidRPr="00580532" w:rsidRDefault="00B33368" w:rsidP="00AD4B85">
      <w:pPr>
        <w:spacing w:line="360" w:lineRule="auto"/>
        <w:rPr>
          <w:rFonts w:ascii="Book Antiqua" w:hAnsi="Book Antiqua"/>
          <w:b/>
          <w:sz w:val="24"/>
          <w:szCs w:val="24"/>
          <w:vertAlign w:val="superscript"/>
          <w:lang w:val="en-GB"/>
        </w:rPr>
      </w:pPr>
      <w:r w:rsidRPr="00580532">
        <w:rPr>
          <w:rFonts w:ascii="Book Antiqua" w:hAnsi="Book Antiqua"/>
          <w:b/>
          <w:sz w:val="24"/>
          <w:szCs w:val="24"/>
          <w:lang w:val="en-GB"/>
        </w:rPr>
        <w:t>Ju-Shan Wu, Rui-Dong Zhu,</w:t>
      </w:r>
      <w:r w:rsidRPr="00580532">
        <w:rPr>
          <w:rFonts w:ascii="Book Antiqua" w:hAnsi="Book Antiqua"/>
          <w:b/>
          <w:sz w:val="24"/>
          <w:szCs w:val="24"/>
        </w:rPr>
        <w:t xml:space="preserve"> </w:t>
      </w:r>
      <w:r w:rsidRPr="00580532">
        <w:rPr>
          <w:rFonts w:ascii="Book Antiqua" w:hAnsi="Book Antiqua"/>
          <w:b/>
          <w:sz w:val="24"/>
          <w:szCs w:val="24"/>
          <w:lang w:val="en-GB"/>
        </w:rPr>
        <w:t>Ning Li,</w:t>
      </w:r>
      <w:r w:rsidRPr="00580532">
        <w:rPr>
          <w:rFonts w:ascii="Book Antiqua" w:hAnsi="Book Antiqua"/>
          <w:b/>
          <w:sz w:val="24"/>
          <w:szCs w:val="24"/>
          <w:vertAlign w:val="superscript"/>
          <w:lang w:val="en-GB"/>
        </w:rPr>
        <w:t xml:space="preserve"> </w:t>
      </w:r>
      <w:r w:rsidR="00604A9C" w:rsidRPr="00580532">
        <w:rPr>
          <w:rFonts w:ascii="Book Antiqua" w:hAnsi="Book Antiqua"/>
          <w:sz w:val="24"/>
          <w:szCs w:val="24"/>
          <w:lang w:val="en-GB"/>
        </w:rPr>
        <w:t>General Surgical Center, Beijing You-An Hospital, Capi</w:t>
      </w:r>
      <w:r w:rsidRPr="00580532">
        <w:rPr>
          <w:rFonts w:ascii="Book Antiqua" w:hAnsi="Book Antiqua"/>
          <w:sz w:val="24"/>
          <w:szCs w:val="24"/>
          <w:lang w:val="en-GB"/>
        </w:rPr>
        <w:t>tal Medical University, Beijing</w:t>
      </w:r>
      <w:r w:rsidR="00604A9C" w:rsidRPr="00580532">
        <w:rPr>
          <w:rFonts w:ascii="Book Antiqua" w:hAnsi="Book Antiqua"/>
          <w:sz w:val="24"/>
          <w:szCs w:val="24"/>
          <w:lang w:val="en-GB"/>
        </w:rPr>
        <w:t xml:space="preserve"> 100069, China, </w:t>
      </w:r>
    </w:p>
    <w:p w:rsidR="00B33368" w:rsidRPr="00580532" w:rsidRDefault="00B33368" w:rsidP="00AD4B85">
      <w:pPr>
        <w:tabs>
          <w:tab w:val="right" w:pos="8306"/>
        </w:tabs>
        <w:spacing w:line="360" w:lineRule="auto"/>
        <w:rPr>
          <w:rFonts w:ascii="Book Antiqua" w:hAnsi="Book Antiqua"/>
          <w:sz w:val="24"/>
          <w:szCs w:val="24"/>
          <w:lang w:val="en-GB"/>
        </w:rPr>
      </w:pPr>
    </w:p>
    <w:p w:rsidR="00604A9C" w:rsidRPr="00580532" w:rsidRDefault="00B33368" w:rsidP="00AD4B85">
      <w:pPr>
        <w:tabs>
          <w:tab w:val="right" w:pos="8306"/>
        </w:tabs>
        <w:spacing w:line="360" w:lineRule="auto"/>
        <w:rPr>
          <w:rFonts w:ascii="Book Antiqua" w:hAnsi="Book Antiqua"/>
          <w:sz w:val="24"/>
          <w:szCs w:val="24"/>
          <w:lang w:val="en-GB"/>
        </w:rPr>
      </w:pPr>
      <w:r w:rsidRPr="00580532">
        <w:rPr>
          <w:rFonts w:ascii="Book Antiqua" w:hAnsi="Book Antiqua"/>
          <w:b/>
          <w:sz w:val="24"/>
          <w:szCs w:val="24"/>
          <w:lang w:val="en-GB"/>
        </w:rPr>
        <w:t xml:space="preserve">Ji-Liang Feng, </w:t>
      </w:r>
      <w:r w:rsidR="00604A9C" w:rsidRPr="00580532">
        <w:rPr>
          <w:rFonts w:ascii="Book Antiqua" w:hAnsi="Book Antiqua"/>
          <w:sz w:val="24"/>
          <w:szCs w:val="24"/>
          <w:lang w:val="en-GB"/>
        </w:rPr>
        <w:t>Clinical-Pathology Center, Beijing You-An Hospital, Capi</w:t>
      </w:r>
      <w:r w:rsidRPr="00580532">
        <w:rPr>
          <w:rFonts w:ascii="Book Antiqua" w:hAnsi="Book Antiqua"/>
          <w:sz w:val="24"/>
          <w:szCs w:val="24"/>
          <w:lang w:val="en-GB"/>
        </w:rPr>
        <w:t>tal Medical University, Beijing</w:t>
      </w:r>
      <w:r w:rsidR="00604A9C" w:rsidRPr="00580532">
        <w:rPr>
          <w:rFonts w:ascii="Book Antiqua" w:hAnsi="Book Antiqua"/>
          <w:sz w:val="24"/>
          <w:szCs w:val="24"/>
          <w:lang w:val="en-GB"/>
        </w:rPr>
        <w:t xml:space="preserve"> 100069, China,</w:t>
      </w:r>
    </w:p>
    <w:p w:rsidR="00B33368" w:rsidRPr="00580532" w:rsidRDefault="00B33368" w:rsidP="00AD4B85">
      <w:pPr>
        <w:spacing w:line="360" w:lineRule="auto"/>
        <w:rPr>
          <w:rFonts w:ascii="Book Antiqua" w:hAnsi="Book Antiqua"/>
          <w:sz w:val="24"/>
          <w:szCs w:val="24"/>
          <w:lang w:val="en-GB"/>
        </w:rPr>
      </w:pPr>
    </w:p>
    <w:p w:rsidR="00604A9C" w:rsidRPr="00580532" w:rsidRDefault="00B33368" w:rsidP="00AD4B85">
      <w:pPr>
        <w:spacing w:line="360" w:lineRule="auto"/>
        <w:rPr>
          <w:rFonts w:ascii="Book Antiqua" w:hAnsi="Book Antiqua"/>
          <w:sz w:val="24"/>
          <w:szCs w:val="24"/>
          <w:lang w:val="en-GB"/>
        </w:rPr>
      </w:pPr>
      <w:r w:rsidRPr="00580532">
        <w:rPr>
          <w:rFonts w:ascii="Book Antiqua" w:hAnsi="Book Antiqua"/>
          <w:b/>
          <w:sz w:val="24"/>
          <w:szCs w:val="24"/>
          <w:lang w:val="en-GB"/>
        </w:rPr>
        <w:t>San-Guang Liu</w:t>
      </w:r>
      <w:r w:rsidRPr="00580532">
        <w:rPr>
          <w:rFonts w:ascii="Book Antiqua" w:hAnsi="Book Antiqua"/>
          <w:b/>
          <w:sz w:val="24"/>
          <w:szCs w:val="24"/>
        </w:rPr>
        <w:t xml:space="preserve">, </w:t>
      </w:r>
      <w:r w:rsidR="00604A9C" w:rsidRPr="00580532">
        <w:rPr>
          <w:rFonts w:ascii="Book Antiqua" w:hAnsi="Book Antiqua"/>
          <w:sz w:val="24"/>
          <w:szCs w:val="24"/>
          <w:lang w:val="en-GB"/>
        </w:rPr>
        <w:t>Department of Hepatobiliary Surgery, the Second Hospital, Hebei Medical University</w:t>
      </w:r>
      <w:r w:rsidRPr="00580532">
        <w:rPr>
          <w:rFonts w:ascii="Book Antiqua" w:hAnsi="Book Antiqua"/>
          <w:sz w:val="24"/>
          <w:szCs w:val="24"/>
          <w:lang w:val="en-GB"/>
        </w:rPr>
        <w:t>, Shijiazhuang</w:t>
      </w:r>
      <w:r w:rsidR="00604A9C" w:rsidRPr="00580532">
        <w:rPr>
          <w:rFonts w:ascii="Book Antiqua" w:hAnsi="Book Antiqua"/>
          <w:sz w:val="24"/>
          <w:szCs w:val="24"/>
          <w:lang w:val="en-GB"/>
        </w:rPr>
        <w:t xml:space="preserve"> 050000,</w:t>
      </w:r>
      <w:r w:rsidRPr="00580532">
        <w:rPr>
          <w:rFonts w:ascii="Book Antiqua" w:hAnsi="Book Antiqua"/>
          <w:sz w:val="24"/>
          <w:szCs w:val="24"/>
          <w:lang w:val="en-GB"/>
        </w:rPr>
        <w:t xml:space="preserve"> Hebei Province, China</w:t>
      </w:r>
    </w:p>
    <w:p w:rsidR="00B33368" w:rsidRPr="00580532" w:rsidRDefault="00B33368" w:rsidP="00AD4B85">
      <w:pPr>
        <w:tabs>
          <w:tab w:val="right" w:pos="8306"/>
        </w:tabs>
        <w:spacing w:line="360" w:lineRule="auto"/>
        <w:rPr>
          <w:rFonts w:ascii="Book Antiqua" w:hAnsi="Book Antiqua"/>
          <w:b/>
          <w:sz w:val="24"/>
          <w:szCs w:val="24"/>
          <w:lang w:val="en-GB"/>
        </w:rPr>
      </w:pPr>
    </w:p>
    <w:p w:rsidR="00604A9C" w:rsidRPr="00580532" w:rsidRDefault="00B33368" w:rsidP="00AD4B85">
      <w:pPr>
        <w:tabs>
          <w:tab w:val="right" w:pos="8306"/>
        </w:tabs>
        <w:spacing w:line="360" w:lineRule="auto"/>
        <w:rPr>
          <w:rFonts w:ascii="Book Antiqua" w:hAnsi="Book Antiqua"/>
          <w:sz w:val="24"/>
          <w:szCs w:val="24"/>
          <w:lang w:val="en-GB"/>
        </w:rPr>
      </w:pPr>
      <w:r w:rsidRPr="00580532">
        <w:rPr>
          <w:rFonts w:ascii="Book Antiqua" w:hAnsi="Book Antiqua"/>
          <w:b/>
          <w:sz w:val="24"/>
          <w:szCs w:val="24"/>
          <w:lang w:val="en-GB"/>
        </w:rPr>
        <w:t>Da-Wei</w:t>
      </w:r>
      <w:r w:rsidRPr="00580532">
        <w:rPr>
          <w:rFonts w:ascii="Book Antiqua" w:hAnsi="Book Antiqua"/>
          <w:b/>
          <w:sz w:val="24"/>
          <w:szCs w:val="24"/>
          <w:vertAlign w:val="superscript"/>
        </w:rPr>
        <w:t xml:space="preserve"> </w:t>
      </w:r>
      <w:r w:rsidRPr="00580532">
        <w:rPr>
          <w:rFonts w:ascii="Book Antiqua" w:hAnsi="Book Antiqua"/>
          <w:b/>
          <w:sz w:val="24"/>
          <w:szCs w:val="24"/>
          <w:lang w:val="en-GB"/>
        </w:rPr>
        <w:t xml:space="preserve">Zhao, </w:t>
      </w:r>
      <w:r w:rsidR="00604A9C" w:rsidRPr="00580532">
        <w:rPr>
          <w:rFonts w:ascii="Book Antiqua" w:hAnsi="Book Antiqua"/>
          <w:sz w:val="24"/>
          <w:szCs w:val="24"/>
          <w:lang w:val="en-GB"/>
        </w:rPr>
        <w:t>Medical Imaging Department, Beijing You-An Hospital, Capi</w:t>
      </w:r>
      <w:r w:rsidRPr="00580532">
        <w:rPr>
          <w:rFonts w:ascii="Book Antiqua" w:hAnsi="Book Antiqua"/>
          <w:sz w:val="24"/>
          <w:szCs w:val="24"/>
          <w:lang w:val="en-GB"/>
        </w:rPr>
        <w:t>tal Medical University, Beijing</w:t>
      </w:r>
      <w:r w:rsidR="00604A9C" w:rsidRPr="00580532">
        <w:rPr>
          <w:rFonts w:ascii="Book Antiqua" w:hAnsi="Book Antiqua"/>
          <w:sz w:val="24"/>
          <w:szCs w:val="24"/>
          <w:lang w:val="en-GB"/>
        </w:rPr>
        <w:t xml:space="preserve"> 100069, China</w:t>
      </w:r>
    </w:p>
    <w:p w:rsidR="00B33368" w:rsidRPr="00580532" w:rsidRDefault="00B33368" w:rsidP="00AD4B85">
      <w:pPr>
        <w:tabs>
          <w:tab w:val="right" w:pos="8306"/>
        </w:tabs>
        <w:spacing w:line="360" w:lineRule="auto"/>
        <w:rPr>
          <w:rFonts w:ascii="Book Antiqua" w:hAnsi="Book Antiqua"/>
          <w:sz w:val="24"/>
          <w:szCs w:val="24"/>
          <w:lang w:val="en-GB"/>
        </w:rPr>
      </w:pPr>
    </w:p>
    <w:p w:rsidR="00B33368" w:rsidRPr="00580532" w:rsidRDefault="00B33368" w:rsidP="00AD4B85">
      <w:pPr>
        <w:spacing w:line="360" w:lineRule="auto"/>
        <w:rPr>
          <w:rFonts w:ascii="Book Antiqua" w:hAnsi="Book Antiqua"/>
          <w:sz w:val="24"/>
          <w:szCs w:val="24"/>
          <w:vertAlign w:val="superscript"/>
          <w:lang w:val="en-GB"/>
        </w:rPr>
      </w:pPr>
      <w:r w:rsidRPr="00580532">
        <w:rPr>
          <w:rFonts w:ascii="Book Antiqua" w:hAnsi="Book Antiqua"/>
          <w:b/>
          <w:kern w:val="0"/>
          <w:sz w:val="24"/>
          <w:szCs w:val="24"/>
        </w:rPr>
        <w:t>ORCID number:</w:t>
      </w:r>
      <w:r w:rsidRPr="00580532">
        <w:rPr>
          <w:rFonts w:ascii="Book Antiqua" w:hAnsi="Book Antiqua"/>
          <w:kern w:val="0"/>
          <w:sz w:val="24"/>
          <w:szCs w:val="24"/>
        </w:rPr>
        <w:t> </w:t>
      </w:r>
      <w:r w:rsidRPr="00580532">
        <w:rPr>
          <w:rFonts w:ascii="Book Antiqua" w:hAnsi="Book Antiqua"/>
          <w:sz w:val="24"/>
          <w:szCs w:val="24"/>
          <w:lang w:val="en-GB"/>
        </w:rPr>
        <w:t>Ju-Shan Wu (</w:t>
      </w:r>
      <w:hyperlink r:id="rId8" w:tgtFrame="_blank" w:history="1">
        <w:r w:rsidRPr="00580532">
          <w:rPr>
            <w:rStyle w:val="a6"/>
            <w:rFonts w:ascii="Book Antiqua" w:hAnsi="Book Antiqua"/>
            <w:color w:val="auto"/>
            <w:sz w:val="24"/>
            <w:szCs w:val="24"/>
          </w:rPr>
          <w:t>0000-0001-5514-7243</w:t>
        </w:r>
      </w:hyperlink>
      <w:r w:rsidRPr="00580532">
        <w:rPr>
          <w:rFonts w:ascii="Book Antiqua" w:hAnsi="Book Antiqua"/>
          <w:sz w:val="24"/>
          <w:szCs w:val="24"/>
          <w:lang w:val="en-GB"/>
        </w:rPr>
        <w:t>); Ji-Liang Feng (0000-0002-2027-9737); Rui-Dong Zhu (0000-0001-8595-5794); San-Guang Liu (0000-0002-3186-8780);</w:t>
      </w:r>
      <w:r w:rsidRPr="00580532">
        <w:rPr>
          <w:rFonts w:ascii="Book Antiqua" w:hAnsi="Book Antiqua"/>
          <w:sz w:val="24"/>
          <w:szCs w:val="24"/>
        </w:rPr>
        <w:t xml:space="preserve"> </w:t>
      </w:r>
      <w:r w:rsidRPr="00580532">
        <w:rPr>
          <w:rFonts w:ascii="Book Antiqua" w:hAnsi="Book Antiqua"/>
          <w:sz w:val="24"/>
          <w:szCs w:val="24"/>
          <w:lang w:val="en-GB"/>
        </w:rPr>
        <w:t>Da-Wei</w:t>
      </w:r>
      <w:r w:rsidRPr="00580532">
        <w:rPr>
          <w:rFonts w:ascii="Book Antiqua" w:hAnsi="Book Antiqua"/>
          <w:sz w:val="24"/>
          <w:szCs w:val="24"/>
          <w:vertAlign w:val="superscript"/>
        </w:rPr>
        <w:t xml:space="preserve"> </w:t>
      </w:r>
      <w:r w:rsidRPr="00580532">
        <w:rPr>
          <w:rFonts w:ascii="Book Antiqua" w:hAnsi="Book Antiqua"/>
          <w:sz w:val="24"/>
          <w:szCs w:val="24"/>
          <w:lang w:val="en-GB"/>
        </w:rPr>
        <w:t>Zhao (0000-0002-3713-3558); Ning Li (0000-0001-5521-4469).</w:t>
      </w:r>
    </w:p>
    <w:p w:rsidR="00B33368" w:rsidRPr="00580532" w:rsidRDefault="00B33368" w:rsidP="00AD4B85">
      <w:pPr>
        <w:tabs>
          <w:tab w:val="right" w:pos="8306"/>
        </w:tabs>
        <w:spacing w:line="360" w:lineRule="auto"/>
        <w:rPr>
          <w:rFonts w:ascii="Book Antiqua" w:hAnsi="Book Antiqua"/>
          <w:sz w:val="24"/>
          <w:szCs w:val="24"/>
          <w:lang w:val="en-GB"/>
        </w:rPr>
      </w:pPr>
    </w:p>
    <w:p w:rsidR="00B33368" w:rsidRPr="00580532" w:rsidRDefault="00B33368" w:rsidP="00AD4B85">
      <w:pPr>
        <w:spacing w:line="360" w:lineRule="auto"/>
        <w:rPr>
          <w:rFonts w:ascii="Book Antiqua" w:hAnsi="Book Antiqua"/>
          <w:kern w:val="0"/>
          <w:sz w:val="24"/>
          <w:szCs w:val="24"/>
        </w:rPr>
      </w:pPr>
      <w:r w:rsidRPr="00580532">
        <w:rPr>
          <w:rFonts w:ascii="Book Antiqua" w:hAnsi="Book Antiqua"/>
          <w:b/>
          <w:kern w:val="0"/>
          <w:sz w:val="24"/>
          <w:szCs w:val="24"/>
        </w:rPr>
        <w:t>Author contributions:</w:t>
      </w:r>
      <w:r w:rsidRPr="00580532">
        <w:rPr>
          <w:rFonts w:ascii="Book Antiqua" w:hAnsi="Book Antiqua"/>
          <w:sz w:val="24"/>
          <w:szCs w:val="24"/>
          <w:lang w:val="en-GB"/>
        </w:rPr>
        <w:t xml:space="preserve"> Wu JS </w:t>
      </w:r>
      <w:r w:rsidRPr="00580532">
        <w:rPr>
          <w:rFonts w:ascii="Book Antiqua" w:hAnsi="Book Antiqua"/>
          <w:sz w:val="24"/>
          <w:szCs w:val="24"/>
        </w:rPr>
        <w:t xml:space="preserve">and </w:t>
      </w:r>
      <w:r w:rsidRPr="00580532">
        <w:rPr>
          <w:rFonts w:ascii="Book Antiqua" w:hAnsi="Book Antiqua"/>
          <w:sz w:val="24"/>
          <w:szCs w:val="24"/>
          <w:lang w:val="en-GB"/>
        </w:rPr>
        <w:t xml:space="preserve">Feng JL </w:t>
      </w:r>
      <w:r w:rsidRPr="00580532">
        <w:rPr>
          <w:rFonts w:ascii="Book Antiqua" w:hAnsi="Book Antiqua"/>
          <w:sz w:val="24"/>
          <w:szCs w:val="24"/>
        </w:rPr>
        <w:t>contributed equally to this paper and should be considered as co-first author;</w:t>
      </w:r>
      <w:r w:rsidRPr="00580532">
        <w:rPr>
          <w:rFonts w:ascii="Book Antiqua" w:hAnsi="Book Antiqua"/>
          <w:kern w:val="0"/>
          <w:sz w:val="24"/>
          <w:szCs w:val="24"/>
        </w:rPr>
        <w:t xml:space="preserve"> </w:t>
      </w:r>
      <w:r w:rsidRPr="00580532">
        <w:rPr>
          <w:rFonts w:ascii="Book Antiqua" w:hAnsi="Book Antiqua"/>
          <w:sz w:val="24"/>
          <w:szCs w:val="24"/>
          <w:lang w:val="en-GB"/>
        </w:rPr>
        <w:t>Wu JS</w:t>
      </w:r>
      <w:r w:rsidRPr="00580532">
        <w:rPr>
          <w:rFonts w:ascii="Book Antiqua" w:hAnsi="Book Antiqua"/>
          <w:sz w:val="24"/>
          <w:szCs w:val="24"/>
        </w:rPr>
        <w:t xml:space="preserve">, </w:t>
      </w:r>
      <w:r w:rsidRPr="00580532">
        <w:rPr>
          <w:rFonts w:ascii="Book Antiqua" w:hAnsi="Book Antiqua"/>
          <w:sz w:val="24"/>
          <w:szCs w:val="24"/>
          <w:lang w:val="en-GB"/>
        </w:rPr>
        <w:t xml:space="preserve">Feng JL </w:t>
      </w:r>
      <w:r w:rsidRPr="00580532">
        <w:rPr>
          <w:rFonts w:ascii="Book Antiqua" w:hAnsi="Book Antiqua"/>
          <w:sz w:val="24"/>
          <w:szCs w:val="24"/>
        </w:rPr>
        <w:t>and Li N designed and wrote this paper;</w:t>
      </w:r>
      <w:r w:rsidRPr="00580532">
        <w:rPr>
          <w:rFonts w:ascii="Book Antiqua" w:hAnsi="Book Antiqua"/>
          <w:sz w:val="24"/>
          <w:szCs w:val="24"/>
          <w:lang w:val="en-GB"/>
        </w:rPr>
        <w:t xml:space="preserve"> Zhu RD </w:t>
      </w:r>
      <w:r w:rsidRPr="00580532">
        <w:rPr>
          <w:rFonts w:ascii="Book Antiqua" w:hAnsi="Book Antiqua"/>
          <w:sz w:val="24"/>
          <w:szCs w:val="24"/>
        </w:rPr>
        <w:t xml:space="preserve">and </w:t>
      </w:r>
      <w:r w:rsidRPr="00580532">
        <w:rPr>
          <w:rFonts w:ascii="Book Antiqua" w:hAnsi="Book Antiqua"/>
          <w:sz w:val="24"/>
          <w:szCs w:val="24"/>
          <w:lang w:val="en-GB"/>
        </w:rPr>
        <w:t xml:space="preserve">Liu SG </w:t>
      </w:r>
      <w:r w:rsidRPr="00580532">
        <w:rPr>
          <w:rFonts w:ascii="Book Antiqua" w:hAnsi="Book Antiqua"/>
          <w:sz w:val="24"/>
          <w:szCs w:val="24"/>
        </w:rPr>
        <w:t xml:space="preserve">collected the samples; </w:t>
      </w:r>
      <w:r w:rsidRPr="00580532">
        <w:rPr>
          <w:rFonts w:ascii="Book Antiqua" w:hAnsi="Book Antiqua"/>
          <w:sz w:val="24"/>
          <w:szCs w:val="24"/>
          <w:lang w:val="en-GB"/>
        </w:rPr>
        <w:t xml:space="preserve">Feng JL </w:t>
      </w:r>
      <w:r w:rsidRPr="00580532">
        <w:rPr>
          <w:rFonts w:ascii="Book Antiqua" w:hAnsi="Book Antiqua"/>
          <w:sz w:val="24"/>
          <w:szCs w:val="24"/>
        </w:rPr>
        <w:t xml:space="preserve">and </w:t>
      </w:r>
      <w:r w:rsidRPr="00580532">
        <w:rPr>
          <w:rFonts w:ascii="Book Antiqua" w:hAnsi="Book Antiqua"/>
          <w:sz w:val="24"/>
          <w:szCs w:val="24"/>
          <w:lang w:val="en-GB"/>
        </w:rPr>
        <w:t>Zhao</w:t>
      </w:r>
      <w:r w:rsidRPr="00580532">
        <w:rPr>
          <w:rFonts w:ascii="Book Antiqua" w:hAnsi="Book Antiqua"/>
          <w:sz w:val="24"/>
          <w:szCs w:val="24"/>
        </w:rPr>
        <w:t xml:space="preserve"> </w:t>
      </w:r>
      <w:r w:rsidRPr="00580532">
        <w:rPr>
          <w:rFonts w:ascii="Book Antiqua" w:hAnsi="Book Antiqua"/>
          <w:sz w:val="24"/>
          <w:szCs w:val="24"/>
          <w:lang w:val="en-GB"/>
        </w:rPr>
        <w:t>DW</w:t>
      </w:r>
      <w:r w:rsidRPr="00580532">
        <w:rPr>
          <w:rFonts w:ascii="Book Antiqua" w:hAnsi="Book Antiqua"/>
          <w:sz w:val="24"/>
          <w:szCs w:val="24"/>
          <w:vertAlign w:val="superscript"/>
        </w:rPr>
        <w:t xml:space="preserve"> </w:t>
      </w:r>
      <w:r w:rsidRPr="00580532">
        <w:rPr>
          <w:rFonts w:ascii="Book Antiqua" w:hAnsi="Book Antiqua"/>
          <w:sz w:val="24"/>
          <w:szCs w:val="24"/>
        </w:rPr>
        <w:t xml:space="preserve">made the pathology and statistics analysis. </w:t>
      </w:r>
    </w:p>
    <w:p w:rsidR="00B33368" w:rsidRPr="00580532" w:rsidRDefault="00B33368" w:rsidP="00AD4B85">
      <w:pPr>
        <w:tabs>
          <w:tab w:val="right" w:pos="8306"/>
        </w:tabs>
        <w:spacing w:line="360" w:lineRule="auto"/>
        <w:rPr>
          <w:rFonts w:ascii="Book Antiqua" w:hAnsi="Book Antiqua"/>
          <w:b/>
          <w:kern w:val="0"/>
          <w:sz w:val="24"/>
          <w:szCs w:val="24"/>
        </w:rPr>
      </w:pPr>
    </w:p>
    <w:p w:rsidR="008F1CE7" w:rsidRPr="00580532" w:rsidRDefault="00B33368" w:rsidP="00AD4B85">
      <w:pPr>
        <w:spacing w:line="360" w:lineRule="auto"/>
        <w:rPr>
          <w:rFonts w:ascii="Book Antiqua" w:hAnsi="Book Antiqua"/>
          <w:sz w:val="24"/>
          <w:szCs w:val="24"/>
        </w:rPr>
      </w:pPr>
      <w:r w:rsidRPr="00580532">
        <w:rPr>
          <w:rFonts w:ascii="Book Antiqua" w:hAnsi="Book Antiqua"/>
          <w:b/>
          <w:sz w:val="24"/>
          <w:szCs w:val="24"/>
        </w:rPr>
        <w:t>Supported by</w:t>
      </w:r>
      <w:r w:rsidRPr="00580532">
        <w:rPr>
          <w:rFonts w:ascii="Book Antiqua" w:hAnsi="Book Antiqua"/>
          <w:sz w:val="24"/>
          <w:szCs w:val="24"/>
        </w:rPr>
        <w:t xml:space="preserve"> The Special Scientific Research Fund for Beijing Health Development, No. 2014-2-2182; The Scientific Research Project of Beijing You’an Hospital, CCMU, No. YNKTTS20180110; and Capital Characteristic Fund, No. Z171100001017035.</w:t>
      </w:r>
    </w:p>
    <w:p w:rsidR="00EE66CF" w:rsidRPr="00580532" w:rsidRDefault="00EE66CF" w:rsidP="00AD4B85">
      <w:pPr>
        <w:spacing w:line="360" w:lineRule="auto"/>
        <w:rPr>
          <w:rFonts w:ascii="Book Antiqua" w:hAnsi="Book Antiqua"/>
          <w:sz w:val="24"/>
          <w:szCs w:val="24"/>
        </w:rPr>
      </w:pPr>
    </w:p>
    <w:p w:rsidR="00B33368" w:rsidRPr="00580532" w:rsidRDefault="00B33368" w:rsidP="00AD4B85">
      <w:pPr>
        <w:spacing w:line="360" w:lineRule="auto"/>
        <w:rPr>
          <w:rFonts w:ascii="Book Antiqua" w:hAnsi="Book Antiqua"/>
          <w:iCs/>
          <w:kern w:val="0"/>
          <w:sz w:val="24"/>
          <w:szCs w:val="24"/>
        </w:rPr>
      </w:pPr>
      <w:r w:rsidRPr="00580532">
        <w:rPr>
          <w:rFonts w:ascii="Book Antiqua" w:hAnsi="Book Antiqua"/>
          <w:b/>
          <w:sz w:val="24"/>
          <w:szCs w:val="24"/>
        </w:rPr>
        <w:t>Institutional review board statement</w:t>
      </w:r>
      <w:r w:rsidRPr="00580532">
        <w:rPr>
          <w:rFonts w:ascii="Book Antiqua" w:hAnsi="Book Antiqua"/>
          <w:b/>
          <w:iCs/>
          <w:kern w:val="0"/>
          <w:sz w:val="24"/>
          <w:szCs w:val="24"/>
        </w:rPr>
        <w:t xml:space="preserve">: </w:t>
      </w:r>
      <w:r w:rsidRPr="00580532">
        <w:rPr>
          <w:rFonts w:ascii="Book Antiqua" w:hAnsi="Book Antiqua"/>
          <w:iCs/>
          <w:kern w:val="0"/>
          <w:sz w:val="24"/>
          <w:szCs w:val="24"/>
        </w:rPr>
        <w:t>This study was approved by the Regional Ethics Committee of the hospitals.</w:t>
      </w:r>
    </w:p>
    <w:p w:rsidR="00B33368" w:rsidRPr="00580532" w:rsidRDefault="00B33368" w:rsidP="00AD4B85">
      <w:pPr>
        <w:spacing w:line="360" w:lineRule="auto"/>
        <w:rPr>
          <w:rFonts w:ascii="Book Antiqua" w:hAnsi="Book Antiqua"/>
          <w:b/>
          <w:sz w:val="24"/>
          <w:szCs w:val="24"/>
        </w:rPr>
      </w:pPr>
    </w:p>
    <w:p w:rsidR="00B33368" w:rsidRPr="00580532" w:rsidRDefault="00B33368" w:rsidP="00AD4B85">
      <w:pPr>
        <w:spacing w:line="360" w:lineRule="auto"/>
        <w:rPr>
          <w:rFonts w:ascii="Book Antiqua" w:hAnsi="Book Antiqua"/>
          <w:sz w:val="24"/>
          <w:szCs w:val="24"/>
        </w:rPr>
      </w:pPr>
      <w:r w:rsidRPr="00580532">
        <w:rPr>
          <w:rFonts w:ascii="Book Antiqua" w:hAnsi="Book Antiqua"/>
          <w:b/>
          <w:sz w:val="24"/>
          <w:szCs w:val="24"/>
        </w:rPr>
        <w:t>Informed consent statement</w:t>
      </w:r>
      <w:r w:rsidRPr="00580532">
        <w:rPr>
          <w:rFonts w:ascii="Book Antiqua" w:hAnsi="Book Antiqua"/>
          <w:b/>
          <w:iCs/>
          <w:sz w:val="24"/>
          <w:szCs w:val="24"/>
        </w:rPr>
        <w:t>:</w:t>
      </w:r>
      <w:r w:rsidRPr="00580532">
        <w:rPr>
          <w:rFonts w:ascii="Book Antiqua" w:hAnsi="Book Antiqua"/>
          <w:b/>
          <w:iCs/>
          <w:kern w:val="0"/>
          <w:sz w:val="24"/>
          <w:szCs w:val="24"/>
        </w:rPr>
        <w:t xml:space="preserve"> </w:t>
      </w:r>
      <w:r w:rsidRPr="00580532">
        <w:rPr>
          <w:rFonts w:ascii="Book Antiqua" w:hAnsi="Book Antiqua"/>
          <w:sz w:val="24"/>
          <w:szCs w:val="24"/>
        </w:rPr>
        <w:t>Informed consent was obtained from all individual participants included in the study.</w:t>
      </w:r>
    </w:p>
    <w:p w:rsidR="00B33368" w:rsidRPr="00580532" w:rsidRDefault="00B33368" w:rsidP="00AD4B85">
      <w:pPr>
        <w:spacing w:line="360" w:lineRule="auto"/>
        <w:rPr>
          <w:rFonts w:ascii="Book Antiqua" w:hAnsi="Book Antiqua"/>
          <w:b/>
          <w:sz w:val="24"/>
          <w:szCs w:val="24"/>
        </w:rPr>
      </w:pPr>
    </w:p>
    <w:p w:rsidR="00B33368" w:rsidRPr="00580532" w:rsidRDefault="00B33368" w:rsidP="00AD4B85">
      <w:pPr>
        <w:spacing w:line="360" w:lineRule="auto"/>
        <w:rPr>
          <w:rFonts w:ascii="Book Antiqua" w:hAnsi="Book Antiqua"/>
          <w:b/>
          <w:sz w:val="24"/>
          <w:szCs w:val="24"/>
        </w:rPr>
      </w:pPr>
      <w:r w:rsidRPr="00580532">
        <w:rPr>
          <w:rFonts w:ascii="Book Antiqua" w:hAnsi="Book Antiqua"/>
          <w:b/>
          <w:sz w:val="24"/>
          <w:szCs w:val="24"/>
        </w:rPr>
        <w:t>Conflict-of-interest statement</w:t>
      </w:r>
      <w:r w:rsidRPr="00580532">
        <w:rPr>
          <w:rFonts w:ascii="Book Antiqua" w:hAnsi="Book Antiqua" w:cs="TimesNewRomanPS-BoldItalicMT"/>
          <w:b/>
          <w:iCs/>
          <w:sz w:val="24"/>
          <w:szCs w:val="24"/>
        </w:rPr>
        <w:t xml:space="preserve">: </w:t>
      </w:r>
      <w:r w:rsidRPr="00580532">
        <w:rPr>
          <w:rFonts w:ascii="Book Antiqua" w:hAnsi="Book Antiqua" w:cs="TimesNewRomanPS-BoldItalicMT"/>
          <w:iCs/>
          <w:sz w:val="24"/>
          <w:szCs w:val="24"/>
        </w:rPr>
        <w:t>There is no potential conflict of interest involved in this paper.</w:t>
      </w:r>
    </w:p>
    <w:p w:rsidR="00B33368" w:rsidRPr="00580532" w:rsidRDefault="00B33368" w:rsidP="00AD4B85">
      <w:pPr>
        <w:adjustRightInd w:val="0"/>
        <w:snapToGrid w:val="0"/>
        <w:spacing w:line="360" w:lineRule="auto"/>
        <w:rPr>
          <w:rFonts w:ascii="Book Antiqua" w:hAnsi="Book Antiqua"/>
          <w:sz w:val="24"/>
          <w:szCs w:val="24"/>
        </w:rPr>
      </w:pPr>
    </w:p>
    <w:p w:rsidR="00B33368" w:rsidRPr="00580532" w:rsidRDefault="00B33368" w:rsidP="00AD4B85">
      <w:pPr>
        <w:widowControl/>
        <w:adjustRightInd w:val="0"/>
        <w:snapToGrid w:val="0"/>
        <w:spacing w:line="360" w:lineRule="auto"/>
        <w:rPr>
          <w:rFonts w:ascii="Book Antiqua" w:hAnsi="Book Antiqua"/>
          <w:sz w:val="24"/>
          <w:szCs w:val="24"/>
        </w:rPr>
      </w:pPr>
      <w:r w:rsidRPr="00580532">
        <w:rPr>
          <w:rFonts w:ascii="Book Antiqua" w:hAnsi="Book Antiqua"/>
          <w:b/>
          <w:kern w:val="0"/>
          <w:sz w:val="24"/>
          <w:szCs w:val="24"/>
        </w:rPr>
        <w:t xml:space="preserve">Open-Access: </w:t>
      </w:r>
      <w:r w:rsidRPr="00580532">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580532">
          <w:rPr>
            <w:rStyle w:val="a6"/>
            <w:rFonts w:ascii="Book Antiqua" w:hAnsi="Book Antiqua"/>
            <w:color w:val="auto"/>
            <w:sz w:val="24"/>
            <w:szCs w:val="24"/>
          </w:rPr>
          <w:t>http://creativecommons.org/licenses/by-nc/4.0/</w:t>
        </w:r>
      </w:hyperlink>
    </w:p>
    <w:p w:rsidR="00B33368" w:rsidRPr="00580532" w:rsidRDefault="00B33368" w:rsidP="00AD4B85">
      <w:pPr>
        <w:spacing w:line="360" w:lineRule="auto"/>
        <w:rPr>
          <w:rFonts w:ascii="Book Antiqua" w:hAnsi="Book Antiqua"/>
          <w:b/>
          <w:sz w:val="24"/>
          <w:szCs w:val="24"/>
        </w:rPr>
      </w:pPr>
      <w:r w:rsidRPr="00580532">
        <w:rPr>
          <w:rFonts w:ascii="Book Antiqua" w:hAnsi="Book Antiqua"/>
          <w:b/>
          <w:sz w:val="24"/>
          <w:szCs w:val="24"/>
        </w:rPr>
        <w:t xml:space="preserve"> </w:t>
      </w:r>
    </w:p>
    <w:p w:rsidR="00B33368" w:rsidRPr="00580532" w:rsidRDefault="00B33368" w:rsidP="00AD4B85">
      <w:pPr>
        <w:spacing w:line="360" w:lineRule="auto"/>
        <w:rPr>
          <w:rFonts w:ascii="Book Antiqua" w:hAnsi="Book Antiqua" w:cs="宋体"/>
          <w:kern w:val="0"/>
          <w:sz w:val="24"/>
          <w:szCs w:val="24"/>
        </w:rPr>
      </w:pPr>
      <w:r w:rsidRPr="00580532">
        <w:rPr>
          <w:rFonts w:ascii="Book Antiqua" w:hAnsi="Book Antiqua" w:cs="宋体"/>
          <w:b/>
          <w:kern w:val="0"/>
          <w:sz w:val="24"/>
          <w:szCs w:val="24"/>
        </w:rPr>
        <w:t>Manuscript source:</w:t>
      </w:r>
      <w:r w:rsidRPr="00580532">
        <w:rPr>
          <w:rFonts w:ascii="Book Antiqua" w:hAnsi="Book Antiqua" w:cs="宋体"/>
          <w:kern w:val="0"/>
          <w:sz w:val="24"/>
          <w:szCs w:val="24"/>
        </w:rPr>
        <w:t> Unsolicited manuscript</w:t>
      </w:r>
    </w:p>
    <w:p w:rsidR="00B33368" w:rsidRPr="00580532" w:rsidRDefault="00B33368" w:rsidP="00AD4B85">
      <w:pPr>
        <w:spacing w:line="360" w:lineRule="auto"/>
        <w:rPr>
          <w:rFonts w:ascii="Book Antiqua" w:hAnsi="Book Antiqua"/>
          <w:b/>
          <w:sz w:val="24"/>
          <w:szCs w:val="24"/>
        </w:rPr>
      </w:pPr>
    </w:p>
    <w:p w:rsidR="00B33368" w:rsidRPr="00580532" w:rsidRDefault="00B162B5" w:rsidP="00AD4B85">
      <w:pPr>
        <w:spacing w:line="360" w:lineRule="auto"/>
        <w:rPr>
          <w:rFonts w:ascii="Book Antiqua" w:hAnsi="Book Antiqua"/>
          <w:sz w:val="24"/>
          <w:szCs w:val="24"/>
        </w:rPr>
      </w:pPr>
      <w:r w:rsidRPr="00580532">
        <w:rPr>
          <w:rFonts w:ascii="Book Antiqua" w:hAnsi="Book Antiqua"/>
          <w:b/>
          <w:sz w:val="24"/>
          <w:szCs w:val="24"/>
        </w:rPr>
        <w:t xml:space="preserve">Corresponding author: </w:t>
      </w:r>
      <w:r w:rsidR="00B33368" w:rsidRPr="00580532">
        <w:rPr>
          <w:rFonts w:ascii="Book Antiqua" w:hAnsi="Book Antiqua"/>
          <w:b/>
          <w:sz w:val="24"/>
          <w:szCs w:val="24"/>
        </w:rPr>
        <w:t xml:space="preserve">Ning Li, MD, PhD, Professor, </w:t>
      </w:r>
      <w:r w:rsidR="00B33368" w:rsidRPr="00580532">
        <w:rPr>
          <w:rFonts w:ascii="Book Antiqua" w:hAnsi="Book Antiqua"/>
          <w:sz w:val="24"/>
          <w:szCs w:val="24"/>
        </w:rPr>
        <w:t xml:space="preserve">General Surgical Center, Beijing You-An Hospital, Capital Medical University, No. 8 Xitoutiao Outside You'anmen, Fengtai District, Beijing 100069, China. </w:t>
      </w:r>
      <w:hyperlink r:id="rId10" w:history="1">
        <w:r w:rsidR="00B33368" w:rsidRPr="00580532">
          <w:rPr>
            <w:rStyle w:val="a6"/>
            <w:rFonts w:ascii="Book Antiqua" w:hAnsi="Book Antiqua"/>
            <w:color w:val="auto"/>
            <w:sz w:val="24"/>
            <w:szCs w:val="24"/>
          </w:rPr>
          <w:t>liningbjah@163.com</w:t>
        </w:r>
      </w:hyperlink>
    </w:p>
    <w:p w:rsidR="00E468B9" w:rsidRPr="00580532" w:rsidRDefault="00E468B9" w:rsidP="00AD4B85">
      <w:pPr>
        <w:widowControl/>
        <w:adjustRightInd w:val="0"/>
        <w:snapToGrid w:val="0"/>
        <w:spacing w:line="360" w:lineRule="auto"/>
        <w:rPr>
          <w:rFonts w:ascii="Book Antiqua" w:hAnsi="Book Antiqua"/>
          <w:sz w:val="24"/>
          <w:szCs w:val="24"/>
        </w:rPr>
      </w:pPr>
      <w:r w:rsidRPr="00580532">
        <w:rPr>
          <w:rFonts w:ascii="Book Antiqua" w:hAnsi="Book Antiqua"/>
          <w:b/>
          <w:sz w:val="24"/>
          <w:szCs w:val="24"/>
        </w:rPr>
        <w:t>Telephone:</w:t>
      </w:r>
      <w:r w:rsidRPr="00580532">
        <w:rPr>
          <w:rFonts w:ascii="Book Antiqua" w:hAnsi="Book Antiqua"/>
          <w:sz w:val="24"/>
          <w:szCs w:val="24"/>
        </w:rPr>
        <w:t xml:space="preserve"> </w:t>
      </w:r>
      <w:r w:rsidR="00B33368" w:rsidRPr="00580532">
        <w:rPr>
          <w:rFonts w:ascii="Book Antiqua" w:hAnsi="Book Antiqua"/>
          <w:sz w:val="24"/>
          <w:szCs w:val="24"/>
        </w:rPr>
        <w:t>+86-</w:t>
      </w:r>
      <w:r w:rsidR="006563E0" w:rsidRPr="00580532">
        <w:rPr>
          <w:rFonts w:ascii="Book Antiqua" w:hAnsi="Book Antiqua"/>
          <w:sz w:val="24"/>
          <w:szCs w:val="24"/>
        </w:rPr>
        <w:t>10-839971</w:t>
      </w:r>
      <w:r w:rsidR="003B77C5" w:rsidRPr="00580532">
        <w:rPr>
          <w:rFonts w:ascii="Book Antiqua" w:hAnsi="Book Antiqua"/>
          <w:sz w:val="24"/>
          <w:szCs w:val="24"/>
        </w:rPr>
        <w:t>75</w:t>
      </w:r>
    </w:p>
    <w:p w:rsidR="00E468B9" w:rsidRPr="00580532" w:rsidRDefault="00E468B9" w:rsidP="00AD4B85">
      <w:pPr>
        <w:widowControl/>
        <w:adjustRightInd w:val="0"/>
        <w:snapToGrid w:val="0"/>
        <w:spacing w:line="360" w:lineRule="auto"/>
        <w:rPr>
          <w:rFonts w:ascii="Book Antiqua" w:hAnsi="Book Antiqua"/>
          <w:sz w:val="24"/>
          <w:szCs w:val="24"/>
        </w:rPr>
      </w:pPr>
      <w:r w:rsidRPr="00580532">
        <w:rPr>
          <w:rFonts w:ascii="Book Antiqua" w:hAnsi="Book Antiqua"/>
          <w:b/>
          <w:sz w:val="24"/>
          <w:szCs w:val="24"/>
        </w:rPr>
        <w:t>Fax:</w:t>
      </w:r>
      <w:r w:rsidRPr="00580532">
        <w:rPr>
          <w:rFonts w:ascii="Book Antiqua" w:hAnsi="Book Antiqua"/>
          <w:sz w:val="24"/>
          <w:szCs w:val="24"/>
        </w:rPr>
        <w:t xml:space="preserve"> </w:t>
      </w:r>
      <w:r w:rsidR="00B33368" w:rsidRPr="00580532">
        <w:rPr>
          <w:rFonts w:ascii="Book Antiqua" w:hAnsi="Book Antiqua"/>
          <w:sz w:val="24"/>
          <w:szCs w:val="24"/>
        </w:rPr>
        <w:t>+86-</w:t>
      </w:r>
      <w:r w:rsidR="003B77C5" w:rsidRPr="00580532">
        <w:rPr>
          <w:rFonts w:ascii="Book Antiqua" w:hAnsi="Book Antiqua"/>
          <w:sz w:val="24"/>
          <w:szCs w:val="24"/>
        </w:rPr>
        <w:t>10-83997169</w:t>
      </w:r>
    </w:p>
    <w:p w:rsidR="00B162B5" w:rsidRPr="00580532" w:rsidRDefault="00B162B5" w:rsidP="00AD4B85">
      <w:pPr>
        <w:spacing w:line="360" w:lineRule="auto"/>
        <w:rPr>
          <w:rFonts w:ascii="Book Antiqua" w:hAnsi="Book Antiqua"/>
          <w:b/>
          <w:sz w:val="24"/>
          <w:szCs w:val="24"/>
        </w:rPr>
      </w:pPr>
    </w:p>
    <w:p w:rsidR="00B33368" w:rsidRPr="00580532" w:rsidRDefault="00B33368" w:rsidP="00AD4B85">
      <w:pPr>
        <w:spacing w:line="360" w:lineRule="auto"/>
        <w:rPr>
          <w:rFonts w:ascii="Book Antiqua" w:hAnsi="Book Antiqua"/>
          <w:b/>
          <w:sz w:val="24"/>
          <w:szCs w:val="24"/>
        </w:rPr>
      </w:pPr>
      <w:r w:rsidRPr="00580532">
        <w:rPr>
          <w:rFonts w:ascii="Book Antiqua" w:hAnsi="Book Antiqua"/>
          <w:b/>
          <w:sz w:val="24"/>
          <w:szCs w:val="24"/>
        </w:rPr>
        <w:t xml:space="preserve">Received: </w:t>
      </w:r>
      <w:r w:rsidR="0032140A" w:rsidRPr="00580532">
        <w:rPr>
          <w:rFonts w:ascii="Book Antiqua" w:hAnsi="Book Antiqua"/>
          <w:sz w:val="24"/>
          <w:szCs w:val="24"/>
        </w:rPr>
        <w:t>January 16, 2019</w:t>
      </w:r>
      <w:r w:rsidR="00580532">
        <w:rPr>
          <w:rFonts w:ascii="Book Antiqua" w:hAnsi="Book Antiqua"/>
          <w:sz w:val="24"/>
          <w:szCs w:val="24"/>
        </w:rPr>
        <w:t xml:space="preserve"> </w:t>
      </w:r>
    </w:p>
    <w:p w:rsidR="00B33368" w:rsidRPr="00580532" w:rsidRDefault="00B33368" w:rsidP="00AD4B85">
      <w:pPr>
        <w:spacing w:line="360" w:lineRule="auto"/>
        <w:rPr>
          <w:rFonts w:ascii="Book Antiqua" w:hAnsi="Book Antiqua"/>
          <w:b/>
          <w:sz w:val="24"/>
          <w:szCs w:val="24"/>
        </w:rPr>
      </w:pPr>
      <w:r w:rsidRPr="00580532">
        <w:rPr>
          <w:rFonts w:ascii="Book Antiqua" w:hAnsi="Book Antiqua"/>
          <w:b/>
          <w:sz w:val="24"/>
          <w:szCs w:val="24"/>
        </w:rPr>
        <w:t>Peer-review started:</w:t>
      </w:r>
      <w:r w:rsidR="0032140A" w:rsidRPr="00580532">
        <w:rPr>
          <w:rFonts w:ascii="Book Antiqua" w:hAnsi="Book Antiqua"/>
          <w:sz w:val="24"/>
          <w:szCs w:val="24"/>
        </w:rPr>
        <w:t xml:space="preserve"> January 16, 2019</w:t>
      </w:r>
      <w:r w:rsidR="00580532">
        <w:rPr>
          <w:rFonts w:ascii="Book Antiqua" w:hAnsi="Book Antiqua"/>
          <w:sz w:val="24"/>
          <w:szCs w:val="24"/>
        </w:rPr>
        <w:t xml:space="preserve"> </w:t>
      </w:r>
    </w:p>
    <w:p w:rsidR="00B33368" w:rsidRPr="00580532" w:rsidRDefault="00B33368" w:rsidP="00AD4B85">
      <w:pPr>
        <w:spacing w:line="360" w:lineRule="auto"/>
        <w:rPr>
          <w:rFonts w:ascii="Book Antiqua" w:hAnsi="Book Antiqua"/>
          <w:b/>
          <w:sz w:val="24"/>
          <w:szCs w:val="24"/>
        </w:rPr>
      </w:pPr>
      <w:r w:rsidRPr="00580532">
        <w:rPr>
          <w:rFonts w:ascii="Book Antiqua" w:hAnsi="Book Antiqua"/>
          <w:b/>
          <w:sz w:val="24"/>
          <w:szCs w:val="24"/>
        </w:rPr>
        <w:t>First decision:</w:t>
      </w:r>
      <w:r w:rsidR="0032140A" w:rsidRPr="00580532">
        <w:rPr>
          <w:rFonts w:ascii="Book Antiqua" w:hAnsi="Book Antiqua"/>
          <w:sz w:val="24"/>
          <w:szCs w:val="24"/>
        </w:rPr>
        <w:t xml:space="preserve"> March 14, 2019</w:t>
      </w:r>
      <w:r w:rsidR="00580532">
        <w:rPr>
          <w:rFonts w:ascii="Book Antiqua" w:hAnsi="Book Antiqua"/>
          <w:sz w:val="24"/>
          <w:szCs w:val="24"/>
        </w:rPr>
        <w:t xml:space="preserve"> </w:t>
      </w:r>
    </w:p>
    <w:p w:rsidR="00B33368" w:rsidRPr="00580532" w:rsidRDefault="00B33368" w:rsidP="00AD4B85">
      <w:pPr>
        <w:spacing w:line="360" w:lineRule="auto"/>
        <w:rPr>
          <w:rFonts w:ascii="Book Antiqua" w:hAnsi="Book Antiqua"/>
          <w:b/>
          <w:sz w:val="24"/>
          <w:szCs w:val="24"/>
        </w:rPr>
      </w:pPr>
      <w:r w:rsidRPr="00580532">
        <w:rPr>
          <w:rFonts w:ascii="Book Antiqua" w:hAnsi="Book Antiqua"/>
          <w:b/>
          <w:sz w:val="24"/>
          <w:szCs w:val="24"/>
        </w:rPr>
        <w:t>Revised:</w:t>
      </w:r>
      <w:r w:rsidR="0032140A" w:rsidRPr="00580532">
        <w:rPr>
          <w:rFonts w:ascii="Book Antiqua" w:hAnsi="Book Antiqua"/>
          <w:sz w:val="24"/>
          <w:szCs w:val="24"/>
        </w:rPr>
        <w:t xml:space="preserve"> March 29, 2019</w:t>
      </w:r>
      <w:r w:rsidR="00580532">
        <w:rPr>
          <w:rFonts w:ascii="Book Antiqua" w:hAnsi="Book Antiqua"/>
          <w:sz w:val="24"/>
          <w:szCs w:val="24"/>
        </w:rPr>
        <w:t xml:space="preserve"> </w:t>
      </w:r>
      <w:r w:rsidR="00580532">
        <w:rPr>
          <w:rFonts w:ascii="Book Antiqua" w:hAnsi="Book Antiqua"/>
          <w:b/>
          <w:sz w:val="24"/>
          <w:szCs w:val="24"/>
        </w:rPr>
        <w:t xml:space="preserve"> </w:t>
      </w:r>
    </w:p>
    <w:p w:rsidR="00B33368" w:rsidRPr="00580532" w:rsidRDefault="00B33368" w:rsidP="00AD4B85">
      <w:pPr>
        <w:spacing w:line="360" w:lineRule="auto"/>
        <w:rPr>
          <w:rFonts w:ascii="Book Antiqua" w:hAnsi="Book Antiqua"/>
          <w:b/>
          <w:sz w:val="24"/>
          <w:szCs w:val="24"/>
        </w:rPr>
      </w:pPr>
      <w:r w:rsidRPr="00580532">
        <w:rPr>
          <w:rFonts w:ascii="Book Antiqua" w:hAnsi="Book Antiqua"/>
          <w:b/>
          <w:sz w:val="24"/>
          <w:szCs w:val="24"/>
        </w:rPr>
        <w:t>Accepted:</w:t>
      </w:r>
      <w:r w:rsidR="00580532">
        <w:rPr>
          <w:rFonts w:ascii="Book Antiqua" w:hAnsi="Book Antiqua"/>
          <w:b/>
          <w:sz w:val="24"/>
          <w:szCs w:val="24"/>
        </w:rPr>
        <w:t xml:space="preserve"> </w:t>
      </w:r>
      <w:r w:rsidR="00E730F6" w:rsidRPr="00B77E7E">
        <w:rPr>
          <w:rFonts w:ascii="Book Antiqua" w:hAnsi="Book Antiqua"/>
          <w:sz w:val="24"/>
          <w:szCs w:val="24"/>
        </w:rPr>
        <w:t>April 19, 2019</w:t>
      </w:r>
    </w:p>
    <w:p w:rsidR="00B33368" w:rsidRPr="00580532" w:rsidRDefault="00B33368" w:rsidP="00AD4B85">
      <w:pPr>
        <w:spacing w:line="360" w:lineRule="auto"/>
        <w:rPr>
          <w:rFonts w:ascii="Book Antiqua" w:hAnsi="Book Antiqua"/>
          <w:sz w:val="24"/>
          <w:szCs w:val="24"/>
        </w:rPr>
      </w:pPr>
      <w:r w:rsidRPr="00580532">
        <w:rPr>
          <w:rFonts w:ascii="Book Antiqua" w:hAnsi="Book Antiqua"/>
          <w:b/>
          <w:sz w:val="24"/>
          <w:szCs w:val="24"/>
        </w:rPr>
        <w:t>Article in press:</w:t>
      </w:r>
      <w:r w:rsidR="00580532">
        <w:rPr>
          <w:rFonts w:ascii="Book Antiqua" w:hAnsi="Book Antiqua"/>
          <w:sz w:val="24"/>
          <w:szCs w:val="24"/>
        </w:rPr>
        <w:t xml:space="preserve"> </w:t>
      </w:r>
      <w:r w:rsidR="00AF36E2" w:rsidRPr="00B77E7E">
        <w:rPr>
          <w:rFonts w:ascii="Book Antiqua" w:hAnsi="Book Antiqua"/>
          <w:sz w:val="24"/>
          <w:szCs w:val="24"/>
        </w:rPr>
        <w:t>April 19, 2019</w:t>
      </w:r>
      <w:r w:rsidR="00580532">
        <w:rPr>
          <w:rFonts w:ascii="Book Antiqua" w:hAnsi="Book Antiqua"/>
          <w:sz w:val="24"/>
          <w:szCs w:val="24"/>
        </w:rPr>
        <w:t xml:space="preserve"> </w:t>
      </w:r>
    </w:p>
    <w:p w:rsidR="00B33368" w:rsidRPr="00580532" w:rsidRDefault="00B33368" w:rsidP="00AD4B85">
      <w:pPr>
        <w:spacing w:line="360" w:lineRule="auto"/>
        <w:rPr>
          <w:rFonts w:ascii="Book Antiqua" w:hAnsi="Book Antiqua"/>
          <w:b/>
          <w:sz w:val="24"/>
          <w:szCs w:val="24"/>
        </w:rPr>
      </w:pPr>
      <w:r w:rsidRPr="00580532">
        <w:rPr>
          <w:rFonts w:ascii="Book Antiqua" w:hAnsi="Book Antiqua"/>
          <w:b/>
          <w:sz w:val="24"/>
          <w:szCs w:val="24"/>
        </w:rPr>
        <w:t xml:space="preserve">Published online: </w:t>
      </w:r>
      <w:r w:rsidR="00AF36E2">
        <w:rPr>
          <w:rFonts w:ascii="Book Antiqua" w:hAnsi="Book Antiqua" w:hint="eastAsia"/>
          <w:sz w:val="24"/>
          <w:szCs w:val="24"/>
        </w:rPr>
        <w:t>May</w:t>
      </w:r>
      <w:r w:rsidR="00AF36E2" w:rsidRPr="00B77E7E">
        <w:rPr>
          <w:rFonts w:ascii="Book Antiqua" w:hAnsi="Book Antiqua"/>
          <w:sz w:val="24"/>
          <w:szCs w:val="24"/>
        </w:rPr>
        <w:t xml:space="preserve"> 1</w:t>
      </w:r>
      <w:r w:rsidR="00AF36E2">
        <w:rPr>
          <w:rFonts w:ascii="Book Antiqua" w:hAnsi="Book Antiqua" w:hint="eastAsia"/>
          <w:sz w:val="24"/>
          <w:szCs w:val="24"/>
        </w:rPr>
        <w:t>5</w:t>
      </w:r>
      <w:r w:rsidR="00AF36E2" w:rsidRPr="00B77E7E">
        <w:rPr>
          <w:rFonts w:ascii="Book Antiqua" w:hAnsi="Book Antiqua"/>
          <w:sz w:val="24"/>
          <w:szCs w:val="24"/>
        </w:rPr>
        <w:t>, 2019</w:t>
      </w:r>
    </w:p>
    <w:p w:rsidR="00B162B5" w:rsidRPr="00580532" w:rsidRDefault="00B162B5" w:rsidP="00AD4B85">
      <w:pPr>
        <w:spacing w:line="360" w:lineRule="auto"/>
        <w:rPr>
          <w:rFonts w:ascii="Book Antiqua" w:hAnsi="Book Antiqua"/>
          <w:b/>
          <w:sz w:val="24"/>
          <w:szCs w:val="24"/>
        </w:rPr>
      </w:pPr>
    </w:p>
    <w:p w:rsidR="00604A9C" w:rsidRPr="00580532" w:rsidRDefault="005D7970" w:rsidP="00AD4B85">
      <w:pPr>
        <w:spacing w:line="360" w:lineRule="auto"/>
        <w:rPr>
          <w:rFonts w:ascii="Book Antiqua" w:hAnsi="Book Antiqua"/>
          <w:b/>
          <w:sz w:val="24"/>
          <w:szCs w:val="24"/>
          <w:lang w:val="en-GB"/>
        </w:rPr>
      </w:pPr>
      <w:r w:rsidRPr="00580532">
        <w:rPr>
          <w:rFonts w:ascii="Book Antiqua" w:hAnsi="Book Antiqua"/>
          <w:b/>
          <w:sz w:val="24"/>
          <w:szCs w:val="24"/>
          <w:lang w:val="en-GB"/>
        </w:rPr>
        <w:br w:type="page"/>
        <w:t>Abstract</w:t>
      </w:r>
    </w:p>
    <w:p w:rsidR="003B77C5" w:rsidRPr="00580532" w:rsidRDefault="003B77C5" w:rsidP="00AD4B85">
      <w:pPr>
        <w:spacing w:line="360" w:lineRule="auto"/>
        <w:rPr>
          <w:rFonts w:ascii="Book Antiqua" w:hAnsi="Book Antiqua"/>
          <w:b/>
          <w:i/>
          <w:sz w:val="24"/>
          <w:szCs w:val="24"/>
        </w:rPr>
      </w:pPr>
      <w:r w:rsidRPr="00580532">
        <w:rPr>
          <w:rFonts w:ascii="Book Antiqua" w:hAnsi="Book Antiqua"/>
          <w:b/>
          <w:i/>
          <w:sz w:val="24"/>
          <w:szCs w:val="24"/>
        </w:rPr>
        <w:t>BACKGROUND</w:t>
      </w:r>
    </w:p>
    <w:p w:rsidR="003B77C5" w:rsidRPr="00580532" w:rsidRDefault="00604A9C" w:rsidP="00AD4B85">
      <w:pPr>
        <w:spacing w:line="360" w:lineRule="auto"/>
        <w:rPr>
          <w:rFonts w:ascii="Book Antiqua" w:hAnsi="Book Antiqua"/>
          <w:sz w:val="24"/>
          <w:szCs w:val="24"/>
        </w:rPr>
      </w:pPr>
      <w:r w:rsidRPr="00580532">
        <w:rPr>
          <w:rFonts w:ascii="Book Antiqua" w:hAnsi="Book Antiqua"/>
          <w:sz w:val="24"/>
          <w:szCs w:val="24"/>
          <w:lang w:val="en-GB"/>
        </w:rPr>
        <w:t xml:space="preserve">Pathological manifestations of hepatic tumours are often associated with prognosis. </w:t>
      </w:r>
      <w:r w:rsidR="000A4A70" w:rsidRPr="00580532">
        <w:rPr>
          <w:rFonts w:ascii="Book Antiqua" w:hAnsi="Book Antiqua"/>
          <w:sz w:val="24"/>
          <w:szCs w:val="24"/>
          <w:lang w:val="en-GB"/>
        </w:rPr>
        <w:t>Although surgical specimens (SS) can provide more information, curre</w:t>
      </w:r>
      <w:r w:rsidR="00573797" w:rsidRPr="00580532">
        <w:rPr>
          <w:rFonts w:ascii="Book Antiqua" w:hAnsi="Book Antiqua"/>
          <w:sz w:val="24"/>
          <w:szCs w:val="24"/>
          <w:lang w:val="en-GB"/>
        </w:rPr>
        <w:t xml:space="preserve">ntly, </w:t>
      </w:r>
      <w:r w:rsidR="00573797" w:rsidRPr="00580532">
        <w:rPr>
          <w:rStyle w:val="tlid-translation"/>
          <w:rFonts w:ascii="Book Antiqua" w:hAnsi="Book Antiqua"/>
          <w:sz w:val="24"/>
          <w:szCs w:val="24"/>
          <w:lang w:val="en"/>
        </w:rPr>
        <w:t xml:space="preserve">pre-treatment </w:t>
      </w:r>
      <w:r w:rsidR="00573797" w:rsidRPr="00580532">
        <w:rPr>
          <w:rFonts w:ascii="Book Antiqua" w:hAnsi="Book Antiqua"/>
          <w:sz w:val="24"/>
          <w:szCs w:val="24"/>
          <w:lang w:val="en-GB"/>
        </w:rPr>
        <w:t>needle core biopsy (NCB)</w:t>
      </w:r>
      <w:r w:rsidR="00573797" w:rsidRPr="00580532">
        <w:rPr>
          <w:rStyle w:val="tlid-translation"/>
          <w:rFonts w:ascii="Book Antiqua" w:hAnsi="Book Antiqua"/>
          <w:sz w:val="24"/>
          <w:szCs w:val="24"/>
          <w:lang w:val="en"/>
        </w:rPr>
        <w:t xml:space="preserve"> is increasingly showing important value </w:t>
      </w:r>
      <w:r w:rsidR="00F17812" w:rsidRPr="00580532">
        <w:rPr>
          <w:rStyle w:val="tlid-translation"/>
          <w:rFonts w:ascii="Book Antiqua" w:hAnsi="Book Antiqua"/>
          <w:sz w:val="24"/>
          <w:szCs w:val="24"/>
          <w:lang w:val="en"/>
        </w:rPr>
        <w:t xml:space="preserve">in understanding the nature of liver tumors and even in diagnosis and treatment decisions. </w:t>
      </w:r>
      <w:r w:rsidR="00573797" w:rsidRPr="00580532">
        <w:rPr>
          <w:rStyle w:val="tlid-translation"/>
          <w:rFonts w:ascii="Book Antiqua" w:hAnsi="Book Antiqua"/>
          <w:sz w:val="24"/>
          <w:szCs w:val="24"/>
          <w:lang w:val="en"/>
        </w:rPr>
        <w:t xml:space="preserve">However, </w:t>
      </w:r>
      <w:r w:rsidR="00573797" w:rsidRPr="00580532">
        <w:rPr>
          <w:rFonts w:ascii="Book Antiqua" w:hAnsi="Book Antiqua"/>
          <w:sz w:val="24"/>
          <w:szCs w:val="24"/>
          <w:lang w:val="en-GB"/>
        </w:rPr>
        <w:t xml:space="preserve">the concordance of the clinicopathological characteristics and </w:t>
      </w:r>
      <w:r w:rsidR="00997F0A" w:rsidRPr="00580532">
        <w:rPr>
          <w:rFonts w:ascii="Book Antiqua" w:hAnsi="Book Antiqua"/>
          <w:sz w:val="24"/>
          <w:szCs w:val="24"/>
          <w:lang w:val="en-GB"/>
        </w:rPr>
        <w:t xml:space="preserve">immunohistochemical (IHC) staining </w:t>
      </w:r>
      <w:r w:rsidR="00573797" w:rsidRPr="00580532">
        <w:rPr>
          <w:rFonts w:ascii="Book Antiqua" w:hAnsi="Book Antiqua"/>
          <w:sz w:val="24"/>
          <w:szCs w:val="24"/>
          <w:lang w:val="en-GB"/>
        </w:rPr>
        <w:t xml:space="preserve">between NCB and </w:t>
      </w:r>
      <w:r w:rsidR="000A4A70" w:rsidRPr="00580532">
        <w:rPr>
          <w:rFonts w:ascii="Book Antiqua" w:hAnsi="Book Antiqua"/>
          <w:sz w:val="24"/>
          <w:szCs w:val="24"/>
          <w:lang w:val="en-GB"/>
        </w:rPr>
        <w:t>SS</w:t>
      </w:r>
      <w:r w:rsidR="00573797" w:rsidRPr="00580532">
        <w:rPr>
          <w:rFonts w:ascii="Book Antiqua" w:hAnsi="Book Antiqua"/>
          <w:sz w:val="24"/>
          <w:szCs w:val="24"/>
          <w:lang w:val="en-GB"/>
        </w:rPr>
        <w:t xml:space="preserve"> from patients with </w:t>
      </w:r>
      <w:r w:rsidR="00997F0A" w:rsidRPr="00580532">
        <w:rPr>
          <w:rFonts w:ascii="Book Antiqua" w:hAnsi="Book Antiqua"/>
          <w:sz w:val="24"/>
          <w:szCs w:val="24"/>
          <w:lang w:val="en-GB"/>
        </w:rPr>
        <w:t xml:space="preserve">hepatic tumours </w:t>
      </w:r>
      <w:r w:rsidR="00997F0A" w:rsidRPr="00580532">
        <w:rPr>
          <w:rFonts w:ascii="Book Antiqua" w:hAnsi="Book Antiqua"/>
          <w:sz w:val="24"/>
          <w:szCs w:val="24"/>
        </w:rPr>
        <w:t>were less concerned.</w:t>
      </w:r>
    </w:p>
    <w:p w:rsidR="0032140A" w:rsidRPr="00580532" w:rsidRDefault="0032140A" w:rsidP="00AD4B85">
      <w:pPr>
        <w:spacing w:line="360" w:lineRule="auto"/>
        <w:rPr>
          <w:rFonts w:ascii="Book Antiqua" w:hAnsi="Book Antiqua"/>
          <w:sz w:val="24"/>
          <w:szCs w:val="24"/>
          <w:lang w:val="en"/>
        </w:rPr>
      </w:pPr>
    </w:p>
    <w:p w:rsidR="003B77C5" w:rsidRPr="00580532" w:rsidRDefault="009668C1" w:rsidP="00AD4B85">
      <w:pPr>
        <w:spacing w:line="360" w:lineRule="auto"/>
        <w:rPr>
          <w:rFonts w:ascii="Book Antiqua" w:hAnsi="Book Antiqua"/>
          <w:sz w:val="24"/>
          <w:szCs w:val="24"/>
          <w:lang w:val="en-GB"/>
        </w:rPr>
      </w:pPr>
      <w:r w:rsidRPr="00580532">
        <w:rPr>
          <w:rFonts w:ascii="Book Antiqua" w:hAnsi="Book Antiqua"/>
          <w:b/>
          <w:i/>
          <w:sz w:val="24"/>
          <w:szCs w:val="24"/>
        </w:rPr>
        <w:t>AIM</w:t>
      </w:r>
    </w:p>
    <w:p w:rsidR="00997F0A" w:rsidRPr="00580532" w:rsidRDefault="00604A9C" w:rsidP="00AD4B85">
      <w:pPr>
        <w:spacing w:line="360" w:lineRule="auto"/>
        <w:rPr>
          <w:rFonts w:ascii="Book Antiqua" w:hAnsi="Book Antiqua"/>
          <w:sz w:val="24"/>
          <w:szCs w:val="24"/>
          <w:lang w:val="en-GB"/>
        </w:rPr>
      </w:pPr>
      <w:r w:rsidRPr="00580532">
        <w:rPr>
          <w:rFonts w:ascii="Book Antiqua" w:hAnsi="Book Antiqua"/>
          <w:sz w:val="24"/>
          <w:szCs w:val="24"/>
          <w:lang w:val="en-GB"/>
        </w:rPr>
        <w:t xml:space="preserve">To introduce a more accurate method for interpreting the </w:t>
      </w:r>
      <w:r w:rsidR="000A4A70" w:rsidRPr="00580532">
        <w:rPr>
          <w:rFonts w:ascii="Book Antiqua" w:hAnsi="Book Antiqua"/>
          <w:sz w:val="24"/>
          <w:szCs w:val="24"/>
          <w:lang w:val="en-GB"/>
        </w:rPr>
        <w:t>IHC</w:t>
      </w:r>
      <w:r w:rsidRPr="00580532">
        <w:rPr>
          <w:rFonts w:ascii="Book Antiqua" w:hAnsi="Book Antiqua"/>
          <w:sz w:val="24"/>
          <w:szCs w:val="24"/>
          <w:lang w:val="en-GB"/>
        </w:rPr>
        <w:t xml:space="preserve"> staining results </w:t>
      </w:r>
      <w:r w:rsidR="006C622B" w:rsidRPr="00580532">
        <w:rPr>
          <w:rFonts w:ascii="Book Antiqua" w:hAnsi="Book Antiqua"/>
          <w:sz w:val="24"/>
          <w:szCs w:val="24"/>
          <w:lang w:val="en-GB"/>
        </w:rPr>
        <w:t xml:space="preserve">in order to </w:t>
      </w:r>
      <w:r w:rsidRPr="00580532">
        <w:rPr>
          <w:rFonts w:ascii="Book Antiqua" w:hAnsi="Book Antiqua"/>
          <w:sz w:val="24"/>
          <w:szCs w:val="24"/>
          <w:lang w:val="en-GB"/>
        </w:rPr>
        <w:t>improve the diagnostic value of hepatic malignancy in NCB samples.</w:t>
      </w:r>
    </w:p>
    <w:p w:rsidR="0032140A" w:rsidRPr="00580532" w:rsidRDefault="0032140A" w:rsidP="00AD4B85">
      <w:pPr>
        <w:spacing w:line="360" w:lineRule="auto"/>
        <w:rPr>
          <w:rFonts w:ascii="Book Antiqua" w:hAnsi="Book Antiqua"/>
          <w:sz w:val="24"/>
          <w:szCs w:val="24"/>
          <w:lang w:val="en-GB"/>
        </w:rPr>
      </w:pPr>
    </w:p>
    <w:p w:rsidR="009668C1" w:rsidRPr="00580532" w:rsidRDefault="009668C1" w:rsidP="00AD4B85">
      <w:pPr>
        <w:spacing w:line="360" w:lineRule="auto"/>
        <w:rPr>
          <w:rFonts w:ascii="Book Antiqua" w:hAnsi="Book Antiqua"/>
          <w:sz w:val="24"/>
          <w:szCs w:val="24"/>
          <w:lang w:val="en-GB"/>
        </w:rPr>
      </w:pPr>
      <w:r w:rsidRPr="00580532">
        <w:rPr>
          <w:rFonts w:ascii="Book Antiqua" w:hAnsi="Book Antiqua"/>
          <w:b/>
          <w:i/>
          <w:sz w:val="24"/>
          <w:szCs w:val="24"/>
        </w:rPr>
        <w:t>METHODS</w:t>
      </w:r>
    </w:p>
    <w:p w:rsidR="00823B65" w:rsidRPr="00580532" w:rsidRDefault="00604A9C" w:rsidP="00AD4B85">
      <w:pPr>
        <w:spacing w:line="360" w:lineRule="auto"/>
        <w:rPr>
          <w:rFonts w:ascii="Book Antiqua" w:hAnsi="Book Antiqua"/>
          <w:sz w:val="24"/>
          <w:szCs w:val="24"/>
          <w:lang w:val="en-GB"/>
        </w:rPr>
      </w:pPr>
      <w:r w:rsidRPr="00580532">
        <w:rPr>
          <w:rFonts w:ascii="Book Antiqua" w:hAnsi="Book Antiqua"/>
          <w:sz w:val="24"/>
          <w:szCs w:val="24"/>
          <w:lang w:val="en-GB"/>
        </w:rPr>
        <w:t xml:space="preserve">A total of 208 patients who underwent both preoperative NCB and surgical resection for </w:t>
      </w:r>
      <w:r w:rsidR="00997F0A" w:rsidRPr="00580532">
        <w:rPr>
          <w:rFonts w:ascii="Book Antiqua" w:hAnsi="Book Antiqua"/>
          <w:sz w:val="24"/>
          <w:szCs w:val="24"/>
          <w:lang w:val="en-GB"/>
        </w:rPr>
        <w:t>hepatocellular carcinoma (HCC) or intrahepatic cholangiocarcinoma (ICC)</w:t>
      </w:r>
      <w:r w:rsidRPr="00580532">
        <w:rPr>
          <w:rFonts w:ascii="Book Antiqua" w:hAnsi="Book Antiqua"/>
          <w:sz w:val="24"/>
          <w:szCs w:val="24"/>
          <w:lang w:val="en-GB"/>
        </w:rPr>
        <w:t xml:space="preserve"> between 2008 and 2015 were enrolled in this study. </w:t>
      </w:r>
      <w:r w:rsidR="000A4A70" w:rsidRPr="00580532">
        <w:rPr>
          <w:rFonts w:ascii="Book Antiqua" w:hAnsi="Book Antiqua"/>
          <w:sz w:val="24"/>
          <w:szCs w:val="24"/>
          <w:lang w:val="en-GB"/>
        </w:rPr>
        <w:t xml:space="preserve">The expression of </w:t>
      </w:r>
      <w:r w:rsidR="00997F0A" w:rsidRPr="00580532">
        <w:rPr>
          <w:rFonts w:ascii="Book Antiqua" w:hAnsi="Book Antiqua"/>
          <w:sz w:val="24"/>
          <w:szCs w:val="24"/>
          <w:lang w:val="en-GB"/>
        </w:rPr>
        <w:t xml:space="preserve">CK19, GPC3, and HepPar1 </w:t>
      </w:r>
      <w:r w:rsidR="000A4A70" w:rsidRPr="00580532">
        <w:rPr>
          <w:rFonts w:ascii="Book Antiqua" w:hAnsi="Book Antiqua"/>
          <w:sz w:val="24"/>
          <w:szCs w:val="24"/>
          <w:lang w:val="en-GB"/>
        </w:rPr>
        <w:t xml:space="preserve">were detected by IHC staining. </w:t>
      </w:r>
      <w:r w:rsidRPr="00580532">
        <w:rPr>
          <w:rFonts w:ascii="Book Antiqua" w:hAnsi="Book Antiqua"/>
          <w:sz w:val="24"/>
          <w:szCs w:val="24"/>
          <w:lang w:val="en-GB"/>
        </w:rPr>
        <w:t xml:space="preserve">Clinicopathological, NCB, and surgical data were collected and analysed using </w:t>
      </w:r>
      <w:r w:rsidR="0032140A" w:rsidRPr="00580532">
        <w:rPr>
          <w:rFonts w:ascii="Book Antiqua" w:hAnsi="Book Antiqua"/>
          <w:i/>
          <w:sz w:val="24"/>
          <w:szCs w:val="24"/>
          <w:lang w:val="en-GB"/>
        </w:rPr>
        <w:sym w:font="Symbol" w:char="F063"/>
      </w:r>
      <w:r w:rsidRPr="00580532">
        <w:rPr>
          <w:rFonts w:ascii="Book Antiqua" w:hAnsi="Book Antiqua"/>
          <w:sz w:val="24"/>
          <w:szCs w:val="24"/>
          <w:vertAlign w:val="superscript"/>
          <w:lang w:val="en-GB"/>
        </w:rPr>
        <w:t xml:space="preserve">2 </w:t>
      </w:r>
      <w:r w:rsidRPr="00580532">
        <w:rPr>
          <w:rFonts w:ascii="Book Antiqua" w:hAnsi="Book Antiqua"/>
          <w:sz w:val="24"/>
          <w:szCs w:val="24"/>
          <w:lang w:val="en-GB"/>
        </w:rPr>
        <w:t xml:space="preserve">and kappa statistics. </w:t>
      </w:r>
    </w:p>
    <w:p w:rsidR="0032140A" w:rsidRPr="00580532" w:rsidRDefault="0032140A" w:rsidP="00AD4B85">
      <w:pPr>
        <w:spacing w:line="360" w:lineRule="auto"/>
        <w:rPr>
          <w:rFonts w:ascii="Book Antiqua" w:hAnsi="Book Antiqua"/>
          <w:sz w:val="24"/>
          <w:szCs w:val="24"/>
          <w:lang w:val="en-GB"/>
        </w:rPr>
      </w:pPr>
    </w:p>
    <w:p w:rsidR="00823B65" w:rsidRPr="00580532" w:rsidRDefault="00823B65" w:rsidP="00AD4B85">
      <w:pPr>
        <w:spacing w:line="360" w:lineRule="auto"/>
        <w:rPr>
          <w:rFonts w:ascii="Book Antiqua" w:hAnsi="Book Antiqua"/>
          <w:sz w:val="24"/>
          <w:szCs w:val="24"/>
          <w:lang w:val="en-GB"/>
        </w:rPr>
      </w:pPr>
      <w:r w:rsidRPr="00580532">
        <w:rPr>
          <w:rFonts w:ascii="Book Antiqua" w:hAnsi="Book Antiqua"/>
          <w:b/>
          <w:i/>
          <w:sz w:val="24"/>
          <w:szCs w:val="24"/>
        </w:rPr>
        <w:t>RESULTS</w:t>
      </w:r>
    </w:p>
    <w:p w:rsidR="00823B65" w:rsidRPr="00580532" w:rsidRDefault="00604A9C" w:rsidP="00AD4B85">
      <w:pPr>
        <w:spacing w:line="360" w:lineRule="auto"/>
        <w:rPr>
          <w:rFonts w:ascii="Book Antiqua" w:hAnsi="Book Antiqua"/>
          <w:sz w:val="24"/>
          <w:szCs w:val="24"/>
          <w:lang w:val="en-GB"/>
        </w:rPr>
      </w:pPr>
      <w:r w:rsidRPr="00580532">
        <w:rPr>
          <w:rFonts w:ascii="Book Antiqua" w:hAnsi="Book Antiqua"/>
          <w:sz w:val="24"/>
          <w:szCs w:val="24"/>
          <w:lang w:val="en-GB"/>
        </w:rPr>
        <w:t>Morphologically, the presence of compact tumour nests or a cord-like structure in NCB was considered the primary cause of misdiagnosis of HCC from ICC. The kappa statistic showed a moderate agreement in histomorphology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0.504) and histological grade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0.488) between NCB and SS of the tumours. A 4-tier (+++, ++, +, and -) scoring scheme that emphasized the focal neoplastic cell immunoreactivity of tumour cells revealed perfect concordance of CK19, GPC3 and HepPar1 between NCB and SS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0.717;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0.768;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0.633). Furthermore, with the aid of a binary classification derived from the 4-tier score, a high concordance was achieved in interpreting the IHC staining of the three markers between NCB and final SS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0.931;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0.907;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0.803), increasing the accuracy of NCB diagnosis C</w:t>
      </w:r>
      <w:r w:rsidR="005434B0" w:rsidRPr="00580532">
        <w:rPr>
          <w:rFonts w:ascii="Book Antiqua" w:hAnsi="Book Antiqua"/>
          <w:sz w:val="24"/>
          <w:szCs w:val="24"/>
          <w:lang w:val="en-GB"/>
        </w:rPr>
        <w:t xml:space="preserve"> </w:t>
      </w:r>
      <w:r w:rsidRPr="00580532">
        <w:rPr>
          <w:rFonts w:ascii="Book Antiqua" w:hAnsi="Book Antiqua"/>
          <w:sz w:val="24"/>
          <w:szCs w:val="24"/>
          <w:lang w:val="en-GB"/>
        </w:rPr>
        <w:t>(k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0.987; area under the curve</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0.997, 95%</w:t>
      </w:r>
      <w:r w:rsidR="005434B0" w:rsidRPr="00580532">
        <w:rPr>
          <w:rFonts w:ascii="Book Antiqua" w:hAnsi="Book Antiqua"/>
          <w:sz w:val="24"/>
          <w:szCs w:val="24"/>
          <w:lang w:val="en-GB"/>
        </w:rPr>
        <w:t>CI</w:t>
      </w:r>
      <w:r w:rsidRPr="00580532">
        <w:rPr>
          <w:rFonts w:ascii="Book Antiqua" w:hAnsi="Book Antiqua"/>
          <w:sz w:val="24"/>
          <w:szCs w:val="24"/>
          <w:lang w:val="en-GB"/>
        </w:rPr>
        <w:t>: 0.990-1.000</w:t>
      </w:r>
      <w:r w:rsidR="005434B0" w:rsidRPr="00580532">
        <w:rPr>
          <w:rFonts w:ascii="Book Antiqua" w:hAnsi="Book Antiqua"/>
          <w:sz w:val="24"/>
          <w:szCs w:val="24"/>
          <w:lang w:val="en-GB"/>
        </w:rPr>
        <w:t xml:space="preserve">; </w:t>
      </w:r>
      <w:r w:rsidRPr="00580532">
        <w:rPr>
          <w:rFonts w:ascii="Book Antiqua" w:hAnsi="Book Antiqua"/>
          <w:i/>
          <w:sz w:val="24"/>
          <w:szCs w:val="24"/>
          <w:lang w:val="en-GB"/>
        </w:rPr>
        <w:t>P</w:t>
      </w:r>
      <w:r w:rsidR="005434B0" w:rsidRPr="00580532">
        <w:rPr>
          <w:rFonts w:ascii="Book Antiqua" w:hAnsi="Book Antiqua"/>
          <w:sz w:val="24"/>
          <w:szCs w:val="24"/>
          <w:lang w:val="en-GB"/>
        </w:rPr>
        <w:t xml:space="preserve"> </w:t>
      </w:r>
      <w:r w:rsidRPr="00580532">
        <w:rPr>
          <w:rFonts w:ascii="Book Antiqua" w:hAnsi="Book Antiqua"/>
          <w:sz w:val="24"/>
          <w:szCs w:val="24"/>
          <w:lang w:val="en-GB"/>
        </w:rPr>
        <w:t>&lt;</w:t>
      </w:r>
      <w:r w:rsidR="005434B0" w:rsidRPr="00580532">
        <w:rPr>
          <w:rFonts w:ascii="Book Antiqua" w:hAnsi="Book Antiqua"/>
          <w:sz w:val="24"/>
          <w:szCs w:val="24"/>
          <w:lang w:val="en-GB"/>
        </w:rPr>
        <w:t xml:space="preserve"> </w:t>
      </w:r>
      <w:r w:rsidRPr="00580532">
        <w:rPr>
          <w:rFonts w:ascii="Book Antiqua" w:hAnsi="Book Antiqua"/>
          <w:sz w:val="24"/>
          <w:szCs w:val="24"/>
          <w:lang w:val="en-GB"/>
        </w:rPr>
        <w:t xml:space="preserve">0.001). </w:t>
      </w:r>
    </w:p>
    <w:p w:rsidR="005434B0" w:rsidRPr="00580532" w:rsidRDefault="005434B0" w:rsidP="00AD4B85">
      <w:pPr>
        <w:spacing w:line="360" w:lineRule="auto"/>
        <w:rPr>
          <w:rFonts w:ascii="Book Antiqua" w:hAnsi="Book Antiqua"/>
          <w:sz w:val="24"/>
          <w:szCs w:val="24"/>
          <w:lang w:val="en-GB"/>
        </w:rPr>
      </w:pPr>
    </w:p>
    <w:p w:rsidR="00823B65" w:rsidRPr="00580532" w:rsidRDefault="00823B65" w:rsidP="00AD4B85">
      <w:pPr>
        <w:spacing w:line="360" w:lineRule="auto"/>
        <w:rPr>
          <w:rFonts w:ascii="Book Antiqua" w:hAnsi="Book Antiqua"/>
          <w:sz w:val="24"/>
          <w:szCs w:val="24"/>
          <w:lang w:val="en-GB"/>
        </w:rPr>
      </w:pPr>
      <w:r w:rsidRPr="00580532">
        <w:rPr>
          <w:rFonts w:ascii="Book Antiqua" w:hAnsi="Book Antiqua"/>
          <w:b/>
          <w:i/>
          <w:sz w:val="24"/>
          <w:szCs w:val="24"/>
        </w:rPr>
        <w:t>CONCLUSION</w:t>
      </w:r>
    </w:p>
    <w:p w:rsidR="00604A9C" w:rsidRPr="00580532" w:rsidRDefault="00604A9C" w:rsidP="00AD4B85">
      <w:pPr>
        <w:spacing w:line="360" w:lineRule="auto"/>
        <w:rPr>
          <w:rFonts w:ascii="Book Antiqua" w:hAnsi="Book Antiqua"/>
          <w:sz w:val="24"/>
          <w:szCs w:val="24"/>
          <w:lang w:val="en-GB"/>
        </w:rPr>
      </w:pPr>
      <w:r w:rsidRPr="00580532">
        <w:rPr>
          <w:rFonts w:ascii="Book Antiqua" w:hAnsi="Book Antiqua"/>
          <w:sz w:val="24"/>
          <w:szCs w:val="24"/>
          <w:lang w:val="en-GB"/>
        </w:rPr>
        <w:t xml:space="preserve">These findings imply that reasonable interpretation of IHC results in NCB is vital for improving the accuracy of tumour diagnosis. The simplified binary classification provides an easy and applicable approach. </w:t>
      </w:r>
    </w:p>
    <w:p w:rsidR="005434B0" w:rsidRPr="00580532" w:rsidRDefault="005434B0" w:rsidP="00AD4B85">
      <w:pPr>
        <w:spacing w:line="360" w:lineRule="auto"/>
        <w:rPr>
          <w:rFonts w:ascii="Book Antiqua" w:hAnsi="Book Antiqua"/>
          <w:sz w:val="24"/>
          <w:szCs w:val="24"/>
          <w:lang w:val="en-GB"/>
        </w:rPr>
      </w:pPr>
    </w:p>
    <w:p w:rsidR="005D7970" w:rsidRPr="00580532" w:rsidRDefault="005D7970" w:rsidP="00AD4B85">
      <w:pPr>
        <w:spacing w:line="360" w:lineRule="auto"/>
        <w:rPr>
          <w:rFonts w:ascii="Book Antiqua" w:hAnsi="Book Antiqua"/>
          <w:sz w:val="24"/>
          <w:szCs w:val="24"/>
        </w:rPr>
      </w:pPr>
      <w:r w:rsidRPr="00580532">
        <w:rPr>
          <w:rFonts w:ascii="Book Antiqua" w:hAnsi="Book Antiqua"/>
          <w:b/>
          <w:sz w:val="24"/>
          <w:szCs w:val="24"/>
        </w:rPr>
        <w:t>Key words:</w:t>
      </w:r>
      <w:r w:rsidRPr="00580532">
        <w:rPr>
          <w:rFonts w:ascii="Book Antiqua" w:hAnsi="Book Antiqua"/>
          <w:sz w:val="24"/>
          <w:szCs w:val="24"/>
        </w:rPr>
        <w:t xml:space="preserve"> Histopathological; Needle core biopsy; Surgical specimens; Solitary hepatocellular carcinoma; Intrahepatic cholangiocarcinoma</w:t>
      </w:r>
    </w:p>
    <w:p w:rsidR="005D7970" w:rsidRPr="00580532" w:rsidRDefault="005D7970" w:rsidP="00AD4B85">
      <w:pPr>
        <w:spacing w:line="360" w:lineRule="auto"/>
        <w:rPr>
          <w:rFonts w:ascii="Book Antiqua" w:hAnsi="Book Antiqua"/>
          <w:sz w:val="24"/>
          <w:szCs w:val="24"/>
        </w:rPr>
      </w:pPr>
    </w:p>
    <w:p w:rsidR="005434B0" w:rsidRPr="00580532" w:rsidRDefault="005434B0" w:rsidP="00AD4B85">
      <w:pPr>
        <w:spacing w:line="360" w:lineRule="auto"/>
        <w:rPr>
          <w:rFonts w:ascii="Book Antiqua" w:hAnsi="Book Antiqua" w:cs="Arial"/>
          <w:sz w:val="24"/>
          <w:szCs w:val="24"/>
        </w:rPr>
      </w:pPr>
      <w:r w:rsidRPr="00580532">
        <w:rPr>
          <w:rFonts w:ascii="Book Antiqua" w:hAnsi="Book Antiqua"/>
          <w:b/>
          <w:sz w:val="24"/>
          <w:szCs w:val="24"/>
        </w:rPr>
        <w:t xml:space="preserve">© </w:t>
      </w:r>
      <w:r w:rsidRPr="00580532">
        <w:rPr>
          <w:rFonts w:ascii="Book Antiqua" w:hAnsi="Book Antiqua" w:cs="Arial"/>
          <w:b/>
          <w:sz w:val="24"/>
          <w:szCs w:val="24"/>
        </w:rPr>
        <w:t>The Author(s) 2019.</w:t>
      </w:r>
      <w:r w:rsidRPr="00580532">
        <w:rPr>
          <w:rFonts w:ascii="Book Antiqua" w:hAnsi="Book Antiqua" w:cs="Arial"/>
          <w:sz w:val="24"/>
          <w:szCs w:val="24"/>
        </w:rPr>
        <w:t xml:space="preserve"> Published by Baishideng Publishing Group Inc. All rights reserved.</w:t>
      </w:r>
    </w:p>
    <w:p w:rsidR="005434B0" w:rsidRPr="00580532" w:rsidRDefault="005434B0" w:rsidP="00AD4B85">
      <w:pPr>
        <w:spacing w:line="360" w:lineRule="auto"/>
        <w:rPr>
          <w:rFonts w:ascii="Book Antiqua" w:hAnsi="Book Antiqua"/>
          <w:sz w:val="24"/>
          <w:szCs w:val="24"/>
        </w:rPr>
      </w:pPr>
    </w:p>
    <w:p w:rsidR="00043E86" w:rsidRPr="00580532" w:rsidRDefault="005D7970" w:rsidP="00AD4B85">
      <w:pPr>
        <w:spacing w:line="360" w:lineRule="auto"/>
        <w:rPr>
          <w:rFonts w:ascii="Book Antiqua" w:hAnsi="Book Antiqua"/>
          <w:sz w:val="24"/>
          <w:szCs w:val="24"/>
          <w:lang w:val="en-GB"/>
        </w:rPr>
      </w:pPr>
      <w:r w:rsidRPr="00580532">
        <w:rPr>
          <w:rFonts w:ascii="Book Antiqua" w:hAnsi="Book Antiqua"/>
          <w:b/>
          <w:sz w:val="24"/>
          <w:szCs w:val="24"/>
        </w:rPr>
        <w:t>Core tip:</w:t>
      </w:r>
      <w:r w:rsidR="00A551EA" w:rsidRPr="00580532">
        <w:rPr>
          <w:rFonts w:ascii="Book Antiqua" w:hAnsi="Book Antiqua"/>
          <w:b/>
          <w:sz w:val="24"/>
          <w:szCs w:val="24"/>
        </w:rPr>
        <w:t xml:space="preserve"> </w:t>
      </w:r>
      <w:r w:rsidR="00043E86" w:rsidRPr="00580532">
        <w:rPr>
          <w:rFonts w:ascii="Book Antiqua" w:hAnsi="Book Antiqua"/>
          <w:sz w:val="24"/>
          <w:szCs w:val="24"/>
          <w:lang w:val="en-GB"/>
        </w:rPr>
        <w:t>Pathological manifestations of hepatic tumours are often associated with prognosis. The present study was designed to evaluate the concordance of the clinicopathological characteristics and staining of three biomarker between the needle core biopsy (NCB) and surgery specimen from patients with hepatocellular carcinoma or intrahepatic cholangiocarcinoma. Our results indicated that reasonable interpretation of immunohistochemical staining results in NCB is vital for improving the accuracy of tumour diagnosis. The simplified binary classification provides an easy and applicable approach to improve the diagnostic value of hepatic malignancy in NCB samples.</w:t>
      </w:r>
    </w:p>
    <w:p w:rsidR="005D7970" w:rsidRPr="00580532" w:rsidRDefault="005D7970" w:rsidP="00AD4B85">
      <w:pPr>
        <w:spacing w:line="360" w:lineRule="auto"/>
        <w:rPr>
          <w:rFonts w:ascii="Book Antiqua" w:hAnsi="Book Antiqua"/>
          <w:b/>
          <w:sz w:val="24"/>
          <w:szCs w:val="24"/>
        </w:rPr>
      </w:pPr>
    </w:p>
    <w:p w:rsidR="00AF36E2" w:rsidRPr="00AF36E2" w:rsidRDefault="005434B0" w:rsidP="00AF36E2">
      <w:pPr>
        <w:pStyle w:val="af"/>
        <w:spacing w:before="0" w:beforeAutospacing="0" w:after="0" w:afterAutospacing="0" w:line="360" w:lineRule="auto"/>
        <w:jc w:val="both"/>
        <w:textAlignment w:val="baseline"/>
        <w:rPr>
          <w:rFonts w:ascii="Book Antiqua" w:hAnsi="Book Antiqua"/>
          <w:iCs/>
        </w:rPr>
      </w:pPr>
      <w:r w:rsidRPr="00580532">
        <w:rPr>
          <w:rFonts w:ascii="Book Antiqua" w:hAnsi="Book Antiqua"/>
          <w:lang w:val="en-GB"/>
        </w:rPr>
        <w:t>Wu</w:t>
      </w:r>
      <w:r w:rsidR="00580532" w:rsidRPr="00580532">
        <w:rPr>
          <w:rFonts w:ascii="Book Antiqua" w:hAnsi="Book Antiqua"/>
          <w:lang w:val="en-GB"/>
        </w:rPr>
        <w:t xml:space="preserve"> JS</w:t>
      </w:r>
      <w:r w:rsidRPr="00580532">
        <w:rPr>
          <w:rFonts w:ascii="Book Antiqua" w:hAnsi="Book Antiqua"/>
          <w:lang w:val="en-GB"/>
        </w:rPr>
        <w:t>, Feng</w:t>
      </w:r>
      <w:r w:rsidR="00580532" w:rsidRPr="00580532">
        <w:rPr>
          <w:rFonts w:ascii="Book Antiqua" w:hAnsi="Book Antiqua"/>
          <w:lang w:val="en-GB"/>
        </w:rPr>
        <w:t xml:space="preserve"> JL</w:t>
      </w:r>
      <w:r w:rsidRPr="00580532">
        <w:rPr>
          <w:rFonts w:ascii="Book Antiqua" w:hAnsi="Book Antiqua"/>
          <w:lang w:val="en-GB"/>
        </w:rPr>
        <w:t>, Zhu</w:t>
      </w:r>
      <w:r w:rsidR="00580532" w:rsidRPr="00580532">
        <w:rPr>
          <w:rFonts w:ascii="Book Antiqua" w:hAnsi="Book Antiqua"/>
          <w:lang w:val="en-GB"/>
        </w:rPr>
        <w:t xml:space="preserve"> RD</w:t>
      </w:r>
      <w:r w:rsidRPr="00580532">
        <w:rPr>
          <w:rFonts w:ascii="Book Antiqua" w:hAnsi="Book Antiqua"/>
          <w:lang w:val="en-GB"/>
        </w:rPr>
        <w:t>, Liu</w:t>
      </w:r>
      <w:r w:rsidR="00580532" w:rsidRPr="00580532">
        <w:rPr>
          <w:rFonts w:ascii="Book Antiqua" w:hAnsi="Book Antiqua"/>
          <w:lang w:val="en-GB"/>
        </w:rPr>
        <w:t xml:space="preserve"> SG</w:t>
      </w:r>
      <w:r w:rsidRPr="00580532">
        <w:rPr>
          <w:rFonts w:ascii="Book Antiqua" w:hAnsi="Book Antiqua"/>
        </w:rPr>
        <w:t xml:space="preserve">, </w:t>
      </w:r>
      <w:r w:rsidRPr="00580532">
        <w:rPr>
          <w:rFonts w:ascii="Book Antiqua" w:hAnsi="Book Antiqua"/>
          <w:lang w:val="en-GB"/>
        </w:rPr>
        <w:t>Zhao</w:t>
      </w:r>
      <w:r w:rsidR="00580532" w:rsidRPr="00580532">
        <w:rPr>
          <w:rFonts w:ascii="Book Antiqua" w:hAnsi="Book Antiqua"/>
          <w:lang w:val="en-GB"/>
        </w:rPr>
        <w:t xml:space="preserve"> DW</w:t>
      </w:r>
      <w:r w:rsidRPr="00580532">
        <w:rPr>
          <w:rFonts w:ascii="Book Antiqua" w:hAnsi="Book Antiqua"/>
          <w:lang w:val="en-GB"/>
        </w:rPr>
        <w:t>, Li</w:t>
      </w:r>
      <w:r w:rsidR="00580532" w:rsidRPr="00580532">
        <w:rPr>
          <w:rFonts w:ascii="Book Antiqua" w:hAnsi="Book Antiqua"/>
          <w:lang w:val="en-GB"/>
        </w:rPr>
        <w:t xml:space="preserve"> N. Histopathological characteristics of needle core biopsy and surgical specimens from patients with solitary hepatocellular carcinoma or intrahepatic cholangiocarcinoma. </w:t>
      </w:r>
      <w:r w:rsidR="00AF36E2" w:rsidRPr="002E7AE9">
        <w:rPr>
          <w:rFonts w:ascii="Book Antiqua" w:hAnsi="Book Antiqua"/>
          <w:i/>
          <w:iCs/>
        </w:rPr>
        <w:t>World J Gastrointest Oncol</w:t>
      </w:r>
      <w:r w:rsidR="00AF36E2" w:rsidRPr="00AF36E2">
        <w:rPr>
          <w:rFonts w:ascii="Book Antiqua" w:hAnsi="Book Antiqua"/>
          <w:i/>
          <w:iCs/>
        </w:rPr>
        <w:t xml:space="preserve"> </w:t>
      </w:r>
      <w:r w:rsidR="00AF36E2" w:rsidRPr="00AF36E2">
        <w:rPr>
          <w:rFonts w:ascii="Book Antiqua" w:hAnsi="Book Antiqua"/>
          <w:iCs/>
        </w:rPr>
        <w:t xml:space="preserve">2019; 11(5): </w:t>
      </w:r>
      <w:r w:rsidR="00AF36E2">
        <w:rPr>
          <w:rFonts w:ascii="Book Antiqua" w:hAnsi="Book Antiqua" w:hint="eastAsia"/>
          <w:iCs/>
        </w:rPr>
        <w:t>404</w:t>
      </w:r>
      <w:r w:rsidR="00AF36E2" w:rsidRPr="00AF36E2">
        <w:rPr>
          <w:rFonts w:ascii="Book Antiqua" w:hAnsi="Book Antiqua"/>
          <w:iCs/>
        </w:rPr>
        <w:t>-</w:t>
      </w:r>
      <w:r w:rsidR="00AF36E2">
        <w:rPr>
          <w:rFonts w:ascii="Book Antiqua" w:hAnsi="Book Antiqua" w:hint="eastAsia"/>
          <w:iCs/>
        </w:rPr>
        <w:t>415</w:t>
      </w:r>
      <w:r w:rsidR="00AF36E2" w:rsidRPr="00AF36E2">
        <w:rPr>
          <w:rFonts w:ascii="Book Antiqua" w:hAnsi="Book Antiqua"/>
          <w:iCs/>
        </w:rPr>
        <w:t xml:space="preserve"> </w:t>
      </w:r>
    </w:p>
    <w:p w:rsidR="00AF36E2" w:rsidRPr="00AF36E2" w:rsidRDefault="00AF36E2" w:rsidP="00AF36E2">
      <w:pPr>
        <w:pStyle w:val="af"/>
        <w:spacing w:before="0" w:beforeAutospacing="0" w:after="0" w:afterAutospacing="0" w:line="360" w:lineRule="auto"/>
        <w:jc w:val="both"/>
        <w:textAlignment w:val="baseline"/>
        <w:rPr>
          <w:rFonts w:ascii="Book Antiqua" w:hAnsi="Book Antiqua"/>
          <w:iCs/>
        </w:rPr>
      </w:pPr>
      <w:r w:rsidRPr="00AF36E2">
        <w:rPr>
          <w:rFonts w:ascii="Book Antiqua" w:hAnsi="Book Antiqua"/>
          <w:b/>
          <w:iCs/>
        </w:rPr>
        <w:t>URL:</w:t>
      </w:r>
      <w:r w:rsidRPr="00AF36E2">
        <w:rPr>
          <w:rFonts w:ascii="Book Antiqua" w:hAnsi="Book Antiqua"/>
          <w:iCs/>
        </w:rPr>
        <w:t xml:space="preserve"> https://www.wjgnet.com/1948-5204/full/v11/i5/</w:t>
      </w:r>
      <w:r>
        <w:rPr>
          <w:rFonts w:ascii="Book Antiqua" w:hAnsi="Book Antiqua" w:hint="eastAsia"/>
          <w:iCs/>
        </w:rPr>
        <w:t>404</w:t>
      </w:r>
      <w:r w:rsidRPr="00AF36E2">
        <w:rPr>
          <w:rFonts w:ascii="Book Antiqua" w:hAnsi="Book Antiqua"/>
          <w:iCs/>
        </w:rPr>
        <w:t xml:space="preserve">.htm </w:t>
      </w:r>
    </w:p>
    <w:p w:rsidR="00580532" w:rsidRPr="00580532" w:rsidRDefault="00AF36E2" w:rsidP="00AF36E2">
      <w:pPr>
        <w:spacing w:line="360" w:lineRule="auto"/>
        <w:rPr>
          <w:rFonts w:ascii="Book Antiqua" w:hAnsi="Book Antiqua"/>
          <w:sz w:val="24"/>
          <w:szCs w:val="24"/>
          <w:lang w:val="en-GB"/>
        </w:rPr>
      </w:pPr>
      <w:r w:rsidRPr="00AF36E2">
        <w:rPr>
          <w:rFonts w:ascii="Book Antiqua" w:hAnsi="Book Antiqua"/>
          <w:b/>
          <w:iCs/>
          <w:sz w:val="24"/>
        </w:rPr>
        <w:t>DOI</w:t>
      </w:r>
      <w:r w:rsidRPr="00AF36E2">
        <w:rPr>
          <w:rFonts w:ascii="Book Antiqua" w:hAnsi="Book Antiqua"/>
          <w:b/>
          <w:iCs/>
        </w:rPr>
        <w:t>:</w:t>
      </w:r>
      <w:r w:rsidRPr="00AF36E2">
        <w:rPr>
          <w:rFonts w:ascii="Book Antiqua" w:hAnsi="Book Antiqua"/>
          <w:iCs/>
        </w:rPr>
        <w:t xml:space="preserve"> </w:t>
      </w:r>
      <w:r w:rsidRPr="00AF36E2">
        <w:rPr>
          <w:rFonts w:ascii="Book Antiqua" w:hAnsi="Book Antiqua"/>
          <w:iCs/>
          <w:sz w:val="24"/>
        </w:rPr>
        <w:t>https://dx.doi.org/10.4251/wjgo.v11.i5.</w:t>
      </w:r>
      <w:r w:rsidRPr="00AF36E2">
        <w:rPr>
          <w:rFonts w:ascii="Book Antiqua" w:hAnsi="Book Antiqua" w:hint="eastAsia"/>
          <w:iCs/>
          <w:sz w:val="24"/>
        </w:rPr>
        <w:t>404</w:t>
      </w:r>
    </w:p>
    <w:p w:rsidR="005D7970" w:rsidRPr="00580532" w:rsidRDefault="005D7970" w:rsidP="00AD4B85">
      <w:pPr>
        <w:spacing w:line="360" w:lineRule="auto"/>
        <w:rPr>
          <w:rFonts w:ascii="Book Antiqua" w:hAnsi="Book Antiqua"/>
          <w:sz w:val="24"/>
          <w:szCs w:val="24"/>
          <w:lang w:val="en-GB"/>
        </w:rPr>
      </w:pPr>
    </w:p>
    <w:p w:rsidR="00604A9C" w:rsidRPr="00580532" w:rsidRDefault="004A4F4A" w:rsidP="00AD4B85">
      <w:pPr>
        <w:spacing w:line="360" w:lineRule="auto"/>
        <w:rPr>
          <w:rStyle w:val="aa"/>
          <w:rFonts w:ascii="Book Antiqua" w:hAnsi="Book Antiqua"/>
          <w:b/>
          <w:color w:val="auto"/>
          <w:sz w:val="24"/>
          <w:szCs w:val="24"/>
          <w:lang w:val="en-GB"/>
        </w:rPr>
      </w:pPr>
      <w:r w:rsidRPr="00580532">
        <w:rPr>
          <w:rStyle w:val="aa"/>
          <w:rFonts w:ascii="Book Antiqua" w:hAnsi="Book Antiqua"/>
          <w:b/>
          <w:color w:val="auto"/>
          <w:sz w:val="24"/>
          <w:szCs w:val="24"/>
          <w:lang w:val="en-GB"/>
        </w:rPr>
        <w:br w:type="page"/>
        <w:t>INTRODUCTION</w:t>
      </w:r>
    </w:p>
    <w:p w:rsidR="00604A9C" w:rsidRPr="00580532" w:rsidRDefault="00604A9C" w:rsidP="00AD4B85">
      <w:pPr>
        <w:spacing w:line="360" w:lineRule="auto"/>
        <w:rPr>
          <w:rFonts w:ascii="Book Antiqua" w:hAnsi="Book Antiqua"/>
          <w:sz w:val="24"/>
          <w:szCs w:val="24"/>
          <w:lang w:val="en-GB"/>
        </w:rPr>
      </w:pPr>
      <w:r w:rsidRPr="00580532">
        <w:rPr>
          <w:rFonts w:ascii="Book Antiqua" w:hAnsi="Book Antiqua"/>
          <w:sz w:val="24"/>
          <w:szCs w:val="24"/>
          <w:lang w:val="en-GB"/>
        </w:rPr>
        <w:t>Liver malignancies including hepatocellular carcinoma (HCC) arising from hepatocytes and cholangiocarcinoma (CCA) arising from epithelial cells of the bile ducts are the fifth most commonly diagnosed tumours and the second most frequent cause of cancer-re</w:t>
      </w:r>
      <w:r w:rsidR="004A4F4A" w:rsidRPr="00580532">
        <w:rPr>
          <w:rFonts w:ascii="Book Antiqua" w:hAnsi="Book Antiqua"/>
          <w:sz w:val="24"/>
          <w:szCs w:val="24"/>
          <w:lang w:val="en-GB"/>
        </w:rPr>
        <w:t>lated deaths in males worldwide</w:t>
      </w:r>
      <w:r w:rsidRPr="00826C56">
        <w:rPr>
          <w:rFonts w:ascii="Book Antiqua" w:hAnsi="Book Antiqua"/>
          <w:sz w:val="24"/>
          <w:szCs w:val="24"/>
          <w:vertAlign w:val="superscript"/>
          <w:lang w:val="en-GB"/>
        </w:rPr>
        <w:t>[1</w:t>
      </w:r>
      <w:r w:rsidR="00826C56" w:rsidRPr="00826C56">
        <w:rPr>
          <w:rFonts w:ascii="Book Antiqua" w:hAnsi="Book Antiqua" w:hint="eastAsia"/>
          <w:sz w:val="24"/>
          <w:szCs w:val="24"/>
          <w:vertAlign w:val="superscript"/>
          <w:lang w:val="en-GB"/>
        </w:rPr>
        <w:t>,</w:t>
      </w:r>
      <w:r w:rsidR="00515F02" w:rsidRPr="00826C56">
        <w:rPr>
          <w:rFonts w:ascii="Book Antiqua" w:hAnsi="Book Antiqua"/>
          <w:sz w:val="24"/>
          <w:szCs w:val="24"/>
          <w:vertAlign w:val="superscript"/>
          <w:lang w:val="en-GB"/>
        </w:rPr>
        <w:t>2</w:t>
      </w:r>
      <w:r w:rsidRPr="00826C56">
        <w:rPr>
          <w:rFonts w:ascii="Book Antiqua" w:hAnsi="Book Antiqua"/>
          <w:sz w:val="24"/>
          <w:szCs w:val="24"/>
          <w:vertAlign w:val="superscript"/>
          <w:lang w:val="en-GB"/>
        </w:rPr>
        <w:t>]</w:t>
      </w:r>
      <w:r w:rsidRPr="00580532">
        <w:rPr>
          <w:rFonts w:ascii="Book Antiqua" w:hAnsi="Book Antiqua"/>
          <w:sz w:val="24"/>
          <w:szCs w:val="24"/>
          <w:lang w:val="en-GB"/>
        </w:rPr>
        <w:t>. The mostly accepted view is that HCC and CCA are different diseases and have relatively independent characteristics in diseased populations and underlying diseases. In recent years, and perhaps until now, we have had somewhat naïve hopes of fitting the complex disease into a tidy and easily understood model. Currently, we classify malignancies mainly according to the anatomical site of the tumour, but the diagnosis of CCA is clinically difficult to identify with HCC, especially in tumour tissues obtained by needle core biopsy (NCB), which involves the combination of a variety of methods including imaging and biopsy pathology as well as Immuno</w:t>
      </w:r>
      <w:r w:rsidR="00826C56">
        <w:rPr>
          <w:rFonts w:ascii="Book Antiqua" w:hAnsi="Book Antiqua"/>
          <w:sz w:val="24"/>
          <w:szCs w:val="24"/>
          <w:lang w:val="en-GB"/>
        </w:rPr>
        <w:t>histochemistry (IHC) techniques</w:t>
      </w:r>
      <w:r w:rsidRPr="00826C56">
        <w:rPr>
          <w:rFonts w:ascii="Book Antiqua" w:hAnsi="Book Antiqua"/>
          <w:sz w:val="24"/>
          <w:szCs w:val="24"/>
          <w:vertAlign w:val="superscript"/>
          <w:lang w:val="en-GB"/>
        </w:rPr>
        <w:t>[3,4]</w:t>
      </w:r>
      <w:r w:rsidRPr="00580532">
        <w:rPr>
          <w:rFonts w:ascii="Book Antiqua" w:hAnsi="Book Antiqua"/>
          <w:sz w:val="24"/>
          <w:szCs w:val="24"/>
          <w:lang w:val="en-GB"/>
        </w:rPr>
        <w:t xml:space="preserve"> based both on surgical specimens (SS) and NCB. To date,</w:t>
      </w:r>
      <w:r w:rsidR="00AB3E6C">
        <w:rPr>
          <w:rFonts w:ascii="Book Antiqua" w:hAnsi="Book Antiqua"/>
          <w:sz w:val="24"/>
          <w:szCs w:val="24"/>
          <w:lang w:val="en-GB"/>
        </w:rPr>
        <w:t xml:space="preserve"> </w:t>
      </w:r>
      <w:r w:rsidRPr="00580532">
        <w:rPr>
          <w:rFonts w:ascii="Book Antiqua" w:hAnsi="Book Antiqua"/>
          <w:sz w:val="24"/>
          <w:szCs w:val="24"/>
          <w:lang w:val="en-GB"/>
        </w:rPr>
        <w:t>unfortunately, most CCA patients are usually diagnosed at a late stage of the disease. The overall 5-year survival of CCA is poor, and there is no sufficiently sensitive and specific biomarker available to facilitate the diagnosis or predict the effect of therapy</w:t>
      </w:r>
      <w:hyperlink w:anchor="_ENREF_2" w:tooltip="Ghouri, 2015 #10" w:history="1">
        <w:r w:rsidRPr="00580532">
          <w:rPr>
            <w:rFonts w:ascii="Book Antiqua" w:hAnsi="Book Antiqua"/>
            <w:sz w:val="24"/>
            <w:szCs w:val="24"/>
            <w:lang w:val="en-GB"/>
          </w:rPr>
          <w:t xml:space="preserve">. </w:t>
        </w:r>
      </w:hyperlink>
      <w:hyperlink w:anchor="_ENREF_2" w:tooltip="Ghouri, 2015 #10" w:history="1">
        <w:r w:rsidRPr="00580532">
          <w:rPr>
            <w:rFonts w:ascii="Book Antiqua" w:hAnsi="Book Antiqua"/>
            <w:sz w:val="24"/>
            <w:szCs w:val="24"/>
            <w:lang w:val="en-GB"/>
          </w:rPr>
          <w:t xml:space="preserve"> </w:t>
        </w:r>
      </w:hyperlink>
    </w:p>
    <w:p w:rsidR="00604A9C" w:rsidRPr="00580532" w:rsidRDefault="00604A9C" w:rsidP="00AD4B85">
      <w:pPr>
        <w:spacing w:line="360" w:lineRule="auto"/>
        <w:ind w:firstLineChars="100" w:firstLine="240"/>
        <w:rPr>
          <w:rFonts w:ascii="Book Antiqua" w:hAnsi="Book Antiqua"/>
          <w:sz w:val="24"/>
          <w:szCs w:val="24"/>
          <w:lang w:val="en-GB"/>
        </w:rPr>
      </w:pPr>
      <w:r w:rsidRPr="00580532">
        <w:rPr>
          <w:rFonts w:ascii="Book Antiqua" w:hAnsi="Book Antiqua"/>
          <w:sz w:val="24"/>
          <w:szCs w:val="24"/>
          <w:lang w:val="en-GB"/>
        </w:rPr>
        <w:t>With the in-depth understanding of the nature of this disease, simple anatomical division has not been able to explain the clinical manifestations of liver malignancies, and perhaps the whole course of the clinical manifestation has been determined at the “origin” of the disease. International efforts of clinicians and scientists are helping to identify the genetic drivers of liver malignancy progression, which will unveil early diagnostic markers and direct the development of individualized therapies. Researchers must also face unprecedented challenges to distinguish the true genetic driver changes that are critical for tumour development to identify the most promising therapeutic target for liver malignancies.</w:t>
      </w:r>
    </w:p>
    <w:p w:rsidR="00604A9C" w:rsidRPr="00580532" w:rsidRDefault="00604A9C" w:rsidP="00AD4B85">
      <w:pPr>
        <w:spacing w:line="360" w:lineRule="auto"/>
        <w:ind w:firstLineChars="100" w:firstLine="240"/>
        <w:rPr>
          <w:rFonts w:ascii="Book Antiqua" w:hAnsi="Book Antiqua"/>
          <w:sz w:val="24"/>
          <w:szCs w:val="24"/>
          <w:lang w:val="en-GB"/>
        </w:rPr>
      </w:pPr>
      <w:r w:rsidRPr="00580532">
        <w:rPr>
          <w:rFonts w:ascii="Book Antiqua" w:hAnsi="Book Antiqua"/>
          <w:sz w:val="24"/>
          <w:szCs w:val="24"/>
          <w:lang w:val="en-GB"/>
        </w:rPr>
        <w:t>Some novel diagnostic biomarkers, including cytokeratin-19 (CK19), glypican-3 (GPC3), and hepatocyte paraffin-1 (HepPar1), are considering to be related to the prognosis of patients with PCL as predictive markers</w:t>
      </w:r>
      <w:r w:rsidR="00826C56">
        <w:rPr>
          <w:rFonts w:ascii="Book Antiqua" w:hAnsi="Book Antiqua"/>
          <w:sz w:val="24"/>
          <w:szCs w:val="24"/>
          <w:lang w:val="en-GB"/>
        </w:rPr>
        <w:t xml:space="preserve"> based on pathological sections</w:t>
      </w:r>
      <w:r w:rsidR="00826C56" w:rsidRPr="00826C56">
        <w:rPr>
          <w:rFonts w:ascii="Book Antiqua" w:hAnsi="Book Antiqua"/>
          <w:sz w:val="24"/>
          <w:szCs w:val="24"/>
          <w:vertAlign w:val="superscript"/>
          <w:lang w:val="en-GB"/>
        </w:rPr>
        <w:t>[5-8</w:t>
      </w:r>
      <w:r w:rsidRPr="00826C56">
        <w:rPr>
          <w:rFonts w:ascii="Book Antiqua" w:hAnsi="Book Antiqua"/>
          <w:sz w:val="24"/>
          <w:szCs w:val="24"/>
          <w:vertAlign w:val="superscript"/>
          <w:lang w:val="en-GB"/>
        </w:rPr>
        <w:t>]</w:t>
      </w:r>
      <w:r w:rsidRPr="00580532">
        <w:rPr>
          <w:rFonts w:ascii="Book Antiqua" w:hAnsi="Book Antiqua"/>
          <w:sz w:val="24"/>
          <w:szCs w:val="24"/>
          <w:lang w:val="en-GB"/>
        </w:rPr>
        <w:t>, which indicated that combining NCB, IHC, and imaging technology might help provide suggestions concerning patients’ medical treatment selection and optimize therapeutic stra</w:t>
      </w:r>
      <w:r w:rsidR="00826C56">
        <w:rPr>
          <w:rFonts w:ascii="Book Antiqua" w:hAnsi="Book Antiqua"/>
          <w:sz w:val="24"/>
          <w:szCs w:val="24"/>
          <w:lang w:val="en-GB"/>
        </w:rPr>
        <w:t>tegies at the time of diagnosis</w:t>
      </w:r>
      <w:r w:rsidRPr="00826C56">
        <w:rPr>
          <w:rFonts w:ascii="Book Antiqua" w:hAnsi="Book Antiqua"/>
          <w:sz w:val="24"/>
          <w:szCs w:val="24"/>
          <w:vertAlign w:val="superscript"/>
          <w:lang w:val="en-GB"/>
        </w:rPr>
        <w:t>[9-12]</w:t>
      </w:r>
      <w:r w:rsidRPr="00580532">
        <w:rPr>
          <w:rFonts w:ascii="Book Antiqua" w:hAnsi="Book Antiqua"/>
          <w:sz w:val="24"/>
          <w:szCs w:val="24"/>
          <w:lang w:val="en-GB"/>
        </w:rPr>
        <w:t xml:space="preserve">. The purpose of this study was to compare the pathological characteristics of SS and NCB and attempt to improve the diagnostic rate of puncture specimens by immunohistochemical </w:t>
      </w:r>
      <w:r w:rsidR="0032140A" w:rsidRPr="00580532">
        <w:rPr>
          <w:rFonts w:ascii="Book Antiqua" w:hAnsi="Book Antiqua"/>
          <w:sz w:val="24"/>
          <w:szCs w:val="24"/>
          <w:lang w:val="en-GB"/>
        </w:rPr>
        <w:t xml:space="preserve">(IHC) </w:t>
      </w:r>
      <w:r w:rsidRPr="00580532">
        <w:rPr>
          <w:rFonts w:ascii="Book Antiqua" w:hAnsi="Book Antiqua"/>
          <w:sz w:val="24"/>
          <w:szCs w:val="24"/>
          <w:lang w:val="en-GB"/>
        </w:rPr>
        <w:t>scoring. It is hoped that our scoring system can be used in the future to facilitate early and accurate diagnoses in more patients.</w:t>
      </w:r>
    </w:p>
    <w:p w:rsidR="00604A9C" w:rsidRPr="00580532" w:rsidRDefault="00604A9C" w:rsidP="00AD4B85">
      <w:pPr>
        <w:spacing w:line="360" w:lineRule="auto"/>
        <w:rPr>
          <w:rFonts w:ascii="Book Antiqua" w:hAnsi="Book Antiqua"/>
          <w:sz w:val="24"/>
          <w:szCs w:val="24"/>
          <w:lang w:val="en-GB"/>
        </w:rPr>
      </w:pPr>
    </w:p>
    <w:p w:rsidR="00604A9C" w:rsidRPr="00580532" w:rsidRDefault="00826C56" w:rsidP="00AD4B85">
      <w:pPr>
        <w:spacing w:line="360" w:lineRule="auto"/>
        <w:rPr>
          <w:rFonts w:ascii="Book Antiqua" w:hAnsi="Book Antiqua"/>
          <w:b/>
          <w:sz w:val="24"/>
          <w:szCs w:val="24"/>
          <w:lang w:val="en-GB"/>
        </w:rPr>
      </w:pPr>
      <w:r>
        <w:rPr>
          <w:rFonts w:ascii="Book Antiqua" w:hAnsi="Book Antiqua"/>
          <w:b/>
          <w:sz w:val="24"/>
          <w:szCs w:val="24"/>
          <w:lang w:val="en-GB"/>
        </w:rPr>
        <w:t>MATERIALS AND METHODS</w:t>
      </w:r>
    </w:p>
    <w:p w:rsidR="00604A9C" w:rsidRPr="00826C56" w:rsidRDefault="00826C56" w:rsidP="00AD4B85">
      <w:pPr>
        <w:spacing w:line="360" w:lineRule="auto"/>
        <w:rPr>
          <w:rFonts w:ascii="Book Antiqua" w:hAnsi="Book Antiqua"/>
          <w:b/>
          <w:i/>
          <w:sz w:val="24"/>
          <w:szCs w:val="24"/>
          <w:lang w:val="en-GB"/>
        </w:rPr>
      </w:pPr>
      <w:r w:rsidRPr="00826C56">
        <w:rPr>
          <w:rFonts w:ascii="Book Antiqua" w:hAnsi="Book Antiqua"/>
          <w:b/>
          <w:i/>
          <w:sz w:val="24"/>
          <w:szCs w:val="24"/>
          <w:lang w:val="en-GB"/>
        </w:rPr>
        <w:t>Subjects</w:t>
      </w:r>
    </w:p>
    <w:p w:rsidR="00604A9C" w:rsidRPr="00580532" w:rsidRDefault="00604A9C" w:rsidP="00AD4B85">
      <w:pPr>
        <w:autoSpaceDE w:val="0"/>
        <w:autoSpaceDN w:val="0"/>
        <w:adjustRightInd w:val="0"/>
        <w:spacing w:line="360" w:lineRule="auto"/>
        <w:rPr>
          <w:rFonts w:ascii="Book Antiqua" w:hAnsi="Book Antiqua"/>
          <w:sz w:val="24"/>
          <w:szCs w:val="24"/>
          <w:lang w:val="en-GB"/>
        </w:rPr>
      </w:pPr>
      <w:r w:rsidRPr="00580532">
        <w:rPr>
          <w:rFonts w:ascii="Book Antiqua" w:hAnsi="Book Antiqua"/>
          <w:sz w:val="24"/>
          <w:szCs w:val="24"/>
          <w:lang w:val="en-GB"/>
        </w:rPr>
        <w:t xml:space="preserve">The current study was conducted in accordance with the Declaration of Helsinki. All patients provided written, informed consent. The study was approved by the Local Ethics Committee. Between January 2008 and October 2015, 350 patients who underwent both preoperative NCB and surgical resection at Beijing You-An Hospital, Capital Medical University (163/350), Xijing Hospital, Fourth Military Medical University (116/350) and The Second Hospital, Hebei Medical University (71/350) were enrolled. All authors had </w:t>
      </w:r>
      <w:r w:rsidRPr="00580532">
        <w:rPr>
          <w:rFonts w:ascii="Book Antiqua" w:hAnsi="Book Antiqua"/>
          <w:sz w:val="24"/>
          <w:szCs w:val="24"/>
        </w:rPr>
        <w:t>evaluated</w:t>
      </w:r>
      <w:r w:rsidRPr="00580532">
        <w:rPr>
          <w:rFonts w:ascii="Book Antiqua" w:hAnsi="Book Antiqua"/>
          <w:sz w:val="24"/>
          <w:szCs w:val="24"/>
          <w:lang w:val="en-GB"/>
        </w:rPr>
        <w:t xml:space="preserve"> </w:t>
      </w:r>
      <w:r w:rsidRPr="00580532">
        <w:rPr>
          <w:rFonts w:ascii="Book Antiqua" w:hAnsi="Book Antiqua"/>
          <w:sz w:val="24"/>
          <w:szCs w:val="24"/>
        </w:rPr>
        <w:t xml:space="preserve">original </w:t>
      </w:r>
      <w:r w:rsidRPr="00580532">
        <w:rPr>
          <w:rFonts w:ascii="Book Antiqua" w:hAnsi="Book Antiqua"/>
          <w:sz w:val="24"/>
          <w:szCs w:val="24"/>
          <w:lang w:val="en-GB"/>
        </w:rPr>
        <w:t xml:space="preserve">data and approved the final manuscript.208 patients </w:t>
      </w:r>
      <w:r w:rsidRPr="00580532">
        <w:rPr>
          <w:rFonts w:ascii="Book Antiqua" w:hAnsi="Book Antiqua"/>
          <w:sz w:val="24"/>
          <w:szCs w:val="24"/>
        </w:rPr>
        <w:t xml:space="preserve">were enrolled in </w:t>
      </w:r>
      <w:r w:rsidRPr="00580532">
        <w:rPr>
          <w:rFonts w:ascii="Book Antiqua" w:hAnsi="Book Antiqua"/>
          <w:sz w:val="24"/>
          <w:szCs w:val="24"/>
          <w:lang w:val="en-GB"/>
        </w:rPr>
        <w:t>the cohort for the present study (Fig</w:t>
      </w:r>
      <w:r w:rsidR="00826C56">
        <w:rPr>
          <w:rFonts w:ascii="Book Antiqua" w:hAnsi="Book Antiqua" w:hint="eastAsia"/>
          <w:sz w:val="24"/>
          <w:szCs w:val="24"/>
          <w:lang w:val="en-GB"/>
        </w:rPr>
        <w:t>ure</w:t>
      </w:r>
      <w:r w:rsidRPr="00580532">
        <w:rPr>
          <w:rFonts w:ascii="Book Antiqua" w:hAnsi="Book Antiqua"/>
          <w:sz w:val="24"/>
          <w:szCs w:val="24"/>
          <w:lang w:val="en-GB"/>
        </w:rPr>
        <w:t xml:space="preserve"> 1). </w:t>
      </w:r>
    </w:p>
    <w:p w:rsidR="00826C56" w:rsidRPr="00826C56" w:rsidRDefault="00826C56" w:rsidP="00AD4B85">
      <w:pPr>
        <w:autoSpaceDE w:val="0"/>
        <w:autoSpaceDN w:val="0"/>
        <w:adjustRightInd w:val="0"/>
        <w:spacing w:line="360" w:lineRule="auto"/>
        <w:rPr>
          <w:rFonts w:ascii="Book Antiqua" w:hAnsi="Book Antiqua"/>
          <w:b/>
          <w:kern w:val="0"/>
          <w:sz w:val="24"/>
          <w:szCs w:val="24"/>
          <w:lang w:val="en-GB"/>
        </w:rPr>
      </w:pPr>
    </w:p>
    <w:p w:rsidR="00604A9C" w:rsidRPr="00AD4B85" w:rsidRDefault="00604A9C" w:rsidP="00AD4B85">
      <w:pPr>
        <w:widowControl/>
        <w:spacing w:line="360" w:lineRule="auto"/>
        <w:rPr>
          <w:rFonts w:ascii="Book Antiqua" w:hAnsi="Book Antiqua"/>
          <w:b/>
          <w:i/>
          <w:kern w:val="0"/>
          <w:sz w:val="24"/>
          <w:szCs w:val="24"/>
          <w:lang w:val="en-GB"/>
        </w:rPr>
      </w:pPr>
      <w:r w:rsidRPr="00AD4B85">
        <w:rPr>
          <w:rFonts w:ascii="Book Antiqua" w:hAnsi="Book Antiqua"/>
          <w:b/>
          <w:i/>
          <w:kern w:val="0"/>
          <w:sz w:val="24"/>
          <w:szCs w:val="24"/>
          <w:lang w:val="en-GB"/>
        </w:rPr>
        <w:t xml:space="preserve">NCB and surgical </w:t>
      </w:r>
      <w:r w:rsidRPr="00AD4B85">
        <w:rPr>
          <w:rFonts w:ascii="Book Antiqua" w:hAnsi="Book Antiqua"/>
          <w:b/>
          <w:bCs/>
          <w:i/>
          <w:kern w:val="0"/>
          <w:sz w:val="24"/>
          <w:szCs w:val="24"/>
          <w:lang w:val="en-GB"/>
        </w:rPr>
        <w:t>procedures</w:t>
      </w:r>
      <w:r w:rsidRPr="00AD4B85">
        <w:rPr>
          <w:rFonts w:ascii="Book Antiqua" w:hAnsi="Book Antiqua"/>
          <w:b/>
          <w:i/>
          <w:kern w:val="0"/>
          <w:sz w:val="24"/>
          <w:szCs w:val="24"/>
          <w:lang w:val="en-GB"/>
        </w:rPr>
        <w:t xml:space="preserve"> and </w:t>
      </w:r>
      <w:r w:rsidRPr="00AD4B85">
        <w:rPr>
          <w:rFonts w:ascii="Book Antiqua" w:hAnsi="Book Antiqua"/>
          <w:b/>
          <w:bCs/>
          <w:i/>
          <w:kern w:val="0"/>
          <w:sz w:val="24"/>
          <w:szCs w:val="24"/>
          <w:lang w:val="en-GB"/>
        </w:rPr>
        <w:t>sample</w:t>
      </w:r>
      <w:r w:rsidRPr="00AD4B85">
        <w:rPr>
          <w:rFonts w:ascii="Book Antiqua" w:hAnsi="Book Antiqua"/>
          <w:b/>
          <w:i/>
          <w:kern w:val="0"/>
          <w:sz w:val="24"/>
          <w:szCs w:val="24"/>
          <w:lang w:val="en-GB"/>
        </w:rPr>
        <w:t xml:space="preserve"> management</w:t>
      </w:r>
    </w:p>
    <w:p w:rsidR="00604A9C" w:rsidRPr="00580532" w:rsidRDefault="00604A9C" w:rsidP="00AD4B85">
      <w:pPr>
        <w:widowControl/>
        <w:spacing w:line="360" w:lineRule="auto"/>
        <w:rPr>
          <w:rFonts w:ascii="Book Antiqua" w:hAnsi="Book Antiqua"/>
          <w:sz w:val="24"/>
          <w:szCs w:val="24"/>
          <w:lang w:val="en-GB"/>
        </w:rPr>
      </w:pPr>
      <w:r w:rsidRPr="00580532">
        <w:rPr>
          <w:rFonts w:ascii="Book Antiqua" w:hAnsi="Book Antiqua"/>
          <w:sz w:val="24"/>
          <w:szCs w:val="24"/>
          <w:lang w:val="en-GB"/>
        </w:rPr>
        <w:t>NCBs were performed under local anaesthesia with 2% lidocaine</w:t>
      </w:r>
      <w:r w:rsidRPr="00AD4B85">
        <w:rPr>
          <w:rFonts w:ascii="Book Antiqua" w:hAnsi="Book Antiqua"/>
          <w:sz w:val="24"/>
          <w:szCs w:val="24"/>
          <w:vertAlign w:val="superscript"/>
          <w:lang w:val="en-GB"/>
        </w:rPr>
        <w:t>[13]</w:t>
      </w:r>
      <w:r w:rsidRPr="00580532">
        <w:rPr>
          <w:rFonts w:ascii="Book Antiqua" w:hAnsi="Book Antiqua"/>
          <w:sz w:val="24"/>
          <w:szCs w:val="24"/>
          <w:lang w:val="en-GB"/>
        </w:rPr>
        <w:t xml:space="preserve">. An automated biopsy gun (18-gauge core biopsy needle) was used to procure a minimum 1.5-cm-core biopsy specimen. All NCBs were performed using a </w:t>
      </w:r>
      <w:r w:rsidRPr="00580532">
        <w:rPr>
          <w:rFonts w:ascii="Book Antiqua" w:hAnsi="Book Antiqua"/>
          <w:sz w:val="24"/>
          <w:szCs w:val="24"/>
        </w:rPr>
        <w:t xml:space="preserve">similar </w:t>
      </w:r>
      <w:r w:rsidRPr="00580532">
        <w:rPr>
          <w:rFonts w:ascii="Book Antiqua" w:hAnsi="Book Antiqua"/>
          <w:sz w:val="24"/>
          <w:szCs w:val="24"/>
          <w:lang w:val="en-GB"/>
        </w:rPr>
        <w:t xml:space="preserve">similar </w:t>
      </w:r>
      <w:r w:rsidRPr="00580532">
        <w:rPr>
          <w:rFonts w:ascii="Book Antiqua" w:hAnsi="Book Antiqua"/>
          <w:sz w:val="24"/>
          <w:szCs w:val="24"/>
        </w:rPr>
        <w:t>fashion</w:t>
      </w:r>
      <w:r w:rsidRPr="00580532">
        <w:rPr>
          <w:rFonts w:ascii="Book Antiqua" w:hAnsi="Book Antiqua"/>
          <w:sz w:val="24"/>
          <w:szCs w:val="24"/>
          <w:lang w:val="en-GB"/>
        </w:rPr>
        <w:t xml:space="preserve">stand-alone protocol with computed tomography </w:t>
      </w:r>
      <w:r w:rsidR="00AD4B85" w:rsidRPr="00580532">
        <w:rPr>
          <w:rFonts w:ascii="Book Antiqua" w:hAnsi="Book Antiqua"/>
          <w:sz w:val="24"/>
          <w:szCs w:val="24"/>
          <w:lang w:val="en-GB"/>
        </w:rPr>
        <w:t xml:space="preserve">(CT) </w:t>
      </w:r>
      <w:r w:rsidRPr="00580532">
        <w:rPr>
          <w:rFonts w:ascii="Book Antiqua" w:hAnsi="Book Antiqua"/>
          <w:sz w:val="24"/>
          <w:szCs w:val="24"/>
          <w:lang w:val="en-GB"/>
        </w:rPr>
        <w:t>scans or ultrasound guidance to document the needle position</w:t>
      </w:r>
      <w:r w:rsidRPr="00580532">
        <w:rPr>
          <w:rFonts w:ascii="Book Antiqua" w:hAnsi="Book Antiqua"/>
          <w:sz w:val="24"/>
          <w:szCs w:val="24"/>
        </w:rPr>
        <w:t xml:space="preserve"> within the lesion.</w:t>
      </w:r>
      <w:r w:rsidRPr="00580532">
        <w:rPr>
          <w:rFonts w:ascii="Book Antiqua" w:hAnsi="Book Antiqua"/>
          <w:sz w:val="24"/>
          <w:szCs w:val="24"/>
          <w:lang w:val="en-GB"/>
        </w:rPr>
        <w:t xml:space="preserve"> In patients with a solitary nodule diameter greater than 5 cm, three different biopsies were performed within the lesion. When the tumour diameter was between 2-5 cm, two passes were usually performed, whereas when the tumour diameter was 2 cm or less, one pass was performed. The biopsy specimens were fixed in 10% neutral buffered formalin. All surgeries were performed by three independent groups of doctors. Criteria to evaluate the indication for surgical resection based on the liver function and tumour status</w:t>
      </w:r>
      <w:r w:rsidR="00AD4B85">
        <w:rPr>
          <w:rFonts w:ascii="Book Antiqua" w:hAnsi="Book Antiqua"/>
          <w:sz w:val="24"/>
          <w:szCs w:val="24"/>
          <w:lang w:val="en-GB"/>
        </w:rPr>
        <w:t xml:space="preserve"> have been described previously</w:t>
      </w:r>
      <w:r w:rsidRPr="00AD4B85">
        <w:rPr>
          <w:rFonts w:ascii="Book Antiqua" w:hAnsi="Book Antiqua"/>
          <w:sz w:val="24"/>
          <w:szCs w:val="24"/>
          <w:vertAlign w:val="superscript"/>
          <w:lang w:val="en-GB"/>
        </w:rPr>
        <w:t>[14]</w:t>
      </w:r>
      <w:r w:rsidRPr="00580532">
        <w:rPr>
          <w:rFonts w:ascii="Book Antiqua" w:hAnsi="Book Antiqua"/>
          <w:sz w:val="24"/>
          <w:szCs w:val="24"/>
          <w:lang w:val="en-GB"/>
        </w:rPr>
        <w:t>. The formalin-fixed tissues ere processed, sectioned at a 5-μm thickness and stained with haematoxylin and eosin (H</w:t>
      </w:r>
      <w:r w:rsidR="00AD4B85">
        <w:rPr>
          <w:rFonts w:ascii="Book Antiqua" w:hAnsi="Book Antiqua" w:hint="eastAsia"/>
          <w:sz w:val="24"/>
          <w:szCs w:val="24"/>
          <w:lang w:val="en-GB"/>
        </w:rPr>
        <w:t xml:space="preserve"> and </w:t>
      </w:r>
      <w:r w:rsidRPr="00580532">
        <w:rPr>
          <w:rFonts w:ascii="Book Antiqua" w:hAnsi="Book Antiqua"/>
          <w:sz w:val="24"/>
          <w:szCs w:val="24"/>
          <w:lang w:val="en-GB"/>
        </w:rPr>
        <w:t xml:space="preserve">E) </w:t>
      </w:r>
      <w:r w:rsidRPr="00580532">
        <w:rPr>
          <w:rFonts w:ascii="Book Antiqua" w:hAnsi="Book Antiqua"/>
          <w:sz w:val="24"/>
          <w:szCs w:val="24"/>
        </w:rPr>
        <w:t>technique</w:t>
      </w:r>
      <w:r w:rsidRPr="00580532">
        <w:rPr>
          <w:rFonts w:ascii="Book Antiqua" w:hAnsi="Book Antiqua"/>
          <w:sz w:val="24"/>
          <w:szCs w:val="24"/>
          <w:lang w:val="en-GB"/>
        </w:rPr>
        <w:t>.</w:t>
      </w:r>
    </w:p>
    <w:p w:rsidR="00604A9C" w:rsidRPr="00580532" w:rsidRDefault="00604A9C" w:rsidP="00AD4B85">
      <w:pPr>
        <w:spacing w:line="360" w:lineRule="auto"/>
        <w:rPr>
          <w:rFonts w:ascii="Book Antiqua" w:hAnsi="Book Antiqua"/>
          <w:sz w:val="24"/>
          <w:szCs w:val="24"/>
          <w:lang w:val="en-GB"/>
        </w:rPr>
      </w:pPr>
    </w:p>
    <w:p w:rsidR="00604A9C" w:rsidRPr="00AD4B85" w:rsidRDefault="00604A9C" w:rsidP="00AD4B85">
      <w:pPr>
        <w:spacing w:line="360" w:lineRule="auto"/>
        <w:rPr>
          <w:rFonts w:ascii="Book Antiqua" w:hAnsi="Book Antiqua"/>
          <w:b/>
          <w:i/>
          <w:sz w:val="24"/>
          <w:szCs w:val="24"/>
          <w:lang w:val="en-GB"/>
        </w:rPr>
      </w:pPr>
      <w:r w:rsidRPr="00AD4B85">
        <w:rPr>
          <w:rFonts w:ascii="Book Antiqua" w:hAnsi="Book Antiqua"/>
          <w:b/>
          <w:i/>
          <w:sz w:val="24"/>
          <w:szCs w:val="24"/>
          <w:lang w:val="en-GB"/>
        </w:rPr>
        <w:t>IHC staining</w:t>
      </w:r>
    </w:p>
    <w:p w:rsidR="00604A9C" w:rsidRPr="00580532" w:rsidRDefault="00604A9C" w:rsidP="00AD4B85">
      <w:pPr>
        <w:widowControl/>
        <w:spacing w:line="360" w:lineRule="auto"/>
        <w:rPr>
          <w:rFonts w:ascii="Book Antiqua" w:hAnsi="Book Antiqua"/>
          <w:sz w:val="24"/>
          <w:szCs w:val="24"/>
          <w:lang w:val="en-GB"/>
        </w:rPr>
      </w:pPr>
      <w:r w:rsidRPr="00580532">
        <w:rPr>
          <w:rFonts w:ascii="Book Antiqua" w:hAnsi="Book Antiqua"/>
          <w:sz w:val="24"/>
          <w:szCs w:val="24"/>
          <w:lang w:val="en-GB"/>
        </w:rPr>
        <w:t>Monoclonal antibody (clone BA17; 1:100) and mouse anti-human GPC3 monoclonal antibody (clone 1G12; 1:200) were purchased from the Zeta Company. Mouse anti-human monoclonal antibody HepPar1 (clone OCH1E5; 1:200) was purchased from Zymed Laboratories, Inc. The sections were steamed for 20 min in citrate target retrieval buffer (</w:t>
      </w:r>
      <w:r w:rsidR="00AD4B85" w:rsidRPr="00580532">
        <w:rPr>
          <w:rFonts w:ascii="Book Antiqua" w:hAnsi="Book Antiqua"/>
          <w:sz w:val="24"/>
          <w:szCs w:val="24"/>
          <w:lang w:val="en-GB"/>
        </w:rPr>
        <w:t>p</w:t>
      </w:r>
      <w:r w:rsidRPr="00580532">
        <w:rPr>
          <w:rFonts w:ascii="Book Antiqua" w:hAnsi="Book Antiqua"/>
          <w:sz w:val="24"/>
          <w:szCs w:val="24"/>
          <w:lang w:val="en-GB"/>
        </w:rPr>
        <w:t xml:space="preserve">H 6.0). Evidence for cytoplasmic staining of adjacent interlobular duct epithelia served as an internal positive control for CK19, yolk sac tumour tissue was used as a positive control sample for GPC3, and normal hepatocytes were used as positive control for HepPar1. Negative controls were established by substitution of the primary antibodies with non-immunized serum, resulting in the absence of signal detection. </w:t>
      </w:r>
    </w:p>
    <w:p w:rsidR="00604A9C" w:rsidRPr="00580532" w:rsidRDefault="00604A9C" w:rsidP="00AD4B85">
      <w:pPr>
        <w:widowControl/>
        <w:spacing w:line="360" w:lineRule="auto"/>
        <w:rPr>
          <w:rFonts w:ascii="Book Antiqua" w:hAnsi="Book Antiqua"/>
          <w:sz w:val="24"/>
          <w:szCs w:val="24"/>
          <w:lang w:val="en-GB"/>
        </w:rPr>
      </w:pPr>
    </w:p>
    <w:p w:rsidR="00604A9C" w:rsidRPr="00AD4B85" w:rsidRDefault="00604A9C" w:rsidP="00AD4B85">
      <w:pPr>
        <w:spacing w:line="360" w:lineRule="auto"/>
        <w:rPr>
          <w:rFonts w:ascii="Book Antiqua" w:hAnsi="Book Antiqua"/>
          <w:b/>
          <w:i/>
          <w:sz w:val="24"/>
          <w:szCs w:val="24"/>
          <w:lang w:val="en-GB"/>
        </w:rPr>
      </w:pPr>
      <w:r w:rsidRPr="00AD4B85">
        <w:rPr>
          <w:rFonts w:ascii="Book Antiqua" w:hAnsi="Book Antiqua"/>
          <w:b/>
          <w:i/>
          <w:sz w:val="24"/>
          <w:szCs w:val="24"/>
          <w:lang w:val="en-GB"/>
        </w:rPr>
        <w:t>Interpretation and diagnosis of the IHC results</w:t>
      </w:r>
    </w:p>
    <w:p w:rsidR="00604A9C" w:rsidRPr="00580532" w:rsidRDefault="00604A9C" w:rsidP="00AD4B85">
      <w:pPr>
        <w:widowControl/>
        <w:spacing w:line="360" w:lineRule="auto"/>
        <w:rPr>
          <w:rFonts w:ascii="Book Antiqua" w:hAnsi="Book Antiqua"/>
          <w:sz w:val="24"/>
          <w:szCs w:val="24"/>
          <w:lang w:val="en-GB"/>
        </w:rPr>
      </w:pPr>
      <w:r w:rsidRPr="00580532">
        <w:rPr>
          <w:rFonts w:ascii="Book Antiqua" w:hAnsi="Book Antiqua"/>
          <w:sz w:val="24"/>
          <w:szCs w:val="24"/>
          <w:lang w:val="en-GB"/>
        </w:rPr>
        <w:t xml:space="preserve">Semi-quantitative scoring methods are widely used to convert the subjective perception of IHC marker expression by histopathologists into quantitative data, which are then used for statistical analyses and the establishment of conclusions. In the current study, two major approaches were used in the interpretation of IHC. The first approach was described by </w:t>
      </w:r>
      <w:r w:rsidR="00710617" w:rsidRPr="00580532">
        <w:rPr>
          <w:rFonts w:ascii="Book Antiqua" w:hAnsi="Book Antiqua"/>
          <w:sz w:val="24"/>
          <w:szCs w:val="24"/>
          <w:lang w:val="en-GB"/>
        </w:rPr>
        <w:t>Sabattini</w:t>
      </w:r>
      <w:r w:rsidRPr="00580532">
        <w:rPr>
          <w:rFonts w:ascii="Book Antiqua" w:hAnsi="Book Antiqua"/>
          <w:sz w:val="24"/>
          <w:szCs w:val="24"/>
          <w:lang w:val="en-GB"/>
        </w:rPr>
        <w:t xml:space="preserve"> </w:t>
      </w:r>
      <w:r w:rsidRPr="00AD4B85">
        <w:rPr>
          <w:rFonts w:ascii="Book Antiqua" w:hAnsi="Book Antiqua"/>
          <w:i/>
          <w:sz w:val="24"/>
          <w:szCs w:val="24"/>
          <w:lang w:val="en-GB"/>
        </w:rPr>
        <w:t>et al</w:t>
      </w:r>
      <w:r w:rsidR="00710617">
        <w:rPr>
          <w:rFonts w:ascii="Book Antiqua" w:hAnsi="Book Antiqua" w:hint="eastAsia"/>
          <w:sz w:val="24"/>
          <w:szCs w:val="24"/>
          <w:vertAlign w:val="superscript"/>
          <w:lang w:val="en-GB"/>
        </w:rPr>
        <w:t>[15]</w:t>
      </w:r>
      <w:r w:rsidRPr="00580532">
        <w:rPr>
          <w:rFonts w:ascii="Book Antiqua" w:hAnsi="Book Antiqua"/>
          <w:sz w:val="24"/>
          <w:szCs w:val="24"/>
          <w:lang w:val="en-GB"/>
        </w:rPr>
        <w:t>: “-” was denoted for a score of less than 10% positively stained tumour cells or no visible staining; “+” score was denoted for 10</w:t>
      </w:r>
      <w:r w:rsidR="00AD4B85">
        <w:rPr>
          <w:rFonts w:ascii="Book Antiqua" w:hAnsi="Book Antiqua" w:hint="eastAsia"/>
          <w:sz w:val="24"/>
          <w:szCs w:val="24"/>
          <w:lang w:val="en-GB"/>
        </w:rPr>
        <w:t>%</w:t>
      </w:r>
      <w:r w:rsidRPr="00580532">
        <w:rPr>
          <w:rFonts w:ascii="Book Antiqua" w:hAnsi="Book Antiqua"/>
          <w:sz w:val="24"/>
          <w:szCs w:val="24"/>
          <w:lang w:val="en-GB"/>
        </w:rPr>
        <w:t>–49% positive tumour cells; “++” was established for more than 50% positively stained tumour cells. The second approach was a four-tier semi-quantitative score method as described previously</w:t>
      </w:r>
      <w:r w:rsidRPr="00AD4B85">
        <w:rPr>
          <w:rFonts w:ascii="Book Antiqua" w:hAnsi="Book Antiqua"/>
          <w:sz w:val="24"/>
          <w:szCs w:val="24"/>
          <w:vertAlign w:val="superscript"/>
          <w:lang w:val="en-GB"/>
        </w:rPr>
        <w:t>[</w:t>
      </w:r>
      <w:hyperlink r:id="rId11" w:anchor="B15" w:history="1">
        <w:r w:rsidRPr="00AD4B85">
          <w:rPr>
            <w:rFonts w:ascii="Book Antiqua" w:hAnsi="Book Antiqua"/>
            <w:sz w:val="24"/>
            <w:szCs w:val="24"/>
            <w:vertAlign w:val="superscript"/>
            <w:lang w:val="en-GB"/>
          </w:rPr>
          <w:t>16</w:t>
        </w:r>
      </w:hyperlink>
      <w:r w:rsidRPr="00AD4B85">
        <w:rPr>
          <w:rFonts w:ascii="Book Antiqua" w:hAnsi="Book Antiqua"/>
          <w:sz w:val="24"/>
          <w:szCs w:val="24"/>
          <w:vertAlign w:val="superscript"/>
          <w:lang w:val="en-GB"/>
        </w:rPr>
        <w:t>]</w:t>
      </w:r>
      <w:r w:rsidRPr="00580532">
        <w:rPr>
          <w:rFonts w:ascii="Book Antiqua" w:hAnsi="Book Antiqua"/>
          <w:sz w:val="24"/>
          <w:szCs w:val="24"/>
          <w:lang w:val="en-GB"/>
        </w:rPr>
        <w:t>: “-” for no labelling; “+” for positive cells scattered individually across the microscopic field; “++” for at least one positive cluster; and “+++” for numerous positive clusters present within the tumour (Fig</w:t>
      </w:r>
      <w:r w:rsidR="00AD4B85">
        <w:rPr>
          <w:rFonts w:ascii="Book Antiqua" w:hAnsi="Book Antiqua" w:hint="eastAsia"/>
          <w:sz w:val="24"/>
          <w:szCs w:val="24"/>
          <w:lang w:val="en-GB"/>
        </w:rPr>
        <w:t>ure</w:t>
      </w:r>
      <w:r w:rsidRPr="00580532">
        <w:rPr>
          <w:rFonts w:ascii="Book Antiqua" w:hAnsi="Book Antiqua"/>
          <w:sz w:val="24"/>
          <w:szCs w:val="24"/>
          <w:lang w:val="en-GB"/>
        </w:rPr>
        <w:t xml:space="preserve"> 2). Considering the advantages of two-tier grading in diagnostic decisions, combining all positive reports of the three- or four-tier grading system into one group was further proposed. </w:t>
      </w:r>
    </w:p>
    <w:p w:rsidR="00604A9C" w:rsidRPr="00580532" w:rsidRDefault="00604A9C" w:rsidP="00AD4B85">
      <w:pPr>
        <w:spacing w:line="360" w:lineRule="auto"/>
        <w:ind w:firstLineChars="100" w:firstLine="240"/>
        <w:rPr>
          <w:rFonts w:ascii="Book Antiqua" w:hAnsi="Book Antiqua"/>
          <w:sz w:val="24"/>
          <w:szCs w:val="24"/>
          <w:lang w:val="en-GB"/>
        </w:rPr>
      </w:pPr>
      <w:r w:rsidRPr="00580532">
        <w:rPr>
          <w:rFonts w:ascii="Book Antiqua" w:hAnsi="Book Antiqua"/>
          <w:sz w:val="24"/>
          <w:szCs w:val="24"/>
          <w:lang w:val="en-GB"/>
        </w:rPr>
        <w:t>In case A, HepPar-1 showed positive expression in one cluster (++) and GPC3 showed positive staining of approximately the entire tumour nest (+++) in NCB. However, both markers showed massive positive staining (+++) across all microscopic fields in SS. In case B, CK19 showed scattered positive cells or clusters (+++) in NCB. Although GPC3 showed scattered positive staining (+) in NCB, scattered positive individuals or positive clusters (+++) in SS could be observed. In case C, GPC3 expression showed two positive clusters around the sinusoid-like structures (++) in NCB, whereas massive positive clusters were observed across the microscopic field (+++) in SS.</w:t>
      </w:r>
    </w:p>
    <w:p w:rsidR="00604A9C" w:rsidRPr="00580532" w:rsidRDefault="00604A9C" w:rsidP="00AD4B85">
      <w:pPr>
        <w:spacing w:line="360" w:lineRule="auto"/>
        <w:ind w:firstLineChars="100" w:firstLine="240"/>
        <w:rPr>
          <w:rFonts w:ascii="Book Antiqua" w:hAnsi="Book Antiqua"/>
          <w:sz w:val="24"/>
          <w:szCs w:val="24"/>
          <w:lang w:val="en-GB"/>
        </w:rPr>
      </w:pPr>
      <w:r w:rsidRPr="00580532">
        <w:rPr>
          <w:rFonts w:ascii="Book Antiqua" w:hAnsi="Book Antiqua"/>
          <w:sz w:val="24"/>
          <w:szCs w:val="24"/>
          <w:lang w:val="en-GB"/>
        </w:rPr>
        <w:t xml:space="preserve">The biopsy and </w:t>
      </w:r>
      <w:r w:rsidR="0032140A" w:rsidRPr="00580532">
        <w:rPr>
          <w:rFonts w:ascii="Book Antiqua" w:hAnsi="Book Antiqua"/>
          <w:sz w:val="24"/>
          <w:szCs w:val="24"/>
          <w:lang w:val="en-GB"/>
        </w:rPr>
        <w:t>SS</w:t>
      </w:r>
      <w:r w:rsidRPr="00580532">
        <w:rPr>
          <w:rFonts w:ascii="Book Antiqua" w:hAnsi="Book Antiqua"/>
          <w:sz w:val="24"/>
          <w:szCs w:val="24"/>
          <w:lang w:val="en-GB"/>
        </w:rPr>
        <w:t xml:space="preserve"> were assessed independently and blindly by two investigators</w:t>
      </w:r>
      <w:r w:rsidRPr="00580532">
        <w:rPr>
          <w:rFonts w:ascii="Book Antiqua" w:hAnsi="Book Antiqua"/>
          <w:sz w:val="24"/>
          <w:szCs w:val="24"/>
        </w:rPr>
        <w:t xml:space="preserve"> according to WHO </w:t>
      </w:r>
      <w:r w:rsidR="00A3136D" w:rsidRPr="00580532">
        <w:rPr>
          <w:rFonts w:ascii="Book Antiqua" w:hAnsi="Book Antiqua"/>
          <w:sz w:val="24"/>
          <w:szCs w:val="24"/>
        </w:rPr>
        <w:t>criteria</w:t>
      </w:r>
      <w:r w:rsidR="00A3136D" w:rsidRPr="00AD4B85">
        <w:rPr>
          <w:rFonts w:ascii="Book Antiqua" w:hAnsi="Book Antiqua"/>
          <w:sz w:val="24"/>
          <w:szCs w:val="24"/>
          <w:vertAlign w:val="superscript"/>
          <w:lang w:val="en-GB"/>
        </w:rPr>
        <w:t>[</w:t>
      </w:r>
      <w:r w:rsidRPr="00AD4B85">
        <w:rPr>
          <w:rFonts w:ascii="Book Antiqua" w:hAnsi="Book Antiqua"/>
          <w:sz w:val="24"/>
          <w:szCs w:val="24"/>
          <w:vertAlign w:val="superscript"/>
          <w:lang w:val="en-GB"/>
        </w:rPr>
        <w:t>17]</w:t>
      </w:r>
      <w:r w:rsidRPr="00580532">
        <w:rPr>
          <w:rFonts w:ascii="Book Antiqua" w:hAnsi="Book Antiqua"/>
          <w:sz w:val="24"/>
          <w:szCs w:val="24"/>
          <w:lang w:val="en-GB"/>
        </w:rPr>
        <w:t>. When two pathologists reached two different conclusions, a consensus was essential for the final results. Surgically resected specimens were used as the gold standard for diagnosis or histological grading. The ambiguous morphological appearances in NCB were diagnosed according to the above-described different scor</w:t>
      </w:r>
      <w:r w:rsidR="00AD4B85">
        <w:rPr>
          <w:rFonts w:ascii="Book Antiqua" w:hAnsi="Book Antiqua"/>
          <w:sz w:val="24"/>
          <w:szCs w:val="24"/>
          <w:lang w:val="en-GB"/>
        </w:rPr>
        <w:t>ing methods used for CK19, GPC3</w:t>
      </w:r>
      <w:r w:rsidRPr="00AD4B85">
        <w:rPr>
          <w:rFonts w:ascii="Book Antiqua" w:hAnsi="Book Antiqua"/>
          <w:sz w:val="24"/>
          <w:szCs w:val="24"/>
          <w:vertAlign w:val="superscript"/>
          <w:lang w:val="en-GB"/>
        </w:rPr>
        <w:t>[18]</w:t>
      </w:r>
      <w:r w:rsidRPr="00580532">
        <w:rPr>
          <w:rFonts w:ascii="Book Antiqua" w:hAnsi="Book Antiqua"/>
          <w:sz w:val="24"/>
          <w:szCs w:val="24"/>
          <w:lang w:val="en-GB"/>
        </w:rPr>
        <w:t xml:space="preserve">, and HepPar1 expression. To investigate the accuracy of diagnosis in NCB, diagnoses based on a single morphological evaluation or combining IHC and morphological observations in NCB were compared to the gold standard. </w:t>
      </w:r>
    </w:p>
    <w:p w:rsidR="00604A9C" w:rsidRPr="00580532" w:rsidRDefault="00604A9C" w:rsidP="00AD4B85">
      <w:pPr>
        <w:spacing w:line="360" w:lineRule="auto"/>
        <w:rPr>
          <w:rFonts w:ascii="Book Antiqua" w:hAnsi="Book Antiqua"/>
          <w:sz w:val="24"/>
          <w:szCs w:val="24"/>
          <w:lang w:val="en-GB"/>
        </w:rPr>
      </w:pPr>
    </w:p>
    <w:p w:rsidR="00604A9C" w:rsidRPr="00AD4B85" w:rsidRDefault="00AD4B85" w:rsidP="00AD4B85">
      <w:pPr>
        <w:pStyle w:val="3"/>
        <w:spacing w:before="0" w:beforeAutospacing="0" w:after="0" w:afterAutospacing="0" w:line="360" w:lineRule="auto"/>
        <w:jc w:val="both"/>
        <w:rPr>
          <w:rFonts w:ascii="Book Antiqua" w:hAnsi="Book Antiqua" w:hint="eastAsia"/>
          <w:i/>
          <w:sz w:val="24"/>
          <w:szCs w:val="24"/>
          <w:lang w:val="en-GB" w:eastAsia="zh-CN"/>
        </w:rPr>
      </w:pPr>
      <w:r w:rsidRPr="00AD4B85">
        <w:rPr>
          <w:rFonts w:ascii="Book Antiqua" w:hAnsi="Book Antiqua"/>
          <w:i/>
          <w:sz w:val="24"/>
          <w:szCs w:val="24"/>
          <w:lang w:val="en-GB"/>
        </w:rPr>
        <w:t>Histological grading</w:t>
      </w:r>
    </w:p>
    <w:p w:rsidR="00604A9C" w:rsidRPr="00580532" w:rsidRDefault="00604A9C" w:rsidP="00AD4B85">
      <w:pPr>
        <w:widowControl/>
        <w:spacing w:line="360" w:lineRule="auto"/>
        <w:rPr>
          <w:rFonts w:ascii="Book Antiqua" w:hAnsi="Book Antiqua"/>
          <w:sz w:val="24"/>
          <w:szCs w:val="24"/>
          <w:lang w:val="en-GB"/>
        </w:rPr>
      </w:pPr>
      <w:r w:rsidRPr="00580532">
        <w:rPr>
          <w:rFonts w:ascii="Book Antiqua" w:hAnsi="Book Antiqua"/>
          <w:sz w:val="24"/>
          <w:szCs w:val="24"/>
          <w:lang w:val="en-GB"/>
        </w:rPr>
        <w:t>The degree of pathological differentiation of HCC was scored using the modiﬁed nuclear grading scheme ou</w:t>
      </w:r>
      <w:r w:rsidR="00AD4B85">
        <w:rPr>
          <w:rFonts w:ascii="Book Antiqua" w:hAnsi="Book Antiqua"/>
          <w:sz w:val="24"/>
          <w:szCs w:val="24"/>
          <w:lang w:val="en-GB"/>
        </w:rPr>
        <w:t>tlined by Edmondson and Steiner</w:t>
      </w:r>
      <w:r w:rsidRPr="00AD4B85">
        <w:rPr>
          <w:rFonts w:ascii="Book Antiqua" w:hAnsi="Book Antiqua"/>
          <w:sz w:val="24"/>
          <w:szCs w:val="24"/>
          <w:vertAlign w:val="superscript"/>
          <w:lang w:val="en-GB"/>
        </w:rPr>
        <w:t>[19]</w:t>
      </w:r>
      <w:r w:rsidRPr="00580532">
        <w:rPr>
          <w:rFonts w:ascii="Book Antiqua" w:hAnsi="Book Antiqua"/>
          <w:sz w:val="24"/>
          <w:szCs w:val="24"/>
          <w:lang w:val="en-GB"/>
        </w:rPr>
        <w:t xml:space="preserve">: G1–G2: well differentiated; G3: moderately differentiated; G4: poorly differentiated. In all cases, the tumour grade was defined by the poorest degree of differentiation identified within the tumour upon pathological analysis of the entire specimen. </w:t>
      </w:r>
    </w:p>
    <w:p w:rsidR="00604A9C" w:rsidRPr="00580532" w:rsidRDefault="00604A9C" w:rsidP="00AD4B85">
      <w:pPr>
        <w:spacing w:line="360" w:lineRule="auto"/>
        <w:rPr>
          <w:rFonts w:ascii="Book Antiqua" w:hAnsi="Book Antiqua"/>
          <w:sz w:val="24"/>
          <w:szCs w:val="24"/>
          <w:lang w:val="en-GB"/>
        </w:rPr>
      </w:pPr>
    </w:p>
    <w:p w:rsidR="006563E0" w:rsidRPr="00AD4B85" w:rsidRDefault="00AD4B85" w:rsidP="00AD4B85">
      <w:pPr>
        <w:spacing w:line="360" w:lineRule="auto"/>
        <w:rPr>
          <w:rFonts w:ascii="Book Antiqua" w:hAnsi="Book Antiqua"/>
          <w:b/>
          <w:i/>
          <w:sz w:val="24"/>
          <w:szCs w:val="24"/>
          <w:lang w:val="en-GB"/>
        </w:rPr>
      </w:pPr>
      <w:r w:rsidRPr="00AD4B85">
        <w:rPr>
          <w:rFonts w:ascii="Book Antiqua" w:hAnsi="Book Antiqua"/>
          <w:b/>
          <w:i/>
          <w:sz w:val="24"/>
          <w:szCs w:val="24"/>
          <w:lang w:val="en-GB"/>
        </w:rPr>
        <w:t>Statistical analysis</w:t>
      </w:r>
    </w:p>
    <w:p w:rsidR="00604A9C" w:rsidRPr="00580532" w:rsidRDefault="006563E0" w:rsidP="00AD4B85">
      <w:pPr>
        <w:spacing w:line="360" w:lineRule="auto"/>
        <w:rPr>
          <w:rFonts w:ascii="Book Antiqua" w:hAnsi="Book Antiqua"/>
          <w:b/>
          <w:sz w:val="24"/>
          <w:szCs w:val="24"/>
          <w:lang w:val="en-GB"/>
        </w:rPr>
      </w:pPr>
      <w:r w:rsidRPr="00580532">
        <w:rPr>
          <w:rFonts w:ascii="Book Antiqua" w:hAnsi="Book Antiqua"/>
          <w:sz w:val="24"/>
          <w:szCs w:val="24"/>
        </w:rPr>
        <w:t>A</w:t>
      </w:r>
      <w:r w:rsidRPr="00580532">
        <w:rPr>
          <w:rFonts w:ascii="Book Antiqua" w:hAnsi="Book Antiqua"/>
          <w:sz w:val="24"/>
          <w:szCs w:val="24"/>
          <w:lang w:val="en-GB"/>
        </w:rPr>
        <w:t>nalyses were</w:t>
      </w:r>
      <w:r w:rsidR="00604A9C" w:rsidRPr="00580532">
        <w:rPr>
          <w:rFonts w:ascii="Book Antiqua" w:hAnsi="Book Antiqua"/>
          <w:sz w:val="24"/>
          <w:szCs w:val="24"/>
          <w:lang w:val="en-GB"/>
        </w:rPr>
        <w:t xml:space="preserve"> performed </w:t>
      </w:r>
      <w:r w:rsidR="00604A9C" w:rsidRPr="00580532">
        <w:rPr>
          <w:rFonts w:ascii="Book Antiqua" w:hAnsi="Book Antiqua"/>
          <w:sz w:val="24"/>
          <w:szCs w:val="24"/>
        </w:rPr>
        <w:t xml:space="preserve">by IBM </w:t>
      </w:r>
      <w:r w:rsidR="00604A9C" w:rsidRPr="00580532">
        <w:rPr>
          <w:rFonts w:ascii="Book Antiqua" w:hAnsi="Book Antiqua"/>
          <w:sz w:val="24"/>
          <w:szCs w:val="24"/>
          <w:lang w:val="en-GB"/>
        </w:rPr>
        <w:t>SPSS (version 2</w:t>
      </w:r>
      <w:r w:rsidR="00604A9C" w:rsidRPr="00580532">
        <w:rPr>
          <w:rFonts w:ascii="Book Antiqua" w:hAnsi="Book Antiqua"/>
          <w:sz w:val="24"/>
          <w:szCs w:val="24"/>
        </w:rPr>
        <w:t>2</w:t>
      </w:r>
      <w:r w:rsidR="00604A9C" w:rsidRPr="00580532">
        <w:rPr>
          <w:rFonts w:ascii="Book Antiqua" w:hAnsi="Book Antiqua"/>
          <w:sz w:val="24"/>
          <w:szCs w:val="24"/>
          <w:lang w:val="en-GB"/>
        </w:rPr>
        <w:t>.0, SPSS, Chicago, IL). The data were expressed as the mean</w:t>
      </w:r>
      <w:r w:rsidR="00AD4B85">
        <w:rPr>
          <w:rFonts w:ascii="Book Antiqua" w:hAnsi="Book Antiqua" w:hint="eastAsia"/>
          <w:sz w:val="24"/>
          <w:szCs w:val="24"/>
          <w:lang w:val="en-GB"/>
        </w:rPr>
        <w:t xml:space="preserve"> </w:t>
      </w:r>
      <w:r w:rsidR="00604A9C" w:rsidRPr="00580532">
        <w:rPr>
          <w:rFonts w:ascii="Book Antiqua" w:hAnsi="Book Antiqua"/>
          <w:sz w:val="24"/>
          <w:szCs w:val="24"/>
          <w:lang w:val="en-GB"/>
        </w:rPr>
        <w:t>± SD.</w:t>
      </w:r>
      <w:r w:rsidR="00580532">
        <w:rPr>
          <w:rFonts w:ascii="Book Antiqua" w:hAnsi="Book Antiqua"/>
          <w:sz w:val="24"/>
          <w:szCs w:val="24"/>
          <w:lang w:val="en-GB"/>
        </w:rPr>
        <w:t xml:space="preserve"> </w:t>
      </w:r>
      <w:r w:rsidR="00AD4B85" w:rsidRPr="00AD4B85">
        <w:rPr>
          <w:rFonts w:ascii="Book Antiqua" w:hAnsi="Book Antiqua"/>
          <w:i/>
          <w:sz w:val="24"/>
          <w:szCs w:val="24"/>
          <w:lang w:val="en-GB"/>
        </w:rPr>
        <w:sym w:font="Symbol" w:char="F063"/>
      </w:r>
      <w:r w:rsidR="00604A9C" w:rsidRPr="00AD4B85">
        <w:rPr>
          <w:rFonts w:ascii="Book Antiqua" w:hAnsi="Book Antiqua"/>
          <w:sz w:val="24"/>
          <w:szCs w:val="24"/>
          <w:vertAlign w:val="superscript"/>
          <w:lang w:val="en-GB"/>
        </w:rPr>
        <w:t>2</w:t>
      </w:r>
      <w:r w:rsidR="00604A9C" w:rsidRPr="00580532">
        <w:rPr>
          <w:rFonts w:ascii="Book Antiqua" w:hAnsi="Book Antiqua"/>
          <w:sz w:val="24"/>
          <w:szCs w:val="24"/>
          <w:lang w:val="en-GB"/>
        </w:rPr>
        <w:t xml:space="preserve"> test and Student’s </w:t>
      </w:r>
      <w:r w:rsidR="00604A9C" w:rsidRPr="00AD4B85">
        <w:rPr>
          <w:rFonts w:ascii="Book Antiqua" w:hAnsi="Book Antiqua"/>
          <w:i/>
          <w:sz w:val="24"/>
          <w:szCs w:val="24"/>
          <w:lang w:val="en-GB"/>
        </w:rPr>
        <w:t>t</w:t>
      </w:r>
      <w:r w:rsidR="00604A9C" w:rsidRPr="00580532">
        <w:rPr>
          <w:rFonts w:ascii="Book Antiqua" w:hAnsi="Book Antiqua"/>
          <w:sz w:val="24"/>
          <w:szCs w:val="24"/>
        </w:rPr>
        <w:t xml:space="preserve"> </w:t>
      </w:r>
      <w:r w:rsidR="00604A9C" w:rsidRPr="00580532">
        <w:rPr>
          <w:rFonts w:ascii="Book Antiqua" w:hAnsi="Book Antiqua"/>
          <w:sz w:val="24"/>
          <w:szCs w:val="24"/>
          <w:lang w:val="en-GB"/>
        </w:rPr>
        <w:t xml:space="preserve">test were </w:t>
      </w:r>
      <w:r w:rsidR="00604A9C" w:rsidRPr="00580532">
        <w:rPr>
          <w:rFonts w:ascii="Book Antiqua" w:hAnsi="Book Antiqua"/>
          <w:sz w:val="24"/>
          <w:szCs w:val="24"/>
        </w:rPr>
        <w:t>used</w:t>
      </w:r>
      <w:r w:rsidR="00604A9C" w:rsidRPr="00580532">
        <w:rPr>
          <w:rFonts w:ascii="Book Antiqua" w:hAnsi="Book Antiqua"/>
          <w:sz w:val="24"/>
          <w:szCs w:val="24"/>
          <w:lang w:val="en-GB"/>
        </w:rPr>
        <w:t xml:space="preserve"> to compare the distribution of categorical and continuous variables, respectively. To evaluate the ability of preoperative NCB to predict the final surgical pathological diagnosis of the tumours, a re</w:t>
      </w:r>
      <w:r w:rsidR="00AD4B85">
        <w:rPr>
          <w:rFonts w:ascii="Book Antiqua" w:hAnsi="Book Antiqua"/>
          <w:sz w:val="24"/>
          <w:szCs w:val="24"/>
          <w:lang w:val="en-GB"/>
        </w:rPr>
        <w:t>ceiver operating characteristic</w:t>
      </w:r>
      <w:r w:rsidR="00604A9C" w:rsidRPr="00580532">
        <w:rPr>
          <w:rFonts w:ascii="Book Antiqua" w:hAnsi="Book Antiqua"/>
          <w:sz w:val="24"/>
          <w:szCs w:val="24"/>
          <w:lang w:val="en-GB"/>
        </w:rPr>
        <w:t xml:space="preserve"> curve analysis was used, and the area under the curve (AUC) was calculated to assess the performance of preoperative NCB. The similarities in expression of the biomarkers between NCB and SS were assessed using the kappa statistic: </w:t>
      </w:r>
      <w:r w:rsidR="00AD4B85" w:rsidRPr="00580532">
        <w:rPr>
          <w:rFonts w:ascii="Book Antiqua" w:hAnsi="Book Antiqua"/>
          <w:sz w:val="24"/>
          <w:szCs w:val="24"/>
          <w:lang w:val="en-GB"/>
        </w:rPr>
        <w:t xml:space="preserve">Kappa </w:t>
      </w:r>
      <w:r w:rsidR="00604A9C" w:rsidRPr="00580532">
        <w:rPr>
          <w:rFonts w:ascii="Book Antiqua" w:hAnsi="Book Antiqua"/>
          <w:sz w:val="24"/>
          <w:szCs w:val="24"/>
          <w:lang w:val="en-GB"/>
        </w:rPr>
        <w:t>values &lt;</w:t>
      </w:r>
      <w:r w:rsidR="00AD4B85">
        <w:rPr>
          <w:rFonts w:ascii="Book Antiqua" w:hAnsi="Book Antiqua" w:hint="eastAsia"/>
          <w:sz w:val="24"/>
          <w:szCs w:val="24"/>
          <w:lang w:val="en-GB"/>
        </w:rPr>
        <w:t xml:space="preserve"> </w:t>
      </w:r>
      <w:r w:rsidR="00604A9C" w:rsidRPr="00580532">
        <w:rPr>
          <w:rFonts w:ascii="Book Antiqua" w:hAnsi="Book Antiqua"/>
          <w:sz w:val="24"/>
          <w:szCs w:val="24"/>
          <w:lang w:val="en-GB"/>
        </w:rPr>
        <w:t>0 indicated “no agreement”, 0–0.20 “slight”, 0.21–0.40 “fair”, 0.41–0.60 “moderate”, 0.61–0.80 “substantial”, and 0.81–1 “almost” perfect agreement</w:t>
      </w:r>
      <w:r w:rsidR="00604A9C" w:rsidRPr="00AD4B85">
        <w:rPr>
          <w:rFonts w:ascii="Book Antiqua" w:hAnsi="Book Antiqua"/>
          <w:sz w:val="24"/>
          <w:szCs w:val="24"/>
          <w:vertAlign w:val="superscript"/>
          <w:lang w:val="en-GB"/>
        </w:rPr>
        <w:t>[20]</w:t>
      </w:r>
      <w:r w:rsidR="00604A9C" w:rsidRPr="00580532">
        <w:rPr>
          <w:rFonts w:ascii="Book Antiqua" w:hAnsi="Book Antiqua"/>
          <w:sz w:val="24"/>
          <w:szCs w:val="24"/>
          <w:lang w:val="en-GB"/>
        </w:rPr>
        <w:t xml:space="preserve">. </w:t>
      </w:r>
      <w:r w:rsidR="00604A9C" w:rsidRPr="00AD4B85">
        <w:rPr>
          <w:rFonts w:ascii="Book Antiqua" w:hAnsi="Book Antiqua"/>
          <w:i/>
          <w:sz w:val="24"/>
          <w:szCs w:val="24"/>
          <w:lang w:val="en-GB"/>
        </w:rPr>
        <w:t>P</w:t>
      </w:r>
      <w:r w:rsidR="00AD4B85">
        <w:rPr>
          <w:rFonts w:ascii="Book Antiqua" w:hAnsi="Book Antiqua" w:hint="eastAsia"/>
          <w:i/>
          <w:sz w:val="24"/>
          <w:szCs w:val="24"/>
          <w:lang w:val="en-GB"/>
        </w:rPr>
        <w:t xml:space="preserve"> </w:t>
      </w:r>
      <w:r w:rsidR="00604A9C" w:rsidRPr="00580532">
        <w:rPr>
          <w:rFonts w:ascii="Book Antiqua" w:hAnsi="Book Antiqua"/>
          <w:sz w:val="24"/>
          <w:szCs w:val="24"/>
          <w:lang w:val="en-GB"/>
        </w:rPr>
        <w:t>&lt;</w:t>
      </w:r>
      <w:r w:rsidR="00AD4B85">
        <w:rPr>
          <w:rFonts w:ascii="Book Antiqua" w:hAnsi="Book Antiqua" w:hint="eastAsia"/>
          <w:sz w:val="24"/>
          <w:szCs w:val="24"/>
          <w:lang w:val="en-GB"/>
        </w:rPr>
        <w:t xml:space="preserve"> </w:t>
      </w:r>
      <w:r w:rsidR="00604A9C" w:rsidRPr="00580532">
        <w:rPr>
          <w:rFonts w:ascii="Book Antiqua" w:hAnsi="Book Antiqua"/>
          <w:sz w:val="24"/>
          <w:szCs w:val="24"/>
          <w:lang w:val="en-GB"/>
        </w:rPr>
        <w:t>0.05 was considered statistically significant. </w:t>
      </w:r>
    </w:p>
    <w:p w:rsidR="00604A9C" w:rsidRPr="00580532" w:rsidRDefault="00604A9C" w:rsidP="00AD4B85">
      <w:pPr>
        <w:spacing w:line="360" w:lineRule="auto"/>
        <w:rPr>
          <w:rFonts w:ascii="Book Antiqua" w:hAnsi="Book Antiqua"/>
          <w:b/>
          <w:sz w:val="24"/>
          <w:szCs w:val="24"/>
          <w:lang w:val="en-GB"/>
        </w:rPr>
      </w:pPr>
    </w:p>
    <w:p w:rsidR="00604A9C" w:rsidRPr="00580532" w:rsidRDefault="00AD4B85" w:rsidP="00AD4B85">
      <w:pPr>
        <w:spacing w:line="360" w:lineRule="auto"/>
        <w:rPr>
          <w:rFonts w:ascii="Book Antiqua" w:hAnsi="Book Antiqua"/>
          <w:b/>
          <w:sz w:val="24"/>
          <w:szCs w:val="24"/>
          <w:lang w:val="en-GB"/>
        </w:rPr>
      </w:pPr>
      <w:r w:rsidRPr="00580532">
        <w:rPr>
          <w:rFonts w:ascii="Book Antiqua" w:hAnsi="Book Antiqua"/>
          <w:b/>
          <w:sz w:val="24"/>
          <w:szCs w:val="24"/>
          <w:lang w:val="en-GB"/>
        </w:rPr>
        <w:t>RESULTS</w:t>
      </w:r>
    </w:p>
    <w:p w:rsidR="00604A9C" w:rsidRPr="00AD4B85" w:rsidRDefault="00604A9C" w:rsidP="00AD4B85">
      <w:pPr>
        <w:spacing w:line="360" w:lineRule="auto"/>
        <w:rPr>
          <w:rFonts w:ascii="Book Antiqua" w:hAnsi="Book Antiqua"/>
          <w:b/>
          <w:i/>
          <w:sz w:val="24"/>
          <w:szCs w:val="24"/>
          <w:lang w:val="en-GB"/>
        </w:rPr>
      </w:pPr>
      <w:r w:rsidRPr="00AD4B85">
        <w:rPr>
          <w:rFonts w:ascii="Book Antiqua" w:hAnsi="Book Antiqua"/>
          <w:b/>
          <w:i/>
          <w:sz w:val="24"/>
          <w:szCs w:val="24"/>
          <w:lang w:val="en-GB"/>
        </w:rPr>
        <w:t>Clinicopathological characteristics</w:t>
      </w:r>
    </w:p>
    <w:p w:rsidR="00604A9C" w:rsidRPr="00580532" w:rsidRDefault="00604A9C" w:rsidP="00AD4B85">
      <w:pPr>
        <w:widowControl/>
        <w:spacing w:line="360" w:lineRule="auto"/>
        <w:rPr>
          <w:rFonts w:ascii="Book Antiqua" w:hAnsi="Book Antiqua"/>
          <w:sz w:val="24"/>
          <w:szCs w:val="24"/>
          <w:lang w:val="en-GB"/>
        </w:rPr>
      </w:pPr>
      <w:r w:rsidRPr="00580532">
        <w:rPr>
          <w:rFonts w:ascii="Book Antiqua" w:hAnsi="Book Antiqua"/>
          <w:sz w:val="24"/>
          <w:szCs w:val="24"/>
          <w:lang w:val="en-GB"/>
        </w:rPr>
        <w:t>The clinicopathological characteristics of the 208 patients are summarized in Table 1. The participants included 177 males and 31 females, with mean age of 54.37</w:t>
      </w:r>
      <w:r w:rsidR="00333714">
        <w:rPr>
          <w:rFonts w:ascii="Book Antiqua" w:hAnsi="Book Antiqua" w:hint="eastAsia"/>
          <w:sz w:val="24"/>
          <w:szCs w:val="24"/>
          <w:lang w:val="en-GB"/>
        </w:rPr>
        <w:t xml:space="preserve"> </w:t>
      </w:r>
      <w:r w:rsidRPr="00580532">
        <w:rPr>
          <w:rFonts w:ascii="Book Antiqua" w:hAnsi="Book Antiqua"/>
          <w:sz w:val="24"/>
          <w:szCs w:val="24"/>
          <w:lang w:val="en-GB"/>
        </w:rPr>
        <w:t>±</w:t>
      </w:r>
      <w:r w:rsidR="00333714">
        <w:rPr>
          <w:rFonts w:ascii="Book Antiqua" w:hAnsi="Book Antiqua" w:hint="eastAsia"/>
          <w:sz w:val="24"/>
          <w:szCs w:val="24"/>
          <w:lang w:val="en-GB"/>
        </w:rPr>
        <w:t xml:space="preserve"> </w:t>
      </w:r>
      <w:r w:rsidRPr="00580532">
        <w:rPr>
          <w:rFonts w:ascii="Book Antiqua" w:hAnsi="Book Antiqua"/>
          <w:sz w:val="24"/>
          <w:szCs w:val="24"/>
          <w:lang w:val="en-GB"/>
        </w:rPr>
        <w:t>11.1 (26–84 and a mean tumour diameter of 4.6</w:t>
      </w:r>
      <w:r w:rsidR="00333714">
        <w:rPr>
          <w:rFonts w:ascii="Book Antiqua" w:hAnsi="Book Antiqua" w:hint="eastAsia"/>
          <w:sz w:val="24"/>
          <w:szCs w:val="24"/>
          <w:lang w:val="en-GB"/>
        </w:rPr>
        <w:t xml:space="preserve"> </w:t>
      </w:r>
      <w:r w:rsidRPr="00580532">
        <w:rPr>
          <w:rFonts w:ascii="Book Antiqua" w:hAnsi="Book Antiqua"/>
          <w:sz w:val="24"/>
          <w:szCs w:val="24"/>
          <w:lang w:val="en-GB"/>
        </w:rPr>
        <w:t>±</w:t>
      </w:r>
      <w:r w:rsidR="00333714">
        <w:rPr>
          <w:rFonts w:ascii="Book Antiqua" w:hAnsi="Book Antiqua" w:hint="eastAsia"/>
          <w:sz w:val="24"/>
          <w:szCs w:val="24"/>
          <w:lang w:val="en-GB"/>
        </w:rPr>
        <w:t xml:space="preserve"> </w:t>
      </w:r>
      <w:r w:rsidRPr="00580532">
        <w:rPr>
          <w:rFonts w:ascii="Book Antiqua" w:hAnsi="Book Antiqua"/>
          <w:sz w:val="24"/>
          <w:szCs w:val="24"/>
          <w:lang w:val="en-GB"/>
        </w:rPr>
        <w:t>2.5 (1.8–15) cm. One hundred seventy-three patients (83.3%) exhibited cirrhosis, 192 (92.3%) had viral hepatitis B, and 12 (5.8%) presented hepatitis C infection, which accounted for the vast majority of the enrolled patients (98.1%). Complications of NCB were not recorded in this study.</w:t>
      </w:r>
    </w:p>
    <w:p w:rsidR="00604A9C" w:rsidRPr="00580532" w:rsidRDefault="00604A9C" w:rsidP="00AD4B85">
      <w:pPr>
        <w:spacing w:line="360" w:lineRule="auto"/>
        <w:rPr>
          <w:rFonts w:ascii="Book Antiqua" w:hAnsi="Book Antiqua"/>
          <w:sz w:val="24"/>
          <w:szCs w:val="24"/>
          <w:lang w:val="en-GB"/>
        </w:rPr>
      </w:pPr>
    </w:p>
    <w:p w:rsidR="00604A9C" w:rsidRPr="00333714" w:rsidRDefault="00604A9C" w:rsidP="00AD4B85">
      <w:pPr>
        <w:spacing w:line="360" w:lineRule="auto"/>
        <w:rPr>
          <w:rFonts w:ascii="Book Antiqua" w:hAnsi="Book Antiqua"/>
          <w:b/>
          <w:i/>
          <w:sz w:val="24"/>
          <w:szCs w:val="24"/>
          <w:lang w:val="en-GB"/>
        </w:rPr>
      </w:pPr>
      <w:r w:rsidRPr="00333714">
        <w:rPr>
          <w:rFonts w:ascii="Book Antiqua" w:hAnsi="Book Antiqua"/>
          <w:b/>
          <w:i/>
          <w:sz w:val="24"/>
          <w:szCs w:val="24"/>
          <w:lang w:val="en-GB"/>
        </w:rPr>
        <w:t>Consistency of the morphology between SS and NCB</w:t>
      </w:r>
    </w:p>
    <w:p w:rsidR="00604A9C" w:rsidRDefault="00604A9C" w:rsidP="00AD4B85">
      <w:pPr>
        <w:widowControl/>
        <w:spacing w:line="360" w:lineRule="auto"/>
        <w:rPr>
          <w:rFonts w:ascii="Book Antiqua" w:hAnsi="Book Antiqua" w:hint="eastAsia"/>
          <w:sz w:val="24"/>
          <w:szCs w:val="24"/>
          <w:lang w:val="en-GB"/>
        </w:rPr>
      </w:pPr>
      <w:r w:rsidRPr="00580532">
        <w:rPr>
          <w:rFonts w:ascii="Book Antiqua" w:hAnsi="Book Antiqua"/>
          <w:sz w:val="24"/>
          <w:szCs w:val="24"/>
          <w:lang w:val="en-GB"/>
        </w:rPr>
        <w:t>In this study, the kappa statistic showed that the agreement in histological subtypes between NCB and SS was 0.504 (</w:t>
      </w:r>
      <w:r w:rsidRPr="00333714">
        <w:rPr>
          <w:rFonts w:ascii="Book Antiqua" w:hAnsi="Book Antiqua"/>
          <w:i/>
          <w:sz w:val="24"/>
          <w:szCs w:val="24"/>
          <w:lang w:val="en-GB"/>
        </w:rPr>
        <w:t>P</w:t>
      </w:r>
      <w:r w:rsidR="00333714">
        <w:rPr>
          <w:rFonts w:ascii="Book Antiqua" w:hAnsi="Book Antiqua" w:hint="eastAsia"/>
          <w:sz w:val="24"/>
          <w:szCs w:val="24"/>
          <w:lang w:val="en-GB"/>
        </w:rPr>
        <w:t xml:space="preserve"> </w:t>
      </w:r>
      <w:r w:rsidRPr="00580532">
        <w:rPr>
          <w:rFonts w:ascii="Book Antiqua" w:hAnsi="Book Antiqua"/>
          <w:sz w:val="24"/>
          <w:szCs w:val="24"/>
          <w:lang w:val="en-GB"/>
        </w:rPr>
        <w:t>&lt;</w:t>
      </w:r>
      <w:r w:rsidR="00333714">
        <w:rPr>
          <w:rFonts w:ascii="Book Antiqua" w:hAnsi="Book Antiqua" w:hint="eastAsia"/>
          <w:sz w:val="24"/>
          <w:szCs w:val="24"/>
          <w:lang w:val="en-GB"/>
        </w:rPr>
        <w:t xml:space="preserve"> </w:t>
      </w:r>
      <w:r w:rsidRPr="00580532">
        <w:rPr>
          <w:rFonts w:ascii="Book Antiqua" w:hAnsi="Book Antiqua"/>
          <w:sz w:val="24"/>
          <w:szCs w:val="24"/>
          <w:lang w:val="en-GB"/>
        </w:rPr>
        <w:t xml:space="preserve">0.001) (Table 2). The result indicated that the degree of histological concordance between NCB and SS was moderate. Although histological disagreements between NCB and SS were also observed, most of the histological subtypes of PCL did not impact the accuracy of the NCB diagnosis, except the compact tumour nests/disordered cell mass and the cord-like structure in a fibrous stroma. Based solely on histomorphology, 7 (9.6%) </w:t>
      </w:r>
      <w:r w:rsidR="0032140A" w:rsidRPr="00580532">
        <w:rPr>
          <w:rFonts w:ascii="Book Antiqua" w:hAnsi="Book Antiqua"/>
          <w:sz w:val="24"/>
          <w:szCs w:val="24"/>
          <w:lang w:val="en-GB"/>
        </w:rPr>
        <w:t>intrahepatic cholangiocarcinoma (ICC)</w:t>
      </w:r>
      <w:r w:rsidRPr="00580532">
        <w:rPr>
          <w:rFonts w:ascii="Book Antiqua" w:hAnsi="Book Antiqua"/>
          <w:sz w:val="24"/>
          <w:szCs w:val="24"/>
          <w:lang w:val="en-GB"/>
        </w:rPr>
        <w:t xml:space="preserve"> cases were misdiagnosed with HCC and 10 (6.4%) HCC cases were misdiagnosed with ICC among the NCB samples.</w:t>
      </w:r>
    </w:p>
    <w:p w:rsidR="00333714" w:rsidRPr="00580532" w:rsidRDefault="00333714" w:rsidP="00AD4B85">
      <w:pPr>
        <w:widowControl/>
        <w:spacing w:line="360" w:lineRule="auto"/>
        <w:rPr>
          <w:rFonts w:ascii="Book Antiqua" w:hAnsi="Book Antiqua"/>
          <w:sz w:val="24"/>
          <w:szCs w:val="24"/>
          <w:lang w:val="en-GB"/>
        </w:rPr>
      </w:pPr>
    </w:p>
    <w:p w:rsidR="00604A9C" w:rsidRPr="00697076" w:rsidRDefault="00604A9C" w:rsidP="00AD4B85">
      <w:pPr>
        <w:spacing w:line="360" w:lineRule="auto"/>
        <w:rPr>
          <w:rFonts w:ascii="Book Antiqua" w:hAnsi="Book Antiqua"/>
          <w:b/>
          <w:i/>
          <w:sz w:val="24"/>
          <w:szCs w:val="24"/>
          <w:lang w:val="en-GB"/>
        </w:rPr>
      </w:pPr>
      <w:r w:rsidRPr="00697076">
        <w:rPr>
          <w:rFonts w:ascii="Book Antiqua" w:hAnsi="Book Antiqua"/>
          <w:b/>
          <w:i/>
          <w:sz w:val="24"/>
          <w:szCs w:val="24"/>
          <w:lang w:val="en-GB"/>
        </w:rPr>
        <w:t>Consistency of CK19, GPC3, and HepPar1 detection between SS and NCB</w:t>
      </w:r>
    </w:p>
    <w:p w:rsidR="00604A9C" w:rsidRPr="00580532" w:rsidRDefault="00604A9C" w:rsidP="00AD4B85">
      <w:pPr>
        <w:widowControl/>
        <w:spacing w:line="360" w:lineRule="auto"/>
        <w:rPr>
          <w:rFonts w:ascii="Book Antiqua" w:hAnsi="Book Antiqua"/>
          <w:sz w:val="24"/>
          <w:szCs w:val="24"/>
          <w:lang w:val="en-GB"/>
        </w:rPr>
      </w:pPr>
      <w:r w:rsidRPr="00580532">
        <w:rPr>
          <w:rFonts w:ascii="Book Antiqua" w:hAnsi="Book Antiqua"/>
          <w:sz w:val="24"/>
          <w:szCs w:val="24"/>
          <w:lang w:val="en-GB"/>
        </w:rPr>
        <w:t>GPC3 and HepPar1 are routine diagnostic markers for HCC.CK19 is also expressed in som</w:t>
      </w:r>
      <w:r w:rsidR="00697076">
        <w:rPr>
          <w:rFonts w:ascii="Book Antiqua" w:hAnsi="Book Antiqua"/>
          <w:sz w:val="24"/>
          <w:szCs w:val="24"/>
          <w:lang w:val="en-GB"/>
        </w:rPr>
        <w:t>e subtypes of HCC</w:t>
      </w:r>
      <w:r w:rsidR="00697076" w:rsidRPr="00697076">
        <w:rPr>
          <w:rFonts w:ascii="Book Antiqua" w:hAnsi="Book Antiqua"/>
          <w:sz w:val="24"/>
          <w:szCs w:val="24"/>
          <w:vertAlign w:val="superscript"/>
          <w:lang w:val="en-GB"/>
        </w:rPr>
        <w:t>[21,</w:t>
      </w:r>
      <w:r w:rsidRPr="00697076">
        <w:rPr>
          <w:rFonts w:ascii="Book Antiqua" w:hAnsi="Book Antiqua"/>
          <w:sz w:val="24"/>
          <w:szCs w:val="24"/>
          <w:vertAlign w:val="superscript"/>
          <w:lang w:val="en-GB"/>
        </w:rPr>
        <w:t>22]</w:t>
      </w:r>
      <w:r w:rsidR="00697076">
        <w:rPr>
          <w:rFonts w:ascii="Book Antiqua" w:hAnsi="Book Antiqua"/>
          <w:sz w:val="24"/>
          <w:szCs w:val="24"/>
          <w:lang w:val="en-GB"/>
        </w:rPr>
        <w:t xml:space="preserve"> and hepatoblastoma</w:t>
      </w:r>
      <w:r w:rsidRPr="00697076">
        <w:rPr>
          <w:rFonts w:ascii="Book Antiqua" w:hAnsi="Book Antiqua"/>
          <w:sz w:val="24"/>
          <w:szCs w:val="24"/>
          <w:vertAlign w:val="superscript"/>
          <w:lang w:val="en-GB"/>
        </w:rPr>
        <w:t>[</w:t>
      </w:r>
      <w:r w:rsidR="00754B79">
        <w:rPr>
          <w:rFonts w:ascii="Book Antiqua" w:hAnsi="Book Antiqua" w:hint="eastAsia"/>
          <w:sz w:val="24"/>
          <w:szCs w:val="24"/>
          <w:vertAlign w:val="superscript"/>
          <w:lang w:val="en-GB"/>
        </w:rPr>
        <w:t>7</w:t>
      </w:r>
      <w:r w:rsidRPr="00697076">
        <w:rPr>
          <w:rFonts w:ascii="Book Antiqua" w:hAnsi="Book Antiqua"/>
          <w:sz w:val="24"/>
          <w:szCs w:val="24"/>
          <w:vertAlign w:val="superscript"/>
          <w:lang w:val="en-GB"/>
        </w:rPr>
        <w:t>]</w:t>
      </w:r>
      <w:r w:rsidRPr="00580532">
        <w:rPr>
          <w:rFonts w:ascii="Book Antiqua" w:hAnsi="Book Antiqua"/>
          <w:sz w:val="24"/>
          <w:szCs w:val="24"/>
          <w:lang w:val="en-GB"/>
        </w:rPr>
        <w:t>, indicating that these tumours might originate from hepatic progenitor cells or hepatoblasts.</w:t>
      </w:r>
    </w:p>
    <w:p w:rsidR="00604A9C" w:rsidRPr="00580532" w:rsidRDefault="00604A9C" w:rsidP="00697076">
      <w:pPr>
        <w:widowControl/>
        <w:spacing w:line="360" w:lineRule="auto"/>
        <w:ind w:firstLineChars="100" w:firstLine="240"/>
        <w:rPr>
          <w:rFonts w:ascii="Book Antiqua" w:hAnsi="Book Antiqua"/>
          <w:sz w:val="24"/>
          <w:szCs w:val="24"/>
          <w:lang w:val="en-GB"/>
        </w:rPr>
      </w:pPr>
      <w:r w:rsidRPr="00580532">
        <w:rPr>
          <w:rFonts w:ascii="Book Antiqua" w:hAnsi="Book Antiqua"/>
          <w:sz w:val="24"/>
          <w:szCs w:val="24"/>
          <w:lang w:val="en-GB"/>
        </w:rPr>
        <w:t>The four- and three-tier score method demonstrated a kappa value for consistency between NCB and SS of 0.717 (substantial) and 0.841 (almost perfect) for CK19, 0.768 (substantial) and 0.714 (substantial) for GPC3, and 0.633 (substantial) and 0.619 (substantial) for HepPar1, respectively. When the simplified two-tier score method (positive and negative) was used, the corresponding kappa value for CK19 was 0.931 and 0.979, for GPC3 was 0.907 and 0.933, and for HepPar1 was 0.803 and 0.874, in the 4-tier and 3-tier origin groups, respectively (Tables 3-5). The results indicated that both the 4-tier and 3-tier-based binary classifications had nearly perfect consistency in the interpretation of the IHC results between NCB and SS. Therefore, the two binary classification methods were used in further analyses.</w:t>
      </w:r>
    </w:p>
    <w:p w:rsidR="00604A9C" w:rsidRDefault="00604A9C" w:rsidP="00AD4B85">
      <w:pPr>
        <w:spacing w:line="360" w:lineRule="auto"/>
        <w:rPr>
          <w:rFonts w:ascii="Book Antiqua" w:hAnsi="Book Antiqua" w:hint="eastAsia"/>
          <w:b/>
          <w:sz w:val="24"/>
          <w:szCs w:val="24"/>
          <w:lang w:val="en-GB"/>
        </w:rPr>
      </w:pPr>
    </w:p>
    <w:p w:rsidR="00554C32" w:rsidRPr="00580532" w:rsidRDefault="00554C32" w:rsidP="00AD4B85">
      <w:pPr>
        <w:spacing w:line="360" w:lineRule="auto"/>
        <w:rPr>
          <w:rFonts w:ascii="Book Antiqua" w:hAnsi="Book Antiqua"/>
          <w:b/>
          <w:sz w:val="24"/>
          <w:szCs w:val="24"/>
          <w:lang w:val="en-GB"/>
        </w:rPr>
        <w:sectPr w:rsidR="00554C32" w:rsidRPr="00580532" w:rsidSect="00554C32">
          <w:headerReference w:type="default" r:id="rId12"/>
          <w:footerReference w:type="default" r:id="rId13"/>
          <w:endnotePr>
            <w:numFmt w:val="decimal"/>
          </w:endnotePr>
          <w:pgSz w:w="11906" w:h="16838"/>
          <w:pgMar w:top="1440" w:right="1800" w:bottom="1440" w:left="1800" w:header="851" w:footer="992" w:gutter="0"/>
          <w:cols w:space="720"/>
          <w:docGrid w:type="lines" w:linePitch="312"/>
        </w:sectPr>
      </w:pPr>
    </w:p>
    <w:p w:rsidR="00604A9C" w:rsidRPr="00554C32" w:rsidRDefault="00604A9C" w:rsidP="00AD4B85">
      <w:pPr>
        <w:spacing w:line="360" w:lineRule="auto"/>
        <w:rPr>
          <w:rFonts w:ascii="Book Antiqua" w:hAnsi="Book Antiqua"/>
          <w:b/>
          <w:i/>
          <w:sz w:val="24"/>
          <w:szCs w:val="24"/>
          <w:lang w:val="en-GB"/>
        </w:rPr>
      </w:pPr>
      <w:r w:rsidRPr="00554C32">
        <w:rPr>
          <w:rFonts w:ascii="Book Antiqua" w:hAnsi="Book Antiqua"/>
          <w:b/>
          <w:i/>
          <w:iCs/>
          <w:sz w:val="24"/>
          <w:szCs w:val="24"/>
          <w:lang w:val="en-GB"/>
        </w:rPr>
        <w:t>Diagnostic accuracy</w:t>
      </w:r>
      <w:r w:rsidRPr="00554C32">
        <w:rPr>
          <w:rFonts w:ascii="Book Antiqua" w:hAnsi="Book Antiqua"/>
          <w:b/>
          <w:i/>
          <w:sz w:val="24"/>
          <w:szCs w:val="24"/>
          <w:lang w:val="en-GB"/>
        </w:rPr>
        <w:t xml:space="preserve"> of NCB </w:t>
      </w:r>
    </w:p>
    <w:p w:rsidR="00604A9C" w:rsidRPr="00754E80" w:rsidRDefault="00604A9C" w:rsidP="00754E80">
      <w:pPr>
        <w:widowControl/>
        <w:spacing w:line="360" w:lineRule="auto"/>
        <w:rPr>
          <w:rFonts w:ascii="Book Antiqua" w:hAnsi="Book Antiqua"/>
          <w:sz w:val="24"/>
          <w:szCs w:val="24"/>
          <w:lang w:val="en-GB"/>
        </w:rPr>
      </w:pPr>
      <w:r w:rsidRPr="00580532">
        <w:rPr>
          <w:rFonts w:ascii="Book Antiqua" w:hAnsi="Book Antiqua"/>
          <w:sz w:val="24"/>
          <w:szCs w:val="24"/>
          <w:lang w:val="en-GB"/>
        </w:rPr>
        <w:t xml:space="preserve">Based solely on morphology, the sensitivity, specificity, and accuracy of NCB in PCL diagnosis were 86.5%, 93.6%, and 91.8%, respectively. The </w:t>
      </w:r>
      <w:r w:rsidR="00554C32">
        <w:rPr>
          <w:rFonts w:ascii="Book Antiqua" w:hAnsi="Book Antiqua"/>
          <w:sz w:val="24"/>
          <w:szCs w:val="24"/>
          <w:lang w:val="en-GB"/>
        </w:rPr>
        <w:t>AUC value of NCB was 0.901 (95%</w:t>
      </w:r>
      <w:r w:rsidRPr="00580532">
        <w:rPr>
          <w:rFonts w:ascii="Book Antiqua" w:hAnsi="Book Antiqua"/>
          <w:sz w:val="24"/>
          <w:szCs w:val="24"/>
          <w:lang w:val="en-GB"/>
        </w:rPr>
        <w:t>CI</w:t>
      </w:r>
      <w:r w:rsidR="00554C32">
        <w:rPr>
          <w:rFonts w:ascii="Book Antiqua" w:hAnsi="Book Antiqua" w:hint="eastAsia"/>
          <w:sz w:val="24"/>
          <w:szCs w:val="24"/>
          <w:lang w:val="en-GB"/>
        </w:rPr>
        <w:t>:</w:t>
      </w:r>
      <w:r w:rsidR="00580532">
        <w:rPr>
          <w:rFonts w:ascii="Book Antiqua" w:hAnsi="Book Antiqua"/>
          <w:sz w:val="24"/>
          <w:szCs w:val="24"/>
          <w:lang w:val="en-GB"/>
        </w:rPr>
        <w:t xml:space="preserve"> </w:t>
      </w:r>
      <w:r w:rsidRPr="00580532">
        <w:rPr>
          <w:rFonts w:ascii="Book Antiqua" w:hAnsi="Book Antiqua"/>
          <w:sz w:val="24"/>
          <w:szCs w:val="24"/>
          <w:lang w:val="en-GB"/>
        </w:rPr>
        <w:t xml:space="preserve">0.842-0.959; </w:t>
      </w:r>
      <w:r w:rsidRPr="00554C32">
        <w:rPr>
          <w:rFonts w:ascii="Book Antiqua" w:hAnsi="Book Antiqua"/>
          <w:i/>
          <w:sz w:val="24"/>
          <w:szCs w:val="24"/>
          <w:lang w:val="en-GB"/>
        </w:rPr>
        <w:t>P</w:t>
      </w:r>
      <w:r w:rsidR="00554C32">
        <w:rPr>
          <w:rFonts w:ascii="Book Antiqua" w:hAnsi="Book Antiqua" w:hint="eastAsia"/>
          <w:sz w:val="24"/>
          <w:szCs w:val="24"/>
          <w:lang w:val="en-GB"/>
        </w:rPr>
        <w:t xml:space="preserve"> </w:t>
      </w:r>
      <w:r w:rsidRPr="00580532">
        <w:rPr>
          <w:rFonts w:ascii="Book Antiqua" w:hAnsi="Book Antiqua"/>
          <w:sz w:val="24"/>
          <w:szCs w:val="24"/>
          <w:lang w:val="en-GB"/>
        </w:rPr>
        <w:t>&lt;</w:t>
      </w:r>
      <w:r w:rsidR="00554C32">
        <w:rPr>
          <w:rFonts w:ascii="Book Antiqua" w:hAnsi="Book Antiqua" w:hint="eastAsia"/>
          <w:sz w:val="24"/>
          <w:szCs w:val="24"/>
          <w:lang w:val="en-GB"/>
        </w:rPr>
        <w:t xml:space="preserve"> </w:t>
      </w:r>
      <w:r w:rsidRPr="00580532">
        <w:rPr>
          <w:rFonts w:ascii="Book Antiqua" w:hAnsi="Book Antiqua"/>
          <w:sz w:val="24"/>
          <w:szCs w:val="24"/>
          <w:lang w:val="en-GB"/>
        </w:rPr>
        <w:t>0.001). The kappa statistic showed that the agreement between the NCB morphological diagnosis and gold standard was 0.786 (</w:t>
      </w:r>
      <w:r w:rsidRPr="00554C32">
        <w:rPr>
          <w:rFonts w:ascii="Book Antiqua" w:hAnsi="Book Antiqua"/>
          <w:i/>
          <w:sz w:val="24"/>
          <w:szCs w:val="24"/>
          <w:lang w:val="en-GB"/>
        </w:rPr>
        <w:t>P</w:t>
      </w:r>
      <w:r w:rsidR="00554C32">
        <w:rPr>
          <w:rFonts w:ascii="Book Antiqua" w:hAnsi="Book Antiqua" w:hint="eastAsia"/>
          <w:sz w:val="24"/>
          <w:szCs w:val="24"/>
          <w:lang w:val="en-GB"/>
        </w:rPr>
        <w:t xml:space="preserve"> </w:t>
      </w:r>
      <w:r w:rsidRPr="00580532">
        <w:rPr>
          <w:rFonts w:ascii="Book Antiqua" w:hAnsi="Book Antiqua"/>
          <w:sz w:val="24"/>
          <w:szCs w:val="24"/>
          <w:lang w:val="en-GB"/>
        </w:rPr>
        <w:t>&lt;</w:t>
      </w:r>
      <w:r w:rsidR="00554C32">
        <w:rPr>
          <w:rFonts w:ascii="Book Antiqua" w:hAnsi="Book Antiqua" w:hint="eastAsia"/>
          <w:sz w:val="24"/>
          <w:szCs w:val="24"/>
          <w:lang w:val="en-GB"/>
        </w:rPr>
        <w:t xml:space="preserve"> </w:t>
      </w:r>
      <w:r w:rsidRPr="00580532">
        <w:rPr>
          <w:rFonts w:ascii="Book Antiqua" w:hAnsi="Book Antiqua"/>
          <w:sz w:val="24"/>
          <w:szCs w:val="24"/>
          <w:lang w:val="en-GB"/>
        </w:rPr>
        <w:t>0.001). When the 3-tier based binary classification was used, 7 (3.4%) cases were misdiagnosed in NCB. The sensitivity, specificity, and accuracy of the diagnostic method in NCB were 96.2%, 96.8%, and 96.6%, respectivel</w:t>
      </w:r>
      <w:r w:rsidR="00554C32">
        <w:rPr>
          <w:rFonts w:ascii="Book Antiqua" w:hAnsi="Book Antiqua"/>
          <w:sz w:val="24"/>
          <w:szCs w:val="24"/>
          <w:lang w:val="en-GB"/>
        </w:rPr>
        <w:t>y. The AUC value was 0.965 (95%</w:t>
      </w:r>
      <w:r w:rsidRPr="00580532">
        <w:rPr>
          <w:rFonts w:ascii="Book Antiqua" w:hAnsi="Book Antiqua"/>
          <w:sz w:val="24"/>
          <w:szCs w:val="24"/>
          <w:lang w:val="en-GB"/>
        </w:rPr>
        <w:t>CI</w:t>
      </w:r>
      <w:r w:rsidR="00554C32">
        <w:rPr>
          <w:rFonts w:ascii="Book Antiqua" w:hAnsi="Book Antiqua" w:hint="eastAsia"/>
          <w:sz w:val="24"/>
          <w:szCs w:val="24"/>
          <w:lang w:val="en-GB"/>
        </w:rPr>
        <w:t>:</w:t>
      </w:r>
      <w:r w:rsidR="00580532">
        <w:rPr>
          <w:rFonts w:ascii="Book Antiqua" w:hAnsi="Book Antiqua"/>
          <w:sz w:val="24"/>
          <w:szCs w:val="24"/>
          <w:lang w:val="en-GB"/>
        </w:rPr>
        <w:t xml:space="preserve"> </w:t>
      </w:r>
      <w:r w:rsidRPr="00580532">
        <w:rPr>
          <w:rFonts w:ascii="Book Antiqua" w:hAnsi="Book Antiqua"/>
          <w:sz w:val="24"/>
          <w:szCs w:val="24"/>
          <w:lang w:val="en-GB"/>
        </w:rPr>
        <w:t xml:space="preserve">0.931-0.999; </w:t>
      </w:r>
      <w:r w:rsidRPr="00554C32">
        <w:rPr>
          <w:rFonts w:ascii="Book Antiqua" w:hAnsi="Book Antiqua"/>
          <w:i/>
          <w:sz w:val="24"/>
          <w:szCs w:val="24"/>
          <w:lang w:val="en-GB"/>
        </w:rPr>
        <w:t>P</w:t>
      </w:r>
      <w:r w:rsidR="00554C32">
        <w:rPr>
          <w:rFonts w:ascii="Book Antiqua" w:hAnsi="Book Antiqua" w:hint="eastAsia"/>
          <w:i/>
          <w:sz w:val="24"/>
          <w:szCs w:val="24"/>
          <w:lang w:val="en-GB"/>
        </w:rPr>
        <w:t xml:space="preserve"> </w:t>
      </w:r>
      <w:r w:rsidRPr="00580532">
        <w:rPr>
          <w:rFonts w:ascii="Book Antiqua" w:hAnsi="Book Antiqua"/>
          <w:sz w:val="24"/>
          <w:szCs w:val="24"/>
          <w:lang w:val="en-GB"/>
        </w:rPr>
        <w:t>&lt;</w:t>
      </w:r>
      <w:r w:rsidR="00554C32">
        <w:rPr>
          <w:rFonts w:ascii="Book Antiqua" w:hAnsi="Book Antiqua" w:hint="eastAsia"/>
          <w:sz w:val="24"/>
          <w:szCs w:val="24"/>
          <w:lang w:val="en-GB"/>
        </w:rPr>
        <w:t xml:space="preserve"> </w:t>
      </w:r>
      <w:r w:rsidRPr="00580532">
        <w:rPr>
          <w:rFonts w:ascii="Book Antiqua" w:hAnsi="Book Antiqua"/>
          <w:sz w:val="24"/>
          <w:szCs w:val="24"/>
          <w:lang w:val="en-GB"/>
        </w:rPr>
        <w:t>0.001). The kappa statistic showed that the agreement between the NCB and SS diagnosis was 0.912 (</w:t>
      </w:r>
      <w:r w:rsidRPr="00554C32">
        <w:rPr>
          <w:rFonts w:ascii="Book Antiqua" w:hAnsi="Book Antiqua"/>
          <w:i/>
          <w:sz w:val="24"/>
          <w:szCs w:val="24"/>
          <w:lang w:val="en-GB"/>
        </w:rPr>
        <w:t>P</w:t>
      </w:r>
      <w:r w:rsidR="00554C32">
        <w:rPr>
          <w:rFonts w:ascii="Book Antiqua" w:hAnsi="Book Antiqua" w:hint="eastAsia"/>
          <w:sz w:val="24"/>
          <w:szCs w:val="24"/>
          <w:lang w:val="en-GB"/>
        </w:rPr>
        <w:t xml:space="preserve"> </w:t>
      </w:r>
      <w:r w:rsidRPr="00580532">
        <w:rPr>
          <w:rFonts w:ascii="Book Antiqua" w:hAnsi="Book Antiqua"/>
          <w:sz w:val="24"/>
          <w:szCs w:val="24"/>
          <w:lang w:val="en-GB"/>
        </w:rPr>
        <w:t>&lt;</w:t>
      </w:r>
      <w:r w:rsidR="00554C32">
        <w:rPr>
          <w:rFonts w:ascii="Book Antiqua" w:hAnsi="Book Antiqua" w:hint="eastAsia"/>
          <w:sz w:val="24"/>
          <w:szCs w:val="24"/>
          <w:lang w:val="en-GB"/>
        </w:rPr>
        <w:t xml:space="preserve"> </w:t>
      </w:r>
      <w:r w:rsidRPr="00580532">
        <w:rPr>
          <w:rFonts w:ascii="Book Antiqua" w:hAnsi="Book Antiqua"/>
          <w:sz w:val="24"/>
          <w:szCs w:val="24"/>
          <w:lang w:val="en-GB"/>
        </w:rPr>
        <w:t>0.001). However, when the 4-tier based binary classification was used, only 1 (0.5%) case was misdiagnosed in NCB. The sensitivity, specificity, and accuracy of the method in NCB were 99.4%, 100%, and 99.5%, respectivel</w:t>
      </w:r>
      <w:r w:rsidR="00554C32">
        <w:rPr>
          <w:rFonts w:ascii="Book Antiqua" w:hAnsi="Book Antiqua"/>
          <w:sz w:val="24"/>
          <w:szCs w:val="24"/>
          <w:lang w:val="en-GB"/>
        </w:rPr>
        <w:t>y. The AUC value was 0.997 (95%</w:t>
      </w:r>
      <w:r w:rsidRPr="00580532">
        <w:rPr>
          <w:rFonts w:ascii="Book Antiqua" w:hAnsi="Book Antiqua"/>
          <w:sz w:val="24"/>
          <w:szCs w:val="24"/>
          <w:lang w:val="en-GB"/>
        </w:rPr>
        <w:t>CI</w:t>
      </w:r>
      <w:r w:rsidR="00554C32">
        <w:rPr>
          <w:rFonts w:ascii="Book Antiqua" w:hAnsi="Book Antiqua" w:hint="eastAsia"/>
          <w:sz w:val="24"/>
          <w:szCs w:val="24"/>
          <w:lang w:val="en-GB"/>
        </w:rPr>
        <w:t>:</w:t>
      </w:r>
      <w:r w:rsidR="00580532">
        <w:rPr>
          <w:rFonts w:ascii="Book Antiqua" w:hAnsi="Book Antiqua"/>
          <w:sz w:val="24"/>
          <w:szCs w:val="24"/>
          <w:lang w:val="en-GB"/>
        </w:rPr>
        <w:t xml:space="preserve"> </w:t>
      </w:r>
      <w:r w:rsidRPr="00580532">
        <w:rPr>
          <w:rFonts w:ascii="Book Antiqua" w:hAnsi="Book Antiqua"/>
          <w:sz w:val="24"/>
          <w:szCs w:val="24"/>
          <w:lang w:val="en-GB"/>
        </w:rPr>
        <w:t xml:space="preserve">0.990-1.000; </w:t>
      </w:r>
      <w:r w:rsidRPr="00554C32">
        <w:rPr>
          <w:rFonts w:ascii="Book Antiqua" w:hAnsi="Book Antiqua"/>
          <w:i/>
          <w:sz w:val="24"/>
          <w:szCs w:val="24"/>
          <w:lang w:val="en-GB"/>
        </w:rPr>
        <w:t>P</w:t>
      </w:r>
      <w:r w:rsidR="00554C32">
        <w:rPr>
          <w:rFonts w:ascii="Book Antiqua" w:hAnsi="Book Antiqua" w:hint="eastAsia"/>
          <w:sz w:val="24"/>
          <w:szCs w:val="24"/>
          <w:lang w:val="en-GB"/>
        </w:rPr>
        <w:t xml:space="preserve"> </w:t>
      </w:r>
      <w:r w:rsidRPr="00580532">
        <w:rPr>
          <w:rFonts w:ascii="Book Antiqua" w:hAnsi="Book Antiqua"/>
          <w:sz w:val="24"/>
          <w:szCs w:val="24"/>
          <w:lang w:val="en-GB"/>
        </w:rPr>
        <w:t>&lt;</w:t>
      </w:r>
      <w:r w:rsidR="00554C32">
        <w:rPr>
          <w:rFonts w:ascii="Book Antiqua" w:hAnsi="Book Antiqua" w:hint="eastAsia"/>
          <w:sz w:val="24"/>
          <w:szCs w:val="24"/>
          <w:lang w:val="en-GB"/>
        </w:rPr>
        <w:t xml:space="preserve"> </w:t>
      </w:r>
      <w:r w:rsidRPr="00580532">
        <w:rPr>
          <w:rFonts w:ascii="Book Antiqua" w:hAnsi="Book Antiqua"/>
          <w:sz w:val="24"/>
          <w:szCs w:val="24"/>
          <w:lang w:val="en-GB"/>
        </w:rPr>
        <w:t>0.001). The kappa statistic showed that the agreement between NCB and SS diagnosis was 0.987 (</w:t>
      </w:r>
      <w:r w:rsidRPr="00554C32">
        <w:rPr>
          <w:rFonts w:ascii="Book Antiqua" w:hAnsi="Book Antiqua"/>
          <w:i/>
          <w:sz w:val="24"/>
          <w:szCs w:val="24"/>
          <w:lang w:val="en-GB"/>
        </w:rPr>
        <w:t>P</w:t>
      </w:r>
      <w:r w:rsidR="00554C32">
        <w:rPr>
          <w:rFonts w:ascii="Book Antiqua" w:hAnsi="Book Antiqua" w:hint="eastAsia"/>
          <w:sz w:val="24"/>
          <w:szCs w:val="24"/>
          <w:lang w:val="en-GB"/>
        </w:rPr>
        <w:t xml:space="preserve"> </w:t>
      </w:r>
      <w:r w:rsidRPr="00580532">
        <w:rPr>
          <w:rFonts w:ascii="Book Antiqua" w:hAnsi="Book Antiqua"/>
          <w:sz w:val="24"/>
          <w:szCs w:val="24"/>
          <w:lang w:val="en-GB"/>
        </w:rPr>
        <w:t>&lt;</w:t>
      </w:r>
      <w:r w:rsidR="00554C32">
        <w:rPr>
          <w:rFonts w:ascii="Book Antiqua" w:hAnsi="Book Antiqua" w:hint="eastAsia"/>
          <w:sz w:val="24"/>
          <w:szCs w:val="24"/>
          <w:lang w:val="en-GB"/>
        </w:rPr>
        <w:t xml:space="preserve"> </w:t>
      </w:r>
      <w:r w:rsidRPr="00580532">
        <w:rPr>
          <w:rFonts w:ascii="Book Antiqua" w:hAnsi="Book Antiqua"/>
          <w:sz w:val="24"/>
          <w:szCs w:val="24"/>
          <w:lang w:val="en-GB"/>
        </w:rPr>
        <w:t>0.001) (Fig</w:t>
      </w:r>
      <w:r w:rsidR="00554C32">
        <w:rPr>
          <w:rFonts w:ascii="Book Antiqua" w:hAnsi="Book Antiqua" w:hint="eastAsia"/>
          <w:sz w:val="24"/>
          <w:szCs w:val="24"/>
          <w:lang w:val="en-GB"/>
        </w:rPr>
        <w:t>ure</w:t>
      </w:r>
      <w:r w:rsidRPr="00580532">
        <w:rPr>
          <w:rFonts w:ascii="Book Antiqua" w:hAnsi="Book Antiqua"/>
          <w:sz w:val="24"/>
          <w:szCs w:val="24"/>
          <w:lang w:val="en-GB"/>
        </w:rPr>
        <w:t xml:space="preserve"> 3</w:t>
      </w:r>
      <w:r w:rsidR="00554C32">
        <w:rPr>
          <w:rFonts w:ascii="Book Antiqua" w:hAnsi="Book Antiqua" w:hint="eastAsia"/>
          <w:sz w:val="24"/>
          <w:szCs w:val="24"/>
          <w:lang w:val="en-GB"/>
        </w:rPr>
        <w:t xml:space="preserve"> and</w:t>
      </w:r>
      <w:r w:rsidR="00754E80">
        <w:rPr>
          <w:rFonts w:ascii="Book Antiqua" w:hAnsi="Book Antiqua"/>
          <w:sz w:val="24"/>
          <w:szCs w:val="24"/>
          <w:lang w:val="en-GB"/>
        </w:rPr>
        <w:t xml:space="preserve"> Table 6).</w:t>
      </w:r>
    </w:p>
    <w:p w:rsidR="00604A9C" w:rsidRPr="00580532" w:rsidRDefault="00604A9C" w:rsidP="00AD4B85">
      <w:pPr>
        <w:spacing w:line="360" w:lineRule="auto"/>
        <w:rPr>
          <w:rFonts w:ascii="Book Antiqua" w:hAnsi="Book Antiqua"/>
          <w:b/>
          <w:sz w:val="24"/>
          <w:szCs w:val="24"/>
          <w:lang w:val="en-GB"/>
        </w:rPr>
      </w:pPr>
    </w:p>
    <w:p w:rsidR="00604A9C" w:rsidRPr="00754E80" w:rsidRDefault="00604A9C" w:rsidP="00AD4B85">
      <w:pPr>
        <w:spacing w:line="360" w:lineRule="auto"/>
        <w:rPr>
          <w:rFonts w:ascii="Book Antiqua" w:hAnsi="Book Antiqua"/>
          <w:b/>
          <w:i/>
          <w:sz w:val="24"/>
          <w:szCs w:val="24"/>
          <w:lang w:val="en-GB"/>
        </w:rPr>
      </w:pPr>
      <w:r w:rsidRPr="00754E80">
        <w:rPr>
          <w:rFonts w:ascii="Book Antiqua" w:hAnsi="Book Antiqua"/>
          <w:b/>
          <w:i/>
          <w:sz w:val="24"/>
          <w:szCs w:val="24"/>
          <w:lang w:val="en-GB"/>
        </w:rPr>
        <w:t>Consistency of the histological grading between SS and NCB</w:t>
      </w:r>
    </w:p>
    <w:p w:rsidR="00604A9C" w:rsidRPr="00580532" w:rsidRDefault="00604A9C" w:rsidP="00AD4B85">
      <w:pPr>
        <w:spacing w:line="360" w:lineRule="auto"/>
        <w:rPr>
          <w:rFonts w:ascii="Book Antiqua" w:hAnsi="Book Antiqua"/>
          <w:sz w:val="24"/>
          <w:szCs w:val="24"/>
          <w:lang w:val="en-GB"/>
        </w:rPr>
      </w:pPr>
      <w:r w:rsidRPr="00580532">
        <w:rPr>
          <w:rFonts w:ascii="Book Antiqua" w:hAnsi="Book Antiqua"/>
          <w:sz w:val="24"/>
          <w:szCs w:val="24"/>
          <w:lang w:val="en-GB"/>
        </w:rPr>
        <w:t>The degree of concordance between NCB and the final SS tumour three-tier grade is shown in Table 7. In NCB, the HCC cases classified as well, moderately, and poorly differentiated represented 37 (17.8%), 99 (47.6%), and 72 (34.6%) of all cases, respectively. In contrast, in SS, there was a significantly lower proportion of well-differentiated HCC and a higher proportion of poorly differentiated HCC (well: 18/208, 8.7%; moderately: 93/208, 44.7%; poorly: 97/208, 46.6%) (</w:t>
      </w:r>
      <w:r w:rsidRPr="00304FA0">
        <w:rPr>
          <w:rFonts w:ascii="Book Antiqua" w:hAnsi="Book Antiqua"/>
          <w:i/>
          <w:sz w:val="24"/>
          <w:szCs w:val="24"/>
          <w:lang w:val="en-GB"/>
        </w:rPr>
        <w:t>P</w:t>
      </w:r>
      <w:r w:rsidR="00304FA0">
        <w:rPr>
          <w:rFonts w:ascii="Book Antiqua" w:hAnsi="Book Antiqua" w:hint="eastAsia"/>
          <w:sz w:val="24"/>
          <w:szCs w:val="24"/>
          <w:lang w:val="en-GB"/>
        </w:rPr>
        <w:t xml:space="preserve"> </w:t>
      </w:r>
      <w:r w:rsidRPr="00580532">
        <w:rPr>
          <w:rFonts w:ascii="Book Antiqua" w:hAnsi="Book Antiqua"/>
          <w:sz w:val="24"/>
          <w:szCs w:val="24"/>
          <w:lang w:val="en-GB"/>
        </w:rPr>
        <w:t>&lt;</w:t>
      </w:r>
      <w:r w:rsidR="00304FA0">
        <w:rPr>
          <w:rFonts w:ascii="Book Antiqua" w:hAnsi="Book Antiqua" w:hint="eastAsia"/>
          <w:sz w:val="24"/>
          <w:szCs w:val="24"/>
          <w:lang w:val="en-GB"/>
        </w:rPr>
        <w:t xml:space="preserve"> </w:t>
      </w:r>
      <w:r w:rsidRPr="00580532">
        <w:rPr>
          <w:rFonts w:ascii="Book Antiqua" w:hAnsi="Book Antiqua"/>
          <w:sz w:val="24"/>
          <w:szCs w:val="24"/>
          <w:lang w:val="en-GB"/>
        </w:rPr>
        <w:t>0.05). The corresponding kappa statistic for concordance was 0.488 (</w:t>
      </w:r>
      <w:r w:rsidR="00304FA0" w:rsidRPr="00304FA0">
        <w:rPr>
          <w:rFonts w:ascii="Book Antiqua" w:hAnsi="Book Antiqua"/>
          <w:i/>
          <w:sz w:val="24"/>
          <w:szCs w:val="24"/>
          <w:lang w:val="en-GB"/>
        </w:rPr>
        <w:t>P</w:t>
      </w:r>
      <w:r w:rsidR="00304FA0" w:rsidRPr="00580532">
        <w:rPr>
          <w:rFonts w:ascii="Book Antiqua" w:hAnsi="Book Antiqua"/>
          <w:sz w:val="24"/>
          <w:szCs w:val="24"/>
          <w:lang w:val="en-GB"/>
        </w:rPr>
        <w:t xml:space="preserve"> </w:t>
      </w:r>
      <w:r w:rsidRPr="00580532">
        <w:rPr>
          <w:rFonts w:ascii="Book Antiqua" w:hAnsi="Book Antiqua"/>
          <w:sz w:val="24"/>
          <w:szCs w:val="24"/>
          <w:lang w:val="en-GB"/>
        </w:rPr>
        <w:t>&lt;</w:t>
      </w:r>
      <w:r w:rsidR="00304FA0">
        <w:rPr>
          <w:rFonts w:ascii="Book Antiqua" w:hAnsi="Book Antiqua" w:hint="eastAsia"/>
          <w:sz w:val="24"/>
          <w:szCs w:val="24"/>
          <w:lang w:val="en-GB"/>
        </w:rPr>
        <w:t xml:space="preserve"> </w:t>
      </w:r>
      <w:r w:rsidRPr="00580532">
        <w:rPr>
          <w:rFonts w:ascii="Book Antiqua" w:hAnsi="Book Antiqua"/>
          <w:sz w:val="24"/>
          <w:szCs w:val="24"/>
          <w:lang w:val="en-GB"/>
        </w:rPr>
        <w:t>0.001). Considering the significance of poorly differentiated HCC in prognostic predictions in comparison to individuals with well and moderately differentiated HCC, we further combined the well and moderately differentiated HCC into one group. The degree of consistency of the two-</w:t>
      </w:r>
      <w:r w:rsidR="00304FA0">
        <w:rPr>
          <w:rFonts w:ascii="Book Antiqua" w:hAnsi="Book Antiqua"/>
          <w:sz w:val="24"/>
          <w:szCs w:val="24"/>
          <w:lang w:val="en-GB"/>
        </w:rPr>
        <w:t>tier grade (well</w:t>
      </w:r>
      <w:r w:rsidR="00304FA0">
        <w:rPr>
          <w:rFonts w:ascii="Book Antiqua" w:hAnsi="Book Antiqua" w:hint="eastAsia"/>
          <w:sz w:val="24"/>
          <w:szCs w:val="24"/>
          <w:lang w:val="en-GB"/>
        </w:rPr>
        <w:t xml:space="preserve"> </w:t>
      </w:r>
      <w:r w:rsidR="00304FA0">
        <w:rPr>
          <w:rFonts w:ascii="Book Antiqua" w:hAnsi="Book Antiqua"/>
          <w:sz w:val="24"/>
          <w:szCs w:val="24"/>
          <w:lang w:val="en-GB"/>
        </w:rPr>
        <w:t>+ moderately</w:t>
      </w:r>
      <w:r w:rsidR="00304FA0" w:rsidRPr="00304FA0">
        <w:rPr>
          <w:rFonts w:ascii="Book Antiqua" w:hAnsi="Book Antiqua"/>
          <w:i/>
          <w:sz w:val="24"/>
          <w:szCs w:val="24"/>
          <w:lang w:val="en-GB"/>
        </w:rPr>
        <w:t xml:space="preserve"> vs</w:t>
      </w:r>
      <w:r w:rsidRPr="00580532">
        <w:rPr>
          <w:rFonts w:ascii="Book Antiqua" w:hAnsi="Book Antiqua"/>
          <w:sz w:val="24"/>
          <w:szCs w:val="24"/>
          <w:lang w:val="en-GB"/>
        </w:rPr>
        <w:t xml:space="preserve"> poorly) between SS and NCB was then increased but nevertheless remained at the moderate level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0.558).</w:t>
      </w:r>
    </w:p>
    <w:p w:rsidR="00604A9C" w:rsidRPr="00580532" w:rsidRDefault="00604A9C" w:rsidP="00AD4B85">
      <w:pPr>
        <w:spacing w:line="360" w:lineRule="auto"/>
        <w:rPr>
          <w:rFonts w:ascii="Book Antiqua" w:hAnsi="Book Antiqua"/>
          <w:sz w:val="24"/>
          <w:szCs w:val="24"/>
          <w:lang w:val="en-GB"/>
        </w:rPr>
      </w:pPr>
    </w:p>
    <w:p w:rsidR="00604A9C" w:rsidRPr="00580532" w:rsidRDefault="00304FA0" w:rsidP="00AD4B85">
      <w:pPr>
        <w:spacing w:line="360" w:lineRule="auto"/>
        <w:rPr>
          <w:rFonts w:ascii="Book Antiqua" w:hAnsi="Book Antiqua"/>
          <w:b/>
          <w:sz w:val="24"/>
          <w:szCs w:val="24"/>
          <w:lang w:val="en-GB"/>
        </w:rPr>
      </w:pPr>
      <w:r>
        <w:rPr>
          <w:rFonts w:ascii="Book Antiqua" w:hAnsi="Book Antiqua"/>
          <w:b/>
          <w:sz w:val="24"/>
          <w:szCs w:val="24"/>
          <w:lang w:val="en-GB"/>
        </w:rPr>
        <w:t>DISCUSSION</w:t>
      </w:r>
    </w:p>
    <w:p w:rsidR="00604A9C" w:rsidRPr="00580532" w:rsidRDefault="00604A9C" w:rsidP="00AD4B85">
      <w:pPr>
        <w:spacing w:line="360" w:lineRule="auto"/>
        <w:rPr>
          <w:rFonts w:ascii="Book Antiqua" w:hAnsi="Book Antiqua"/>
          <w:sz w:val="24"/>
          <w:szCs w:val="24"/>
          <w:lang w:val="en-GB"/>
        </w:rPr>
      </w:pPr>
      <w:r w:rsidRPr="00580532">
        <w:rPr>
          <w:rFonts w:ascii="Book Antiqua" w:hAnsi="Book Antiqua"/>
          <w:sz w:val="24"/>
          <w:szCs w:val="24"/>
          <w:lang w:val="en-GB"/>
        </w:rPr>
        <w:t>The accurate diagnosis of PCL is very important prior to surgical procedures, as well as for prognostication and information regarding future treatment decisions. Despite significant advances in non-invasive techniques, such as radiological imaging and serum tumour biomarker detection, preoperative NCB should be one of the most important approaches in diagnosis of PLC, especially the differentiation of HCC and ICC. In the present study, the concordance of the clinicopathological characteristics and CK19, GPC3, and HepPar1 IHC staining between NCB and SS in patients with solitary HCC or ICC was investigated. Our results showed different degrees of discrepancy in the histomorphology and CK19, GPC3, and HepPar1 detection of tumours between NCB and SS, which could impact the diagnostic accuracy and predispose patients towards an underestimated tumour grade and malignancy potential.</w:t>
      </w:r>
    </w:p>
    <w:p w:rsidR="00604A9C" w:rsidRPr="00580532" w:rsidRDefault="00A3136D" w:rsidP="004319ED">
      <w:pPr>
        <w:spacing w:line="360" w:lineRule="auto"/>
        <w:ind w:firstLineChars="100" w:firstLine="240"/>
        <w:rPr>
          <w:rFonts w:ascii="Book Antiqua" w:hAnsi="Book Antiqua"/>
          <w:sz w:val="24"/>
          <w:szCs w:val="24"/>
          <w:lang w:val="en-GB"/>
        </w:rPr>
      </w:pPr>
      <w:r w:rsidRPr="00580532">
        <w:rPr>
          <w:rFonts w:ascii="Book Antiqua" w:hAnsi="Book Antiqua"/>
          <w:sz w:val="24"/>
          <w:szCs w:val="24"/>
        </w:rPr>
        <w:t>M</w:t>
      </w:r>
      <w:r w:rsidR="00604A9C" w:rsidRPr="00580532">
        <w:rPr>
          <w:rFonts w:ascii="Book Antiqua" w:hAnsi="Book Antiqua"/>
          <w:sz w:val="24"/>
          <w:szCs w:val="24"/>
        </w:rPr>
        <w:t xml:space="preserve">orphological characteristics have been the source for the pathological diagnosis. Microscopically, </w:t>
      </w:r>
      <w:r w:rsidRPr="00580532">
        <w:rPr>
          <w:rFonts w:ascii="Book Antiqua" w:hAnsi="Book Antiqua"/>
          <w:sz w:val="24"/>
          <w:szCs w:val="24"/>
          <w:lang w:val="en-GB"/>
        </w:rPr>
        <w:t>t</w:t>
      </w:r>
      <w:r w:rsidR="00604A9C" w:rsidRPr="00580532">
        <w:rPr>
          <w:rFonts w:ascii="Book Antiqua" w:hAnsi="Book Antiqua"/>
          <w:sz w:val="24"/>
          <w:szCs w:val="24"/>
        </w:rPr>
        <w:t xml:space="preserve">he </w:t>
      </w:r>
      <w:r w:rsidR="006563E0" w:rsidRPr="00580532">
        <w:rPr>
          <w:rFonts w:ascii="Book Antiqua" w:hAnsi="Book Antiqua"/>
          <w:sz w:val="24"/>
          <w:szCs w:val="24"/>
          <w:lang w:val="en-GB"/>
        </w:rPr>
        <w:t>typical</w:t>
      </w:r>
      <w:r w:rsidR="00604A9C" w:rsidRPr="00580532">
        <w:rPr>
          <w:rFonts w:ascii="Book Antiqua" w:hAnsi="Book Antiqua"/>
          <w:sz w:val="24"/>
          <w:szCs w:val="24"/>
          <w:lang w:val="en-GB"/>
        </w:rPr>
        <w:t xml:space="preserve"> pathological patterns of HCC include trabecular, acinar, and pseudo-glandular features, whereas ICC shows adenocarcinomatous structures characterized by tubular complexes and a moderate amount of fibrous </w:t>
      </w:r>
      <w:r w:rsidR="004319ED">
        <w:rPr>
          <w:rFonts w:ascii="Book Antiqua" w:hAnsi="Book Antiqua"/>
          <w:sz w:val="24"/>
          <w:szCs w:val="24"/>
          <w:lang w:val="en-GB"/>
        </w:rPr>
        <w:t>stroma</w:t>
      </w:r>
      <w:r w:rsidRPr="004319ED">
        <w:rPr>
          <w:rFonts w:ascii="Book Antiqua" w:hAnsi="Book Antiqua"/>
          <w:sz w:val="24"/>
          <w:szCs w:val="24"/>
          <w:vertAlign w:val="superscript"/>
          <w:lang w:val="en-GB"/>
        </w:rPr>
        <w:t>[</w:t>
      </w:r>
      <w:r w:rsidR="00604A9C" w:rsidRPr="004319ED">
        <w:rPr>
          <w:rFonts w:ascii="Book Antiqua" w:hAnsi="Book Antiqua"/>
          <w:sz w:val="24"/>
          <w:szCs w:val="24"/>
          <w:vertAlign w:val="superscript"/>
          <w:lang w:val="en-GB"/>
        </w:rPr>
        <w:t>2</w:t>
      </w:r>
      <w:r w:rsidR="00754B79">
        <w:rPr>
          <w:rFonts w:ascii="Book Antiqua" w:hAnsi="Book Antiqua" w:hint="eastAsia"/>
          <w:sz w:val="24"/>
          <w:szCs w:val="24"/>
          <w:vertAlign w:val="superscript"/>
          <w:lang w:val="en-GB"/>
        </w:rPr>
        <w:t>3</w:t>
      </w:r>
      <w:r w:rsidR="00604A9C" w:rsidRPr="004319ED">
        <w:rPr>
          <w:rFonts w:ascii="Book Antiqua" w:hAnsi="Book Antiqua"/>
          <w:sz w:val="24"/>
          <w:szCs w:val="24"/>
          <w:vertAlign w:val="superscript"/>
          <w:lang w:val="en-GB"/>
        </w:rPr>
        <w:t>]</w:t>
      </w:r>
      <w:r w:rsidR="00604A9C" w:rsidRPr="00580532">
        <w:rPr>
          <w:rFonts w:ascii="Book Antiqua" w:hAnsi="Book Antiqua"/>
          <w:sz w:val="24"/>
          <w:szCs w:val="24"/>
          <w:lang w:val="en-GB"/>
        </w:rPr>
        <w:t xml:space="preserve">. However, HCC and ICC occasionally share overlapping morphological appearances, which can pose challenges in the differential diagnosis. In this study, the morphological observation led to a misdiagnosis rate of 8.2% in NCB, which was attributed to the presence of compact tumour nests or </w:t>
      </w:r>
      <w:r w:rsidR="004319ED">
        <w:rPr>
          <w:rFonts w:ascii="Book Antiqua" w:hAnsi="Book Antiqua"/>
          <w:sz w:val="24"/>
          <w:szCs w:val="24"/>
          <w:lang w:val="en-GB"/>
        </w:rPr>
        <w:t>cord-like structures in tissues</w:t>
      </w:r>
      <w:r w:rsidR="00604A9C" w:rsidRPr="004319ED">
        <w:rPr>
          <w:rFonts w:ascii="Book Antiqua" w:hAnsi="Book Antiqua"/>
          <w:sz w:val="24"/>
          <w:szCs w:val="24"/>
          <w:vertAlign w:val="superscript"/>
          <w:lang w:val="en-GB"/>
        </w:rPr>
        <w:t>[2</w:t>
      </w:r>
      <w:r w:rsidR="00754B79">
        <w:rPr>
          <w:rFonts w:ascii="Book Antiqua" w:hAnsi="Book Antiqua" w:hint="eastAsia"/>
          <w:sz w:val="24"/>
          <w:szCs w:val="24"/>
          <w:vertAlign w:val="superscript"/>
          <w:lang w:val="en-GB"/>
        </w:rPr>
        <w:t>4</w:t>
      </w:r>
      <w:r w:rsidR="00604A9C" w:rsidRPr="004319ED">
        <w:rPr>
          <w:rFonts w:ascii="Book Antiqua" w:hAnsi="Book Antiqua"/>
          <w:sz w:val="24"/>
          <w:szCs w:val="24"/>
          <w:vertAlign w:val="superscript"/>
          <w:lang w:val="en-GB"/>
        </w:rPr>
        <w:t>]</w:t>
      </w:r>
      <w:r w:rsidR="00604A9C" w:rsidRPr="00580532">
        <w:rPr>
          <w:rFonts w:ascii="Book Antiqua" w:hAnsi="Book Antiqua"/>
          <w:sz w:val="24"/>
          <w:szCs w:val="24"/>
          <w:lang w:val="en-GB"/>
        </w:rPr>
        <w:t>. With the aid of IHC staining, the diagnostic accuracy in NCB significantly improved.</w:t>
      </w:r>
    </w:p>
    <w:p w:rsidR="00604A9C" w:rsidRPr="00580532" w:rsidRDefault="00604A9C" w:rsidP="004319ED">
      <w:pPr>
        <w:spacing w:line="360" w:lineRule="auto"/>
        <w:ind w:firstLineChars="100" w:firstLine="240"/>
        <w:rPr>
          <w:rFonts w:ascii="Book Antiqua" w:hAnsi="Book Antiqua"/>
          <w:sz w:val="24"/>
          <w:szCs w:val="24"/>
          <w:lang w:val="en-GB"/>
        </w:rPr>
      </w:pPr>
      <w:r w:rsidRPr="00580532">
        <w:rPr>
          <w:rFonts w:ascii="Book Antiqua" w:hAnsi="Book Antiqua"/>
          <w:sz w:val="24"/>
          <w:szCs w:val="24"/>
          <w:lang w:val="en-GB"/>
        </w:rPr>
        <w:t>Although IHC can remarkably aid in pathological diagnosis, the heterogeneous expression of biomarkers in one tumour can directly interfere with the interpretation of IHC results and determine the variability of the achieved results, especially in tumour tiss</w:t>
      </w:r>
      <w:r w:rsidR="004319ED">
        <w:rPr>
          <w:rFonts w:ascii="Book Antiqua" w:hAnsi="Book Antiqua"/>
          <w:sz w:val="24"/>
          <w:szCs w:val="24"/>
          <w:lang w:val="en-GB"/>
        </w:rPr>
        <w:t>ues obtained with needle biopsy</w:t>
      </w:r>
      <w:r w:rsidRPr="004319ED">
        <w:rPr>
          <w:rFonts w:ascii="Book Antiqua" w:hAnsi="Book Antiqua"/>
          <w:sz w:val="24"/>
          <w:szCs w:val="24"/>
          <w:vertAlign w:val="superscript"/>
          <w:lang w:val="en-GB"/>
        </w:rPr>
        <w:t>[3,2</w:t>
      </w:r>
      <w:r w:rsidR="00754B79">
        <w:rPr>
          <w:rFonts w:ascii="Book Antiqua" w:hAnsi="Book Antiqua" w:hint="eastAsia"/>
          <w:sz w:val="24"/>
          <w:szCs w:val="24"/>
          <w:vertAlign w:val="superscript"/>
          <w:lang w:val="en-GB"/>
        </w:rPr>
        <w:t>5</w:t>
      </w:r>
      <w:r w:rsidRPr="004319ED">
        <w:rPr>
          <w:rFonts w:ascii="Book Antiqua" w:hAnsi="Book Antiqua"/>
          <w:sz w:val="24"/>
          <w:szCs w:val="24"/>
          <w:vertAlign w:val="superscript"/>
          <w:lang w:val="en-GB"/>
        </w:rPr>
        <w:t>-2</w:t>
      </w:r>
      <w:r w:rsidR="00754B79">
        <w:rPr>
          <w:rFonts w:ascii="Book Antiqua" w:hAnsi="Book Antiqua" w:hint="eastAsia"/>
          <w:sz w:val="24"/>
          <w:szCs w:val="24"/>
          <w:vertAlign w:val="superscript"/>
          <w:lang w:val="en-GB"/>
        </w:rPr>
        <w:t>8</w:t>
      </w:r>
      <w:r w:rsidRPr="004319ED">
        <w:rPr>
          <w:rFonts w:ascii="Book Antiqua" w:hAnsi="Book Antiqua"/>
          <w:sz w:val="24"/>
          <w:szCs w:val="24"/>
          <w:vertAlign w:val="superscript"/>
          <w:lang w:val="en-GB"/>
        </w:rPr>
        <w:t>]</w:t>
      </w:r>
      <w:r w:rsidRPr="00580532">
        <w:rPr>
          <w:rFonts w:ascii="Book Antiqua" w:hAnsi="Book Antiqua"/>
          <w:sz w:val="24"/>
          <w:szCs w:val="24"/>
          <w:lang w:val="en-GB"/>
        </w:rPr>
        <w:t>. Semi-quantitative scoring based on the proportion of positively stained tumour cells is widely used to convert IHC staining into positive or negative results, although varied cut points of 10%, 25% or 50% positive immunoreactivity in the specime</w:t>
      </w:r>
      <w:r w:rsidR="004319ED">
        <w:rPr>
          <w:rFonts w:ascii="Book Antiqua" w:hAnsi="Book Antiqua"/>
          <w:sz w:val="24"/>
          <w:szCs w:val="24"/>
          <w:lang w:val="en-GB"/>
        </w:rPr>
        <w:t>n were used by different groups</w:t>
      </w:r>
      <w:r w:rsidRPr="004319ED">
        <w:rPr>
          <w:rFonts w:ascii="Book Antiqua" w:hAnsi="Book Antiqua"/>
          <w:sz w:val="24"/>
          <w:szCs w:val="24"/>
          <w:vertAlign w:val="superscript"/>
          <w:lang w:val="en-GB"/>
        </w:rPr>
        <w:t>[</w:t>
      </w:r>
      <w:r w:rsidR="00754B79">
        <w:rPr>
          <w:rFonts w:ascii="Book Antiqua" w:hAnsi="Book Antiqua" w:hint="eastAsia"/>
          <w:sz w:val="24"/>
          <w:szCs w:val="24"/>
          <w:vertAlign w:val="superscript"/>
          <w:lang w:val="en-GB"/>
        </w:rPr>
        <w:t>29</w:t>
      </w:r>
      <w:r w:rsidRPr="004319ED">
        <w:rPr>
          <w:rFonts w:ascii="Book Antiqua" w:hAnsi="Book Antiqua"/>
          <w:sz w:val="24"/>
          <w:szCs w:val="24"/>
          <w:vertAlign w:val="superscript"/>
          <w:lang w:val="en-GB"/>
        </w:rPr>
        <w:t>]</w:t>
      </w:r>
      <w:r w:rsidRPr="00580532">
        <w:rPr>
          <w:rFonts w:ascii="Book Antiqua" w:hAnsi="Book Antiqua"/>
          <w:sz w:val="24"/>
          <w:szCs w:val="24"/>
          <w:lang w:val="en-GB"/>
        </w:rPr>
        <w:t>. The usage of these methods led to a negligible significance of focal neoplastic cell immunoreactivity within a limited sample of carcinomas. In the current study, according to the 3-tier scoring, some cases with scattered positive tumour cells in CNB can be interpreted as negative, and therefore, a diametrically opposing positive or negative result can be obtained. In CNB diagnosis integrating CK19, GPC3 and HepPar1 IHC detection, semi-quantitative scoring based on the proportion of positively stained tumour cells should be avoided.</w:t>
      </w:r>
    </w:p>
    <w:p w:rsidR="00604A9C" w:rsidRPr="00580532" w:rsidRDefault="00604A9C" w:rsidP="004319ED">
      <w:pPr>
        <w:spacing w:line="360" w:lineRule="auto"/>
        <w:ind w:firstLineChars="100" w:firstLine="240"/>
        <w:rPr>
          <w:rFonts w:ascii="Book Antiqua" w:hAnsi="Book Antiqua"/>
          <w:sz w:val="24"/>
          <w:szCs w:val="24"/>
          <w:lang w:val="en-GB"/>
        </w:rPr>
      </w:pPr>
      <w:r w:rsidRPr="00580532">
        <w:rPr>
          <w:rFonts w:ascii="Book Antiqua" w:hAnsi="Book Antiqua"/>
          <w:sz w:val="24"/>
          <w:szCs w:val="24"/>
          <w:lang w:val="en-GB"/>
        </w:rPr>
        <w:t>In comparison to 3-tier scoring, 4-tier scoring and the further proposed binary classification derived from 4-tier scoring showed a high concordance in interpreting the IHC staining of CK19, GPC3, and HepPar1 between NCB and SS, which also showed a decisive role in increasing the accuracy of diagnosis in CNB. Therefore, this simplified binary classification can be used as an easy and applicable approach in preoperative CNB diagnosis.</w:t>
      </w:r>
    </w:p>
    <w:p w:rsidR="00604A9C" w:rsidRPr="00580532" w:rsidRDefault="00604A9C" w:rsidP="004319ED">
      <w:pPr>
        <w:spacing w:line="360" w:lineRule="auto"/>
        <w:ind w:firstLineChars="100" w:firstLine="240"/>
        <w:rPr>
          <w:rFonts w:ascii="Book Antiqua" w:hAnsi="Book Antiqua"/>
          <w:sz w:val="24"/>
          <w:szCs w:val="24"/>
          <w:lang w:val="en-GB"/>
        </w:rPr>
      </w:pPr>
      <w:r w:rsidRPr="00580532">
        <w:rPr>
          <w:rFonts w:ascii="Book Antiqua" w:hAnsi="Book Antiqua"/>
          <w:sz w:val="24"/>
          <w:szCs w:val="24"/>
          <w:lang w:val="en-GB"/>
        </w:rPr>
        <w:t>During the past decade, several studies have emphasized the significance of histological grading in the risk of recurrence or metastasis in HCC after liv</w:t>
      </w:r>
      <w:r w:rsidR="004319ED">
        <w:rPr>
          <w:rFonts w:ascii="Book Antiqua" w:hAnsi="Book Antiqua"/>
          <w:sz w:val="24"/>
          <w:szCs w:val="24"/>
          <w:lang w:val="en-GB"/>
        </w:rPr>
        <w:t>er resection or transplantation</w:t>
      </w:r>
      <w:r w:rsidRPr="004319ED">
        <w:rPr>
          <w:rFonts w:ascii="Book Antiqua" w:hAnsi="Book Antiqua"/>
          <w:sz w:val="24"/>
          <w:szCs w:val="24"/>
          <w:vertAlign w:val="superscript"/>
          <w:lang w:val="en-GB"/>
        </w:rPr>
        <w:t>[3</w:t>
      </w:r>
      <w:r w:rsidR="00754B79">
        <w:rPr>
          <w:rFonts w:ascii="Book Antiqua" w:hAnsi="Book Antiqua" w:hint="eastAsia"/>
          <w:sz w:val="24"/>
          <w:szCs w:val="24"/>
          <w:vertAlign w:val="superscript"/>
          <w:lang w:val="en-GB"/>
        </w:rPr>
        <w:t>0</w:t>
      </w:r>
      <w:r w:rsidRPr="004319ED">
        <w:rPr>
          <w:rFonts w:ascii="Book Antiqua" w:hAnsi="Book Antiqua"/>
          <w:sz w:val="24"/>
          <w:szCs w:val="24"/>
          <w:vertAlign w:val="superscript"/>
          <w:lang w:val="en-GB"/>
        </w:rPr>
        <w:t>]</w:t>
      </w:r>
      <w:r w:rsidRPr="00580532">
        <w:rPr>
          <w:rFonts w:ascii="Book Antiqua" w:hAnsi="Book Antiqua"/>
          <w:sz w:val="24"/>
          <w:szCs w:val="24"/>
          <w:lang w:val="en-GB"/>
        </w:rPr>
        <w:t>. Therefore, the degree of concordance of NCB grade to the gold standard by SS will directly determine the safety and reliability of preoperative NCB grading in the evaluation of prognosis of patients and the treatment decision. Nevertheless, in the present study, the consistency of the three-tier histological grading between SS and NCB was moderate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0.488). Since several previous studies have reported that poor differentiation of HCC was the independent prognostic indicator, we further compared the consistency of the histological grade between SS and NCB in a two-tier grading method (well and moderately vs. poorly). Our result showed that the degree of consistency of the two-tier histological grading between SS and NCB was increased; however, it continued at the moderate level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0.558), which was similar to the results of another previous study (k</w:t>
      </w:r>
      <w:r w:rsidR="005434B0" w:rsidRPr="00580532">
        <w:rPr>
          <w:rFonts w:ascii="Book Antiqua" w:hAnsi="Book Antiqua"/>
          <w:sz w:val="24"/>
          <w:szCs w:val="24"/>
          <w:lang w:val="en-GB"/>
        </w:rPr>
        <w:t xml:space="preserve"> = </w:t>
      </w:r>
      <w:r w:rsidR="004319ED">
        <w:rPr>
          <w:rFonts w:ascii="Book Antiqua" w:hAnsi="Book Antiqua"/>
          <w:sz w:val="24"/>
          <w:szCs w:val="24"/>
          <w:lang w:val="en-GB"/>
        </w:rPr>
        <w:t>0.380)</w:t>
      </w:r>
      <w:r w:rsidRPr="004319ED">
        <w:rPr>
          <w:rFonts w:ascii="Book Antiqua" w:hAnsi="Book Antiqua"/>
          <w:sz w:val="24"/>
          <w:szCs w:val="24"/>
          <w:vertAlign w:val="superscript"/>
          <w:lang w:val="en-GB"/>
        </w:rPr>
        <w:t>[3</w:t>
      </w:r>
      <w:r w:rsidR="00754B79">
        <w:rPr>
          <w:rFonts w:ascii="Book Antiqua" w:hAnsi="Book Antiqua" w:hint="eastAsia"/>
          <w:sz w:val="24"/>
          <w:szCs w:val="24"/>
          <w:vertAlign w:val="superscript"/>
          <w:lang w:val="en-GB"/>
        </w:rPr>
        <w:t>1</w:t>
      </w:r>
      <w:r w:rsidRPr="004319ED">
        <w:rPr>
          <w:rFonts w:ascii="Book Antiqua" w:hAnsi="Book Antiqua"/>
          <w:sz w:val="24"/>
          <w:szCs w:val="24"/>
          <w:vertAlign w:val="superscript"/>
          <w:lang w:val="en-GB"/>
        </w:rPr>
        <w:t>]</w:t>
      </w:r>
      <w:r w:rsidRPr="00580532">
        <w:rPr>
          <w:rFonts w:ascii="Book Antiqua" w:hAnsi="Book Antiqua"/>
          <w:sz w:val="24"/>
          <w:szCs w:val="24"/>
          <w:lang w:val="en-GB"/>
        </w:rPr>
        <w:t>. Notably, although the agreement between SS and NCB histological grading was not as perfect as expected, the presence of the poorly differentiated region in NCB can still be valuable in prognosis prediction because the histological grading of tumours has been determined according to the worst differentiation clusters or regions microscopically.</w:t>
      </w:r>
    </w:p>
    <w:p w:rsidR="00604A9C" w:rsidRPr="00580532" w:rsidRDefault="00604A9C" w:rsidP="004319ED">
      <w:pPr>
        <w:spacing w:line="360" w:lineRule="auto"/>
        <w:ind w:firstLineChars="100" w:firstLine="240"/>
        <w:rPr>
          <w:rFonts w:ascii="Book Antiqua" w:hAnsi="Book Antiqua"/>
          <w:sz w:val="24"/>
          <w:szCs w:val="24"/>
          <w:lang w:val="en-GB"/>
        </w:rPr>
      </w:pPr>
      <w:r w:rsidRPr="00580532">
        <w:rPr>
          <w:rFonts w:ascii="Book Antiqua" w:hAnsi="Book Antiqua"/>
          <w:sz w:val="24"/>
          <w:szCs w:val="24"/>
          <w:lang w:val="en-GB"/>
        </w:rPr>
        <w:t>There were some limitations in this study. Even with the aid of the 4-tier based binary classification, 0.48% (1/208) patients were misdiagnosed as preoperative NCB in this cohort, which indicated that the utility of the three markers in NCB had diagnostic limitations and that the combined utility of other biomarkers would be necessary to further improve the diagnostic accuracy. In addition, this study also does not address potential adverse events following NCB. Third, the present study investigated the concordance of detective indexes in patients with a solitary tumour between NCB and SS. The degree of consistency of the indicators in patients with a multifocal tumour between NCB and SS necessitates further investigation, which will be the focus of our future studies.</w:t>
      </w:r>
    </w:p>
    <w:p w:rsidR="00604A9C" w:rsidRPr="00580532" w:rsidRDefault="00604A9C" w:rsidP="004319ED">
      <w:pPr>
        <w:spacing w:line="360" w:lineRule="auto"/>
        <w:ind w:firstLineChars="100" w:firstLine="240"/>
        <w:rPr>
          <w:rFonts w:ascii="Book Antiqua" w:hAnsi="Book Antiqua"/>
          <w:b/>
          <w:sz w:val="24"/>
          <w:szCs w:val="24"/>
          <w:lang w:val="en-GB"/>
        </w:rPr>
      </w:pPr>
      <w:r w:rsidRPr="00580532">
        <w:rPr>
          <w:rFonts w:ascii="Book Antiqua" w:hAnsi="Book Antiqua"/>
          <w:sz w:val="24"/>
          <w:szCs w:val="24"/>
          <w:lang w:val="en-GB"/>
        </w:rPr>
        <w:t>In conclusion, the present study suggested that in preoperative NCB, the presence of compact tumour nests or a cord-like structure alone were the main causes of misdiagnosis of HCC from ICC. Combining the detection of CK19, GPC3, and HepPar1 can improve the accuracy of diagnosis. However, focal neoplastic cell immunoreactivity of these markers in NCB should not be neglected. The concordance of histological grade between NCB and the SS was moderate. These findings imply that reasonable interpretation of IHC staining results and e</w:t>
      </w:r>
      <w:r w:rsidR="00A3136D" w:rsidRPr="00580532">
        <w:rPr>
          <w:rFonts w:ascii="Book Antiqua" w:hAnsi="Book Antiqua"/>
          <w:sz w:val="24"/>
          <w:szCs w:val="24"/>
          <w:lang w:val="en-GB"/>
        </w:rPr>
        <w:t>valuation of the histo-</w:t>
      </w:r>
      <w:r w:rsidRPr="00580532">
        <w:rPr>
          <w:rFonts w:ascii="Book Antiqua" w:hAnsi="Book Antiqua"/>
          <w:sz w:val="24"/>
          <w:szCs w:val="24"/>
          <w:lang w:val="en-GB"/>
        </w:rPr>
        <w:t>morphology in NCB are vital for improving the accuracy of tumour diagnosis, as well as prognostic prediction.</w:t>
      </w:r>
    </w:p>
    <w:p w:rsidR="004A4F4A" w:rsidRPr="00580532" w:rsidRDefault="004A4F4A" w:rsidP="00AD4B85">
      <w:pPr>
        <w:spacing w:line="360" w:lineRule="auto"/>
        <w:rPr>
          <w:rFonts w:ascii="Book Antiqua" w:hAnsi="Book Antiqua"/>
          <w:b/>
          <w:sz w:val="24"/>
          <w:szCs w:val="24"/>
          <w:lang w:val="en-GB"/>
        </w:rPr>
      </w:pPr>
    </w:p>
    <w:p w:rsidR="004A4F4A" w:rsidRPr="00580532" w:rsidRDefault="004A4F4A" w:rsidP="00AD4B85">
      <w:pPr>
        <w:adjustRightInd w:val="0"/>
        <w:snapToGrid w:val="0"/>
        <w:spacing w:line="360" w:lineRule="auto"/>
        <w:rPr>
          <w:rFonts w:ascii="Book Antiqua" w:hAnsi="Book Antiqua"/>
          <w:b/>
          <w:sz w:val="24"/>
          <w:szCs w:val="24"/>
        </w:rPr>
      </w:pPr>
      <w:r w:rsidRPr="00580532">
        <w:rPr>
          <w:rFonts w:ascii="Book Antiqua" w:hAnsi="Book Antiqua"/>
          <w:b/>
          <w:sz w:val="24"/>
          <w:szCs w:val="24"/>
        </w:rPr>
        <w:t xml:space="preserve">ARTICLE HIGHLIGHTS </w:t>
      </w:r>
    </w:p>
    <w:p w:rsidR="004A4F4A" w:rsidRPr="00580532" w:rsidRDefault="004A4F4A" w:rsidP="00AD4B85">
      <w:pPr>
        <w:adjustRightInd w:val="0"/>
        <w:snapToGrid w:val="0"/>
        <w:spacing w:line="360" w:lineRule="auto"/>
        <w:rPr>
          <w:rFonts w:ascii="Book Antiqua" w:hAnsi="Book Antiqua"/>
          <w:b/>
          <w:i/>
          <w:sz w:val="24"/>
          <w:szCs w:val="24"/>
        </w:rPr>
      </w:pPr>
      <w:r w:rsidRPr="00580532">
        <w:rPr>
          <w:rFonts w:ascii="Book Antiqua" w:hAnsi="Book Antiqua"/>
          <w:b/>
          <w:i/>
          <w:sz w:val="24"/>
          <w:szCs w:val="24"/>
        </w:rPr>
        <w:t>Research background</w:t>
      </w:r>
    </w:p>
    <w:p w:rsidR="00FF0555" w:rsidRPr="00580532" w:rsidRDefault="00F626F0" w:rsidP="00AD4B85">
      <w:pPr>
        <w:spacing w:line="360" w:lineRule="auto"/>
        <w:rPr>
          <w:rFonts w:ascii="Book Antiqua" w:hAnsi="Book Antiqua"/>
          <w:sz w:val="24"/>
          <w:szCs w:val="24"/>
        </w:rPr>
      </w:pPr>
      <w:r w:rsidRPr="00580532">
        <w:rPr>
          <w:rFonts w:ascii="Book Antiqua" w:hAnsi="Book Antiqua"/>
          <w:sz w:val="24"/>
          <w:szCs w:val="24"/>
          <w:lang w:val="en-GB"/>
        </w:rPr>
        <w:t xml:space="preserve">Pathological manifestations of hepatic tumours are often associated with prognosis. Although surgical specimens (SS) can provide more information, currently, </w:t>
      </w:r>
      <w:r w:rsidRPr="00580532">
        <w:rPr>
          <w:rStyle w:val="tlid-translation"/>
          <w:rFonts w:ascii="Book Antiqua" w:hAnsi="Book Antiqua"/>
          <w:sz w:val="24"/>
          <w:szCs w:val="24"/>
          <w:lang w:val="en"/>
        </w:rPr>
        <w:t xml:space="preserve">pre-treatment </w:t>
      </w:r>
      <w:r w:rsidRPr="00580532">
        <w:rPr>
          <w:rFonts w:ascii="Book Antiqua" w:hAnsi="Book Antiqua"/>
          <w:sz w:val="24"/>
          <w:szCs w:val="24"/>
          <w:lang w:val="en-GB"/>
        </w:rPr>
        <w:t>needle core biopsy (NCB)</w:t>
      </w:r>
      <w:r w:rsidRPr="00580532">
        <w:rPr>
          <w:rStyle w:val="tlid-translation"/>
          <w:rFonts w:ascii="Book Antiqua" w:hAnsi="Book Antiqua"/>
          <w:sz w:val="24"/>
          <w:szCs w:val="24"/>
          <w:lang w:val="en"/>
        </w:rPr>
        <w:t xml:space="preserve"> is increasingly showing important value in understanding the nature of liver tumors and even in diagnosis and treatment decisions. However, </w:t>
      </w:r>
      <w:r w:rsidRPr="00580532">
        <w:rPr>
          <w:rFonts w:ascii="Book Antiqua" w:hAnsi="Book Antiqua"/>
          <w:sz w:val="24"/>
          <w:szCs w:val="24"/>
          <w:lang w:val="en-GB"/>
        </w:rPr>
        <w:t xml:space="preserve">the concordance of the clinicopathological characteristics and </w:t>
      </w:r>
      <w:r w:rsidR="004319ED" w:rsidRPr="00580532">
        <w:rPr>
          <w:rFonts w:ascii="Book Antiqua" w:hAnsi="Book Antiqua"/>
          <w:sz w:val="24"/>
          <w:szCs w:val="24"/>
          <w:lang w:val="en-GB"/>
        </w:rPr>
        <w:t>immunohistochemical (IHC)</w:t>
      </w:r>
      <w:r w:rsidRPr="00580532">
        <w:rPr>
          <w:rFonts w:ascii="Book Antiqua" w:hAnsi="Book Antiqua"/>
          <w:sz w:val="24"/>
          <w:szCs w:val="24"/>
          <w:lang w:val="en-GB"/>
        </w:rPr>
        <w:t xml:space="preserve"> staining between NCB and SS from patients with hepatic tumours </w:t>
      </w:r>
      <w:r w:rsidRPr="00580532">
        <w:rPr>
          <w:rFonts w:ascii="Book Antiqua" w:hAnsi="Book Antiqua"/>
          <w:sz w:val="24"/>
          <w:szCs w:val="24"/>
        </w:rPr>
        <w:t>were less concerned.</w:t>
      </w:r>
    </w:p>
    <w:p w:rsidR="00D000BC" w:rsidRPr="00580532" w:rsidRDefault="00D000BC" w:rsidP="00AD4B85">
      <w:pPr>
        <w:spacing w:line="360" w:lineRule="auto"/>
        <w:rPr>
          <w:rFonts w:ascii="Book Antiqua" w:hAnsi="Book Antiqua"/>
          <w:sz w:val="24"/>
          <w:szCs w:val="24"/>
        </w:rPr>
      </w:pPr>
    </w:p>
    <w:p w:rsidR="004A4F4A" w:rsidRPr="00580532" w:rsidRDefault="004A4F4A" w:rsidP="00AD4B85">
      <w:pPr>
        <w:adjustRightInd w:val="0"/>
        <w:snapToGrid w:val="0"/>
        <w:spacing w:line="360" w:lineRule="auto"/>
        <w:rPr>
          <w:rFonts w:ascii="Book Antiqua" w:hAnsi="Book Antiqua"/>
          <w:b/>
          <w:i/>
          <w:sz w:val="24"/>
          <w:szCs w:val="24"/>
        </w:rPr>
      </w:pPr>
      <w:r w:rsidRPr="00580532">
        <w:rPr>
          <w:rFonts w:ascii="Book Antiqua" w:hAnsi="Book Antiqua"/>
          <w:b/>
          <w:i/>
          <w:sz w:val="24"/>
          <w:szCs w:val="24"/>
        </w:rPr>
        <w:t>Research motivation</w:t>
      </w:r>
    </w:p>
    <w:p w:rsidR="00FF0555" w:rsidRPr="00580532" w:rsidRDefault="00FF0555" w:rsidP="00AD4B85">
      <w:pPr>
        <w:spacing w:line="360" w:lineRule="auto"/>
        <w:rPr>
          <w:rFonts w:ascii="Book Antiqua" w:hAnsi="Book Antiqua"/>
          <w:sz w:val="24"/>
          <w:szCs w:val="24"/>
          <w:lang w:val="en-GB"/>
        </w:rPr>
      </w:pPr>
      <w:r w:rsidRPr="00580532">
        <w:rPr>
          <w:rFonts w:ascii="Book Antiqua" w:hAnsi="Book Antiqua"/>
          <w:sz w:val="24"/>
          <w:szCs w:val="24"/>
          <w:lang w:val="en-GB"/>
        </w:rPr>
        <w:t xml:space="preserve">The present study was designed to evaluate the concordance of the clinicopathological characteristics and the novel biotic marker of CK19, GPC3, and HepPar1 staining between the </w:t>
      </w:r>
      <w:r w:rsidR="00E41F5D" w:rsidRPr="00580532">
        <w:rPr>
          <w:rFonts w:ascii="Book Antiqua" w:hAnsi="Book Antiqua"/>
          <w:sz w:val="24"/>
          <w:szCs w:val="24"/>
          <w:lang w:val="en-GB"/>
        </w:rPr>
        <w:t>NCB</w:t>
      </w:r>
      <w:r w:rsidRPr="00580532">
        <w:rPr>
          <w:rFonts w:ascii="Book Antiqua" w:hAnsi="Book Antiqua"/>
          <w:sz w:val="24"/>
          <w:szCs w:val="24"/>
          <w:lang w:val="en-GB"/>
        </w:rPr>
        <w:t xml:space="preserve"> and </w:t>
      </w:r>
      <w:r w:rsidR="00E41F5D" w:rsidRPr="00580532">
        <w:rPr>
          <w:rFonts w:ascii="Book Antiqua" w:hAnsi="Book Antiqua"/>
          <w:sz w:val="24"/>
          <w:szCs w:val="24"/>
          <w:lang w:val="en-GB"/>
        </w:rPr>
        <w:t>SS</w:t>
      </w:r>
      <w:r w:rsidRPr="00580532">
        <w:rPr>
          <w:rFonts w:ascii="Book Antiqua" w:hAnsi="Book Antiqua"/>
          <w:sz w:val="24"/>
          <w:szCs w:val="24"/>
          <w:lang w:val="en-GB"/>
        </w:rPr>
        <w:t xml:space="preserve"> from patients with hepatocellular carcinoma (HCC) or intrahepatic cholangiocarcinoma (ICC). </w:t>
      </w:r>
    </w:p>
    <w:p w:rsidR="004A4F4A" w:rsidRPr="00580532" w:rsidRDefault="004A4F4A" w:rsidP="00AD4B85">
      <w:pPr>
        <w:adjustRightInd w:val="0"/>
        <w:snapToGrid w:val="0"/>
        <w:spacing w:line="360" w:lineRule="auto"/>
        <w:rPr>
          <w:rFonts w:ascii="Book Antiqua" w:hAnsi="Book Antiqua"/>
          <w:sz w:val="24"/>
          <w:szCs w:val="24"/>
          <w:lang w:val="en-GB"/>
        </w:rPr>
      </w:pPr>
    </w:p>
    <w:p w:rsidR="004A4F4A" w:rsidRPr="00580532" w:rsidRDefault="004A4F4A" w:rsidP="00AD4B85">
      <w:pPr>
        <w:adjustRightInd w:val="0"/>
        <w:snapToGrid w:val="0"/>
        <w:spacing w:line="360" w:lineRule="auto"/>
        <w:rPr>
          <w:rFonts w:ascii="Book Antiqua" w:hAnsi="Book Antiqua"/>
          <w:b/>
          <w:i/>
          <w:sz w:val="24"/>
          <w:szCs w:val="24"/>
        </w:rPr>
      </w:pPr>
      <w:r w:rsidRPr="00580532">
        <w:rPr>
          <w:rFonts w:ascii="Book Antiqua" w:hAnsi="Book Antiqua"/>
          <w:b/>
          <w:i/>
          <w:sz w:val="24"/>
          <w:szCs w:val="24"/>
        </w:rPr>
        <w:t xml:space="preserve">Research objectives </w:t>
      </w:r>
    </w:p>
    <w:p w:rsidR="0079387F" w:rsidRPr="00580532" w:rsidRDefault="0079387F" w:rsidP="00AD4B85">
      <w:pPr>
        <w:spacing w:line="360" w:lineRule="auto"/>
        <w:rPr>
          <w:rFonts w:ascii="Book Antiqua" w:hAnsi="Book Antiqua"/>
          <w:sz w:val="24"/>
          <w:szCs w:val="24"/>
          <w:lang w:val="en-GB"/>
        </w:rPr>
      </w:pPr>
      <w:r w:rsidRPr="00580532">
        <w:rPr>
          <w:rFonts w:ascii="Book Antiqua" w:hAnsi="Book Antiqua"/>
          <w:sz w:val="24"/>
          <w:szCs w:val="24"/>
          <w:lang w:val="en-GB"/>
        </w:rPr>
        <w:t xml:space="preserve">We want to introduce a more accurate method for interpreting the immunohistochemical staining results to improve the diagnostic value of hepatic malignancy in NCB samples. </w:t>
      </w:r>
    </w:p>
    <w:p w:rsidR="004A4F4A" w:rsidRPr="00580532" w:rsidRDefault="004A4F4A" w:rsidP="00AD4B85">
      <w:pPr>
        <w:adjustRightInd w:val="0"/>
        <w:snapToGrid w:val="0"/>
        <w:spacing w:line="360" w:lineRule="auto"/>
        <w:rPr>
          <w:rFonts w:ascii="Book Antiqua" w:hAnsi="Book Antiqua"/>
          <w:sz w:val="24"/>
          <w:szCs w:val="24"/>
          <w:lang w:val="en-GB"/>
        </w:rPr>
      </w:pPr>
    </w:p>
    <w:p w:rsidR="004A4F4A" w:rsidRPr="00580532" w:rsidRDefault="004A4F4A" w:rsidP="00AD4B85">
      <w:pPr>
        <w:adjustRightInd w:val="0"/>
        <w:snapToGrid w:val="0"/>
        <w:spacing w:line="360" w:lineRule="auto"/>
        <w:rPr>
          <w:rFonts w:ascii="Book Antiqua" w:hAnsi="Book Antiqua"/>
          <w:b/>
          <w:i/>
          <w:sz w:val="24"/>
          <w:szCs w:val="24"/>
        </w:rPr>
      </w:pPr>
      <w:r w:rsidRPr="00580532">
        <w:rPr>
          <w:rFonts w:ascii="Book Antiqua" w:hAnsi="Book Antiqua"/>
          <w:b/>
          <w:i/>
          <w:sz w:val="24"/>
          <w:szCs w:val="24"/>
        </w:rPr>
        <w:t>Research methods</w:t>
      </w:r>
    </w:p>
    <w:p w:rsidR="0079387F" w:rsidRPr="00580532" w:rsidRDefault="0079387F" w:rsidP="00AD4B85">
      <w:pPr>
        <w:spacing w:line="360" w:lineRule="auto"/>
        <w:rPr>
          <w:rFonts w:ascii="Book Antiqua" w:hAnsi="Book Antiqua"/>
          <w:sz w:val="24"/>
          <w:szCs w:val="24"/>
          <w:lang w:val="en-GB"/>
        </w:rPr>
      </w:pPr>
      <w:r w:rsidRPr="00580532">
        <w:rPr>
          <w:rFonts w:ascii="Book Antiqua" w:hAnsi="Book Antiqua"/>
          <w:sz w:val="24"/>
          <w:szCs w:val="24"/>
          <w:lang w:val="en-GB"/>
        </w:rPr>
        <w:t xml:space="preserve">A total of 208 patients who underwent both preoperative NCB and surgical resection for </w:t>
      </w:r>
      <w:r w:rsidR="00E41F5D" w:rsidRPr="00580532">
        <w:rPr>
          <w:rFonts w:ascii="Book Antiqua" w:hAnsi="Book Antiqua"/>
          <w:sz w:val="24"/>
          <w:szCs w:val="24"/>
          <w:lang w:val="en-GB"/>
        </w:rPr>
        <w:t>HCC</w:t>
      </w:r>
      <w:r w:rsidRPr="00580532">
        <w:rPr>
          <w:rFonts w:ascii="Book Antiqua" w:hAnsi="Book Antiqua"/>
          <w:sz w:val="24"/>
          <w:szCs w:val="24"/>
          <w:lang w:val="en-GB"/>
        </w:rPr>
        <w:t xml:space="preserve"> or </w:t>
      </w:r>
      <w:r w:rsidR="00E41F5D" w:rsidRPr="00580532">
        <w:rPr>
          <w:rFonts w:ascii="Book Antiqua" w:hAnsi="Book Antiqua"/>
          <w:sz w:val="24"/>
          <w:szCs w:val="24"/>
          <w:lang w:val="en-GB"/>
        </w:rPr>
        <w:t xml:space="preserve">ICC </w:t>
      </w:r>
      <w:r w:rsidRPr="00580532">
        <w:rPr>
          <w:rFonts w:ascii="Book Antiqua" w:hAnsi="Book Antiqua"/>
          <w:sz w:val="24"/>
          <w:szCs w:val="24"/>
          <w:lang w:val="en-GB"/>
        </w:rPr>
        <w:t xml:space="preserve">between 2008 and 2015 were enrolled in this study. The expression of CK19, GPC3, and HepPar1 were detected by IHC staining. Clinicopathological, NCB, and surgical data were collected and analysed using χ2 and kappa statistics. </w:t>
      </w:r>
    </w:p>
    <w:p w:rsidR="004A4F4A" w:rsidRPr="00580532" w:rsidRDefault="004A4F4A" w:rsidP="00AD4B85">
      <w:pPr>
        <w:adjustRightInd w:val="0"/>
        <w:snapToGrid w:val="0"/>
        <w:spacing w:line="360" w:lineRule="auto"/>
        <w:rPr>
          <w:rFonts w:ascii="Book Antiqua" w:hAnsi="Book Antiqua"/>
          <w:sz w:val="24"/>
          <w:szCs w:val="24"/>
          <w:lang w:val="en-GB"/>
        </w:rPr>
      </w:pPr>
    </w:p>
    <w:p w:rsidR="004A4F4A" w:rsidRPr="00580532" w:rsidRDefault="004A4F4A" w:rsidP="00AD4B85">
      <w:pPr>
        <w:adjustRightInd w:val="0"/>
        <w:snapToGrid w:val="0"/>
        <w:spacing w:line="360" w:lineRule="auto"/>
        <w:rPr>
          <w:rFonts w:ascii="Book Antiqua" w:hAnsi="Book Antiqua"/>
          <w:b/>
          <w:i/>
          <w:sz w:val="24"/>
          <w:szCs w:val="24"/>
        </w:rPr>
      </w:pPr>
      <w:r w:rsidRPr="00580532">
        <w:rPr>
          <w:rFonts w:ascii="Book Antiqua" w:hAnsi="Book Antiqua"/>
          <w:b/>
          <w:i/>
          <w:sz w:val="24"/>
          <w:szCs w:val="24"/>
        </w:rPr>
        <w:t>Research results</w:t>
      </w:r>
    </w:p>
    <w:p w:rsidR="00FF0555" w:rsidRPr="00580532" w:rsidRDefault="00FF0555" w:rsidP="00AD4B85">
      <w:pPr>
        <w:spacing w:line="360" w:lineRule="auto"/>
        <w:rPr>
          <w:rFonts w:ascii="Book Antiqua" w:hAnsi="Book Antiqua"/>
          <w:sz w:val="24"/>
          <w:szCs w:val="24"/>
          <w:lang w:val="en-GB"/>
        </w:rPr>
      </w:pPr>
      <w:r w:rsidRPr="00580532">
        <w:rPr>
          <w:rFonts w:ascii="Book Antiqua" w:hAnsi="Book Antiqua"/>
          <w:sz w:val="24"/>
          <w:szCs w:val="24"/>
          <w:lang w:val="en-GB"/>
        </w:rPr>
        <w:t>Morphologically, the presence of compact tumour nests or a cord-like structure in NCB was considered the primary cause of misdiagnosis of HCC from ICC. The kappa statistic showed a moderate agreement in histomorphology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0.504) and histological grade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0.488) between NCB and SS of the tumours. A 4-tier (+++, ++, +, and -) scoring scheme that emphasized the focal neoplastic cell immunoreactivity of tumour cells revealed perfect concordance of CK19, GPC3 and HepPar1 between NCB and SS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0.717;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0.768;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0.633). Furthermore, with the aid of a binary classification derived from the 4-tier score, a high concordance was achieved in interpreting the IHC staining of the three markers between NCB and final SS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0.931;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0.907; 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0.803), increasing the accuracy of NCB diagnosis C(k</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0.987; area under the curve</w:t>
      </w:r>
      <w:r w:rsidR="005434B0" w:rsidRPr="00580532">
        <w:rPr>
          <w:rFonts w:ascii="Book Antiqua" w:hAnsi="Book Antiqua"/>
          <w:sz w:val="24"/>
          <w:szCs w:val="24"/>
          <w:lang w:val="en-GB"/>
        </w:rPr>
        <w:t xml:space="preserve"> = </w:t>
      </w:r>
      <w:r w:rsidRPr="00580532">
        <w:rPr>
          <w:rFonts w:ascii="Book Antiqua" w:hAnsi="Book Antiqua"/>
          <w:sz w:val="24"/>
          <w:szCs w:val="24"/>
          <w:lang w:val="en-GB"/>
        </w:rPr>
        <w:t>0.997, 95%</w:t>
      </w:r>
      <w:r w:rsidR="004319ED">
        <w:rPr>
          <w:rFonts w:ascii="Book Antiqua" w:hAnsi="Book Antiqua" w:hint="eastAsia"/>
          <w:sz w:val="24"/>
          <w:szCs w:val="24"/>
          <w:lang w:val="en-GB"/>
        </w:rPr>
        <w:t>CI</w:t>
      </w:r>
      <w:r w:rsidRPr="00580532">
        <w:rPr>
          <w:rFonts w:ascii="Book Antiqua" w:hAnsi="Book Antiqua"/>
          <w:sz w:val="24"/>
          <w:szCs w:val="24"/>
          <w:lang w:val="en-GB"/>
        </w:rPr>
        <w:t>: 0.990-1.000</w:t>
      </w:r>
      <w:r w:rsidR="004319ED">
        <w:rPr>
          <w:rFonts w:ascii="Book Antiqua" w:hAnsi="Book Antiqua" w:hint="eastAsia"/>
          <w:sz w:val="24"/>
          <w:szCs w:val="24"/>
          <w:lang w:val="en-GB"/>
        </w:rPr>
        <w:t>;</w:t>
      </w:r>
      <w:r w:rsidRPr="00580532">
        <w:rPr>
          <w:rFonts w:ascii="Book Antiqua" w:hAnsi="Book Antiqua"/>
          <w:sz w:val="24"/>
          <w:szCs w:val="24"/>
          <w:lang w:val="en-GB"/>
        </w:rPr>
        <w:t xml:space="preserve"> </w:t>
      </w:r>
      <w:r w:rsidRPr="004319ED">
        <w:rPr>
          <w:rFonts w:ascii="Book Antiqua" w:hAnsi="Book Antiqua"/>
          <w:i/>
          <w:sz w:val="24"/>
          <w:szCs w:val="24"/>
          <w:lang w:val="en-GB"/>
        </w:rPr>
        <w:t>P</w:t>
      </w:r>
      <w:r w:rsidR="004319ED">
        <w:rPr>
          <w:rFonts w:ascii="Book Antiqua" w:hAnsi="Book Antiqua" w:hint="eastAsia"/>
          <w:sz w:val="24"/>
          <w:szCs w:val="24"/>
          <w:lang w:val="en-GB"/>
        </w:rPr>
        <w:t xml:space="preserve"> </w:t>
      </w:r>
      <w:r w:rsidRPr="00580532">
        <w:rPr>
          <w:rFonts w:ascii="Book Antiqua" w:hAnsi="Book Antiqua"/>
          <w:sz w:val="24"/>
          <w:szCs w:val="24"/>
          <w:lang w:val="en-GB"/>
        </w:rPr>
        <w:t>&lt;</w:t>
      </w:r>
      <w:r w:rsidR="004319ED">
        <w:rPr>
          <w:rFonts w:ascii="Book Antiqua" w:hAnsi="Book Antiqua" w:hint="eastAsia"/>
          <w:sz w:val="24"/>
          <w:szCs w:val="24"/>
          <w:lang w:val="en-GB"/>
        </w:rPr>
        <w:t xml:space="preserve"> </w:t>
      </w:r>
      <w:r w:rsidRPr="00580532">
        <w:rPr>
          <w:rFonts w:ascii="Book Antiqua" w:hAnsi="Book Antiqua"/>
          <w:sz w:val="24"/>
          <w:szCs w:val="24"/>
          <w:lang w:val="en-GB"/>
        </w:rPr>
        <w:t xml:space="preserve">0.001). </w:t>
      </w:r>
    </w:p>
    <w:p w:rsidR="004A4F4A" w:rsidRPr="00580532" w:rsidRDefault="004A4F4A" w:rsidP="00AD4B85">
      <w:pPr>
        <w:adjustRightInd w:val="0"/>
        <w:snapToGrid w:val="0"/>
        <w:spacing w:line="360" w:lineRule="auto"/>
        <w:rPr>
          <w:rFonts w:ascii="Book Antiqua" w:hAnsi="Book Antiqua"/>
          <w:sz w:val="24"/>
          <w:szCs w:val="24"/>
        </w:rPr>
      </w:pPr>
    </w:p>
    <w:p w:rsidR="004A4F4A" w:rsidRPr="00580532" w:rsidRDefault="004A4F4A" w:rsidP="00AD4B85">
      <w:pPr>
        <w:adjustRightInd w:val="0"/>
        <w:snapToGrid w:val="0"/>
        <w:spacing w:line="360" w:lineRule="auto"/>
        <w:rPr>
          <w:rFonts w:ascii="Book Antiqua" w:hAnsi="Book Antiqua"/>
          <w:b/>
          <w:i/>
          <w:sz w:val="24"/>
          <w:szCs w:val="24"/>
        </w:rPr>
      </w:pPr>
      <w:r w:rsidRPr="00580532">
        <w:rPr>
          <w:rFonts w:ascii="Book Antiqua" w:hAnsi="Book Antiqua"/>
          <w:b/>
          <w:i/>
          <w:sz w:val="24"/>
          <w:szCs w:val="24"/>
        </w:rPr>
        <w:t>Research conclusions</w:t>
      </w:r>
    </w:p>
    <w:p w:rsidR="00C73FBA" w:rsidRPr="00580532" w:rsidRDefault="00FF0555" w:rsidP="00AD4B85">
      <w:pPr>
        <w:spacing w:line="360" w:lineRule="auto"/>
        <w:rPr>
          <w:rFonts w:ascii="Book Antiqua" w:hAnsi="Book Antiqua"/>
          <w:sz w:val="24"/>
          <w:szCs w:val="24"/>
          <w:lang w:val="en-GB"/>
        </w:rPr>
      </w:pPr>
      <w:r w:rsidRPr="00580532">
        <w:rPr>
          <w:rFonts w:ascii="Book Antiqua" w:hAnsi="Book Antiqua"/>
          <w:sz w:val="24"/>
          <w:szCs w:val="24"/>
          <w:lang w:val="en-GB"/>
        </w:rPr>
        <w:t xml:space="preserve">Our findings imply that reasonable interpretation of IHC staining results in NCB is vital for improving the accuracy of tumour diagnosis. </w:t>
      </w:r>
      <w:r w:rsidR="00C73FBA" w:rsidRPr="00580532">
        <w:rPr>
          <w:rFonts w:ascii="Book Antiqua" w:hAnsi="Book Antiqua"/>
          <w:sz w:val="24"/>
          <w:szCs w:val="24"/>
          <w:lang w:val="en-GB"/>
        </w:rPr>
        <w:t xml:space="preserve">The simplified binary classification provides an easy and applicable approach. </w:t>
      </w:r>
    </w:p>
    <w:p w:rsidR="00FF0555" w:rsidRPr="00580532" w:rsidRDefault="00FF0555" w:rsidP="00AD4B85">
      <w:pPr>
        <w:spacing w:line="360" w:lineRule="auto"/>
        <w:rPr>
          <w:rFonts w:ascii="Book Antiqua" w:hAnsi="Book Antiqua"/>
          <w:sz w:val="24"/>
          <w:szCs w:val="24"/>
          <w:lang w:val="en-GB"/>
        </w:rPr>
      </w:pPr>
    </w:p>
    <w:p w:rsidR="004A4F4A" w:rsidRPr="00580532" w:rsidRDefault="004A4F4A" w:rsidP="00AD4B85">
      <w:pPr>
        <w:adjustRightInd w:val="0"/>
        <w:snapToGrid w:val="0"/>
        <w:spacing w:line="360" w:lineRule="auto"/>
        <w:rPr>
          <w:rFonts w:ascii="Book Antiqua" w:hAnsi="Book Antiqua"/>
          <w:b/>
          <w:i/>
          <w:sz w:val="24"/>
          <w:szCs w:val="24"/>
        </w:rPr>
      </w:pPr>
      <w:r w:rsidRPr="00580532">
        <w:rPr>
          <w:rFonts w:ascii="Book Antiqua" w:hAnsi="Book Antiqua"/>
          <w:b/>
          <w:i/>
          <w:sz w:val="24"/>
          <w:szCs w:val="24"/>
        </w:rPr>
        <w:t>Research perspectives</w:t>
      </w:r>
    </w:p>
    <w:p w:rsidR="004A4F4A" w:rsidRPr="00580532" w:rsidRDefault="00C73FBA" w:rsidP="00AD4B85">
      <w:pPr>
        <w:spacing w:line="360" w:lineRule="auto"/>
        <w:rPr>
          <w:rFonts w:ascii="Book Antiqua" w:hAnsi="Book Antiqua"/>
          <w:b/>
          <w:sz w:val="24"/>
          <w:szCs w:val="24"/>
        </w:rPr>
      </w:pPr>
      <w:r w:rsidRPr="00580532">
        <w:rPr>
          <w:rFonts w:ascii="Book Antiqua" w:hAnsi="Book Antiqua"/>
          <w:sz w:val="24"/>
          <w:szCs w:val="24"/>
        </w:rPr>
        <w:t xml:space="preserve">Although the </w:t>
      </w:r>
      <w:r w:rsidRPr="00580532">
        <w:rPr>
          <w:rFonts w:ascii="Book Antiqua" w:hAnsi="Book Antiqua"/>
          <w:sz w:val="24"/>
          <w:szCs w:val="24"/>
          <w:lang w:val="en-GB"/>
        </w:rPr>
        <w:t>binary classification</w:t>
      </w:r>
      <w:r w:rsidRPr="00580532">
        <w:rPr>
          <w:rFonts w:ascii="Book Antiqua" w:hAnsi="Book Antiqua"/>
          <w:sz w:val="24"/>
          <w:szCs w:val="24"/>
        </w:rPr>
        <w:t xml:space="preserve"> can significantly </w:t>
      </w:r>
      <w:r w:rsidRPr="00580532">
        <w:rPr>
          <w:rFonts w:ascii="Book Antiqua" w:hAnsi="Book Antiqua"/>
          <w:sz w:val="24"/>
          <w:szCs w:val="24"/>
          <w:lang w:val="en-GB"/>
        </w:rPr>
        <w:t>improve the accuracy of diagnosis</w:t>
      </w:r>
      <w:r w:rsidRPr="00580532">
        <w:rPr>
          <w:rFonts w:ascii="Book Antiqua" w:hAnsi="Book Antiqua"/>
          <w:sz w:val="24"/>
          <w:szCs w:val="24"/>
        </w:rPr>
        <w:t xml:space="preserve"> of HCC or ICC, </w:t>
      </w:r>
      <w:r w:rsidR="001C6FDF" w:rsidRPr="00580532">
        <w:rPr>
          <w:rFonts w:ascii="Book Antiqua" w:hAnsi="Book Antiqua"/>
          <w:sz w:val="24"/>
          <w:szCs w:val="24"/>
        </w:rPr>
        <w:t xml:space="preserve">it is unclear whether the </w:t>
      </w:r>
      <w:r w:rsidRPr="00580532">
        <w:rPr>
          <w:rFonts w:ascii="Book Antiqua" w:hAnsi="Book Antiqua"/>
          <w:sz w:val="24"/>
          <w:szCs w:val="24"/>
        </w:rPr>
        <w:t>method</w:t>
      </w:r>
      <w:r w:rsidR="001C6FDF" w:rsidRPr="00580532">
        <w:rPr>
          <w:rFonts w:ascii="Book Antiqua" w:hAnsi="Book Antiqua"/>
          <w:sz w:val="24"/>
          <w:szCs w:val="24"/>
        </w:rPr>
        <w:t xml:space="preserve"> can be transferred to patients with other tumors.</w:t>
      </w:r>
      <w:r w:rsidR="00842ECD" w:rsidRPr="00580532">
        <w:rPr>
          <w:rFonts w:ascii="Book Antiqua" w:hAnsi="Book Antiqua"/>
          <w:sz w:val="24"/>
          <w:szCs w:val="24"/>
        </w:rPr>
        <w:t xml:space="preserve"> In addition, the degree of consistency of the indicators in patients with a multifocal </w:t>
      </w:r>
      <w:r w:rsidR="00A3482C" w:rsidRPr="00580532">
        <w:rPr>
          <w:rFonts w:ascii="Book Antiqua" w:hAnsi="Book Antiqua"/>
          <w:sz w:val="24"/>
          <w:szCs w:val="24"/>
        </w:rPr>
        <w:t>tumor</w:t>
      </w:r>
      <w:r w:rsidR="00842ECD" w:rsidRPr="00580532">
        <w:rPr>
          <w:rFonts w:ascii="Book Antiqua" w:hAnsi="Book Antiqua"/>
          <w:sz w:val="24"/>
          <w:szCs w:val="24"/>
        </w:rPr>
        <w:t xml:space="preserve"> between NCB and SS necessitates further investigation, which will be the focus of our future studies.</w:t>
      </w:r>
    </w:p>
    <w:p w:rsidR="004A4F4A" w:rsidRPr="00580532" w:rsidRDefault="004A4F4A" w:rsidP="00AD4B85">
      <w:pPr>
        <w:spacing w:line="360" w:lineRule="auto"/>
        <w:rPr>
          <w:rFonts w:ascii="Book Antiqua" w:hAnsi="Book Antiqua"/>
          <w:b/>
          <w:sz w:val="24"/>
          <w:szCs w:val="24"/>
          <w:lang w:val="en-GB"/>
        </w:rPr>
      </w:pPr>
    </w:p>
    <w:p w:rsidR="004A4F4A" w:rsidRPr="00580532" w:rsidRDefault="004A4F4A" w:rsidP="00AD4B85">
      <w:pPr>
        <w:spacing w:line="360" w:lineRule="auto"/>
        <w:rPr>
          <w:rFonts w:ascii="Book Antiqua" w:hAnsi="Book Antiqua"/>
          <w:b/>
          <w:sz w:val="24"/>
          <w:szCs w:val="24"/>
          <w:lang w:val="en-GB"/>
        </w:rPr>
      </w:pPr>
      <w:r w:rsidRPr="00580532">
        <w:rPr>
          <w:rFonts w:ascii="Book Antiqua" w:hAnsi="Book Antiqua"/>
          <w:b/>
          <w:sz w:val="24"/>
          <w:szCs w:val="24"/>
          <w:lang w:val="en-GB"/>
        </w:rPr>
        <w:t>ACKNOWLEDGEMENTS</w:t>
      </w:r>
    </w:p>
    <w:p w:rsidR="00604A9C" w:rsidRPr="00580532" w:rsidRDefault="00604A9C" w:rsidP="00AD4B85">
      <w:pPr>
        <w:spacing w:line="360" w:lineRule="auto"/>
        <w:rPr>
          <w:rFonts w:ascii="Book Antiqua" w:hAnsi="Book Antiqua"/>
          <w:sz w:val="24"/>
          <w:szCs w:val="24"/>
          <w:lang w:val="en-GB"/>
        </w:rPr>
      </w:pPr>
      <w:r w:rsidRPr="00580532">
        <w:rPr>
          <w:rFonts w:ascii="Book Antiqua" w:hAnsi="Book Antiqua"/>
          <w:sz w:val="24"/>
          <w:szCs w:val="24"/>
          <w:lang w:val="en-GB"/>
        </w:rPr>
        <w:t>We thank Wenyan Song and Cuiyu Jia for their assistance with the data collection.</w:t>
      </w:r>
    </w:p>
    <w:p w:rsidR="00604A9C" w:rsidRPr="005C61B5" w:rsidRDefault="00604A9C" w:rsidP="005C61B5">
      <w:pPr>
        <w:spacing w:line="360" w:lineRule="auto"/>
        <w:rPr>
          <w:rFonts w:ascii="Book Antiqua" w:hAnsi="Book Antiqua"/>
          <w:b/>
          <w:sz w:val="24"/>
          <w:szCs w:val="24"/>
          <w:lang w:val="en-GB"/>
        </w:rPr>
      </w:pPr>
      <w:r w:rsidRPr="00580532">
        <w:rPr>
          <w:rFonts w:ascii="Book Antiqua" w:hAnsi="Book Antiqua"/>
          <w:sz w:val="24"/>
          <w:szCs w:val="24"/>
          <w:lang w:val="en-GB"/>
        </w:rPr>
        <w:br w:type="page"/>
      </w:r>
      <w:r w:rsidR="004319ED" w:rsidRPr="005C61B5">
        <w:rPr>
          <w:rFonts w:ascii="Book Antiqua" w:hAnsi="Book Antiqua"/>
          <w:b/>
          <w:sz w:val="24"/>
          <w:szCs w:val="24"/>
          <w:lang w:val="en-GB"/>
        </w:rPr>
        <w:t>REFERENCES</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1 </w:t>
      </w:r>
      <w:r w:rsidRPr="005C61B5">
        <w:rPr>
          <w:rFonts w:ascii="Book Antiqua" w:hAnsi="Book Antiqua"/>
          <w:b/>
          <w:sz w:val="24"/>
          <w:szCs w:val="24"/>
        </w:rPr>
        <w:t>Forner A</w:t>
      </w:r>
      <w:r w:rsidRPr="005C61B5">
        <w:rPr>
          <w:rFonts w:ascii="Book Antiqua" w:hAnsi="Book Antiqua"/>
          <w:sz w:val="24"/>
          <w:szCs w:val="24"/>
        </w:rPr>
        <w:t xml:space="preserve">, Llovet JM, Bruix J. Hepatocellular carcinoma. </w:t>
      </w:r>
      <w:r w:rsidRPr="005C61B5">
        <w:rPr>
          <w:rFonts w:ascii="Book Antiqua" w:hAnsi="Book Antiqua"/>
          <w:i/>
          <w:sz w:val="24"/>
          <w:szCs w:val="24"/>
        </w:rPr>
        <w:t>Lancet</w:t>
      </w:r>
      <w:r w:rsidRPr="005C61B5">
        <w:rPr>
          <w:rFonts w:ascii="Book Antiqua" w:hAnsi="Book Antiqua"/>
          <w:sz w:val="24"/>
          <w:szCs w:val="24"/>
        </w:rPr>
        <w:t xml:space="preserve"> 2012; </w:t>
      </w:r>
      <w:r w:rsidRPr="005C61B5">
        <w:rPr>
          <w:rFonts w:ascii="Book Antiqua" w:hAnsi="Book Antiqua"/>
          <w:b/>
          <w:sz w:val="24"/>
          <w:szCs w:val="24"/>
        </w:rPr>
        <w:t>379</w:t>
      </w:r>
      <w:r w:rsidRPr="005C61B5">
        <w:rPr>
          <w:rFonts w:ascii="Book Antiqua" w:hAnsi="Book Antiqua"/>
          <w:sz w:val="24"/>
          <w:szCs w:val="24"/>
        </w:rPr>
        <w:t>: 1245-1255 [PMID: 22353262 DOI: 10.1016/S0140-6736(11)61347-0]</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2 </w:t>
      </w:r>
      <w:r w:rsidRPr="005C61B5">
        <w:rPr>
          <w:rFonts w:ascii="Book Antiqua" w:hAnsi="Book Antiqua"/>
          <w:b/>
          <w:sz w:val="24"/>
          <w:szCs w:val="24"/>
        </w:rPr>
        <w:t>Feng J</w:t>
      </w:r>
      <w:r w:rsidRPr="005C61B5">
        <w:rPr>
          <w:rFonts w:ascii="Book Antiqua" w:hAnsi="Book Antiqua"/>
          <w:sz w:val="24"/>
          <w:szCs w:val="24"/>
        </w:rPr>
        <w:t xml:space="preserve">, Wu J, Zhu R, Feng D, Yu L, Zhang Y, Bu D, Li C, Zhou Y, Si L, Liu Y, Liang Z, Xu J, Wu T. Simple Risk Score for Prediction of Early Recurrence of Hepatocellular Carcinoma within the Milan Criteria after Orthotopic Liver Transplantation. </w:t>
      </w:r>
      <w:r w:rsidRPr="005C61B5">
        <w:rPr>
          <w:rFonts w:ascii="Book Antiqua" w:hAnsi="Book Antiqua"/>
          <w:i/>
          <w:sz w:val="24"/>
          <w:szCs w:val="24"/>
        </w:rPr>
        <w:t>Sci Rep</w:t>
      </w:r>
      <w:r w:rsidRPr="005C61B5">
        <w:rPr>
          <w:rFonts w:ascii="Book Antiqua" w:hAnsi="Book Antiqua"/>
          <w:sz w:val="24"/>
          <w:szCs w:val="24"/>
        </w:rPr>
        <w:t xml:space="preserve"> 2017; </w:t>
      </w:r>
      <w:r w:rsidRPr="005C61B5">
        <w:rPr>
          <w:rFonts w:ascii="Book Antiqua" w:hAnsi="Book Antiqua"/>
          <w:b/>
          <w:sz w:val="24"/>
          <w:szCs w:val="24"/>
        </w:rPr>
        <w:t>7</w:t>
      </w:r>
      <w:r w:rsidRPr="005C61B5">
        <w:rPr>
          <w:rFonts w:ascii="Book Antiqua" w:hAnsi="Book Antiqua"/>
          <w:sz w:val="24"/>
          <w:szCs w:val="24"/>
        </w:rPr>
        <w:t>: 44036 [PMID: 28276470 DOI: 10.1038/srep44036]</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3 </w:t>
      </w:r>
      <w:r w:rsidRPr="005C61B5">
        <w:rPr>
          <w:rFonts w:ascii="Book Antiqua" w:hAnsi="Book Antiqua"/>
          <w:b/>
          <w:sz w:val="24"/>
          <w:szCs w:val="24"/>
        </w:rPr>
        <w:t>Mafficini A</w:t>
      </w:r>
      <w:r w:rsidRPr="005C61B5">
        <w:rPr>
          <w:rFonts w:ascii="Book Antiqua" w:hAnsi="Book Antiqua"/>
          <w:sz w:val="24"/>
          <w:szCs w:val="24"/>
        </w:rPr>
        <w:t xml:space="preserve">, Amato E, Fassan M, Simbolo M, Antonello D, Vicentini C, Scardoni M, Bersani S, Gottardi M, Rusev B, Malpeli G, Corbo V, Barbi S, Sikora KO, Lawlor RT, Tortora G, Scarpa A. Reporting tumor molecular heterogeneity in histopathological diagnosis. </w:t>
      </w:r>
      <w:r w:rsidRPr="005C61B5">
        <w:rPr>
          <w:rFonts w:ascii="Book Antiqua" w:hAnsi="Book Antiqua"/>
          <w:i/>
          <w:sz w:val="24"/>
          <w:szCs w:val="24"/>
        </w:rPr>
        <w:t>PLoS One</w:t>
      </w:r>
      <w:r w:rsidRPr="005C61B5">
        <w:rPr>
          <w:rFonts w:ascii="Book Antiqua" w:hAnsi="Book Antiqua"/>
          <w:sz w:val="24"/>
          <w:szCs w:val="24"/>
        </w:rPr>
        <w:t xml:space="preserve"> 2014; </w:t>
      </w:r>
      <w:r w:rsidRPr="005C61B5">
        <w:rPr>
          <w:rFonts w:ascii="Book Antiqua" w:hAnsi="Book Antiqua"/>
          <w:b/>
          <w:sz w:val="24"/>
          <w:szCs w:val="24"/>
        </w:rPr>
        <w:t>9</w:t>
      </w:r>
      <w:r w:rsidRPr="005C61B5">
        <w:rPr>
          <w:rFonts w:ascii="Book Antiqua" w:hAnsi="Book Antiqua"/>
          <w:sz w:val="24"/>
          <w:szCs w:val="24"/>
        </w:rPr>
        <w:t>: e104979 [PMID: 25127237 DOI: 10.1371/journal.pone.0104979]</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4 </w:t>
      </w:r>
      <w:r w:rsidRPr="005C61B5">
        <w:rPr>
          <w:rFonts w:ascii="Book Antiqua" w:hAnsi="Book Antiqua"/>
          <w:b/>
          <w:sz w:val="24"/>
          <w:szCs w:val="24"/>
        </w:rPr>
        <w:t>McGahan JP</w:t>
      </w:r>
      <w:r w:rsidRPr="005C61B5">
        <w:rPr>
          <w:rFonts w:ascii="Book Antiqua" w:hAnsi="Book Antiqua"/>
          <w:sz w:val="24"/>
          <w:szCs w:val="24"/>
        </w:rPr>
        <w:t xml:space="preserve">, Bishop J, Webb J, Howell L, Torok N, Lamba R, Corwin MT. Role of FNA and Core Biopsy of Primary and Metastatic Liver Disease. </w:t>
      </w:r>
      <w:r w:rsidRPr="005C61B5">
        <w:rPr>
          <w:rFonts w:ascii="Book Antiqua" w:hAnsi="Book Antiqua"/>
          <w:i/>
          <w:sz w:val="24"/>
          <w:szCs w:val="24"/>
        </w:rPr>
        <w:t>Int J Hepatol</w:t>
      </w:r>
      <w:r w:rsidRPr="005C61B5">
        <w:rPr>
          <w:rFonts w:ascii="Book Antiqua" w:hAnsi="Book Antiqua"/>
          <w:sz w:val="24"/>
          <w:szCs w:val="24"/>
        </w:rPr>
        <w:t xml:space="preserve"> 2013; </w:t>
      </w:r>
      <w:r w:rsidRPr="005C61B5">
        <w:rPr>
          <w:rFonts w:ascii="Book Antiqua" w:hAnsi="Book Antiqua"/>
          <w:b/>
          <w:sz w:val="24"/>
          <w:szCs w:val="24"/>
        </w:rPr>
        <w:t>2013</w:t>
      </w:r>
      <w:r w:rsidRPr="005C61B5">
        <w:rPr>
          <w:rFonts w:ascii="Book Antiqua" w:hAnsi="Book Antiqua"/>
          <w:sz w:val="24"/>
          <w:szCs w:val="24"/>
        </w:rPr>
        <w:t>: 174103 [PMID: 24369506 DOI: 10.1155/2013/174103]</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5 </w:t>
      </w:r>
      <w:r w:rsidRPr="005C61B5">
        <w:rPr>
          <w:rFonts w:ascii="Book Antiqua" w:hAnsi="Book Antiqua"/>
          <w:b/>
          <w:sz w:val="24"/>
          <w:szCs w:val="24"/>
        </w:rPr>
        <w:t>Feng J</w:t>
      </w:r>
      <w:r w:rsidRPr="005C61B5">
        <w:rPr>
          <w:rFonts w:ascii="Book Antiqua" w:hAnsi="Book Antiqua"/>
          <w:sz w:val="24"/>
          <w:szCs w:val="24"/>
        </w:rPr>
        <w:t xml:space="preserve">, Zhu R, Chang C, Yu L, Cao F, Zhu G, Chen F, Xia H, Lv F, Zhang S, Sun L. CK19 and Glypican 3 Expression Profiling in the Prognostic Indication for Patients with HCC after Surgical Resection. </w:t>
      </w:r>
      <w:r w:rsidRPr="005C61B5">
        <w:rPr>
          <w:rFonts w:ascii="Book Antiqua" w:hAnsi="Book Antiqua"/>
          <w:i/>
          <w:sz w:val="24"/>
          <w:szCs w:val="24"/>
        </w:rPr>
        <w:t>PLoS One</w:t>
      </w:r>
      <w:r w:rsidRPr="005C61B5">
        <w:rPr>
          <w:rFonts w:ascii="Book Antiqua" w:hAnsi="Book Antiqua"/>
          <w:sz w:val="24"/>
          <w:szCs w:val="24"/>
        </w:rPr>
        <w:t xml:space="preserve"> 2016; </w:t>
      </w:r>
      <w:r w:rsidRPr="005C61B5">
        <w:rPr>
          <w:rFonts w:ascii="Book Antiqua" w:hAnsi="Book Antiqua"/>
          <w:b/>
          <w:sz w:val="24"/>
          <w:szCs w:val="24"/>
        </w:rPr>
        <w:t>11</w:t>
      </w:r>
      <w:r w:rsidRPr="005C61B5">
        <w:rPr>
          <w:rFonts w:ascii="Book Antiqua" w:hAnsi="Book Antiqua"/>
          <w:sz w:val="24"/>
          <w:szCs w:val="24"/>
        </w:rPr>
        <w:t>: e0151501 [PMID: 26977595 DOI: 10.1371/journal.pone.0151501]</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6 </w:t>
      </w:r>
      <w:r w:rsidRPr="005C61B5">
        <w:rPr>
          <w:rFonts w:ascii="Book Antiqua" w:hAnsi="Book Antiqua"/>
          <w:b/>
          <w:sz w:val="24"/>
          <w:szCs w:val="24"/>
        </w:rPr>
        <w:t>Feng J</w:t>
      </w:r>
      <w:r w:rsidRPr="005C61B5">
        <w:rPr>
          <w:rFonts w:ascii="Book Antiqua" w:hAnsi="Book Antiqua"/>
          <w:sz w:val="24"/>
          <w:szCs w:val="24"/>
        </w:rPr>
        <w:t xml:space="preserve">, Chen J, Zhu R, Yu L, Zhang Y, Feng D, Kong H, Song C, Xia H, Wu J, Zhao D. Prediction of early recurrence of hepatocellular carcinoma within the Milan criteria after radical resection. </w:t>
      </w:r>
      <w:r w:rsidRPr="005C61B5">
        <w:rPr>
          <w:rFonts w:ascii="Book Antiqua" w:hAnsi="Book Antiqua"/>
          <w:i/>
          <w:sz w:val="24"/>
          <w:szCs w:val="24"/>
        </w:rPr>
        <w:t>Oncotarget</w:t>
      </w:r>
      <w:r w:rsidRPr="005C61B5">
        <w:rPr>
          <w:rFonts w:ascii="Book Antiqua" w:hAnsi="Book Antiqua"/>
          <w:sz w:val="24"/>
          <w:szCs w:val="24"/>
        </w:rPr>
        <w:t xml:space="preserve"> 2017; </w:t>
      </w:r>
      <w:r w:rsidRPr="005C61B5">
        <w:rPr>
          <w:rFonts w:ascii="Book Antiqua" w:hAnsi="Book Antiqua"/>
          <w:b/>
          <w:sz w:val="24"/>
          <w:szCs w:val="24"/>
        </w:rPr>
        <w:t>8</w:t>
      </w:r>
      <w:r w:rsidRPr="005C61B5">
        <w:rPr>
          <w:rFonts w:ascii="Book Antiqua" w:hAnsi="Book Antiqua"/>
          <w:sz w:val="24"/>
          <w:szCs w:val="24"/>
        </w:rPr>
        <w:t>: 63299-63310 [PMID: 28968990 DOI: 10.18632/oncotarget.18799]</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7 </w:t>
      </w:r>
      <w:r w:rsidRPr="005C61B5">
        <w:rPr>
          <w:rFonts w:ascii="Book Antiqua" w:hAnsi="Book Antiqua"/>
          <w:b/>
          <w:sz w:val="24"/>
          <w:szCs w:val="24"/>
        </w:rPr>
        <w:t>Yun WJ</w:t>
      </w:r>
      <w:r w:rsidRPr="005C61B5">
        <w:rPr>
          <w:rFonts w:ascii="Book Antiqua" w:hAnsi="Book Antiqua"/>
          <w:sz w:val="24"/>
          <w:szCs w:val="24"/>
        </w:rPr>
        <w:t xml:space="preserve">, Shin E, Lee K, Jung HY, Kim SH, Park YN, Yu E, Jang JJ. Clinicopathologic implication of hepatic progenitor cell marker expression in hepatoblastoma. </w:t>
      </w:r>
      <w:r w:rsidRPr="005C61B5">
        <w:rPr>
          <w:rFonts w:ascii="Book Antiqua" w:hAnsi="Book Antiqua"/>
          <w:i/>
          <w:sz w:val="24"/>
          <w:szCs w:val="24"/>
        </w:rPr>
        <w:t>Pathol Res Pract</w:t>
      </w:r>
      <w:r w:rsidRPr="005C61B5">
        <w:rPr>
          <w:rFonts w:ascii="Book Antiqua" w:hAnsi="Book Antiqua"/>
          <w:sz w:val="24"/>
          <w:szCs w:val="24"/>
        </w:rPr>
        <w:t xml:space="preserve"> 2013; </w:t>
      </w:r>
      <w:r w:rsidRPr="005C61B5">
        <w:rPr>
          <w:rFonts w:ascii="Book Antiqua" w:hAnsi="Book Antiqua"/>
          <w:b/>
          <w:sz w:val="24"/>
          <w:szCs w:val="24"/>
        </w:rPr>
        <w:t>209</w:t>
      </w:r>
      <w:r w:rsidRPr="005C61B5">
        <w:rPr>
          <w:rFonts w:ascii="Book Antiqua" w:hAnsi="Book Antiqua"/>
          <w:sz w:val="24"/>
          <w:szCs w:val="24"/>
        </w:rPr>
        <w:t>: 568-573 [PMID: 23920322 DOI: 10.1016/j.prp.2013.06.015]</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8 </w:t>
      </w:r>
      <w:r w:rsidRPr="005C61B5">
        <w:rPr>
          <w:rFonts w:ascii="Book Antiqua" w:hAnsi="Book Antiqua"/>
          <w:b/>
          <w:sz w:val="24"/>
          <w:szCs w:val="24"/>
        </w:rPr>
        <w:t>Soriano A</w:t>
      </w:r>
      <w:r w:rsidRPr="005C61B5">
        <w:rPr>
          <w:rFonts w:ascii="Book Antiqua" w:hAnsi="Book Antiqua"/>
          <w:sz w:val="24"/>
          <w:szCs w:val="24"/>
        </w:rPr>
        <w:t xml:space="preserve">, Varona A, Gianchandani R, Moneva ME, Arranz J, Gonzalez A, Barrera M. Selection of patients with hepatocellular carcinoma for liver transplantation: Past and future. </w:t>
      </w:r>
      <w:r w:rsidRPr="005C61B5">
        <w:rPr>
          <w:rFonts w:ascii="Book Antiqua" w:hAnsi="Book Antiqua"/>
          <w:i/>
          <w:sz w:val="24"/>
          <w:szCs w:val="24"/>
        </w:rPr>
        <w:t>World J Hepatol</w:t>
      </w:r>
      <w:r w:rsidRPr="005C61B5">
        <w:rPr>
          <w:rFonts w:ascii="Book Antiqua" w:hAnsi="Book Antiqua"/>
          <w:sz w:val="24"/>
          <w:szCs w:val="24"/>
        </w:rPr>
        <w:t xml:space="preserve"> 2016; </w:t>
      </w:r>
      <w:r w:rsidRPr="005C61B5">
        <w:rPr>
          <w:rFonts w:ascii="Book Antiqua" w:hAnsi="Book Antiqua"/>
          <w:b/>
          <w:sz w:val="24"/>
          <w:szCs w:val="24"/>
        </w:rPr>
        <w:t>8</w:t>
      </w:r>
      <w:r w:rsidRPr="005C61B5">
        <w:rPr>
          <w:rFonts w:ascii="Book Antiqua" w:hAnsi="Book Antiqua"/>
          <w:sz w:val="24"/>
          <w:szCs w:val="24"/>
        </w:rPr>
        <w:t>: 58-68 [PMID: 26783421 DOI: 10.4254/wjh.v8.i1.58]</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9 </w:t>
      </w:r>
      <w:r w:rsidRPr="005C61B5">
        <w:rPr>
          <w:rFonts w:ascii="Book Antiqua" w:hAnsi="Book Antiqua"/>
          <w:b/>
          <w:sz w:val="24"/>
          <w:szCs w:val="24"/>
        </w:rPr>
        <w:t>Llovet JM</w:t>
      </w:r>
      <w:r w:rsidRPr="005C61B5">
        <w:rPr>
          <w:rFonts w:ascii="Book Antiqua" w:hAnsi="Book Antiqua"/>
          <w:sz w:val="24"/>
          <w:szCs w:val="24"/>
        </w:rPr>
        <w:t xml:space="preserve">, Paradis V, Kudo M, Zucman-Rossi J. Tissue biomarkers as predictors of outcome and selection of transplant candidates with hepatocellular carcinoma. </w:t>
      </w:r>
      <w:r w:rsidRPr="005C61B5">
        <w:rPr>
          <w:rFonts w:ascii="Book Antiqua" w:hAnsi="Book Antiqua"/>
          <w:i/>
          <w:sz w:val="24"/>
          <w:szCs w:val="24"/>
        </w:rPr>
        <w:t>Liver Transpl</w:t>
      </w:r>
      <w:r w:rsidRPr="005C61B5">
        <w:rPr>
          <w:rFonts w:ascii="Book Antiqua" w:hAnsi="Book Antiqua"/>
          <w:sz w:val="24"/>
          <w:szCs w:val="24"/>
        </w:rPr>
        <w:t xml:space="preserve"> 2011; </w:t>
      </w:r>
      <w:r w:rsidRPr="005C61B5">
        <w:rPr>
          <w:rFonts w:ascii="Book Antiqua" w:hAnsi="Book Antiqua"/>
          <w:b/>
          <w:sz w:val="24"/>
          <w:szCs w:val="24"/>
        </w:rPr>
        <w:t xml:space="preserve">17 </w:t>
      </w:r>
      <w:r w:rsidRPr="00754B79">
        <w:rPr>
          <w:rFonts w:ascii="Book Antiqua" w:hAnsi="Book Antiqua"/>
          <w:sz w:val="24"/>
          <w:szCs w:val="24"/>
        </w:rPr>
        <w:t>Suppl 2:</w:t>
      </w:r>
      <w:r w:rsidRPr="005C61B5">
        <w:rPr>
          <w:rFonts w:ascii="Book Antiqua" w:hAnsi="Book Antiqua"/>
          <w:sz w:val="24"/>
          <w:szCs w:val="24"/>
        </w:rPr>
        <w:t xml:space="preserve"> S67-S71 [PMID: 21594967 DOI: 10.1002/lt.22340]</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10 </w:t>
      </w:r>
      <w:r w:rsidRPr="005C61B5">
        <w:rPr>
          <w:rFonts w:ascii="Book Antiqua" w:hAnsi="Book Antiqua"/>
          <w:b/>
          <w:sz w:val="24"/>
          <w:szCs w:val="24"/>
        </w:rPr>
        <w:t>Ofuji K</w:t>
      </w:r>
      <w:r w:rsidRPr="005C61B5">
        <w:rPr>
          <w:rFonts w:ascii="Book Antiqua" w:hAnsi="Book Antiqua"/>
          <w:sz w:val="24"/>
          <w:szCs w:val="24"/>
        </w:rPr>
        <w:t xml:space="preserve">, Saito K, Yoshikawa T, Nakatsura T. Critical analysis of the potential of targeting GPC3 in hepatocellular carcinoma. </w:t>
      </w:r>
      <w:r w:rsidRPr="005C61B5">
        <w:rPr>
          <w:rFonts w:ascii="Book Antiqua" w:hAnsi="Book Antiqua"/>
          <w:i/>
          <w:sz w:val="24"/>
          <w:szCs w:val="24"/>
        </w:rPr>
        <w:t>J Hepatocell Carcinoma</w:t>
      </w:r>
      <w:r w:rsidRPr="005C61B5">
        <w:rPr>
          <w:rFonts w:ascii="Book Antiqua" w:hAnsi="Book Antiqua"/>
          <w:sz w:val="24"/>
          <w:szCs w:val="24"/>
        </w:rPr>
        <w:t xml:space="preserve"> 2014; </w:t>
      </w:r>
      <w:r w:rsidRPr="005C61B5">
        <w:rPr>
          <w:rFonts w:ascii="Book Antiqua" w:hAnsi="Book Antiqua"/>
          <w:b/>
          <w:sz w:val="24"/>
          <w:szCs w:val="24"/>
        </w:rPr>
        <w:t>1</w:t>
      </w:r>
      <w:r w:rsidRPr="005C61B5">
        <w:rPr>
          <w:rFonts w:ascii="Book Antiqua" w:hAnsi="Book Antiqua"/>
          <w:sz w:val="24"/>
          <w:szCs w:val="24"/>
        </w:rPr>
        <w:t>: 35-42 [PMID: 27508174 DOI: 10.2147/JHC.S48517]</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11 </w:t>
      </w:r>
      <w:r w:rsidRPr="005C61B5">
        <w:rPr>
          <w:rFonts w:ascii="Book Antiqua" w:hAnsi="Book Antiqua"/>
          <w:b/>
          <w:sz w:val="24"/>
          <w:szCs w:val="24"/>
        </w:rPr>
        <w:t>Berretta M</w:t>
      </w:r>
      <w:r w:rsidRPr="005C61B5">
        <w:rPr>
          <w:rFonts w:ascii="Book Antiqua" w:hAnsi="Book Antiqua"/>
          <w:sz w:val="24"/>
          <w:szCs w:val="24"/>
        </w:rPr>
        <w:t xml:space="preserve">, Cavaliere C, Alessandrini L, Stanzione B, Facchini G, Balestreri L, Perin T, Canzonieri V. Serum and tissue markers in hepatocellular carcinoma and cholangiocarcinoma: clinical and prognostic implications. </w:t>
      </w:r>
      <w:r w:rsidRPr="005C61B5">
        <w:rPr>
          <w:rFonts w:ascii="Book Antiqua" w:hAnsi="Book Antiqua"/>
          <w:i/>
          <w:sz w:val="24"/>
          <w:szCs w:val="24"/>
        </w:rPr>
        <w:t>Oncotarget</w:t>
      </w:r>
      <w:r w:rsidRPr="005C61B5">
        <w:rPr>
          <w:rFonts w:ascii="Book Antiqua" w:hAnsi="Book Antiqua"/>
          <w:sz w:val="24"/>
          <w:szCs w:val="24"/>
        </w:rPr>
        <w:t xml:space="preserve"> 2017; </w:t>
      </w:r>
      <w:r w:rsidRPr="005C61B5">
        <w:rPr>
          <w:rFonts w:ascii="Book Antiqua" w:hAnsi="Book Antiqua"/>
          <w:b/>
          <w:sz w:val="24"/>
          <w:szCs w:val="24"/>
        </w:rPr>
        <w:t>8</w:t>
      </w:r>
      <w:r w:rsidRPr="005C61B5">
        <w:rPr>
          <w:rFonts w:ascii="Book Antiqua" w:hAnsi="Book Antiqua"/>
          <w:sz w:val="24"/>
          <w:szCs w:val="24"/>
        </w:rPr>
        <w:t>: 14192-14220 [PMID: 28077782 DOI: 10.18632/oncotarget.13929]</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12 </w:t>
      </w:r>
      <w:r w:rsidRPr="005C61B5">
        <w:rPr>
          <w:rFonts w:ascii="Book Antiqua" w:hAnsi="Book Antiqua"/>
          <w:b/>
          <w:sz w:val="24"/>
          <w:szCs w:val="24"/>
        </w:rPr>
        <w:t>Kumar M</w:t>
      </w:r>
      <w:r w:rsidRPr="005C61B5">
        <w:rPr>
          <w:rFonts w:ascii="Book Antiqua" w:hAnsi="Book Antiqua"/>
          <w:sz w:val="24"/>
          <w:szCs w:val="24"/>
        </w:rPr>
        <w:t xml:space="preserve">, Zhao X, Wang XW. Molecular carcinogenesis of hepatocellular carcinoma and intrahepatic cholangiocarcinoma: one step closer to personalized medicine? </w:t>
      </w:r>
      <w:r w:rsidRPr="005C61B5">
        <w:rPr>
          <w:rFonts w:ascii="Book Antiqua" w:hAnsi="Book Antiqua"/>
          <w:i/>
          <w:sz w:val="24"/>
          <w:szCs w:val="24"/>
        </w:rPr>
        <w:t>Cell Biosci</w:t>
      </w:r>
      <w:r w:rsidRPr="005C61B5">
        <w:rPr>
          <w:rFonts w:ascii="Book Antiqua" w:hAnsi="Book Antiqua"/>
          <w:sz w:val="24"/>
          <w:szCs w:val="24"/>
        </w:rPr>
        <w:t xml:space="preserve"> 2011; </w:t>
      </w:r>
      <w:r w:rsidRPr="005C61B5">
        <w:rPr>
          <w:rFonts w:ascii="Book Antiqua" w:hAnsi="Book Antiqua"/>
          <w:b/>
          <w:sz w:val="24"/>
          <w:szCs w:val="24"/>
        </w:rPr>
        <w:t>1</w:t>
      </w:r>
      <w:r w:rsidRPr="005C61B5">
        <w:rPr>
          <w:rFonts w:ascii="Book Antiqua" w:hAnsi="Book Antiqua"/>
          <w:sz w:val="24"/>
          <w:szCs w:val="24"/>
        </w:rPr>
        <w:t>: 5 [PMID: 21711594 DOI: 10.1186/2045-3701-1-5]</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13 </w:t>
      </w:r>
      <w:r w:rsidRPr="005C61B5">
        <w:rPr>
          <w:rFonts w:ascii="Book Antiqua" w:hAnsi="Book Antiqua"/>
          <w:b/>
          <w:sz w:val="24"/>
          <w:szCs w:val="24"/>
        </w:rPr>
        <w:t>Daly B</w:t>
      </w:r>
      <w:r w:rsidRPr="005C61B5">
        <w:rPr>
          <w:rFonts w:ascii="Book Antiqua" w:hAnsi="Book Antiqua"/>
          <w:sz w:val="24"/>
          <w:szCs w:val="24"/>
        </w:rPr>
        <w:t xml:space="preserve">, O'Kelly K, Klassen D. Interventional procedures in whole organ and islet cell pancreas transplantation. </w:t>
      </w:r>
      <w:r w:rsidRPr="005C61B5">
        <w:rPr>
          <w:rFonts w:ascii="Book Antiqua" w:hAnsi="Book Antiqua"/>
          <w:i/>
          <w:sz w:val="24"/>
          <w:szCs w:val="24"/>
        </w:rPr>
        <w:t>Semin Intervent Radiol</w:t>
      </w:r>
      <w:r w:rsidRPr="005C61B5">
        <w:rPr>
          <w:rFonts w:ascii="Book Antiqua" w:hAnsi="Book Antiqua"/>
          <w:sz w:val="24"/>
          <w:szCs w:val="24"/>
        </w:rPr>
        <w:t xml:space="preserve"> 2004; </w:t>
      </w:r>
      <w:r w:rsidRPr="005C61B5">
        <w:rPr>
          <w:rFonts w:ascii="Book Antiqua" w:hAnsi="Book Antiqua"/>
          <w:b/>
          <w:sz w:val="24"/>
          <w:szCs w:val="24"/>
        </w:rPr>
        <w:t>21</w:t>
      </w:r>
      <w:r w:rsidRPr="005C61B5">
        <w:rPr>
          <w:rFonts w:ascii="Book Antiqua" w:hAnsi="Book Antiqua"/>
          <w:sz w:val="24"/>
          <w:szCs w:val="24"/>
        </w:rPr>
        <w:t>: 335-343 [PMID: 21331144 DOI: 10.1055/s-2004-861568]</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14 </w:t>
      </w:r>
      <w:r w:rsidRPr="005C61B5">
        <w:rPr>
          <w:rFonts w:ascii="Book Antiqua" w:hAnsi="Book Antiqua"/>
          <w:b/>
          <w:sz w:val="24"/>
          <w:szCs w:val="24"/>
        </w:rPr>
        <w:t>Cucchetti A</w:t>
      </w:r>
      <w:r w:rsidRPr="005C61B5">
        <w:rPr>
          <w:rFonts w:ascii="Book Antiqua" w:hAnsi="Book Antiqua"/>
          <w:sz w:val="24"/>
          <w:szCs w:val="24"/>
        </w:rPr>
        <w:t xml:space="preserve">, Cescon M, Trevisani F, Pinna AD. Current concepts in hepatic resection for hepatocellular carcinoma in cirrhotic patients. </w:t>
      </w:r>
      <w:r w:rsidRPr="005C61B5">
        <w:rPr>
          <w:rFonts w:ascii="Book Antiqua" w:hAnsi="Book Antiqua"/>
          <w:i/>
          <w:sz w:val="24"/>
          <w:szCs w:val="24"/>
        </w:rPr>
        <w:t>World J Gastroenterol</w:t>
      </w:r>
      <w:r w:rsidRPr="005C61B5">
        <w:rPr>
          <w:rFonts w:ascii="Book Antiqua" w:hAnsi="Book Antiqua"/>
          <w:sz w:val="24"/>
          <w:szCs w:val="24"/>
        </w:rPr>
        <w:t xml:space="preserve"> 2012; </w:t>
      </w:r>
      <w:r w:rsidRPr="005C61B5">
        <w:rPr>
          <w:rFonts w:ascii="Book Antiqua" w:hAnsi="Book Antiqua"/>
          <w:b/>
          <w:sz w:val="24"/>
          <w:szCs w:val="24"/>
        </w:rPr>
        <w:t>18</w:t>
      </w:r>
      <w:r w:rsidRPr="005C61B5">
        <w:rPr>
          <w:rFonts w:ascii="Book Antiqua" w:hAnsi="Book Antiqua"/>
          <w:sz w:val="24"/>
          <w:szCs w:val="24"/>
        </w:rPr>
        <w:t>: 6398-6408 [PMID: 23197885 DOI: 10.3748/wjg.v18.i44.6398]</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15 </w:t>
      </w:r>
      <w:r w:rsidRPr="005C61B5">
        <w:rPr>
          <w:rFonts w:ascii="Book Antiqua" w:hAnsi="Book Antiqua"/>
          <w:b/>
          <w:sz w:val="24"/>
          <w:szCs w:val="24"/>
        </w:rPr>
        <w:t>Sabattini E</w:t>
      </w:r>
      <w:r w:rsidRPr="005C61B5">
        <w:rPr>
          <w:rFonts w:ascii="Book Antiqua" w:hAnsi="Book Antiqua"/>
          <w:sz w:val="24"/>
          <w:szCs w:val="24"/>
        </w:rPr>
        <w:t xml:space="preserve">, Bisgaard K, Ascani S, Poggi S, Piccioli M, Ceccarelli C, Pieri F, Fraternali-Orcioni G, Pileri SA. The EnVision++ system: a new immunohistochemical method for diagnostics and research. Critical comparison with the APAAP, ChemMate, CSA, LABC, and SABC techniques. </w:t>
      </w:r>
      <w:r w:rsidRPr="005C61B5">
        <w:rPr>
          <w:rFonts w:ascii="Book Antiqua" w:hAnsi="Book Antiqua"/>
          <w:i/>
          <w:sz w:val="24"/>
          <w:szCs w:val="24"/>
        </w:rPr>
        <w:t>J Clin Pathol</w:t>
      </w:r>
      <w:r w:rsidRPr="005C61B5">
        <w:rPr>
          <w:rFonts w:ascii="Book Antiqua" w:hAnsi="Book Antiqua"/>
          <w:sz w:val="24"/>
          <w:szCs w:val="24"/>
        </w:rPr>
        <w:t xml:space="preserve"> 1998; </w:t>
      </w:r>
      <w:r w:rsidRPr="005C61B5">
        <w:rPr>
          <w:rFonts w:ascii="Book Antiqua" w:hAnsi="Book Antiqua"/>
          <w:b/>
          <w:sz w:val="24"/>
          <w:szCs w:val="24"/>
        </w:rPr>
        <w:t>51</w:t>
      </w:r>
      <w:r w:rsidRPr="005C61B5">
        <w:rPr>
          <w:rFonts w:ascii="Book Antiqua" w:hAnsi="Book Antiqua"/>
          <w:sz w:val="24"/>
          <w:szCs w:val="24"/>
        </w:rPr>
        <w:t>: 506-511 [PMID: 9797726]</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16 </w:t>
      </w:r>
      <w:r w:rsidRPr="005C61B5">
        <w:rPr>
          <w:rFonts w:ascii="Book Antiqua" w:hAnsi="Book Antiqua"/>
          <w:b/>
          <w:sz w:val="24"/>
          <w:szCs w:val="24"/>
        </w:rPr>
        <w:t>Marcu M</w:t>
      </w:r>
      <w:r w:rsidRPr="005C61B5">
        <w:rPr>
          <w:rFonts w:ascii="Book Antiqua" w:hAnsi="Book Antiqua"/>
          <w:sz w:val="24"/>
          <w:szCs w:val="24"/>
        </w:rPr>
        <w:t xml:space="preserve">, Radu E, Sajin M. Neuroendocrine differentiation in prostate adenocarcinoma biopsies and its correlation to histological grading. </w:t>
      </w:r>
      <w:r w:rsidRPr="005C61B5">
        <w:rPr>
          <w:rFonts w:ascii="Book Antiqua" w:hAnsi="Book Antiqua"/>
          <w:i/>
          <w:sz w:val="24"/>
          <w:szCs w:val="24"/>
        </w:rPr>
        <w:t>Curr Health Sci J</w:t>
      </w:r>
      <w:r w:rsidRPr="005C61B5">
        <w:rPr>
          <w:rFonts w:ascii="Book Antiqua" w:hAnsi="Book Antiqua"/>
          <w:sz w:val="24"/>
          <w:szCs w:val="24"/>
        </w:rPr>
        <w:t xml:space="preserve"> 2010; </w:t>
      </w:r>
      <w:r w:rsidRPr="005C61B5">
        <w:rPr>
          <w:rFonts w:ascii="Book Antiqua" w:hAnsi="Book Antiqua"/>
          <w:b/>
          <w:sz w:val="24"/>
          <w:szCs w:val="24"/>
        </w:rPr>
        <w:t>36</w:t>
      </w:r>
      <w:r w:rsidRPr="005C61B5">
        <w:rPr>
          <w:rFonts w:ascii="Book Antiqua" w:hAnsi="Book Antiqua"/>
          <w:sz w:val="24"/>
          <w:szCs w:val="24"/>
        </w:rPr>
        <w:t>: 37-42 [PMID: 24778825]</w:t>
      </w:r>
    </w:p>
    <w:p w:rsidR="005C61B5" w:rsidRPr="005C61B5" w:rsidRDefault="005C61B5" w:rsidP="005C61B5">
      <w:pPr>
        <w:spacing w:line="360" w:lineRule="auto"/>
        <w:rPr>
          <w:rFonts w:ascii="Book Antiqua" w:hAnsi="Book Antiqua"/>
          <w:sz w:val="24"/>
          <w:szCs w:val="24"/>
        </w:rPr>
      </w:pPr>
      <w:r w:rsidRPr="00AF36E2">
        <w:rPr>
          <w:rFonts w:ascii="Book Antiqua" w:hAnsi="Book Antiqua"/>
          <w:sz w:val="24"/>
          <w:szCs w:val="24"/>
        </w:rPr>
        <w:t xml:space="preserve">17 </w:t>
      </w:r>
      <w:r w:rsidRPr="00AF36E2">
        <w:rPr>
          <w:rFonts w:ascii="Book Antiqua" w:hAnsi="Book Antiqua"/>
          <w:b/>
          <w:sz w:val="24"/>
          <w:szCs w:val="24"/>
        </w:rPr>
        <w:t>Bosman FT</w:t>
      </w:r>
      <w:r w:rsidRPr="00AF36E2">
        <w:rPr>
          <w:rFonts w:ascii="Book Antiqua" w:hAnsi="Book Antiqua"/>
          <w:sz w:val="24"/>
          <w:szCs w:val="24"/>
        </w:rPr>
        <w:t>,</w:t>
      </w:r>
      <w:r w:rsidR="00754B79" w:rsidRPr="00AF36E2">
        <w:rPr>
          <w:rFonts w:ascii="Book Antiqua" w:hAnsi="Book Antiqua"/>
          <w:sz w:val="24"/>
          <w:szCs w:val="24"/>
        </w:rPr>
        <w:t xml:space="preserve"> </w:t>
      </w:r>
      <w:r w:rsidRPr="00AF36E2">
        <w:rPr>
          <w:rFonts w:ascii="Book Antiqua" w:hAnsi="Book Antiqua"/>
          <w:sz w:val="24"/>
          <w:szCs w:val="24"/>
        </w:rPr>
        <w:t>Carneiro F, Hruban RH, Theise ND. WHO classification of tumours of the digestive system, Forth ed. Lyon: International Agency for Research on Cancer, 2010: 205-227</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18 </w:t>
      </w:r>
      <w:r w:rsidRPr="005C61B5">
        <w:rPr>
          <w:rFonts w:ascii="Book Antiqua" w:hAnsi="Book Antiqua"/>
          <w:b/>
          <w:sz w:val="24"/>
          <w:szCs w:val="24"/>
        </w:rPr>
        <w:t>The International Consensus Gro</w:t>
      </w:r>
      <w:r w:rsidR="00754B79">
        <w:rPr>
          <w:rFonts w:ascii="Book Antiqua" w:hAnsi="Book Antiqua"/>
          <w:b/>
          <w:sz w:val="24"/>
          <w:szCs w:val="24"/>
        </w:rPr>
        <w:t>up for Hepatocellular Neoplasia</w:t>
      </w:r>
      <w:r w:rsidRPr="005C61B5">
        <w:rPr>
          <w:rFonts w:ascii="Book Antiqua" w:hAnsi="Book Antiqua"/>
          <w:sz w:val="24"/>
          <w:szCs w:val="24"/>
        </w:rPr>
        <w:t xml:space="preserve">. Pathologic diagnosis of early hepatocellular carcinoma: a report of the international consensus group for hepatocellular neoplasia. </w:t>
      </w:r>
      <w:r w:rsidRPr="005C61B5">
        <w:rPr>
          <w:rFonts w:ascii="Book Antiqua" w:hAnsi="Book Antiqua"/>
          <w:i/>
          <w:sz w:val="24"/>
          <w:szCs w:val="24"/>
        </w:rPr>
        <w:t>Hepatology</w:t>
      </w:r>
      <w:r w:rsidRPr="005C61B5">
        <w:rPr>
          <w:rFonts w:ascii="Book Antiqua" w:hAnsi="Book Antiqua"/>
          <w:sz w:val="24"/>
          <w:szCs w:val="24"/>
        </w:rPr>
        <w:t xml:space="preserve"> 2009; </w:t>
      </w:r>
      <w:r w:rsidRPr="005C61B5">
        <w:rPr>
          <w:rFonts w:ascii="Book Antiqua" w:hAnsi="Book Antiqua"/>
          <w:b/>
          <w:sz w:val="24"/>
          <w:szCs w:val="24"/>
        </w:rPr>
        <w:t>49</w:t>
      </w:r>
      <w:r w:rsidRPr="005C61B5">
        <w:rPr>
          <w:rFonts w:ascii="Book Antiqua" w:hAnsi="Book Antiqua"/>
          <w:sz w:val="24"/>
          <w:szCs w:val="24"/>
        </w:rPr>
        <w:t>: 658-664 [PMID: 19177576 DOI: 10.1002/hep.22709]</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19 </w:t>
      </w:r>
      <w:r w:rsidRPr="005C61B5">
        <w:rPr>
          <w:rFonts w:ascii="Book Antiqua" w:hAnsi="Book Antiqua"/>
          <w:b/>
          <w:sz w:val="24"/>
          <w:szCs w:val="24"/>
        </w:rPr>
        <w:t>Shin E</w:t>
      </w:r>
      <w:r w:rsidRPr="005C61B5">
        <w:rPr>
          <w:rFonts w:ascii="Book Antiqua" w:hAnsi="Book Antiqua"/>
          <w:sz w:val="24"/>
          <w:szCs w:val="24"/>
        </w:rPr>
        <w:t xml:space="preserve">, Yu YD, Kim DS, Won NH. Adiponectin receptor expression predicts favorable prognosis in cases of hepatocellular carcinoma. </w:t>
      </w:r>
      <w:r w:rsidRPr="005C61B5">
        <w:rPr>
          <w:rFonts w:ascii="Book Antiqua" w:hAnsi="Book Antiqua"/>
          <w:i/>
          <w:sz w:val="24"/>
          <w:szCs w:val="24"/>
        </w:rPr>
        <w:t>Pathol Oncol Res</w:t>
      </w:r>
      <w:r w:rsidRPr="005C61B5">
        <w:rPr>
          <w:rFonts w:ascii="Book Antiqua" w:hAnsi="Book Antiqua"/>
          <w:sz w:val="24"/>
          <w:szCs w:val="24"/>
        </w:rPr>
        <w:t xml:space="preserve"> 2014; </w:t>
      </w:r>
      <w:r w:rsidRPr="005C61B5">
        <w:rPr>
          <w:rFonts w:ascii="Book Antiqua" w:hAnsi="Book Antiqua"/>
          <w:b/>
          <w:sz w:val="24"/>
          <w:szCs w:val="24"/>
        </w:rPr>
        <w:t>20</w:t>
      </w:r>
      <w:r w:rsidRPr="005C61B5">
        <w:rPr>
          <w:rFonts w:ascii="Book Antiqua" w:hAnsi="Book Antiqua"/>
          <w:sz w:val="24"/>
          <w:szCs w:val="24"/>
        </w:rPr>
        <w:t>: 667-675 [PMID: 24619866 DOI: 10.1007/s12253-014-9747-0]</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20 </w:t>
      </w:r>
      <w:r w:rsidRPr="005C61B5">
        <w:rPr>
          <w:rFonts w:ascii="Book Antiqua" w:hAnsi="Book Antiqua"/>
          <w:b/>
          <w:sz w:val="24"/>
          <w:szCs w:val="24"/>
        </w:rPr>
        <w:t>Landis JR</w:t>
      </w:r>
      <w:r w:rsidRPr="005C61B5">
        <w:rPr>
          <w:rFonts w:ascii="Book Antiqua" w:hAnsi="Book Antiqua"/>
          <w:sz w:val="24"/>
          <w:szCs w:val="24"/>
        </w:rPr>
        <w:t xml:space="preserve">, Koch GG. The measurement of observer agreement for categorical data. </w:t>
      </w:r>
      <w:r w:rsidRPr="005C61B5">
        <w:rPr>
          <w:rFonts w:ascii="Book Antiqua" w:hAnsi="Book Antiqua"/>
          <w:i/>
          <w:sz w:val="24"/>
          <w:szCs w:val="24"/>
        </w:rPr>
        <w:t>Biometrics</w:t>
      </w:r>
      <w:r w:rsidRPr="005C61B5">
        <w:rPr>
          <w:rFonts w:ascii="Book Antiqua" w:hAnsi="Book Antiqua"/>
          <w:sz w:val="24"/>
          <w:szCs w:val="24"/>
        </w:rPr>
        <w:t xml:space="preserve"> 1977; </w:t>
      </w:r>
      <w:r w:rsidRPr="005C61B5">
        <w:rPr>
          <w:rFonts w:ascii="Book Antiqua" w:hAnsi="Book Antiqua"/>
          <w:b/>
          <w:sz w:val="24"/>
          <w:szCs w:val="24"/>
        </w:rPr>
        <w:t>33</w:t>
      </w:r>
      <w:r w:rsidRPr="005C61B5">
        <w:rPr>
          <w:rFonts w:ascii="Book Antiqua" w:hAnsi="Book Antiqua"/>
          <w:sz w:val="24"/>
          <w:szCs w:val="24"/>
        </w:rPr>
        <w:t>: 159-174 [PMID: 843571]</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21 </w:t>
      </w:r>
      <w:r w:rsidRPr="005C61B5">
        <w:rPr>
          <w:rFonts w:ascii="Book Antiqua" w:hAnsi="Book Antiqua"/>
          <w:b/>
          <w:sz w:val="24"/>
          <w:szCs w:val="24"/>
        </w:rPr>
        <w:t>Lu XY</w:t>
      </w:r>
      <w:r w:rsidRPr="005C61B5">
        <w:rPr>
          <w:rFonts w:ascii="Book Antiqua" w:hAnsi="Book Antiqua"/>
          <w:sz w:val="24"/>
          <w:szCs w:val="24"/>
        </w:rPr>
        <w:t xml:space="preserve">, Xi T, Lau WY, Dong H, Zhu Z, Shen F, Wu MC, Cong WM. Hepatocellular carcinoma expressing cholangiocyte phenotype is a novel subtype with highly aggressive behavior. </w:t>
      </w:r>
      <w:r w:rsidRPr="005C61B5">
        <w:rPr>
          <w:rFonts w:ascii="Book Antiqua" w:hAnsi="Book Antiqua"/>
          <w:i/>
          <w:sz w:val="24"/>
          <w:szCs w:val="24"/>
        </w:rPr>
        <w:t>Ann Surg Oncol</w:t>
      </w:r>
      <w:r w:rsidRPr="005C61B5">
        <w:rPr>
          <w:rFonts w:ascii="Book Antiqua" w:hAnsi="Book Antiqua"/>
          <w:sz w:val="24"/>
          <w:szCs w:val="24"/>
        </w:rPr>
        <w:t xml:space="preserve"> 2011; </w:t>
      </w:r>
      <w:r w:rsidRPr="005C61B5">
        <w:rPr>
          <w:rFonts w:ascii="Book Antiqua" w:hAnsi="Book Antiqua"/>
          <w:b/>
          <w:sz w:val="24"/>
          <w:szCs w:val="24"/>
        </w:rPr>
        <w:t>18</w:t>
      </w:r>
      <w:r w:rsidRPr="005C61B5">
        <w:rPr>
          <w:rFonts w:ascii="Book Antiqua" w:hAnsi="Book Antiqua"/>
          <w:sz w:val="24"/>
          <w:szCs w:val="24"/>
        </w:rPr>
        <w:t>: 2210-2217 [PMID: 21308485 DOI: 10.1245/s10434-011-1585-7]</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 xml:space="preserve">22 </w:t>
      </w:r>
      <w:r w:rsidRPr="005C61B5">
        <w:rPr>
          <w:rFonts w:ascii="Book Antiqua" w:hAnsi="Book Antiqua"/>
          <w:b/>
          <w:sz w:val="24"/>
          <w:szCs w:val="24"/>
        </w:rPr>
        <w:t>Lee Y</w:t>
      </w:r>
      <w:r w:rsidRPr="005C61B5">
        <w:rPr>
          <w:rFonts w:ascii="Book Antiqua" w:hAnsi="Book Antiqua"/>
          <w:sz w:val="24"/>
          <w:szCs w:val="24"/>
        </w:rPr>
        <w:t xml:space="preserve">, Park H, Lee H, Cho JY, Yoon YS, Choi YR, Han HS, Jang ES, Kim JW, Jeong SH, Ahn S, Kim H. The Clinicopathological and Prognostic Significance of the Gross Classification of Hepatocellular Carcinoma. </w:t>
      </w:r>
      <w:r w:rsidRPr="005C61B5">
        <w:rPr>
          <w:rFonts w:ascii="Book Antiqua" w:hAnsi="Book Antiqua"/>
          <w:i/>
          <w:sz w:val="24"/>
          <w:szCs w:val="24"/>
        </w:rPr>
        <w:t>J Pathol Transl Med</w:t>
      </w:r>
      <w:r w:rsidRPr="005C61B5">
        <w:rPr>
          <w:rFonts w:ascii="Book Antiqua" w:hAnsi="Book Antiqua"/>
          <w:sz w:val="24"/>
          <w:szCs w:val="24"/>
        </w:rPr>
        <w:t xml:space="preserve"> 2018; </w:t>
      </w:r>
      <w:r w:rsidRPr="005C61B5">
        <w:rPr>
          <w:rFonts w:ascii="Book Antiqua" w:hAnsi="Book Antiqua"/>
          <w:b/>
          <w:sz w:val="24"/>
          <w:szCs w:val="24"/>
        </w:rPr>
        <w:t>52</w:t>
      </w:r>
      <w:r w:rsidRPr="005C61B5">
        <w:rPr>
          <w:rFonts w:ascii="Book Antiqua" w:hAnsi="Book Antiqua"/>
          <w:sz w:val="24"/>
          <w:szCs w:val="24"/>
        </w:rPr>
        <w:t>: 85-92 [PMID: 29172395 DOI: 10.4132/jptm.2017.11.13]</w:t>
      </w:r>
    </w:p>
    <w:p w:rsidR="005C61B5" w:rsidRPr="005C61B5" w:rsidRDefault="005C61B5" w:rsidP="005C61B5">
      <w:pPr>
        <w:spacing w:line="360" w:lineRule="auto"/>
        <w:rPr>
          <w:rFonts w:ascii="Book Antiqua" w:hAnsi="Book Antiqua"/>
          <w:sz w:val="24"/>
          <w:szCs w:val="24"/>
        </w:rPr>
      </w:pPr>
      <w:r w:rsidRPr="00AF36E2">
        <w:rPr>
          <w:rFonts w:ascii="Book Antiqua" w:hAnsi="Book Antiqua"/>
          <w:sz w:val="24"/>
          <w:szCs w:val="24"/>
        </w:rPr>
        <w:t>2</w:t>
      </w:r>
      <w:r w:rsidR="00754B79" w:rsidRPr="00AF36E2">
        <w:rPr>
          <w:rFonts w:ascii="Book Antiqua" w:hAnsi="Book Antiqua" w:hint="eastAsia"/>
          <w:sz w:val="24"/>
          <w:szCs w:val="24"/>
        </w:rPr>
        <w:t>3</w:t>
      </w:r>
      <w:r w:rsidRPr="00AF36E2">
        <w:rPr>
          <w:rFonts w:ascii="Book Antiqua" w:hAnsi="Book Antiqua"/>
          <w:sz w:val="24"/>
          <w:szCs w:val="24"/>
        </w:rPr>
        <w:t xml:space="preserve"> </w:t>
      </w:r>
      <w:r w:rsidRPr="00AF36E2">
        <w:rPr>
          <w:rFonts w:ascii="Book Antiqua" w:hAnsi="Book Antiqua"/>
          <w:b/>
          <w:sz w:val="24"/>
          <w:szCs w:val="24"/>
        </w:rPr>
        <w:t>Strumfa I</w:t>
      </w:r>
      <w:r w:rsidRPr="00AF36E2">
        <w:rPr>
          <w:rFonts w:ascii="Book Antiqua" w:hAnsi="Book Antiqua"/>
          <w:sz w:val="24"/>
          <w:szCs w:val="24"/>
        </w:rPr>
        <w:t>. Liver Biopsy - Indications,</w:t>
      </w:r>
      <w:r w:rsidR="00754B79" w:rsidRPr="00AF36E2">
        <w:rPr>
          <w:rFonts w:ascii="Book Antiqua" w:hAnsi="Book Antiqua"/>
          <w:sz w:val="24"/>
          <w:szCs w:val="24"/>
        </w:rPr>
        <w:t xml:space="preserve"> </w:t>
      </w:r>
      <w:r w:rsidRPr="00AF36E2">
        <w:rPr>
          <w:rFonts w:ascii="Book Antiqua" w:hAnsi="Book Antiqua"/>
          <w:sz w:val="24"/>
          <w:szCs w:val="24"/>
        </w:rPr>
        <w:t>Procedures, Results. 1st ed. Croatia: In Tech, 2012: 115-159</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2</w:t>
      </w:r>
      <w:r w:rsidR="00754B79">
        <w:rPr>
          <w:rFonts w:ascii="Book Antiqua" w:hAnsi="Book Antiqua" w:hint="eastAsia"/>
          <w:sz w:val="24"/>
          <w:szCs w:val="24"/>
        </w:rPr>
        <w:t>4</w:t>
      </w:r>
      <w:r w:rsidRPr="005C61B5">
        <w:rPr>
          <w:rFonts w:ascii="Book Antiqua" w:hAnsi="Book Antiqua"/>
          <w:sz w:val="24"/>
          <w:szCs w:val="24"/>
        </w:rPr>
        <w:t xml:space="preserve"> </w:t>
      </w:r>
      <w:r w:rsidRPr="005C61B5">
        <w:rPr>
          <w:rFonts w:ascii="Book Antiqua" w:hAnsi="Book Antiqua"/>
          <w:b/>
          <w:sz w:val="24"/>
          <w:szCs w:val="24"/>
        </w:rPr>
        <w:t>Radwan NA</w:t>
      </w:r>
      <w:r w:rsidRPr="005C61B5">
        <w:rPr>
          <w:rFonts w:ascii="Book Antiqua" w:hAnsi="Book Antiqua"/>
          <w:sz w:val="24"/>
          <w:szCs w:val="24"/>
        </w:rPr>
        <w:t xml:space="preserve">, Ahmed NS. The diagnostic value of arginase-1 immunostaining in differentiating hepatocellular carcinoma from metastatic carcinoma and cholangiocarcinoma as compared to HepPar-1. </w:t>
      </w:r>
      <w:r w:rsidRPr="005C61B5">
        <w:rPr>
          <w:rFonts w:ascii="Book Antiqua" w:hAnsi="Book Antiqua"/>
          <w:i/>
          <w:sz w:val="24"/>
          <w:szCs w:val="24"/>
        </w:rPr>
        <w:t>Diagn Pathol</w:t>
      </w:r>
      <w:r w:rsidRPr="005C61B5">
        <w:rPr>
          <w:rFonts w:ascii="Book Antiqua" w:hAnsi="Book Antiqua"/>
          <w:sz w:val="24"/>
          <w:szCs w:val="24"/>
        </w:rPr>
        <w:t xml:space="preserve"> 2012; </w:t>
      </w:r>
      <w:r w:rsidRPr="005C61B5">
        <w:rPr>
          <w:rFonts w:ascii="Book Antiqua" w:hAnsi="Book Antiqua"/>
          <w:b/>
          <w:sz w:val="24"/>
          <w:szCs w:val="24"/>
        </w:rPr>
        <w:t>7</w:t>
      </w:r>
      <w:r w:rsidRPr="005C61B5">
        <w:rPr>
          <w:rFonts w:ascii="Book Antiqua" w:hAnsi="Book Antiqua"/>
          <w:sz w:val="24"/>
          <w:szCs w:val="24"/>
        </w:rPr>
        <w:t>: 149 [PMID: 23111165 DOI: 10.1186/1746-1596-7-149]</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2</w:t>
      </w:r>
      <w:r w:rsidR="00754B79">
        <w:rPr>
          <w:rFonts w:ascii="Book Antiqua" w:hAnsi="Book Antiqua" w:hint="eastAsia"/>
          <w:sz w:val="24"/>
          <w:szCs w:val="24"/>
        </w:rPr>
        <w:t>5</w:t>
      </w:r>
      <w:r w:rsidRPr="005C61B5">
        <w:rPr>
          <w:rFonts w:ascii="Book Antiqua" w:hAnsi="Book Antiqua"/>
          <w:sz w:val="24"/>
          <w:szCs w:val="24"/>
        </w:rPr>
        <w:t xml:space="preserve"> </w:t>
      </w:r>
      <w:r w:rsidRPr="005C61B5">
        <w:rPr>
          <w:rFonts w:ascii="Book Antiqua" w:hAnsi="Book Antiqua"/>
          <w:b/>
          <w:sz w:val="24"/>
          <w:szCs w:val="24"/>
        </w:rPr>
        <w:t>van Dekken H</w:t>
      </w:r>
      <w:r w:rsidRPr="005C61B5">
        <w:rPr>
          <w:rFonts w:ascii="Book Antiqua" w:hAnsi="Book Antiqua"/>
          <w:sz w:val="24"/>
          <w:szCs w:val="24"/>
        </w:rPr>
        <w:t xml:space="preserve">, Verhoef C, Wink J, van Marion R, Vissers KJ, Hop WC, de Man RA, IJzermans JN, van Eijck CH, Zondervan PE. Cell biological evaluation of liver cell carcinoma, dysplasia and adenoma by tissue micro-array analysis. </w:t>
      </w:r>
      <w:r w:rsidRPr="005C61B5">
        <w:rPr>
          <w:rFonts w:ascii="Book Antiqua" w:hAnsi="Book Antiqua"/>
          <w:i/>
          <w:sz w:val="24"/>
          <w:szCs w:val="24"/>
        </w:rPr>
        <w:t>Acta Histochem</w:t>
      </w:r>
      <w:r w:rsidRPr="005C61B5">
        <w:rPr>
          <w:rFonts w:ascii="Book Antiqua" w:hAnsi="Book Antiqua"/>
          <w:sz w:val="24"/>
          <w:szCs w:val="24"/>
        </w:rPr>
        <w:t xml:space="preserve"> 2005; </w:t>
      </w:r>
      <w:r w:rsidRPr="005C61B5">
        <w:rPr>
          <w:rFonts w:ascii="Book Antiqua" w:hAnsi="Book Antiqua"/>
          <w:b/>
          <w:sz w:val="24"/>
          <w:szCs w:val="24"/>
        </w:rPr>
        <w:t>107</w:t>
      </w:r>
      <w:r w:rsidRPr="005C61B5">
        <w:rPr>
          <w:rFonts w:ascii="Book Antiqua" w:hAnsi="Book Antiqua"/>
          <w:sz w:val="24"/>
          <w:szCs w:val="24"/>
        </w:rPr>
        <w:t>: 161-171 [PMID: 16000213 DOI: 10.1016/j.acthis.2005.03.001]</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2</w:t>
      </w:r>
      <w:r w:rsidR="00754B79">
        <w:rPr>
          <w:rFonts w:ascii="Book Antiqua" w:hAnsi="Book Antiqua" w:hint="eastAsia"/>
          <w:sz w:val="24"/>
          <w:szCs w:val="24"/>
        </w:rPr>
        <w:t>6</w:t>
      </w:r>
      <w:r w:rsidRPr="005C61B5">
        <w:rPr>
          <w:rFonts w:ascii="Book Antiqua" w:hAnsi="Book Antiqua"/>
          <w:sz w:val="24"/>
          <w:szCs w:val="24"/>
        </w:rPr>
        <w:t xml:space="preserve"> </w:t>
      </w:r>
      <w:r w:rsidRPr="005C61B5">
        <w:rPr>
          <w:rFonts w:ascii="Book Antiqua" w:hAnsi="Book Antiqua"/>
          <w:b/>
          <w:sz w:val="24"/>
          <w:szCs w:val="24"/>
        </w:rPr>
        <w:t>Shackelford C</w:t>
      </w:r>
      <w:r w:rsidRPr="005C61B5">
        <w:rPr>
          <w:rFonts w:ascii="Book Antiqua" w:hAnsi="Book Antiqua"/>
          <w:sz w:val="24"/>
          <w:szCs w:val="24"/>
        </w:rPr>
        <w:t xml:space="preserve">, Long G, Wolf J, Okerberg C, Herbert R. Qualitative and quantitative analysis of nonneoplastic lesions in toxicology studies. </w:t>
      </w:r>
      <w:r w:rsidRPr="005C61B5">
        <w:rPr>
          <w:rFonts w:ascii="Book Antiqua" w:hAnsi="Book Antiqua"/>
          <w:i/>
          <w:sz w:val="24"/>
          <w:szCs w:val="24"/>
        </w:rPr>
        <w:t>Toxicol Pathol</w:t>
      </w:r>
      <w:r w:rsidRPr="005C61B5">
        <w:rPr>
          <w:rFonts w:ascii="Book Antiqua" w:hAnsi="Book Antiqua"/>
          <w:sz w:val="24"/>
          <w:szCs w:val="24"/>
        </w:rPr>
        <w:t xml:space="preserve"> 2002; </w:t>
      </w:r>
      <w:r w:rsidRPr="005C61B5">
        <w:rPr>
          <w:rFonts w:ascii="Book Antiqua" w:hAnsi="Book Antiqua"/>
          <w:b/>
          <w:sz w:val="24"/>
          <w:szCs w:val="24"/>
        </w:rPr>
        <w:t>30</w:t>
      </w:r>
      <w:r w:rsidRPr="005C61B5">
        <w:rPr>
          <w:rFonts w:ascii="Book Antiqua" w:hAnsi="Book Antiqua"/>
          <w:sz w:val="24"/>
          <w:szCs w:val="24"/>
        </w:rPr>
        <w:t>: 93-96 [PMID: 11890482 DOI: 10.1080/01926230252824761]</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2</w:t>
      </w:r>
      <w:r w:rsidR="00754B79">
        <w:rPr>
          <w:rFonts w:ascii="Book Antiqua" w:hAnsi="Book Antiqua" w:hint="eastAsia"/>
          <w:sz w:val="24"/>
          <w:szCs w:val="24"/>
        </w:rPr>
        <w:t>7</w:t>
      </w:r>
      <w:r w:rsidRPr="005C61B5">
        <w:rPr>
          <w:rFonts w:ascii="Book Antiqua" w:hAnsi="Book Antiqua"/>
          <w:sz w:val="24"/>
          <w:szCs w:val="24"/>
        </w:rPr>
        <w:t xml:space="preserve"> </w:t>
      </w:r>
      <w:r w:rsidRPr="005C61B5">
        <w:rPr>
          <w:rFonts w:ascii="Book Antiqua" w:hAnsi="Book Antiqua"/>
          <w:b/>
          <w:sz w:val="24"/>
          <w:szCs w:val="24"/>
        </w:rPr>
        <w:t>Hübner RH</w:t>
      </w:r>
      <w:r w:rsidRPr="005C61B5">
        <w:rPr>
          <w:rFonts w:ascii="Book Antiqua" w:hAnsi="Book Antiqua"/>
          <w:sz w:val="24"/>
          <w:szCs w:val="24"/>
        </w:rPr>
        <w:t xml:space="preserve">, Gitter W, El Mokhtari NE, Mathiak M, Both M, Bolte H, Freitag-Wolf S, Bewig B. Standardized quantification of pulmonary fibrosis in histological samples. </w:t>
      </w:r>
      <w:r w:rsidRPr="005C61B5">
        <w:rPr>
          <w:rFonts w:ascii="Book Antiqua" w:hAnsi="Book Antiqua"/>
          <w:i/>
          <w:sz w:val="24"/>
          <w:szCs w:val="24"/>
        </w:rPr>
        <w:t>Biotechniques</w:t>
      </w:r>
      <w:r w:rsidRPr="005C61B5">
        <w:rPr>
          <w:rFonts w:ascii="Book Antiqua" w:hAnsi="Book Antiqua"/>
          <w:sz w:val="24"/>
          <w:szCs w:val="24"/>
        </w:rPr>
        <w:t xml:space="preserve"> 2008; </w:t>
      </w:r>
      <w:r w:rsidRPr="005C61B5">
        <w:rPr>
          <w:rFonts w:ascii="Book Antiqua" w:hAnsi="Book Antiqua"/>
          <w:b/>
          <w:sz w:val="24"/>
          <w:szCs w:val="24"/>
        </w:rPr>
        <w:t>44</w:t>
      </w:r>
      <w:r w:rsidRPr="005C61B5">
        <w:rPr>
          <w:rFonts w:ascii="Book Antiqua" w:hAnsi="Book Antiqua"/>
          <w:sz w:val="24"/>
          <w:szCs w:val="24"/>
        </w:rPr>
        <w:t>: 507-511, 514-517 [PMID: 18476815 DOI: 10.2144/000112729]</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2</w:t>
      </w:r>
      <w:r w:rsidR="00754B79">
        <w:rPr>
          <w:rFonts w:ascii="Book Antiqua" w:hAnsi="Book Antiqua" w:hint="eastAsia"/>
          <w:sz w:val="24"/>
          <w:szCs w:val="24"/>
        </w:rPr>
        <w:t>8</w:t>
      </w:r>
      <w:r w:rsidRPr="005C61B5">
        <w:rPr>
          <w:rFonts w:ascii="Book Antiqua" w:hAnsi="Book Antiqua"/>
          <w:sz w:val="24"/>
          <w:szCs w:val="24"/>
        </w:rPr>
        <w:t xml:space="preserve"> </w:t>
      </w:r>
      <w:r w:rsidRPr="005C61B5">
        <w:rPr>
          <w:rFonts w:ascii="Book Antiqua" w:hAnsi="Book Antiqua"/>
          <w:b/>
          <w:sz w:val="24"/>
          <w:szCs w:val="24"/>
        </w:rPr>
        <w:t>Cheek E</w:t>
      </w:r>
      <w:r w:rsidRPr="005C61B5">
        <w:rPr>
          <w:rFonts w:ascii="Book Antiqua" w:hAnsi="Book Antiqua"/>
          <w:sz w:val="24"/>
          <w:szCs w:val="24"/>
        </w:rPr>
        <w:t xml:space="preserve">, Rajkumar C. How to present statistics in medical journals. </w:t>
      </w:r>
      <w:r w:rsidRPr="005C61B5">
        <w:rPr>
          <w:rFonts w:ascii="Book Antiqua" w:hAnsi="Book Antiqua"/>
          <w:i/>
          <w:sz w:val="24"/>
          <w:szCs w:val="24"/>
        </w:rPr>
        <w:t>Age Ageing</w:t>
      </w:r>
      <w:r w:rsidRPr="005C61B5">
        <w:rPr>
          <w:rFonts w:ascii="Book Antiqua" w:hAnsi="Book Antiqua"/>
          <w:sz w:val="24"/>
          <w:szCs w:val="24"/>
        </w:rPr>
        <w:t xml:space="preserve"> 2014; </w:t>
      </w:r>
      <w:r w:rsidRPr="005C61B5">
        <w:rPr>
          <w:rFonts w:ascii="Book Antiqua" w:hAnsi="Book Antiqua"/>
          <w:b/>
          <w:sz w:val="24"/>
          <w:szCs w:val="24"/>
        </w:rPr>
        <w:t>43</w:t>
      </w:r>
      <w:r w:rsidRPr="005C61B5">
        <w:rPr>
          <w:rFonts w:ascii="Book Antiqua" w:hAnsi="Book Antiqua"/>
          <w:sz w:val="24"/>
          <w:szCs w:val="24"/>
        </w:rPr>
        <w:t>: 306-308 [PMID: 24627353 DOI: 10.1093/ageing/afu015]</w:t>
      </w:r>
    </w:p>
    <w:p w:rsidR="005C61B5" w:rsidRPr="005C61B5" w:rsidRDefault="00754B79" w:rsidP="005C61B5">
      <w:pPr>
        <w:spacing w:line="360" w:lineRule="auto"/>
        <w:rPr>
          <w:rFonts w:ascii="Book Antiqua" w:hAnsi="Book Antiqua"/>
          <w:sz w:val="24"/>
          <w:szCs w:val="24"/>
        </w:rPr>
      </w:pPr>
      <w:r>
        <w:rPr>
          <w:rFonts w:ascii="Book Antiqua" w:hAnsi="Book Antiqua" w:hint="eastAsia"/>
          <w:sz w:val="24"/>
          <w:szCs w:val="24"/>
        </w:rPr>
        <w:t>29</w:t>
      </w:r>
      <w:r w:rsidR="005C61B5" w:rsidRPr="005C61B5">
        <w:rPr>
          <w:rFonts w:ascii="Book Antiqua" w:hAnsi="Book Antiqua"/>
          <w:sz w:val="24"/>
          <w:szCs w:val="24"/>
        </w:rPr>
        <w:t xml:space="preserve"> </w:t>
      </w:r>
      <w:r w:rsidR="005C61B5" w:rsidRPr="005C61B5">
        <w:rPr>
          <w:rFonts w:ascii="Book Antiqua" w:hAnsi="Book Antiqua"/>
          <w:b/>
          <w:sz w:val="24"/>
          <w:szCs w:val="24"/>
        </w:rPr>
        <w:t>Fedchenko N</w:t>
      </w:r>
      <w:r w:rsidR="005C61B5" w:rsidRPr="005C61B5">
        <w:rPr>
          <w:rFonts w:ascii="Book Antiqua" w:hAnsi="Book Antiqua"/>
          <w:sz w:val="24"/>
          <w:szCs w:val="24"/>
        </w:rPr>
        <w:t xml:space="preserve">, Reifenrath J. Different approaches for interpretation and reporting of immunohistochemistry analysis results in the bone tissue - a review. </w:t>
      </w:r>
      <w:r w:rsidR="005C61B5" w:rsidRPr="005C61B5">
        <w:rPr>
          <w:rFonts w:ascii="Book Antiqua" w:hAnsi="Book Antiqua"/>
          <w:i/>
          <w:sz w:val="24"/>
          <w:szCs w:val="24"/>
        </w:rPr>
        <w:t>Diagn Pathol</w:t>
      </w:r>
      <w:r w:rsidR="005C61B5" w:rsidRPr="005C61B5">
        <w:rPr>
          <w:rFonts w:ascii="Book Antiqua" w:hAnsi="Book Antiqua"/>
          <w:sz w:val="24"/>
          <w:szCs w:val="24"/>
        </w:rPr>
        <w:t xml:space="preserve"> 2014; </w:t>
      </w:r>
      <w:r w:rsidR="005C61B5" w:rsidRPr="005C61B5">
        <w:rPr>
          <w:rFonts w:ascii="Book Antiqua" w:hAnsi="Book Antiqua"/>
          <w:b/>
          <w:sz w:val="24"/>
          <w:szCs w:val="24"/>
        </w:rPr>
        <w:t>9</w:t>
      </w:r>
      <w:r w:rsidR="005C61B5" w:rsidRPr="005C61B5">
        <w:rPr>
          <w:rFonts w:ascii="Book Antiqua" w:hAnsi="Book Antiqua"/>
          <w:sz w:val="24"/>
          <w:szCs w:val="24"/>
        </w:rPr>
        <w:t>: 221 [PMID: 25432701 DOI: 10.1186/s13000-014-0221-9]</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3</w:t>
      </w:r>
      <w:r w:rsidR="00754B79">
        <w:rPr>
          <w:rFonts w:ascii="Book Antiqua" w:hAnsi="Book Antiqua" w:hint="eastAsia"/>
          <w:sz w:val="24"/>
          <w:szCs w:val="24"/>
        </w:rPr>
        <w:t xml:space="preserve">0 </w:t>
      </w:r>
      <w:r w:rsidRPr="005C61B5">
        <w:rPr>
          <w:rFonts w:ascii="Book Antiqua" w:hAnsi="Book Antiqua"/>
          <w:b/>
          <w:sz w:val="24"/>
          <w:szCs w:val="24"/>
        </w:rPr>
        <w:t>Wang L</w:t>
      </w:r>
      <w:r w:rsidRPr="005C61B5">
        <w:rPr>
          <w:rFonts w:ascii="Book Antiqua" w:hAnsi="Book Antiqua"/>
          <w:sz w:val="24"/>
          <w:szCs w:val="24"/>
        </w:rPr>
        <w:t xml:space="preserve">, Wang J, Zhang X, Li J, Wei X, Cheng J, Ling Q, Xie H, Zhou L, Xu X, Zheng S. Diagnostic Value of Preoperative Needle Biopsy for Tumor Grading Assessment in Hepatocellular Carcinoma. </w:t>
      </w:r>
      <w:r w:rsidRPr="005C61B5">
        <w:rPr>
          <w:rFonts w:ascii="Book Antiqua" w:hAnsi="Book Antiqua"/>
          <w:i/>
          <w:sz w:val="24"/>
          <w:szCs w:val="24"/>
        </w:rPr>
        <w:t>PLoS One</w:t>
      </w:r>
      <w:r w:rsidRPr="005C61B5">
        <w:rPr>
          <w:rFonts w:ascii="Book Antiqua" w:hAnsi="Book Antiqua"/>
          <w:sz w:val="24"/>
          <w:szCs w:val="24"/>
        </w:rPr>
        <w:t xml:space="preserve"> 2015; </w:t>
      </w:r>
      <w:r w:rsidRPr="005C61B5">
        <w:rPr>
          <w:rFonts w:ascii="Book Antiqua" w:hAnsi="Book Antiqua"/>
          <w:b/>
          <w:sz w:val="24"/>
          <w:szCs w:val="24"/>
        </w:rPr>
        <w:t>10</w:t>
      </w:r>
      <w:r w:rsidRPr="005C61B5">
        <w:rPr>
          <w:rFonts w:ascii="Book Antiqua" w:hAnsi="Book Antiqua"/>
          <w:sz w:val="24"/>
          <w:szCs w:val="24"/>
        </w:rPr>
        <w:t>: e0144216 [PMID: 26658912 DOI: 10.1371/journal.pone.0144216]</w:t>
      </w:r>
    </w:p>
    <w:p w:rsidR="005C61B5" w:rsidRPr="005C61B5" w:rsidRDefault="005C61B5" w:rsidP="005C61B5">
      <w:pPr>
        <w:spacing w:line="360" w:lineRule="auto"/>
        <w:rPr>
          <w:rFonts w:ascii="Book Antiqua" w:hAnsi="Book Antiqua"/>
          <w:sz w:val="24"/>
          <w:szCs w:val="24"/>
        </w:rPr>
      </w:pPr>
      <w:r w:rsidRPr="005C61B5">
        <w:rPr>
          <w:rFonts w:ascii="Book Antiqua" w:hAnsi="Book Antiqua"/>
          <w:sz w:val="24"/>
          <w:szCs w:val="24"/>
        </w:rPr>
        <w:t>3</w:t>
      </w:r>
      <w:r w:rsidR="00754B79">
        <w:rPr>
          <w:rFonts w:ascii="Book Antiqua" w:hAnsi="Book Antiqua" w:hint="eastAsia"/>
          <w:sz w:val="24"/>
          <w:szCs w:val="24"/>
        </w:rPr>
        <w:t>1</w:t>
      </w:r>
      <w:r w:rsidRPr="005C61B5">
        <w:rPr>
          <w:rFonts w:ascii="Book Antiqua" w:hAnsi="Book Antiqua"/>
          <w:sz w:val="24"/>
          <w:szCs w:val="24"/>
        </w:rPr>
        <w:t xml:space="preserve"> </w:t>
      </w:r>
      <w:r w:rsidRPr="005C61B5">
        <w:rPr>
          <w:rFonts w:ascii="Book Antiqua" w:hAnsi="Book Antiqua"/>
          <w:b/>
          <w:sz w:val="24"/>
          <w:szCs w:val="24"/>
        </w:rPr>
        <w:t>Chen J</w:t>
      </w:r>
      <w:r w:rsidRPr="005C61B5">
        <w:rPr>
          <w:rFonts w:ascii="Book Antiqua" w:hAnsi="Book Antiqua"/>
          <w:sz w:val="24"/>
          <w:szCs w:val="24"/>
        </w:rPr>
        <w:t xml:space="preserve">, Wu M, Liu R, Li S, Gao R, Song B. Preoperative evaluation of the histological grade of hepatocellular carcinoma with diffusion-weighted imaging: a meta-analysis. </w:t>
      </w:r>
      <w:r w:rsidRPr="005C61B5">
        <w:rPr>
          <w:rFonts w:ascii="Book Antiqua" w:hAnsi="Book Antiqua"/>
          <w:i/>
          <w:sz w:val="24"/>
          <w:szCs w:val="24"/>
        </w:rPr>
        <w:t>PLoS One</w:t>
      </w:r>
      <w:r w:rsidRPr="005C61B5">
        <w:rPr>
          <w:rFonts w:ascii="Book Antiqua" w:hAnsi="Book Antiqua"/>
          <w:sz w:val="24"/>
          <w:szCs w:val="24"/>
        </w:rPr>
        <w:t xml:space="preserve"> 2015; </w:t>
      </w:r>
      <w:r w:rsidRPr="005C61B5">
        <w:rPr>
          <w:rFonts w:ascii="Book Antiqua" w:hAnsi="Book Antiqua"/>
          <w:b/>
          <w:sz w:val="24"/>
          <w:szCs w:val="24"/>
        </w:rPr>
        <w:t>10</w:t>
      </w:r>
      <w:r w:rsidRPr="005C61B5">
        <w:rPr>
          <w:rFonts w:ascii="Book Antiqua" w:hAnsi="Book Antiqua"/>
          <w:sz w:val="24"/>
          <w:szCs w:val="24"/>
        </w:rPr>
        <w:t>: e0117661 [PMID: 25658359 DOI: 10.1371/journal.pone.0117661]</w:t>
      </w:r>
    </w:p>
    <w:p w:rsidR="009E03E1" w:rsidRPr="005C61B5" w:rsidRDefault="009E03E1" w:rsidP="005C61B5">
      <w:pPr>
        <w:spacing w:line="360" w:lineRule="auto"/>
        <w:rPr>
          <w:rFonts w:ascii="Book Antiqua" w:hAnsi="Book Antiqua"/>
          <w:b/>
          <w:sz w:val="24"/>
          <w:szCs w:val="24"/>
          <w:lang w:val="en-GB"/>
        </w:rPr>
      </w:pPr>
    </w:p>
    <w:p w:rsidR="009E03E1" w:rsidRPr="00754B79" w:rsidRDefault="009E03E1" w:rsidP="00AF36E2">
      <w:pPr>
        <w:pStyle w:val="af2"/>
        <w:spacing w:line="360" w:lineRule="auto"/>
        <w:jc w:val="left"/>
        <w:rPr>
          <w:rFonts w:ascii="Book Antiqua" w:hAnsi="Book Antiqua"/>
          <w:b/>
          <w:sz w:val="24"/>
          <w:szCs w:val="24"/>
        </w:rPr>
      </w:pPr>
      <w:r w:rsidRPr="00754B79">
        <w:rPr>
          <w:rFonts w:ascii="Book Antiqua" w:hAnsi="Book Antiqua"/>
          <w:b/>
          <w:sz w:val="24"/>
          <w:szCs w:val="24"/>
        </w:rPr>
        <w:t xml:space="preserve">P-Reviewer: </w:t>
      </w:r>
      <w:r w:rsidR="00710617" w:rsidRPr="00754B79">
        <w:rPr>
          <w:rFonts w:ascii="Book Antiqua" w:hAnsi="Book Antiqua"/>
          <w:color w:val="000000"/>
          <w:sz w:val="24"/>
          <w:szCs w:val="24"/>
        </w:rPr>
        <w:t xml:space="preserve">Dueland S, Ko E, Kositamongkol P </w:t>
      </w:r>
      <w:r w:rsidRPr="00754B79">
        <w:rPr>
          <w:rFonts w:ascii="Book Antiqua" w:hAnsi="Book Antiqua"/>
          <w:b/>
          <w:sz w:val="24"/>
          <w:szCs w:val="24"/>
        </w:rPr>
        <w:t xml:space="preserve">S-Editor: </w:t>
      </w:r>
      <w:r w:rsidRPr="00754B79">
        <w:rPr>
          <w:rFonts w:ascii="Book Antiqua" w:hAnsi="Book Antiqua"/>
          <w:sz w:val="24"/>
          <w:szCs w:val="24"/>
        </w:rPr>
        <w:t>Ji FF</w:t>
      </w:r>
      <w:r w:rsidRPr="00754B79">
        <w:rPr>
          <w:rFonts w:ascii="Book Antiqua" w:hAnsi="Book Antiqua"/>
          <w:b/>
          <w:sz w:val="24"/>
          <w:szCs w:val="24"/>
        </w:rPr>
        <w:t xml:space="preserve"> L-Editor: </w:t>
      </w:r>
      <w:r w:rsidR="00AF36E2" w:rsidRPr="000B6DBB">
        <w:rPr>
          <w:rFonts w:ascii="Book Antiqua" w:hAnsi="Book Antiqua" w:hint="eastAsia"/>
          <w:sz w:val="24"/>
          <w:szCs w:val="24"/>
        </w:rPr>
        <w:t>A</w:t>
      </w:r>
      <w:r w:rsidR="00AF36E2">
        <w:rPr>
          <w:rFonts w:ascii="Book Antiqua" w:hAnsi="Book Antiqua" w:hint="eastAsia"/>
          <w:b/>
          <w:sz w:val="24"/>
          <w:szCs w:val="24"/>
        </w:rPr>
        <w:t xml:space="preserve"> </w:t>
      </w:r>
      <w:r w:rsidR="00AF36E2" w:rsidRPr="002C75D2">
        <w:rPr>
          <w:rFonts w:ascii="Book Antiqua" w:hAnsi="Book Antiqua"/>
          <w:b/>
          <w:sz w:val="24"/>
          <w:szCs w:val="24"/>
        </w:rPr>
        <w:t xml:space="preserve">E-Editor: </w:t>
      </w:r>
      <w:r w:rsidR="00AF36E2" w:rsidRPr="00123F4D">
        <w:rPr>
          <w:rFonts w:ascii="Book Antiqua" w:hAnsi="Book Antiqua" w:hint="eastAsia"/>
          <w:sz w:val="24"/>
          <w:szCs w:val="24"/>
        </w:rPr>
        <w:t>Wu YXJ</w:t>
      </w:r>
    </w:p>
    <w:p w:rsidR="009E03E1" w:rsidRPr="005C61B5" w:rsidRDefault="009E03E1" w:rsidP="00AF36E2">
      <w:pPr>
        <w:pStyle w:val="af2"/>
        <w:spacing w:line="360" w:lineRule="auto"/>
        <w:rPr>
          <w:rFonts w:ascii="Book Antiqua" w:hAnsi="Book Antiqua" w:cs="Helvetica"/>
          <w:b/>
          <w:kern w:val="0"/>
          <w:sz w:val="24"/>
          <w:szCs w:val="24"/>
        </w:rPr>
      </w:pPr>
      <w:r w:rsidRPr="005C61B5">
        <w:rPr>
          <w:rFonts w:ascii="Book Antiqua" w:hAnsi="Book Antiqua" w:cs="Helvetica"/>
          <w:b/>
          <w:kern w:val="0"/>
          <w:sz w:val="24"/>
          <w:szCs w:val="24"/>
        </w:rPr>
        <w:t xml:space="preserve">Specialty type: </w:t>
      </w:r>
      <w:r w:rsidR="00710617" w:rsidRPr="005C61B5">
        <w:rPr>
          <w:rFonts w:ascii="Book Antiqua" w:hAnsi="Book Antiqua" w:cs="Helvetica"/>
          <w:kern w:val="0"/>
          <w:sz w:val="24"/>
          <w:szCs w:val="24"/>
        </w:rPr>
        <w:t>Oncology</w:t>
      </w:r>
    </w:p>
    <w:p w:rsidR="009E03E1" w:rsidRPr="005C61B5" w:rsidRDefault="009E03E1" w:rsidP="005C61B5">
      <w:pPr>
        <w:widowControl/>
        <w:snapToGrid w:val="0"/>
        <w:spacing w:line="360" w:lineRule="auto"/>
        <w:rPr>
          <w:rFonts w:ascii="Book Antiqua" w:hAnsi="Book Antiqua" w:cs="Helvetica"/>
          <w:b/>
          <w:kern w:val="0"/>
          <w:sz w:val="24"/>
          <w:szCs w:val="24"/>
        </w:rPr>
      </w:pPr>
      <w:r w:rsidRPr="005C61B5">
        <w:rPr>
          <w:rFonts w:ascii="Book Antiqua" w:hAnsi="Book Antiqua" w:cs="Helvetica"/>
          <w:b/>
          <w:kern w:val="0"/>
          <w:sz w:val="24"/>
          <w:szCs w:val="24"/>
        </w:rPr>
        <w:t xml:space="preserve">Country of origin: </w:t>
      </w:r>
      <w:r w:rsidR="00710617" w:rsidRPr="005C61B5">
        <w:rPr>
          <w:rFonts w:ascii="Book Antiqua" w:hAnsi="Book Antiqua"/>
          <w:kern w:val="0"/>
          <w:sz w:val="24"/>
          <w:szCs w:val="24"/>
        </w:rPr>
        <w:t>China</w:t>
      </w:r>
    </w:p>
    <w:p w:rsidR="009E03E1" w:rsidRPr="005C61B5" w:rsidRDefault="009E03E1" w:rsidP="005C61B5">
      <w:pPr>
        <w:widowControl/>
        <w:snapToGrid w:val="0"/>
        <w:spacing w:line="360" w:lineRule="auto"/>
        <w:rPr>
          <w:rFonts w:ascii="Book Antiqua" w:hAnsi="Book Antiqua" w:cs="Helvetica"/>
          <w:b/>
          <w:kern w:val="0"/>
          <w:sz w:val="24"/>
          <w:szCs w:val="24"/>
        </w:rPr>
      </w:pPr>
      <w:r w:rsidRPr="005C61B5">
        <w:rPr>
          <w:rFonts w:ascii="Book Antiqua" w:hAnsi="Book Antiqua" w:cs="Helvetica"/>
          <w:b/>
          <w:kern w:val="0"/>
          <w:sz w:val="24"/>
          <w:szCs w:val="24"/>
        </w:rPr>
        <w:t>Peer-review report classification</w:t>
      </w:r>
    </w:p>
    <w:p w:rsidR="009E03E1" w:rsidRPr="005C61B5" w:rsidRDefault="009E03E1" w:rsidP="005C61B5">
      <w:pPr>
        <w:widowControl/>
        <w:snapToGrid w:val="0"/>
        <w:spacing w:line="360" w:lineRule="auto"/>
        <w:rPr>
          <w:rFonts w:ascii="Book Antiqua" w:hAnsi="Book Antiqua" w:cs="Helvetica"/>
          <w:kern w:val="0"/>
          <w:sz w:val="24"/>
          <w:szCs w:val="24"/>
        </w:rPr>
      </w:pPr>
      <w:r w:rsidRPr="005C61B5">
        <w:rPr>
          <w:rFonts w:ascii="Book Antiqua" w:hAnsi="Book Antiqua" w:cs="Helvetica"/>
          <w:kern w:val="0"/>
          <w:sz w:val="24"/>
          <w:szCs w:val="24"/>
        </w:rPr>
        <w:t xml:space="preserve">Grade A (Excellent): </w:t>
      </w:r>
      <w:r w:rsidR="00710617" w:rsidRPr="005C61B5">
        <w:rPr>
          <w:rFonts w:ascii="Book Antiqua" w:hAnsi="Book Antiqua" w:cs="Helvetica"/>
          <w:kern w:val="0"/>
          <w:sz w:val="24"/>
          <w:szCs w:val="24"/>
        </w:rPr>
        <w:t>0</w:t>
      </w:r>
    </w:p>
    <w:p w:rsidR="009E03E1" w:rsidRPr="005C61B5" w:rsidRDefault="009E03E1" w:rsidP="005C61B5">
      <w:pPr>
        <w:widowControl/>
        <w:snapToGrid w:val="0"/>
        <w:spacing w:line="360" w:lineRule="auto"/>
        <w:rPr>
          <w:rFonts w:ascii="Book Antiqua" w:hAnsi="Book Antiqua" w:cs="Helvetica"/>
          <w:kern w:val="0"/>
          <w:sz w:val="24"/>
          <w:szCs w:val="24"/>
        </w:rPr>
      </w:pPr>
      <w:r w:rsidRPr="005C61B5">
        <w:rPr>
          <w:rFonts w:ascii="Book Antiqua" w:hAnsi="Book Antiqua" w:cs="Helvetica"/>
          <w:kern w:val="0"/>
          <w:sz w:val="24"/>
          <w:szCs w:val="24"/>
        </w:rPr>
        <w:t>Grade B (Very good): B</w:t>
      </w:r>
      <w:r w:rsidR="00710617" w:rsidRPr="005C61B5">
        <w:rPr>
          <w:rFonts w:ascii="Book Antiqua" w:hAnsi="Book Antiqua" w:cs="Helvetica"/>
          <w:kern w:val="0"/>
          <w:sz w:val="24"/>
          <w:szCs w:val="24"/>
        </w:rPr>
        <w:t>, B</w:t>
      </w:r>
    </w:p>
    <w:p w:rsidR="009E03E1" w:rsidRPr="005C61B5" w:rsidRDefault="009E03E1" w:rsidP="005C61B5">
      <w:pPr>
        <w:widowControl/>
        <w:snapToGrid w:val="0"/>
        <w:spacing w:line="360" w:lineRule="auto"/>
        <w:rPr>
          <w:rFonts w:ascii="Book Antiqua" w:hAnsi="Book Antiqua" w:cs="Helvetica"/>
          <w:kern w:val="0"/>
          <w:sz w:val="24"/>
          <w:szCs w:val="24"/>
        </w:rPr>
      </w:pPr>
      <w:r w:rsidRPr="005C61B5">
        <w:rPr>
          <w:rFonts w:ascii="Book Antiqua" w:hAnsi="Book Antiqua" w:cs="Helvetica"/>
          <w:kern w:val="0"/>
          <w:sz w:val="24"/>
          <w:szCs w:val="24"/>
        </w:rPr>
        <w:t>Grade C (Good): C</w:t>
      </w:r>
    </w:p>
    <w:p w:rsidR="009E03E1" w:rsidRPr="005C61B5" w:rsidRDefault="009E03E1" w:rsidP="005C61B5">
      <w:pPr>
        <w:widowControl/>
        <w:snapToGrid w:val="0"/>
        <w:spacing w:line="360" w:lineRule="auto"/>
        <w:rPr>
          <w:rFonts w:ascii="Book Antiqua" w:hAnsi="Book Antiqua" w:cs="Helvetica"/>
          <w:kern w:val="0"/>
          <w:sz w:val="24"/>
          <w:szCs w:val="24"/>
        </w:rPr>
      </w:pPr>
      <w:r w:rsidRPr="005C61B5">
        <w:rPr>
          <w:rFonts w:ascii="Book Antiqua" w:hAnsi="Book Antiqua" w:cs="Helvetica"/>
          <w:kern w:val="0"/>
          <w:sz w:val="24"/>
          <w:szCs w:val="24"/>
        </w:rPr>
        <w:t xml:space="preserve">Grade D (Fair): 0 </w:t>
      </w:r>
    </w:p>
    <w:p w:rsidR="009E03E1" w:rsidRPr="005C61B5" w:rsidRDefault="009E03E1" w:rsidP="005C61B5">
      <w:pPr>
        <w:spacing w:line="360" w:lineRule="auto"/>
        <w:rPr>
          <w:rFonts w:ascii="Book Antiqua" w:hAnsi="Book Antiqua"/>
          <w:sz w:val="24"/>
          <w:szCs w:val="24"/>
          <w:lang w:val="en-GB"/>
        </w:rPr>
      </w:pPr>
      <w:r w:rsidRPr="005C61B5">
        <w:rPr>
          <w:rFonts w:ascii="Book Antiqua" w:hAnsi="Book Antiqua" w:cs="Helvetica"/>
          <w:kern w:val="0"/>
          <w:sz w:val="24"/>
          <w:szCs w:val="24"/>
        </w:rPr>
        <w:t>Grade E (Poor): 0</w:t>
      </w:r>
    </w:p>
    <w:p w:rsidR="00826C56" w:rsidRDefault="00826C56" w:rsidP="00AD4B85">
      <w:pPr>
        <w:autoSpaceDE w:val="0"/>
        <w:autoSpaceDN w:val="0"/>
        <w:adjustRightInd w:val="0"/>
        <w:spacing w:line="360" w:lineRule="auto"/>
        <w:rPr>
          <w:rFonts w:ascii="Book Antiqua" w:hAnsi="Book Antiqua" w:hint="eastAsia"/>
          <w:b/>
          <w:kern w:val="0"/>
          <w:sz w:val="24"/>
          <w:szCs w:val="24"/>
          <w:lang w:val="en-GB"/>
        </w:rPr>
      </w:pPr>
      <w:r>
        <w:rPr>
          <w:rFonts w:ascii="Book Antiqua" w:hAnsi="Book Antiqua"/>
          <w:b/>
          <w:sz w:val="24"/>
          <w:szCs w:val="24"/>
          <w:lang w:val="en-GB"/>
        </w:rPr>
        <w:br w:type="page"/>
      </w:r>
      <w:r w:rsidR="001D365D">
        <w:rPr>
          <w:rFonts w:ascii="Book Antiqua" w:hAnsi="Book Antiqua"/>
          <w:b/>
          <w:noProof/>
          <w:kern w:val="0"/>
          <w:sz w:val="24"/>
          <w:szCs w:val="24"/>
        </w:rPr>
        <w:drawing>
          <wp:inline distT="0" distB="0" distL="0" distR="0">
            <wp:extent cx="4316095" cy="3540760"/>
            <wp:effectExtent l="0" t="0" r="8255" b="2540"/>
            <wp:docPr id="1" name="图片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ig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6095" cy="3540760"/>
                    </a:xfrm>
                    <a:prstGeom prst="rect">
                      <a:avLst/>
                    </a:prstGeom>
                    <a:noFill/>
                    <a:ln>
                      <a:noFill/>
                    </a:ln>
                    <a:effectLst/>
                  </pic:spPr>
                </pic:pic>
              </a:graphicData>
            </a:graphic>
          </wp:inline>
        </w:drawing>
      </w:r>
    </w:p>
    <w:p w:rsidR="00710617" w:rsidRDefault="00710617" w:rsidP="00AD4B85">
      <w:pPr>
        <w:spacing w:line="360" w:lineRule="auto"/>
        <w:rPr>
          <w:rFonts w:ascii="Book Antiqua" w:hAnsi="Book Antiqua" w:hint="eastAsia"/>
          <w:b/>
          <w:sz w:val="24"/>
          <w:szCs w:val="24"/>
          <w:lang w:val="en-GB"/>
        </w:rPr>
      </w:pPr>
    </w:p>
    <w:p w:rsidR="00826C56" w:rsidRPr="00580532" w:rsidRDefault="00826C56" w:rsidP="00AD4B85">
      <w:pPr>
        <w:spacing w:line="360" w:lineRule="auto"/>
        <w:rPr>
          <w:rFonts w:ascii="Book Antiqua" w:hAnsi="Book Antiqua"/>
          <w:sz w:val="24"/>
          <w:szCs w:val="24"/>
          <w:lang w:val="en-GB"/>
        </w:rPr>
      </w:pPr>
      <w:r w:rsidRPr="00580532">
        <w:rPr>
          <w:rFonts w:ascii="Book Antiqua" w:hAnsi="Book Antiqua"/>
          <w:b/>
          <w:sz w:val="24"/>
          <w:szCs w:val="24"/>
          <w:lang w:val="en-GB"/>
        </w:rPr>
        <w:t>Fig</w:t>
      </w:r>
      <w:r>
        <w:rPr>
          <w:rFonts w:ascii="Book Antiqua" w:hAnsi="Book Antiqua" w:hint="eastAsia"/>
          <w:b/>
          <w:sz w:val="24"/>
          <w:szCs w:val="24"/>
          <w:lang w:val="en-GB"/>
        </w:rPr>
        <w:t>ure</w:t>
      </w:r>
      <w:r>
        <w:rPr>
          <w:rFonts w:ascii="Book Antiqua" w:hAnsi="Book Antiqua"/>
          <w:b/>
          <w:sz w:val="24"/>
          <w:szCs w:val="24"/>
          <w:lang w:val="en-GB"/>
        </w:rPr>
        <w:t xml:space="preserve"> 1</w:t>
      </w:r>
      <w:r w:rsidRPr="00580532">
        <w:rPr>
          <w:rFonts w:ascii="Book Antiqua" w:hAnsi="Book Antiqua"/>
          <w:b/>
          <w:sz w:val="24"/>
          <w:szCs w:val="24"/>
          <w:lang w:val="en-GB"/>
        </w:rPr>
        <w:t xml:space="preserve"> Schematic of the patient selection procedures. </w:t>
      </w:r>
    </w:p>
    <w:p w:rsidR="00AD4B85" w:rsidRDefault="00AD4B85" w:rsidP="00AD4B85">
      <w:pPr>
        <w:spacing w:line="360" w:lineRule="auto"/>
        <w:rPr>
          <w:rFonts w:ascii="Book Antiqua" w:hAnsi="Book Antiqua" w:hint="eastAsia"/>
          <w:b/>
          <w:sz w:val="24"/>
          <w:szCs w:val="24"/>
          <w:lang w:val="en-GB"/>
        </w:rPr>
      </w:pPr>
      <w:r>
        <w:rPr>
          <w:rFonts w:ascii="Book Antiqua" w:hAnsi="Book Antiqua"/>
          <w:b/>
          <w:sz w:val="24"/>
          <w:szCs w:val="24"/>
          <w:lang w:val="en-GB"/>
        </w:rPr>
        <w:br w:type="page"/>
      </w:r>
      <w:r w:rsidR="001D365D">
        <w:rPr>
          <w:rFonts w:ascii="Book Antiqua" w:hAnsi="Book Antiqua"/>
          <w:b/>
          <w:noProof/>
          <w:sz w:val="24"/>
          <w:szCs w:val="24"/>
        </w:rPr>
        <w:drawing>
          <wp:inline distT="0" distB="0" distL="0" distR="0">
            <wp:extent cx="5266690" cy="3394075"/>
            <wp:effectExtent l="0" t="0" r="0" b="0"/>
            <wp:docPr id="2" name="图片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ig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6690" cy="3394075"/>
                    </a:xfrm>
                    <a:prstGeom prst="rect">
                      <a:avLst/>
                    </a:prstGeom>
                    <a:noFill/>
                    <a:ln>
                      <a:noFill/>
                    </a:ln>
                  </pic:spPr>
                </pic:pic>
              </a:graphicData>
            </a:graphic>
          </wp:inline>
        </w:drawing>
      </w:r>
    </w:p>
    <w:p w:rsidR="00472F3D" w:rsidRDefault="00AD4B85" w:rsidP="00AD4B85">
      <w:pPr>
        <w:spacing w:line="360" w:lineRule="auto"/>
        <w:rPr>
          <w:rFonts w:ascii="Book Antiqua" w:hAnsi="Book Antiqua"/>
          <w:b/>
          <w:sz w:val="24"/>
          <w:szCs w:val="24"/>
          <w:lang w:val="en-GB"/>
        </w:rPr>
      </w:pPr>
      <w:r w:rsidRPr="00580532">
        <w:rPr>
          <w:rFonts w:ascii="Book Antiqua" w:hAnsi="Book Antiqua"/>
          <w:b/>
          <w:sz w:val="24"/>
          <w:szCs w:val="24"/>
          <w:lang w:val="en-GB"/>
        </w:rPr>
        <w:t>Fig</w:t>
      </w:r>
      <w:r>
        <w:rPr>
          <w:rFonts w:ascii="Book Antiqua" w:hAnsi="Book Antiqua" w:hint="eastAsia"/>
          <w:b/>
          <w:sz w:val="24"/>
          <w:szCs w:val="24"/>
          <w:lang w:val="en-GB"/>
        </w:rPr>
        <w:t>ure</w:t>
      </w:r>
      <w:r>
        <w:rPr>
          <w:rFonts w:ascii="Book Antiqua" w:hAnsi="Book Antiqua"/>
          <w:b/>
          <w:sz w:val="24"/>
          <w:szCs w:val="24"/>
          <w:lang w:val="en-GB"/>
        </w:rPr>
        <w:t xml:space="preserve"> 2</w:t>
      </w:r>
      <w:r w:rsidRPr="00580532">
        <w:rPr>
          <w:rFonts w:ascii="Book Antiqua" w:hAnsi="Book Antiqua"/>
          <w:b/>
          <w:sz w:val="24"/>
          <w:szCs w:val="24"/>
          <w:lang w:val="en-GB"/>
        </w:rPr>
        <w:t xml:space="preserve"> The four-tier score method </w:t>
      </w:r>
      <w:r w:rsidRPr="00580532">
        <w:rPr>
          <w:rFonts w:ascii="Book Antiqua" w:hAnsi="Book Antiqua"/>
          <w:b/>
          <w:kern w:val="0"/>
          <w:sz w:val="24"/>
          <w:szCs w:val="24"/>
          <w:lang w:val="en-GB"/>
        </w:rPr>
        <w:t>for interpretation</w:t>
      </w:r>
      <w:r w:rsidRPr="00580532">
        <w:rPr>
          <w:rFonts w:ascii="Book Antiqua" w:hAnsi="Book Antiqua"/>
          <w:b/>
          <w:sz w:val="24"/>
          <w:szCs w:val="24"/>
          <w:lang w:val="en-GB"/>
        </w:rPr>
        <w:t xml:space="preserve"> </w:t>
      </w:r>
      <w:r w:rsidRPr="00580532">
        <w:rPr>
          <w:rFonts w:ascii="Book Antiqua" w:hAnsi="Book Antiqua"/>
          <w:b/>
          <w:bCs/>
          <w:sz w:val="24"/>
          <w:szCs w:val="24"/>
          <w:lang w:val="en-GB"/>
        </w:rPr>
        <w:t xml:space="preserve">of </w:t>
      </w:r>
      <w:r w:rsidRPr="00580532">
        <w:rPr>
          <w:rFonts w:ascii="Book Antiqua" w:hAnsi="Book Antiqua"/>
          <w:b/>
          <w:sz w:val="24"/>
          <w:szCs w:val="24"/>
          <w:lang w:val="en-GB"/>
        </w:rPr>
        <w:t xml:space="preserve">the IHC staining of the three markers. </w:t>
      </w:r>
    </w:p>
    <w:p w:rsidR="00472F3D" w:rsidRPr="00580532" w:rsidRDefault="00472F3D" w:rsidP="00472F3D">
      <w:pPr>
        <w:spacing w:line="360" w:lineRule="auto"/>
        <w:rPr>
          <w:rFonts w:ascii="Book Antiqua" w:hAnsi="Book Antiqua"/>
          <w:b/>
          <w:sz w:val="24"/>
          <w:szCs w:val="24"/>
          <w:lang w:val="en-GB"/>
        </w:rPr>
      </w:pPr>
      <w:r>
        <w:rPr>
          <w:rFonts w:ascii="Book Antiqua" w:hAnsi="Book Antiqua"/>
          <w:b/>
          <w:sz w:val="24"/>
          <w:szCs w:val="24"/>
          <w:lang w:val="en-GB"/>
        </w:rPr>
        <w:br w:type="page"/>
      </w:r>
      <w:r w:rsidR="001D365D">
        <w:rPr>
          <w:rFonts w:ascii="Book Antiqua" w:hAnsi="Book Antiqua"/>
          <w:b/>
          <w:noProof/>
          <w:sz w:val="24"/>
          <w:szCs w:val="24"/>
        </w:rPr>
        <w:drawing>
          <wp:inline distT="0" distB="0" distL="0" distR="0">
            <wp:extent cx="3394075" cy="3175000"/>
            <wp:effectExtent l="0" t="0" r="0" b="6350"/>
            <wp:docPr id="3" name="图片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ig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4075" cy="3175000"/>
                    </a:xfrm>
                    <a:prstGeom prst="rect">
                      <a:avLst/>
                    </a:prstGeom>
                    <a:noFill/>
                    <a:ln>
                      <a:noFill/>
                    </a:ln>
                  </pic:spPr>
                </pic:pic>
              </a:graphicData>
            </a:graphic>
          </wp:inline>
        </w:drawing>
      </w:r>
    </w:p>
    <w:p w:rsidR="00472F3D" w:rsidRPr="00554C32" w:rsidRDefault="00472F3D" w:rsidP="00472F3D">
      <w:pPr>
        <w:spacing w:line="360" w:lineRule="auto"/>
        <w:rPr>
          <w:rFonts w:ascii="Book Antiqua" w:hAnsi="Book Antiqua" w:hint="eastAsia"/>
          <w:b/>
          <w:sz w:val="24"/>
          <w:szCs w:val="24"/>
          <w:lang w:val="en-GB"/>
        </w:rPr>
      </w:pPr>
      <w:r w:rsidRPr="00554C32">
        <w:rPr>
          <w:rFonts w:ascii="Book Antiqua" w:hAnsi="Book Antiqua"/>
          <w:b/>
          <w:sz w:val="24"/>
          <w:szCs w:val="24"/>
          <w:lang w:val="en-GB"/>
        </w:rPr>
        <w:t>Fig</w:t>
      </w:r>
      <w:r w:rsidRPr="00554C32">
        <w:rPr>
          <w:rFonts w:ascii="Book Antiqua" w:hAnsi="Book Antiqua" w:hint="eastAsia"/>
          <w:b/>
          <w:sz w:val="24"/>
          <w:szCs w:val="24"/>
          <w:lang w:val="en-GB"/>
        </w:rPr>
        <w:t>ure</w:t>
      </w:r>
      <w:r w:rsidRPr="00554C32">
        <w:rPr>
          <w:rFonts w:ascii="Book Antiqua" w:hAnsi="Book Antiqua"/>
          <w:b/>
          <w:sz w:val="24"/>
          <w:szCs w:val="24"/>
          <w:lang w:val="en-GB"/>
        </w:rPr>
        <w:t xml:space="preserve"> 3 Receiver operating characteristic showing the accuracy of needle core </w:t>
      </w:r>
      <w:r w:rsidR="00B77E7E" w:rsidRPr="00554C32">
        <w:rPr>
          <w:rFonts w:ascii="Book Antiqua" w:hAnsi="Book Antiqua"/>
          <w:b/>
          <w:sz w:val="24"/>
          <w:szCs w:val="24"/>
          <w:lang w:val="en-GB"/>
        </w:rPr>
        <w:t>biopsy</w:t>
      </w:r>
      <w:r w:rsidRPr="00554C32">
        <w:rPr>
          <w:rFonts w:ascii="Book Antiqua" w:hAnsi="Book Antiqua" w:hint="eastAsia"/>
          <w:b/>
          <w:sz w:val="24"/>
          <w:szCs w:val="24"/>
          <w:lang w:val="en-GB"/>
        </w:rPr>
        <w:t xml:space="preserve"> </w:t>
      </w:r>
      <w:r w:rsidRPr="00554C32">
        <w:rPr>
          <w:rFonts w:ascii="Book Antiqua" w:hAnsi="Book Antiqua"/>
          <w:b/>
          <w:sz w:val="24"/>
          <w:szCs w:val="24"/>
          <w:lang w:val="en-GB"/>
        </w:rPr>
        <w:t xml:space="preserve">diagnosis. </w:t>
      </w:r>
    </w:p>
    <w:p w:rsidR="00AD4B85" w:rsidRPr="00472F3D" w:rsidRDefault="00AD4B85" w:rsidP="00AD4B85">
      <w:pPr>
        <w:spacing w:line="360" w:lineRule="auto"/>
        <w:rPr>
          <w:rFonts w:ascii="Book Antiqua" w:hAnsi="Book Antiqua"/>
          <w:b/>
          <w:sz w:val="24"/>
          <w:szCs w:val="24"/>
          <w:lang w:val="en-GB"/>
        </w:rPr>
      </w:pPr>
    </w:p>
    <w:p w:rsidR="00333714" w:rsidRDefault="00333714" w:rsidP="00333714">
      <w:pPr>
        <w:spacing w:line="360" w:lineRule="auto"/>
        <w:rPr>
          <w:rFonts w:ascii="Book Antiqua" w:hAnsi="Book Antiqua" w:hint="eastAsia"/>
          <w:b/>
          <w:sz w:val="24"/>
          <w:szCs w:val="24"/>
          <w:lang w:val="en-GB"/>
        </w:rPr>
      </w:pPr>
      <w:r>
        <w:rPr>
          <w:rFonts w:ascii="Book Antiqua" w:hAnsi="Book Antiqua"/>
          <w:b/>
          <w:sz w:val="24"/>
          <w:szCs w:val="24"/>
          <w:lang w:val="en-GB"/>
        </w:rPr>
        <w:br w:type="page"/>
        <w:t>Table 1</w:t>
      </w:r>
      <w:r w:rsidRPr="00580532">
        <w:rPr>
          <w:rFonts w:ascii="Book Antiqua" w:hAnsi="Book Antiqua"/>
          <w:b/>
          <w:sz w:val="24"/>
          <w:szCs w:val="24"/>
          <w:lang w:val="en-GB"/>
        </w:rPr>
        <w:t xml:space="preserve"> Baseline clinical characteristics of </w:t>
      </w:r>
      <w:r w:rsidRPr="00580532">
        <w:rPr>
          <w:rFonts w:ascii="Book Antiqua" w:eastAsia="Times-Roman" w:hAnsi="Book Antiqua"/>
          <w:b/>
          <w:sz w:val="24"/>
          <w:szCs w:val="24"/>
          <w:lang w:val="en-GB"/>
        </w:rPr>
        <w:t xml:space="preserve">the </w:t>
      </w:r>
      <w:r>
        <w:rPr>
          <w:rFonts w:ascii="Book Antiqua" w:hAnsi="Book Antiqua"/>
          <w:b/>
          <w:sz w:val="24"/>
          <w:szCs w:val="24"/>
          <w:lang w:val="en-GB"/>
        </w:rPr>
        <w:t>patients included in the study</w:t>
      </w:r>
    </w:p>
    <w:p w:rsidR="00333714" w:rsidRPr="00580532" w:rsidRDefault="00333714" w:rsidP="00333714">
      <w:pPr>
        <w:spacing w:line="360" w:lineRule="auto"/>
        <w:rPr>
          <w:rFonts w:ascii="Book Antiqua" w:hAnsi="Book Antiqua"/>
          <w:b/>
          <w:sz w:val="24"/>
          <w:szCs w:val="24"/>
          <w:lang w:val="en-GB"/>
        </w:rPr>
      </w:pPr>
    </w:p>
    <w:tbl>
      <w:tblPr>
        <w:tblW w:w="0" w:type="auto"/>
        <w:jc w:val="center"/>
        <w:tblInd w:w="0" w:type="dxa"/>
        <w:tblBorders>
          <w:top w:val="single" w:sz="4" w:space="0" w:color="auto"/>
          <w:bottom w:val="single" w:sz="4" w:space="0" w:color="auto"/>
        </w:tblBorders>
        <w:tblLayout w:type="fixed"/>
        <w:tblLook w:val="0000" w:firstRow="0" w:lastRow="0" w:firstColumn="0" w:lastColumn="0" w:noHBand="0" w:noVBand="0"/>
      </w:tblPr>
      <w:tblGrid>
        <w:gridCol w:w="2592"/>
        <w:gridCol w:w="2223"/>
        <w:gridCol w:w="1083"/>
      </w:tblGrid>
      <w:tr w:rsidR="00333714" w:rsidRPr="00580532" w:rsidTr="00A06665">
        <w:trPr>
          <w:trHeight w:val="634"/>
          <w:jc w:val="center"/>
        </w:trPr>
        <w:tc>
          <w:tcPr>
            <w:tcW w:w="4815" w:type="dxa"/>
            <w:gridSpan w:val="2"/>
            <w:tcBorders>
              <w:top w:val="single" w:sz="4" w:space="0" w:color="auto"/>
              <w:bottom w:val="single" w:sz="4" w:space="0" w:color="auto"/>
            </w:tcBorders>
            <w:shd w:val="clear" w:color="auto" w:fill="auto"/>
            <w:vAlign w:val="center"/>
          </w:tcPr>
          <w:p w:rsidR="00333714" w:rsidRPr="00580532" w:rsidRDefault="00333714" w:rsidP="00A06665">
            <w:pPr>
              <w:spacing w:line="360" w:lineRule="auto"/>
              <w:rPr>
                <w:rFonts w:ascii="Book Antiqua" w:hAnsi="Book Antiqua"/>
                <w:b/>
                <w:sz w:val="24"/>
                <w:szCs w:val="24"/>
                <w:lang w:val="en-GB"/>
              </w:rPr>
            </w:pPr>
            <w:r w:rsidRPr="00580532">
              <w:rPr>
                <w:rFonts w:ascii="Book Antiqua" w:hAnsi="Book Antiqua"/>
                <w:b/>
                <w:sz w:val="24"/>
                <w:szCs w:val="24"/>
                <w:lang w:val="en-GB"/>
              </w:rPr>
              <w:t>Variable</w:t>
            </w:r>
          </w:p>
        </w:tc>
        <w:tc>
          <w:tcPr>
            <w:tcW w:w="1083" w:type="dxa"/>
            <w:tcBorders>
              <w:top w:val="single" w:sz="4" w:space="0" w:color="auto"/>
              <w:bottom w:val="single" w:sz="4" w:space="0" w:color="auto"/>
            </w:tcBorders>
            <w:shd w:val="clear" w:color="auto" w:fill="auto"/>
            <w:vAlign w:val="center"/>
          </w:tcPr>
          <w:p w:rsidR="00333714" w:rsidRPr="00580532" w:rsidRDefault="00333714" w:rsidP="00A06665">
            <w:pPr>
              <w:spacing w:line="360" w:lineRule="auto"/>
              <w:rPr>
                <w:rFonts w:ascii="Book Antiqua" w:hAnsi="Book Antiqua"/>
                <w:b/>
                <w:sz w:val="24"/>
                <w:szCs w:val="24"/>
                <w:lang w:val="en-GB"/>
              </w:rPr>
            </w:pPr>
            <w:r w:rsidRPr="00580532">
              <w:rPr>
                <w:rFonts w:ascii="Book Antiqua" w:hAnsi="Book Antiqua"/>
                <w:b/>
                <w:sz w:val="24"/>
                <w:szCs w:val="24"/>
                <w:lang w:val="en-GB"/>
              </w:rPr>
              <w:t>Value</w:t>
            </w:r>
          </w:p>
        </w:tc>
      </w:tr>
      <w:tr w:rsidR="00333714" w:rsidRPr="00580532" w:rsidTr="00A06665">
        <w:trPr>
          <w:trHeight w:val="588"/>
          <w:jc w:val="center"/>
        </w:trPr>
        <w:tc>
          <w:tcPr>
            <w:tcW w:w="2592" w:type="dxa"/>
            <w:tcBorders>
              <w:top w:val="single" w:sz="4" w:space="0" w:color="auto"/>
            </w:tcBorders>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r>
              <w:rPr>
                <w:rFonts w:ascii="Book Antiqua" w:hAnsi="Book Antiqua"/>
                <w:b/>
                <w:sz w:val="24"/>
                <w:szCs w:val="24"/>
                <w:lang w:val="en-GB"/>
              </w:rPr>
              <w:t>Age (yr</w:t>
            </w:r>
            <w:r w:rsidRPr="00580532">
              <w:rPr>
                <w:rFonts w:ascii="Book Antiqua" w:hAnsi="Book Antiqua"/>
                <w:b/>
                <w:sz w:val="24"/>
                <w:szCs w:val="24"/>
                <w:lang w:val="en-GB"/>
              </w:rPr>
              <w:t>)</w:t>
            </w:r>
          </w:p>
        </w:tc>
        <w:tc>
          <w:tcPr>
            <w:tcW w:w="2223" w:type="dxa"/>
            <w:tcBorders>
              <w:top w:val="single" w:sz="4" w:space="0" w:color="auto"/>
            </w:tcBorders>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Median</w:t>
            </w:r>
          </w:p>
        </w:tc>
        <w:tc>
          <w:tcPr>
            <w:tcW w:w="1083" w:type="dxa"/>
            <w:tcBorders>
              <w:top w:val="single" w:sz="4" w:space="0" w:color="auto"/>
            </w:tcBorders>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55</w:t>
            </w:r>
          </w:p>
        </w:tc>
      </w:tr>
      <w:tr w:rsidR="00333714" w:rsidRPr="00580532" w:rsidTr="00A06665">
        <w:trPr>
          <w:trHeight w:val="411"/>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Range</w:t>
            </w: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26-84</w:t>
            </w:r>
          </w:p>
        </w:tc>
      </w:tr>
      <w:tr w:rsidR="00333714" w:rsidRPr="00580532" w:rsidTr="00A06665">
        <w:trPr>
          <w:trHeight w:val="489"/>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p>
        </w:tc>
        <w:tc>
          <w:tcPr>
            <w:tcW w:w="2223" w:type="dxa"/>
            <w:shd w:val="clear" w:color="auto" w:fill="auto"/>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means ± SD</w:t>
            </w: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54.4±11.1</w:t>
            </w:r>
          </w:p>
        </w:tc>
      </w:tr>
      <w:tr w:rsidR="00333714" w:rsidRPr="00580532" w:rsidTr="00A06665">
        <w:trPr>
          <w:trHeight w:val="425"/>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r>
              <w:rPr>
                <w:rFonts w:ascii="Book Antiqua" w:hAnsi="Book Antiqua"/>
                <w:b/>
                <w:sz w:val="24"/>
                <w:szCs w:val="24"/>
                <w:lang w:val="en-GB"/>
              </w:rPr>
              <w:t>Sex</w:t>
            </w:r>
            <w:r w:rsidR="00935D8B">
              <w:rPr>
                <w:rFonts w:ascii="Book Antiqua" w:hAnsi="Book Antiqua" w:hint="eastAsia"/>
                <w:b/>
                <w:sz w:val="24"/>
                <w:szCs w:val="24"/>
                <w:lang w:val="en-GB"/>
              </w:rPr>
              <w:t>,</w:t>
            </w:r>
            <w:r w:rsidRPr="00580532">
              <w:rPr>
                <w:rFonts w:ascii="Book Antiqua" w:hAnsi="Book Antiqua"/>
                <w:b/>
                <w:sz w:val="24"/>
                <w:szCs w:val="24"/>
                <w:lang w:val="en-GB"/>
              </w:rPr>
              <w:t xml:space="preserve"> </w:t>
            </w:r>
            <w:r w:rsidRPr="00333714">
              <w:rPr>
                <w:rFonts w:ascii="Book Antiqua" w:hAnsi="Book Antiqua"/>
                <w:b/>
                <w:i/>
                <w:sz w:val="24"/>
                <w:szCs w:val="24"/>
                <w:lang w:val="en-GB"/>
              </w:rPr>
              <w:t>n</w:t>
            </w:r>
            <w:r w:rsidRPr="00580532">
              <w:rPr>
                <w:rFonts w:ascii="Book Antiqua" w:hAnsi="Book Antiqua"/>
                <w:b/>
                <w:sz w:val="24"/>
                <w:szCs w:val="24"/>
                <w:lang w:val="en-GB"/>
              </w:rPr>
              <w:t xml:space="preserve"> (%)</w:t>
            </w:r>
          </w:p>
        </w:tc>
        <w:tc>
          <w:tcPr>
            <w:tcW w:w="2223" w:type="dxa"/>
            <w:shd w:val="clear" w:color="auto" w:fill="auto"/>
            <w:vAlign w:val="center"/>
          </w:tcPr>
          <w:p w:rsidR="00333714" w:rsidRPr="00580532" w:rsidRDefault="00333714" w:rsidP="00A06665">
            <w:pPr>
              <w:spacing w:line="360" w:lineRule="auto"/>
              <w:rPr>
                <w:rFonts w:ascii="Book Antiqua" w:hAnsi="Book Antiqua"/>
                <w:sz w:val="24"/>
                <w:szCs w:val="24"/>
                <w:lang w:val="en-GB"/>
              </w:rPr>
            </w:pP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p>
        </w:tc>
      </w:tr>
      <w:tr w:rsidR="00333714" w:rsidRPr="00580532" w:rsidTr="00A06665">
        <w:trPr>
          <w:trHeight w:val="517"/>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Male</w:t>
            </w: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177 (85.1)</w:t>
            </w:r>
          </w:p>
        </w:tc>
      </w:tr>
      <w:tr w:rsidR="00333714" w:rsidRPr="00580532" w:rsidTr="00A06665">
        <w:trPr>
          <w:trHeight w:val="410"/>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Female</w:t>
            </w: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31 (14.9)</w:t>
            </w:r>
          </w:p>
        </w:tc>
      </w:tr>
      <w:tr w:rsidR="00333714" w:rsidRPr="00580532" w:rsidTr="00A06665">
        <w:trPr>
          <w:trHeight w:val="502"/>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r>
              <w:rPr>
                <w:rFonts w:ascii="Book Antiqua" w:hAnsi="Book Antiqua"/>
                <w:b/>
                <w:sz w:val="24"/>
                <w:szCs w:val="24"/>
                <w:lang w:val="en-GB"/>
              </w:rPr>
              <w:t>Cirrhosis</w:t>
            </w:r>
            <w:r w:rsidR="00935D8B">
              <w:rPr>
                <w:rFonts w:ascii="Book Antiqua" w:hAnsi="Book Antiqua"/>
                <w:b/>
                <w:sz w:val="24"/>
                <w:szCs w:val="24"/>
                <w:lang w:val="en-GB"/>
              </w:rPr>
              <w:t>,</w:t>
            </w:r>
            <w:r w:rsidRPr="00580532">
              <w:rPr>
                <w:rFonts w:ascii="Book Antiqua" w:hAnsi="Book Antiqua"/>
                <w:b/>
                <w:sz w:val="24"/>
                <w:szCs w:val="24"/>
                <w:lang w:val="en-GB"/>
              </w:rPr>
              <w:t xml:space="preserve"> </w:t>
            </w:r>
            <w:r w:rsidRPr="00333714">
              <w:rPr>
                <w:rFonts w:ascii="Book Antiqua" w:hAnsi="Book Antiqua"/>
                <w:b/>
                <w:i/>
                <w:sz w:val="24"/>
                <w:szCs w:val="24"/>
                <w:lang w:val="en-GB"/>
              </w:rPr>
              <w:t>n</w:t>
            </w:r>
            <w:r w:rsidRPr="00580532">
              <w:rPr>
                <w:rFonts w:ascii="Book Antiqua" w:hAnsi="Book Antiqua"/>
                <w:b/>
                <w:sz w:val="24"/>
                <w:szCs w:val="24"/>
                <w:lang w:val="en-GB"/>
              </w:rPr>
              <w:t xml:space="preserve"> (%)</w:t>
            </w: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p>
        </w:tc>
      </w:tr>
      <w:tr w:rsidR="00333714" w:rsidRPr="00580532" w:rsidTr="00A06665">
        <w:trPr>
          <w:trHeight w:val="269"/>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Yes</w:t>
            </w:r>
            <w:r w:rsidRPr="00580532">
              <w:rPr>
                <w:rFonts w:ascii="Book Antiqua" w:hAnsi="Book Antiqua"/>
                <w:b/>
                <w:sz w:val="24"/>
                <w:szCs w:val="24"/>
                <w:lang w:val="en-GB"/>
              </w:rPr>
              <w:t xml:space="preserve"> </w:t>
            </w: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173 (83.2)</w:t>
            </w:r>
          </w:p>
        </w:tc>
      </w:tr>
      <w:tr w:rsidR="00333714" w:rsidRPr="00580532" w:rsidTr="00A06665">
        <w:trPr>
          <w:trHeight w:val="263"/>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No</w:t>
            </w: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35 (16.8)</w:t>
            </w:r>
          </w:p>
        </w:tc>
      </w:tr>
      <w:tr w:rsidR="00333714" w:rsidRPr="00580532" w:rsidTr="00A06665">
        <w:trPr>
          <w:trHeight w:val="155"/>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r>
              <w:rPr>
                <w:rFonts w:ascii="Book Antiqua" w:hAnsi="Book Antiqua"/>
                <w:b/>
                <w:sz w:val="24"/>
                <w:szCs w:val="24"/>
                <w:lang w:val="en-GB"/>
              </w:rPr>
              <w:t>Aetiology</w:t>
            </w:r>
            <w:r w:rsidR="00935D8B">
              <w:rPr>
                <w:rFonts w:ascii="Book Antiqua" w:hAnsi="Book Antiqua"/>
                <w:b/>
                <w:sz w:val="24"/>
                <w:szCs w:val="24"/>
                <w:lang w:val="en-GB"/>
              </w:rPr>
              <w:t>,</w:t>
            </w:r>
            <w:r>
              <w:rPr>
                <w:rFonts w:ascii="Book Antiqua" w:hAnsi="Book Antiqua" w:hint="eastAsia"/>
                <w:b/>
                <w:sz w:val="24"/>
                <w:szCs w:val="24"/>
                <w:lang w:val="en-GB"/>
              </w:rPr>
              <w:t xml:space="preserve"> </w:t>
            </w:r>
            <w:r w:rsidRPr="00333714">
              <w:rPr>
                <w:rFonts w:ascii="Book Antiqua" w:hAnsi="Book Antiqua"/>
                <w:b/>
                <w:i/>
                <w:sz w:val="24"/>
                <w:szCs w:val="24"/>
                <w:lang w:val="en-GB"/>
              </w:rPr>
              <w:t>n</w:t>
            </w:r>
            <w:r w:rsidRPr="00580532">
              <w:rPr>
                <w:rFonts w:ascii="Book Antiqua" w:hAnsi="Book Antiqua"/>
                <w:b/>
                <w:sz w:val="24"/>
                <w:szCs w:val="24"/>
                <w:lang w:val="en-GB"/>
              </w:rPr>
              <w:t xml:space="preserve"> (%)</w:t>
            </w: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p>
        </w:tc>
      </w:tr>
      <w:tr w:rsidR="00333714" w:rsidRPr="00580532" w:rsidTr="00A06665">
        <w:trPr>
          <w:trHeight w:val="247"/>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HBV infection</w:t>
            </w: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192 (92.3)</w:t>
            </w:r>
          </w:p>
        </w:tc>
      </w:tr>
      <w:tr w:rsidR="00333714" w:rsidRPr="00580532" w:rsidTr="00A06665">
        <w:trPr>
          <w:trHeight w:val="339"/>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HCV infection</w:t>
            </w: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12 (5.8)</w:t>
            </w:r>
          </w:p>
        </w:tc>
      </w:tr>
      <w:tr w:rsidR="00333714" w:rsidRPr="00580532" w:rsidTr="00A06665">
        <w:trPr>
          <w:trHeight w:val="444"/>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alcohol abuse</w:t>
            </w: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2 (1.0)</w:t>
            </w:r>
          </w:p>
        </w:tc>
      </w:tr>
      <w:tr w:rsidR="00333714" w:rsidRPr="00580532" w:rsidTr="00A06665">
        <w:trPr>
          <w:trHeight w:val="381"/>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Primary biliary cirrhosis</w:t>
            </w: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1 (0.5)</w:t>
            </w:r>
          </w:p>
        </w:tc>
      </w:tr>
      <w:tr w:rsidR="00333714" w:rsidRPr="00580532" w:rsidTr="00A06665">
        <w:trPr>
          <w:trHeight w:val="472"/>
          <w:jc w:val="center"/>
        </w:trPr>
        <w:tc>
          <w:tcPr>
            <w:tcW w:w="2592" w:type="dxa"/>
            <w:shd w:val="clear" w:color="auto" w:fill="auto"/>
            <w:vAlign w:val="center"/>
          </w:tcPr>
          <w:p w:rsidR="00333714" w:rsidRPr="00580532" w:rsidRDefault="00333714" w:rsidP="00A06665">
            <w:pPr>
              <w:tabs>
                <w:tab w:val="left" w:pos="3000"/>
              </w:tabs>
              <w:spacing w:line="360" w:lineRule="auto"/>
              <w:rPr>
                <w:rFonts w:ascii="Book Antiqua" w:hAnsi="Book Antiqua"/>
                <w:b/>
                <w:sz w:val="24"/>
                <w:szCs w:val="24"/>
                <w:lang w:val="en-GB"/>
              </w:rPr>
            </w:pP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Schistosoma infection</w:t>
            </w:r>
          </w:p>
        </w:tc>
        <w:tc>
          <w:tcPr>
            <w:tcW w:w="108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1 (0.5)</w:t>
            </w:r>
          </w:p>
        </w:tc>
      </w:tr>
      <w:tr w:rsidR="00333714" w:rsidRPr="00580532" w:rsidTr="00A06665">
        <w:trPr>
          <w:trHeight w:val="551"/>
          <w:jc w:val="center"/>
        </w:trPr>
        <w:tc>
          <w:tcPr>
            <w:tcW w:w="2592" w:type="dxa"/>
            <w:shd w:val="clear" w:color="auto" w:fill="auto"/>
            <w:vAlign w:val="center"/>
          </w:tcPr>
          <w:p w:rsidR="00333714" w:rsidRPr="00580532" w:rsidRDefault="00333714" w:rsidP="00A06665">
            <w:pPr>
              <w:spacing w:line="360" w:lineRule="auto"/>
              <w:rPr>
                <w:rFonts w:ascii="Book Antiqua" w:hAnsi="Book Antiqua"/>
                <w:b/>
                <w:sz w:val="24"/>
                <w:szCs w:val="24"/>
                <w:lang w:val="en-GB"/>
              </w:rPr>
            </w:pPr>
            <w:r w:rsidRPr="00580532">
              <w:rPr>
                <w:rFonts w:ascii="Book Antiqua" w:hAnsi="Book Antiqua"/>
                <w:b/>
                <w:sz w:val="24"/>
                <w:szCs w:val="24"/>
                <w:lang w:val="en-GB"/>
              </w:rPr>
              <w:t>Tumour diameter (cm)</w:t>
            </w:r>
          </w:p>
        </w:tc>
        <w:tc>
          <w:tcPr>
            <w:tcW w:w="2223" w:type="dxa"/>
            <w:shd w:val="clear" w:color="auto" w:fill="auto"/>
            <w:vAlign w:val="center"/>
          </w:tcPr>
          <w:p w:rsidR="00333714" w:rsidRPr="00580532" w:rsidRDefault="00333714" w:rsidP="00A06665">
            <w:pPr>
              <w:spacing w:line="360" w:lineRule="auto"/>
              <w:rPr>
                <w:rFonts w:ascii="Book Antiqua" w:hAnsi="Book Antiqua"/>
                <w:sz w:val="24"/>
                <w:szCs w:val="24"/>
                <w:lang w:val="en-GB"/>
              </w:rPr>
            </w:pPr>
          </w:p>
        </w:tc>
        <w:tc>
          <w:tcPr>
            <w:tcW w:w="1083" w:type="dxa"/>
            <w:shd w:val="clear" w:color="auto" w:fill="auto"/>
            <w:vAlign w:val="center"/>
          </w:tcPr>
          <w:p w:rsidR="00333714" w:rsidRPr="00580532" w:rsidRDefault="00333714" w:rsidP="00A06665">
            <w:pPr>
              <w:spacing w:line="360" w:lineRule="auto"/>
              <w:rPr>
                <w:rFonts w:ascii="Book Antiqua" w:hAnsi="Book Antiqua"/>
                <w:sz w:val="24"/>
                <w:szCs w:val="24"/>
                <w:lang w:val="en-GB"/>
              </w:rPr>
            </w:pPr>
          </w:p>
        </w:tc>
      </w:tr>
      <w:tr w:rsidR="00333714" w:rsidRPr="00580532" w:rsidTr="00A06665">
        <w:trPr>
          <w:trHeight w:val="417"/>
          <w:jc w:val="center"/>
        </w:trPr>
        <w:tc>
          <w:tcPr>
            <w:tcW w:w="2592" w:type="dxa"/>
            <w:shd w:val="clear" w:color="auto" w:fill="auto"/>
            <w:vAlign w:val="center"/>
          </w:tcPr>
          <w:p w:rsidR="00333714" w:rsidRPr="00580532" w:rsidRDefault="00333714" w:rsidP="00A06665">
            <w:pPr>
              <w:spacing w:line="360" w:lineRule="auto"/>
              <w:rPr>
                <w:rFonts w:ascii="Book Antiqua" w:hAnsi="Book Antiqua"/>
                <w:sz w:val="24"/>
                <w:szCs w:val="24"/>
                <w:lang w:val="en-GB"/>
              </w:rPr>
            </w:pP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Median</w:t>
            </w:r>
          </w:p>
        </w:tc>
        <w:tc>
          <w:tcPr>
            <w:tcW w:w="1083" w:type="dxa"/>
            <w:shd w:val="clear" w:color="auto" w:fill="auto"/>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4.0</w:t>
            </w:r>
          </w:p>
        </w:tc>
      </w:tr>
      <w:tr w:rsidR="00333714" w:rsidRPr="00580532" w:rsidTr="00A06665">
        <w:trPr>
          <w:trHeight w:val="495"/>
          <w:jc w:val="center"/>
        </w:trPr>
        <w:tc>
          <w:tcPr>
            <w:tcW w:w="2592" w:type="dxa"/>
            <w:shd w:val="clear" w:color="auto" w:fill="auto"/>
            <w:vAlign w:val="center"/>
          </w:tcPr>
          <w:p w:rsidR="00333714" w:rsidRPr="00580532" w:rsidRDefault="00333714" w:rsidP="00A06665">
            <w:pPr>
              <w:spacing w:line="360" w:lineRule="auto"/>
              <w:rPr>
                <w:rFonts w:ascii="Book Antiqua" w:hAnsi="Book Antiqua"/>
                <w:sz w:val="24"/>
                <w:szCs w:val="24"/>
                <w:lang w:val="en-GB"/>
              </w:rPr>
            </w:pPr>
          </w:p>
        </w:tc>
        <w:tc>
          <w:tcPr>
            <w:tcW w:w="2223" w:type="dxa"/>
            <w:shd w:val="clear" w:color="auto" w:fill="auto"/>
            <w:vAlign w:val="center"/>
          </w:tcPr>
          <w:p w:rsidR="00333714" w:rsidRPr="00580532" w:rsidRDefault="00333714" w:rsidP="00A06665">
            <w:pPr>
              <w:tabs>
                <w:tab w:val="left" w:pos="3000"/>
              </w:tabs>
              <w:spacing w:line="360" w:lineRule="auto"/>
              <w:rPr>
                <w:rFonts w:ascii="Book Antiqua" w:hAnsi="Book Antiqua"/>
                <w:sz w:val="24"/>
                <w:szCs w:val="24"/>
                <w:lang w:val="en-GB"/>
              </w:rPr>
            </w:pPr>
            <w:r w:rsidRPr="00580532">
              <w:rPr>
                <w:rFonts w:ascii="Book Antiqua" w:hAnsi="Book Antiqua"/>
                <w:sz w:val="24"/>
                <w:szCs w:val="24"/>
                <w:lang w:val="en-GB"/>
              </w:rPr>
              <w:t>Range</w:t>
            </w:r>
          </w:p>
        </w:tc>
        <w:tc>
          <w:tcPr>
            <w:tcW w:w="1083" w:type="dxa"/>
            <w:shd w:val="clear" w:color="auto" w:fill="auto"/>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1.8–15</w:t>
            </w:r>
          </w:p>
        </w:tc>
      </w:tr>
      <w:tr w:rsidR="00333714" w:rsidRPr="00580532" w:rsidTr="00A06665">
        <w:trPr>
          <w:trHeight w:val="431"/>
          <w:jc w:val="center"/>
        </w:trPr>
        <w:tc>
          <w:tcPr>
            <w:tcW w:w="2592" w:type="dxa"/>
            <w:shd w:val="clear" w:color="auto" w:fill="auto"/>
            <w:vAlign w:val="center"/>
          </w:tcPr>
          <w:p w:rsidR="00333714" w:rsidRPr="00580532" w:rsidRDefault="00333714" w:rsidP="00A06665">
            <w:pPr>
              <w:spacing w:line="360" w:lineRule="auto"/>
              <w:rPr>
                <w:rFonts w:ascii="Book Antiqua" w:hAnsi="Book Antiqua"/>
                <w:b/>
                <w:sz w:val="24"/>
                <w:szCs w:val="24"/>
                <w:lang w:val="en-GB"/>
              </w:rPr>
            </w:pPr>
          </w:p>
        </w:tc>
        <w:tc>
          <w:tcPr>
            <w:tcW w:w="2223" w:type="dxa"/>
            <w:shd w:val="clear" w:color="auto" w:fill="auto"/>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means ± SD</w:t>
            </w:r>
          </w:p>
        </w:tc>
        <w:tc>
          <w:tcPr>
            <w:tcW w:w="1083" w:type="dxa"/>
            <w:shd w:val="clear" w:color="auto" w:fill="auto"/>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4.6±2.5</w:t>
            </w:r>
          </w:p>
        </w:tc>
      </w:tr>
    </w:tbl>
    <w:p w:rsidR="00333714" w:rsidRDefault="00333714" w:rsidP="00333714">
      <w:pPr>
        <w:spacing w:line="360" w:lineRule="auto"/>
        <w:rPr>
          <w:rFonts w:ascii="Book Antiqua" w:hAnsi="Book Antiqua" w:hint="eastAsia"/>
          <w:sz w:val="24"/>
          <w:szCs w:val="24"/>
          <w:lang w:val="en-GB"/>
        </w:rPr>
      </w:pPr>
    </w:p>
    <w:p w:rsidR="00333714" w:rsidRPr="00580532" w:rsidRDefault="00333714" w:rsidP="00333714">
      <w:pPr>
        <w:spacing w:line="360" w:lineRule="auto"/>
        <w:rPr>
          <w:rFonts w:ascii="Book Antiqua" w:hAnsi="Book Antiqua"/>
          <w:sz w:val="24"/>
          <w:szCs w:val="24"/>
          <w:lang w:val="en-GB"/>
        </w:rPr>
      </w:pPr>
      <w:r w:rsidRPr="00580532">
        <w:rPr>
          <w:rFonts w:ascii="Book Antiqua" w:hAnsi="Book Antiqua"/>
          <w:sz w:val="24"/>
          <w:szCs w:val="24"/>
          <w:lang w:val="en-GB"/>
        </w:rPr>
        <w:t>SD</w:t>
      </w:r>
      <w:r>
        <w:rPr>
          <w:rFonts w:ascii="Book Antiqua" w:hAnsi="Book Antiqua" w:hint="eastAsia"/>
          <w:sz w:val="24"/>
          <w:szCs w:val="24"/>
          <w:lang w:val="en-GB"/>
        </w:rPr>
        <w:t>:</w:t>
      </w:r>
      <w:r w:rsidRPr="00580532">
        <w:rPr>
          <w:rFonts w:ascii="Book Antiqua" w:hAnsi="Book Antiqua"/>
          <w:sz w:val="24"/>
          <w:szCs w:val="24"/>
          <w:lang w:val="en-GB"/>
        </w:rPr>
        <w:t xml:space="preserve"> Standard deviation; HBV</w:t>
      </w:r>
      <w:r>
        <w:rPr>
          <w:rFonts w:ascii="Book Antiqua" w:hAnsi="Book Antiqua" w:hint="eastAsia"/>
          <w:sz w:val="24"/>
          <w:szCs w:val="24"/>
          <w:lang w:val="en-GB"/>
        </w:rPr>
        <w:t>:</w:t>
      </w:r>
      <w:r w:rsidRPr="00580532">
        <w:rPr>
          <w:rFonts w:ascii="Book Antiqua" w:hAnsi="Book Antiqua"/>
          <w:sz w:val="24"/>
          <w:szCs w:val="24"/>
          <w:lang w:val="en-GB"/>
        </w:rPr>
        <w:t xml:space="preserve"> Hepatitis </w:t>
      </w:r>
      <w:r>
        <w:rPr>
          <w:rFonts w:ascii="Book Antiqua" w:hAnsi="Book Antiqua" w:hint="eastAsia"/>
          <w:sz w:val="24"/>
          <w:szCs w:val="24"/>
          <w:lang w:val="en-GB"/>
        </w:rPr>
        <w:t>B</w:t>
      </w:r>
      <w:r w:rsidRPr="00580532">
        <w:rPr>
          <w:rFonts w:ascii="Book Antiqua" w:hAnsi="Book Antiqua"/>
          <w:sz w:val="24"/>
          <w:szCs w:val="24"/>
          <w:lang w:val="en-GB"/>
        </w:rPr>
        <w:t xml:space="preserve"> virus; HCV</w:t>
      </w:r>
      <w:r>
        <w:rPr>
          <w:rFonts w:ascii="Book Antiqua" w:hAnsi="Book Antiqua" w:hint="eastAsia"/>
          <w:sz w:val="24"/>
          <w:szCs w:val="24"/>
          <w:lang w:val="en-GB"/>
        </w:rPr>
        <w:t>:</w:t>
      </w:r>
      <w:r w:rsidRPr="00580532">
        <w:rPr>
          <w:rFonts w:ascii="Book Antiqua" w:hAnsi="Book Antiqua"/>
          <w:sz w:val="24"/>
          <w:szCs w:val="24"/>
          <w:lang w:val="en-GB"/>
        </w:rPr>
        <w:t xml:space="preserve"> Hepatitis C virus</w:t>
      </w:r>
      <w:r>
        <w:rPr>
          <w:rFonts w:ascii="Book Antiqua" w:hAnsi="Book Antiqua" w:hint="eastAsia"/>
          <w:sz w:val="24"/>
          <w:szCs w:val="24"/>
          <w:lang w:val="en-GB"/>
        </w:rPr>
        <w:t>.</w:t>
      </w:r>
      <w:r w:rsidRPr="00580532">
        <w:rPr>
          <w:rFonts w:ascii="Book Antiqua" w:hAnsi="Book Antiqua"/>
          <w:sz w:val="24"/>
          <w:szCs w:val="24"/>
          <w:lang w:val="en-GB"/>
        </w:rPr>
        <w:t xml:space="preserve"> </w:t>
      </w:r>
    </w:p>
    <w:p w:rsidR="00333714" w:rsidRPr="00333714" w:rsidRDefault="00333714" w:rsidP="00333714">
      <w:pPr>
        <w:spacing w:line="360" w:lineRule="auto"/>
        <w:rPr>
          <w:rFonts w:ascii="Book Antiqua" w:hAnsi="Book Antiqua" w:hint="eastAsia"/>
          <w:b/>
          <w:sz w:val="24"/>
          <w:szCs w:val="24"/>
          <w:lang w:val="en-GB"/>
        </w:rPr>
      </w:pPr>
      <w:r>
        <w:rPr>
          <w:rFonts w:ascii="Book Antiqua" w:hAnsi="Book Antiqua"/>
          <w:b/>
          <w:sz w:val="24"/>
          <w:szCs w:val="24"/>
          <w:lang w:val="en-GB"/>
        </w:rPr>
        <w:br w:type="page"/>
      </w:r>
      <w:r w:rsidRPr="00333714">
        <w:rPr>
          <w:rFonts w:ascii="Book Antiqua" w:hAnsi="Book Antiqua"/>
          <w:b/>
          <w:sz w:val="24"/>
          <w:szCs w:val="24"/>
          <w:lang w:val="en-GB"/>
        </w:rPr>
        <w:t>Table 2 Degree of concordance of the morphology between needle core biopsy and surgery specimen</w:t>
      </w:r>
    </w:p>
    <w:p w:rsidR="00333714" w:rsidRPr="00580532" w:rsidRDefault="00333714" w:rsidP="00333714">
      <w:pPr>
        <w:spacing w:line="360" w:lineRule="auto"/>
        <w:rPr>
          <w:rFonts w:ascii="Book Antiqua" w:hAnsi="Book Antiqua"/>
          <w:b/>
          <w:sz w:val="24"/>
          <w:szCs w:val="24"/>
          <w:lang w:val="en-GB"/>
        </w:rPr>
      </w:pPr>
      <w:r w:rsidRPr="00580532">
        <w:rPr>
          <w:rFonts w:ascii="Book Antiqua" w:hAnsi="Book Antiqua"/>
          <w:b/>
          <w:sz w:val="24"/>
          <w:szCs w:val="24"/>
          <w:lang w:val="en-GB"/>
        </w:rPr>
        <w:t xml:space="preserve"> </w:t>
      </w:r>
    </w:p>
    <w:tbl>
      <w:tblPr>
        <w:tblW w:w="0" w:type="auto"/>
        <w:tblInd w:w="113" w:type="dxa"/>
        <w:tblBorders>
          <w:top w:val="single" w:sz="4" w:space="0" w:color="auto"/>
          <w:bottom w:val="single" w:sz="4" w:space="0" w:color="auto"/>
        </w:tblBorders>
        <w:tblLayout w:type="fixed"/>
        <w:tblLook w:val="0000" w:firstRow="0" w:lastRow="0" w:firstColumn="0" w:lastColumn="0" w:noHBand="0" w:noVBand="0"/>
      </w:tblPr>
      <w:tblGrid>
        <w:gridCol w:w="1256"/>
        <w:gridCol w:w="489"/>
        <w:gridCol w:w="489"/>
        <w:gridCol w:w="489"/>
        <w:gridCol w:w="383"/>
        <w:gridCol w:w="383"/>
        <w:gridCol w:w="383"/>
        <w:gridCol w:w="489"/>
        <w:gridCol w:w="383"/>
      </w:tblGrid>
      <w:tr w:rsidR="00333714" w:rsidRPr="00333714" w:rsidTr="00AD14E2">
        <w:trPr>
          <w:trHeight w:val="665"/>
        </w:trPr>
        <w:tc>
          <w:tcPr>
            <w:tcW w:w="1256" w:type="dxa"/>
            <w:vMerge w:val="restart"/>
            <w:tcBorders>
              <w:top w:val="single" w:sz="4" w:space="0" w:color="auto"/>
              <w:bottom w:val="nil"/>
            </w:tcBorders>
            <w:vAlign w:val="center"/>
          </w:tcPr>
          <w:p w:rsidR="00333714" w:rsidRPr="00333714" w:rsidRDefault="00333714" w:rsidP="00A06665">
            <w:pPr>
              <w:spacing w:line="360" w:lineRule="auto"/>
              <w:rPr>
                <w:rFonts w:ascii="Book Antiqua" w:hAnsi="Book Antiqua"/>
                <w:b/>
                <w:sz w:val="24"/>
                <w:szCs w:val="24"/>
                <w:lang w:val="en-GB"/>
              </w:rPr>
            </w:pPr>
            <w:r w:rsidRPr="00333714">
              <w:rPr>
                <w:rFonts w:ascii="Book Antiqua" w:hAnsi="Book Antiqua"/>
                <w:b/>
                <w:sz w:val="24"/>
                <w:szCs w:val="24"/>
                <w:lang w:val="en-GB"/>
              </w:rPr>
              <w:t>SS</w:t>
            </w:r>
          </w:p>
        </w:tc>
        <w:tc>
          <w:tcPr>
            <w:tcW w:w="3488" w:type="dxa"/>
            <w:gridSpan w:val="8"/>
            <w:tcBorders>
              <w:top w:val="single" w:sz="4" w:space="0" w:color="auto"/>
              <w:bottom w:val="single" w:sz="4" w:space="0" w:color="auto"/>
            </w:tcBorders>
            <w:vAlign w:val="center"/>
          </w:tcPr>
          <w:p w:rsidR="00333714" w:rsidRPr="00333714" w:rsidRDefault="00333714" w:rsidP="00A06665">
            <w:pPr>
              <w:spacing w:line="360" w:lineRule="auto"/>
              <w:rPr>
                <w:rFonts w:ascii="Book Antiqua" w:hAnsi="Book Antiqua"/>
                <w:b/>
                <w:sz w:val="24"/>
                <w:szCs w:val="24"/>
                <w:lang w:val="en-GB"/>
              </w:rPr>
            </w:pPr>
            <w:r w:rsidRPr="00333714">
              <w:rPr>
                <w:rFonts w:ascii="Book Antiqua" w:hAnsi="Book Antiqua"/>
                <w:b/>
                <w:sz w:val="24"/>
                <w:szCs w:val="24"/>
                <w:lang w:val="en-GB"/>
              </w:rPr>
              <w:t>NCB</w:t>
            </w:r>
          </w:p>
        </w:tc>
      </w:tr>
      <w:tr w:rsidR="00333714" w:rsidRPr="00333714" w:rsidTr="00AD14E2">
        <w:trPr>
          <w:trHeight w:val="712"/>
        </w:trPr>
        <w:tc>
          <w:tcPr>
            <w:tcW w:w="1256" w:type="dxa"/>
            <w:vMerge/>
            <w:tcBorders>
              <w:top w:val="nil"/>
              <w:bottom w:val="single" w:sz="4" w:space="0" w:color="auto"/>
            </w:tcBorders>
            <w:vAlign w:val="center"/>
          </w:tcPr>
          <w:p w:rsidR="00333714" w:rsidRPr="00333714" w:rsidRDefault="00333714" w:rsidP="00A06665">
            <w:pPr>
              <w:widowControl/>
              <w:spacing w:line="360" w:lineRule="auto"/>
              <w:rPr>
                <w:rFonts w:ascii="Book Antiqua" w:hAnsi="Book Antiqua"/>
                <w:b/>
                <w:sz w:val="24"/>
                <w:szCs w:val="24"/>
                <w:lang w:val="en-GB"/>
              </w:rPr>
            </w:pPr>
          </w:p>
        </w:tc>
        <w:tc>
          <w:tcPr>
            <w:tcW w:w="489" w:type="dxa"/>
            <w:tcBorders>
              <w:top w:val="single" w:sz="4" w:space="0" w:color="auto"/>
              <w:bottom w:val="single" w:sz="4" w:space="0" w:color="auto"/>
            </w:tcBorders>
            <w:vAlign w:val="center"/>
          </w:tcPr>
          <w:p w:rsidR="00333714" w:rsidRPr="00333714" w:rsidRDefault="00333714" w:rsidP="00A06665">
            <w:pPr>
              <w:spacing w:line="360" w:lineRule="auto"/>
              <w:rPr>
                <w:rFonts w:ascii="Book Antiqua" w:hAnsi="Book Antiqua"/>
                <w:b/>
                <w:sz w:val="24"/>
                <w:szCs w:val="24"/>
                <w:lang w:val="en-GB"/>
              </w:rPr>
            </w:pPr>
            <w:r w:rsidRPr="00333714">
              <w:rPr>
                <w:rFonts w:ascii="Book Antiqua" w:hAnsi="Book Antiqua"/>
                <w:b/>
                <w:sz w:val="24"/>
                <w:szCs w:val="24"/>
                <w:lang w:val="en-GB"/>
              </w:rPr>
              <w:t>A</w:t>
            </w:r>
          </w:p>
        </w:tc>
        <w:tc>
          <w:tcPr>
            <w:tcW w:w="489" w:type="dxa"/>
            <w:tcBorders>
              <w:top w:val="single" w:sz="4" w:space="0" w:color="auto"/>
              <w:bottom w:val="single" w:sz="4" w:space="0" w:color="auto"/>
            </w:tcBorders>
            <w:vAlign w:val="center"/>
          </w:tcPr>
          <w:p w:rsidR="00333714" w:rsidRPr="00333714" w:rsidRDefault="00333714" w:rsidP="00A06665">
            <w:pPr>
              <w:spacing w:line="360" w:lineRule="auto"/>
              <w:rPr>
                <w:rFonts w:ascii="Book Antiqua" w:hAnsi="Book Antiqua"/>
                <w:b/>
                <w:sz w:val="24"/>
                <w:szCs w:val="24"/>
                <w:lang w:val="en-GB"/>
              </w:rPr>
            </w:pPr>
            <w:r w:rsidRPr="00333714">
              <w:rPr>
                <w:rFonts w:ascii="Book Antiqua" w:hAnsi="Book Antiqua"/>
                <w:b/>
                <w:sz w:val="24"/>
                <w:szCs w:val="24"/>
                <w:lang w:val="en-GB"/>
              </w:rPr>
              <w:t>B</w:t>
            </w:r>
          </w:p>
        </w:tc>
        <w:tc>
          <w:tcPr>
            <w:tcW w:w="489" w:type="dxa"/>
            <w:tcBorders>
              <w:top w:val="single" w:sz="4" w:space="0" w:color="auto"/>
              <w:bottom w:val="single" w:sz="4" w:space="0" w:color="auto"/>
            </w:tcBorders>
            <w:vAlign w:val="center"/>
          </w:tcPr>
          <w:p w:rsidR="00333714" w:rsidRPr="00333714" w:rsidRDefault="00333714" w:rsidP="00A06665">
            <w:pPr>
              <w:spacing w:line="360" w:lineRule="auto"/>
              <w:rPr>
                <w:rFonts w:ascii="Book Antiqua" w:hAnsi="Book Antiqua"/>
                <w:b/>
                <w:sz w:val="24"/>
                <w:szCs w:val="24"/>
                <w:lang w:val="en-GB"/>
              </w:rPr>
            </w:pPr>
            <w:r w:rsidRPr="00333714">
              <w:rPr>
                <w:rFonts w:ascii="Book Antiqua" w:hAnsi="Book Antiqua"/>
                <w:b/>
                <w:sz w:val="24"/>
                <w:szCs w:val="24"/>
                <w:lang w:val="en-GB"/>
              </w:rPr>
              <w:t>C</w:t>
            </w:r>
          </w:p>
        </w:tc>
        <w:tc>
          <w:tcPr>
            <w:tcW w:w="383" w:type="dxa"/>
            <w:tcBorders>
              <w:top w:val="single" w:sz="4" w:space="0" w:color="auto"/>
              <w:bottom w:val="single" w:sz="4" w:space="0" w:color="auto"/>
            </w:tcBorders>
            <w:vAlign w:val="center"/>
          </w:tcPr>
          <w:p w:rsidR="00333714" w:rsidRPr="00333714" w:rsidRDefault="00333714" w:rsidP="00A06665">
            <w:pPr>
              <w:spacing w:line="360" w:lineRule="auto"/>
              <w:rPr>
                <w:rFonts w:ascii="Book Antiqua" w:hAnsi="Book Antiqua"/>
                <w:b/>
                <w:sz w:val="24"/>
                <w:szCs w:val="24"/>
                <w:lang w:val="en-GB"/>
              </w:rPr>
            </w:pPr>
            <w:r w:rsidRPr="00333714">
              <w:rPr>
                <w:rFonts w:ascii="Book Antiqua" w:hAnsi="Book Antiqua"/>
                <w:b/>
                <w:sz w:val="24"/>
                <w:szCs w:val="24"/>
                <w:lang w:val="en-GB"/>
              </w:rPr>
              <w:t>D</w:t>
            </w:r>
          </w:p>
        </w:tc>
        <w:tc>
          <w:tcPr>
            <w:tcW w:w="383" w:type="dxa"/>
            <w:tcBorders>
              <w:top w:val="single" w:sz="4" w:space="0" w:color="auto"/>
              <w:bottom w:val="single" w:sz="4" w:space="0" w:color="auto"/>
            </w:tcBorders>
            <w:vAlign w:val="center"/>
          </w:tcPr>
          <w:p w:rsidR="00333714" w:rsidRPr="00333714" w:rsidRDefault="00333714" w:rsidP="00A06665">
            <w:pPr>
              <w:spacing w:line="360" w:lineRule="auto"/>
              <w:rPr>
                <w:rFonts w:ascii="Book Antiqua" w:hAnsi="Book Antiqua"/>
                <w:b/>
                <w:sz w:val="24"/>
                <w:szCs w:val="24"/>
                <w:lang w:val="en-GB"/>
              </w:rPr>
            </w:pPr>
            <w:r w:rsidRPr="00333714">
              <w:rPr>
                <w:rFonts w:ascii="Book Antiqua" w:hAnsi="Book Antiqua"/>
                <w:b/>
                <w:sz w:val="24"/>
                <w:szCs w:val="24"/>
                <w:lang w:val="en-GB"/>
              </w:rPr>
              <w:t>E</w:t>
            </w:r>
          </w:p>
        </w:tc>
        <w:tc>
          <w:tcPr>
            <w:tcW w:w="383" w:type="dxa"/>
            <w:tcBorders>
              <w:top w:val="single" w:sz="4" w:space="0" w:color="auto"/>
              <w:bottom w:val="single" w:sz="4" w:space="0" w:color="auto"/>
            </w:tcBorders>
            <w:vAlign w:val="center"/>
          </w:tcPr>
          <w:p w:rsidR="00333714" w:rsidRPr="00333714" w:rsidRDefault="00333714" w:rsidP="00A06665">
            <w:pPr>
              <w:spacing w:line="360" w:lineRule="auto"/>
              <w:rPr>
                <w:rFonts w:ascii="Book Antiqua" w:hAnsi="Book Antiqua"/>
                <w:b/>
                <w:sz w:val="24"/>
                <w:szCs w:val="24"/>
                <w:lang w:val="en-GB"/>
              </w:rPr>
            </w:pPr>
            <w:r w:rsidRPr="00333714">
              <w:rPr>
                <w:rFonts w:ascii="Book Antiqua" w:hAnsi="Book Antiqua"/>
                <w:b/>
                <w:sz w:val="24"/>
                <w:szCs w:val="24"/>
                <w:lang w:val="en-GB"/>
              </w:rPr>
              <w:t>F</w:t>
            </w:r>
          </w:p>
        </w:tc>
        <w:tc>
          <w:tcPr>
            <w:tcW w:w="489" w:type="dxa"/>
            <w:tcBorders>
              <w:top w:val="single" w:sz="4" w:space="0" w:color="auto"/>
              <w:bottom w:val="single" w:sz="4" w:space="0" w:color="auto"/>
            </w:tcBorders>
            <w:vAlign w:val="center"/>
          </w:tcPr>
          <w:p w:rsidR="00333714" w:rsidRPr="00333714" w:rsidRDefault="00333714" w:rsidP="00A06665">
            <w:pPr>
              <w:spacing w:line="360" w:lineRule="auto"/>
              <w:rPr>
                <w:rFonts w:ascii="Book Antiqua" w:hAnsi="Book Antiqua"/>
                <w:b/>
                <w:sz w:val="24"/>
                <w:szCs w:val="24"/>
                <w:lang w:val="en-GB"/>
              </w:rPr>
            </w:pPr>
            <w:r w:rsidRPr="00333714">
              <w:rPr>
                <w:rFonts w:ascii="Book Antiqua" w:hAnsi="Book Antiqua"/>
                <w:b/>
                <w:sz w:val="24"/>
                <w:szCs w:val="24"/>
                <w:lang w:val="en-GB"/>
              </w:rPr>
              <w:t>G</w:t>
            </w:r>
          </w:p>
        </w:tc>
        <w:tc>
          <w:tcPr>
            <w:tcW w:w="383" w:type="dxa"/>
            <w:tcBorders>
              <w:top w:val="single" w:sz="4" w:space="0" w:color="auto"/>
              <w:bottom w:val="single" w:sz="4" w:space="0" w:color="auto"/>
            </w:tcBorders>
            <w:vAlign w:val="center"/>
          </w:tcPr>
          <w:p w:rsidR="00333714" w:rsidRPr="00333714" w:rsidRDefault="00333714" w:rsidP="00A06665">
            <w:pPr>
              <w:spacing w:line="360" w:lineRule="auto"/>
              <w:rPr>
                <w:rFonts w:ascii="Book Antiqua" w:hAnsi="Book Antiqua"/>
                <w:b/>
                <w:sz w:val="24"/>
                <w:szCs w:val="24"/>
                <w:lang w:val="en-GB"/>
              </w:rPr>
            </w:pPr>
            <w:r w:rsidRPr="00333714">
              <w:rPr>
                <w:rFonts w:ascii="Book Antiqua" w:hAnsi="Book Antiqua"/>
                <w:b/>
                <w:sz w:val="24"/>
                <w:szCs w:val="24"/>
                <w:lang w:val="en-GB"/>
              </w:rPr>
              <w:t>H</w:t>
            </w:r>
          </w:p>
        </w:tc>
      </w:tr>
      <w:tr w:rsidR="00333714" w:rsidRPr="00580532" w:rsidTr="00A06665">
        <w:trPr>
          <w:trHeight w:val="308"/>
        </w:trPr>
        <w:tc>
          <w:tcPr>
            <w:tcW w:w="1256" w:type="dxa"/>
            <w:tcBorders>
              <w:top w:val="single" w:sz="4" w:space="0" w:color="auto"/>
            </w:tcBorders>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A</w:t>
            </w:r>
          </w:p>
        </w:tc>
        <w:tc>
          <w:tcPr>
            <w:tcW w:w="489" w:type="dxa"/>
            <w:tcBorders>
              <w:top w:val="single" w:sz="4" w:space="0" w:color="auto"/>
            </w:tcBorders>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21</w:t>
            </w:r>
          </w:p>
        </w:tc>
        <w:tc>
          <w:tcPr>
            <w:tcW w:w="489" w:type="dxa"/>
            <w:tcBorders>
              <w:top w:val="single" w:sz="4" w:space="0" w:color="auto"/>
            </w:tcBorders>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tcBorders>
              <w:top w:val="single" w:sz="4" w:space="0" w:color="auto"/>
            </w:tcBorders>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tcBorders>
              <w:top w:val="single" w:sz="4" w:space="0" w:color="auto"/>
            </w:tcBorders>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tcBorders>
              <w:top w:val="single" w:sz="4" w:space="0" w:color="auto"/>
            </w:tcBorders>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tcBorders>
              <w:top w:val="single" w:sz="4" w:space="0" w:color="auto"/>
            </w:tcBorders>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tcBorders>
              <w:top w:val="single" w:sz="4" w:space="0" w:color="auto"/>
            </w:tcBorders>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tcBorders>
              <w:top w:val="single" w:sz="4" w:space="0" w:color="auto"/>
            </w:tcBorders>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r>
      <w:tr w:rsidR="00333714" w:rsidRPr="00580532" w:rsidTr="00A06665">
        <w:trPr>
          <w:trHeight w:val="323"/>
        </w:trPr>
        <w:tc>
          <w:tcPr>
            <w:tcW w:w="1256"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B</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16</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51</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1</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1</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r>
      <w:tr w:rsidR="00333714" w:rsidRPr="00580532" w:rsidTr="00A06665">
        <w:trPr>
          <w:trHeight w:val="323"/>
        </w:trPr>
        <w:tc>
          <w:tcPr>
            <w:tcW w:w="1256"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C</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14</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36</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r>
      <w:tr w:rsidR="00333714" w:rsidRPr="00580532" w:rsidTr="00A06665">
        <w:trPr>
          <w:trHeight w:val="323"/>
        </w:trPr>
        <w:tc>
          <w:tcPr>
            <w:tcW w:w="1256"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D</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3</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1</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r>
      <w:tr w:rsidR="00333714" w:rsidRPr="00580532" w:rsidTr="00A06665">
        <w:trPr>
          <w:trHeight w:val="323"/>
        </w:trPr>
        <w:tc>
          <w:tcPr>
            <w:tcW w:w="1256"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E</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5</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4</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3</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r>
      <w:tr w:rsidR="00333714" w:rsidRPr="00580532" w:rsidTr="00A06665">
        <w:trPr>
          <w:trHeight w:val="323"/>
        </w:trPr>
        <w:tc>
          <w:tcPr>
            <w:tcW w:w="1256"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F</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r>
      <w:tr w:rsidR="00333714" w:rsidRPr="00580532" w:rsidTr="00A06665">
        <w:trPr>
          <w:trHeight w:val="323"/>
        </w:trPr>
        <w:tc>
          <w:tcPr>
            <w:tcW w:w="1256"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G</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21</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1</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11</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9</w:t>
            </w:r>
          </w:p>
        </w:tc>
      </w:tr>
      <w:tr w:rsidR="00333714" w:rsidRPr="00580532" w:rsidTr="00A06665">
        <w:trPr>
          <w:trHeight w:val="323"/>
        </w:trPr>
        <w:tc>
          <w:tcPr>
            <w:tcW w:w="1256"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H</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89"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383"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r>
      <w:tr w:rsidR="00333714" w:rsidRPr="00580532" w:rsidTr="00A06665">
        <w:trPr>
          <w:trHeight w:val="323"/>
        </w:trPr>
        <w:tc>
          <w:tcPr>
            <w:tcW w:w="1256" w:type="dxa"/>
            <w:vAlign w:val="center"/>
          </w:tcPr>
          <w:p w:rsidR="00333714" w:rsidRPr="00580532" w:rsidRDefault="00333714" w:rsidP="00A06665">
            <w:pPr>
              <w:spacing w:line="360" w:lineRule="auto"/>
              <w:rPr>
                <w:rFonts w:ascii="Book Antiqua" w:hAnsi="Book Antiqua"/>
                <w:sz w:val="24"/>
                <w:szCs w:val="24"/>
                <w:lang w:val="en-GB"/>
              </w:rPr>
            </w:pPr>
            <w:r w:rsidRPr="00333714">
              <w:rPr>
                <w:rFonts w:ascii="Book Antiqua" w:hAnsi="Book Antiqua"/>
                <w:sz w:val="24"/>
                <w:szCs w:val="24"/>
                <w:lang w:val="en-GB"/>
              </w:rPr>
              <w:t xml:space="preserve">Kappa </w:t>
            </w:r>
            <w:r w:rsidRPr="00580532">
              <w:rPr>
                <w:rFonts w:ascii="Book Antiqua" w:hAnsi="Book Antiqua"/>
                <w:sz w:val="24"/>
                <w:szCs w:val="24"/>
                <w:lang w:val="en-GB"/>
              </w:rPr>
              <w:t>value</w:t>
            </w:r>
          </w:p>
        </w:tc>
        <w:tc>
          <w:tcPr>
            <w:tcW w:w="3488" w:type="dxa"/>
            <w:gridSpan w:val="8"/>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0.504</w:t>
            </w:r>
          </w:p>
        </w:tc>
      </w:tr>
      <w:tr w:rsidR="00333714" w:rsidRPr="00580532" w:rsidTr="00A06665">
        <w:trPr>
          <w:trHeight w:val="452"/>
        </w:trPr>
        <w:tc>
          <w:tcPr>
            <w:tcW w:w="1256" w:type="dxa"/>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i/>
                <w:sz w:val="24"/>
                <w:szCs w:val="24"/>
                <w:lang w:val="en-GB"/>
              </w:rPr>
              <w:t>P</w:t>
            </w:r>
            <w:r>
              <w:rPr>
                <w:rFonts w:ascii="Book Antiqua" w:hAnsi="Book Antiqua" w:hint="eastAsia"/>
                <w:i/>
                <w:sz w:val="24"/>
                <w:szCs w:val="24"/>
                <w:lang w:val="en-GB"/>
              </w:rPr>
              <w:t xml:space="preserve"> </w:t>
            </w:r>
            <w:r w:rsidRPr="00580532">
              <w:rPr>
                <w:rFonts w:ascii="Book Antiqua" w:hAnsi="Book Antiqua"/>
                <w:sz w:val="24"/>
                <w:szCs w:val="24"/>
                <w:lang w:val="en-GB"/>
              </w:rPr>
              <w:t>value</w:t>
            </w:r>
          </w:p>
        </w:tc>
        <w:tc>
          <w:tcPr>
            <w:tcW w:w="3488" w:type="dxa"/>
            <w:gridSpan w:val="8"/>
            <w:vAlign w:val="center"/>
          </w:tcPr>
          <w:p w:rsidR="00333714" w:rsidRPr="00580532" w:rsidRDefault="00333714"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r>
    </w:tbl>
    <w:p w:rsidR="00333714" w:rsidRDefault="00333714" w:rsidP="00333714">
      <w:pPr>
        <w:spacing w:line="360" w:lineRule="auto"/>
        <w:rPr>
          <w:rFonts w:ascii="Book Antiqua" w:hAnsi="Book Antiqua" w:hint="eastAsia"/>
          <w:sz w:val="24"/>
          <w:szCs w:val="24"/>
          <w:lang w:val="en-GB"/>
        </w:rPr>
      </w:pPr>
    </w:p>
    <w:p w:rsidR="00333714" w:rsidRPr="00580532" w:rsidRDefault="00333714" w:rsidP="00333714">
      <w:pPr>
        <w:spacing w:line="360" w:lineRule="auto"/>
        <w:rPr>
          <w:rFonts w:ascii="Book Antiqua" w:hAnsi="Book Antiqua"/>
          <w:sz w:val="24"/>
          <w:szCs w:val="24"/>
          <w:lang w:val="en-GB"/>
        </w:rPr>
      </w:pPr>
      <w:r w:rsidRPr="00580532">
        <w:rPr>
          <w:rFonts w:ascii="Book Antiqua" w:hAnsi="Book Antiqua"/>
          <w:sz w:val="24"/>
          <w:szCs w:val="24"/>
          <w:lang w:val="en-GB"/>
        </w:rPr>
        <w:t>SS</w:t>
      </w:r>
      <w:r>
        <w:rPr>
          <w:rFonts w:ascii="Book Antiqua" w:hAnsi="Book Antiqua" w:hint="eastAsia"/>
          <w:sz w:val="24"/>
          <w:szCs w:val="24"/>
          <w:lang w:val="en-GB"/>
        </w:rPr>
        <w:t>:</w:t>
      </w:r>
      <w:r w:rsidRPr="00580532">
        <w:rPr>
          <w:rFonts w:ascii="Book Antiqua" w:hAnsi="Book Antiqua"/>
          <w:sz w:val="24"/>
          <w:szCs w:val="24"/>
          <w:lang w:val="en-GB"/>
        </w:rPr>
        <w:t xml:space="preserve"> Surgery specimen; NCB</w:t>
      </w:r>
      <w:r>
        <w:rPr>
          <w:rFonts w:ascii="Book Antiqua" w:hAnsi="Book Antiqua" w:hint="eastAsia"/>
          <w:sz w:val="24"/>
          <w:szCs w:val="24"/>
          <w:lang w:val="en-GB"/>
        </w:rPr>
        <w:t>:</w:t>
      </w:r>
      <w:r w:rsidRPr="00580532">
        <w:rPr>
          <w:rFonts w:ascii="Book Antiqua" w:hAnsi="Book Antiqua"/>
          <w:sz w:val="24"/>
          <w:szCs w:val="24"/>
          <w:lang w:val="en-GB"/>
        </w:rPr>
        <w:t xml:space="preserve"> Needle </w:t>
      </w:r>
      <w:r>
        <w:rPr>
          <w:rFonts w:ascii="Book Antiqua" w:hAnsi="Book Antiqua"/>
          <w:sz w:val="24"/>
          <w:szCs w:val="24"/>
          <w:lang w:val="en-GB"/>
        </w:rPr>
        <w:t>core biopsy</w:t>
      </w:r>
      <w:r w:rsidR="00710617">
        <w:rPr>
          <w:rFonts w:ascii="Book Antiqua" w:hAnsi="Book Antiqua" w:hint="eastAsia"/>
          <w:sz w:val="24"/>
          <w:szCs w:val="24"/>
          <w:lang w:val="en-GB"/>
        </w:rPr>
        <w:t>;</w:t>
      </w:r>
      <w:r>
        <w:rPr>
          <w:rFonts w:ascii="Book Antiqua" w:hAnsi="Book Antiqua"/>
          <w:sz w:val="24"/>
          <w:szCs w:val="24"/>
          <w:lang w:val="en-GB"/>
        </w:rPr>
        <w:t xml:space="preserve"> </w:t>
      </w:r>
      <w:r w:rsidRPr="00580532">
        <w:rPr>
          <w:rFonts w:ascii="Book Antiqua" w:hAnsi="Book Antiqua"/>
          <w:sz w:val="24"/>
          <w:szCs w:val="24"/>
          <w:lang w:val="en-GB"/>
        </w:rPr>
        <w:t>A: Acinar/pseudo</w:t>
      </w:r>
      <w:r w:rsidRPr="00580532">
        <w:rPr>
          <w:rFonts w:ascii="Book Antiqua" w:hAnsi="Book Antiqua"/>
          <w:sz w:val="24"/>
          <w:szCs w:val="24"/>
          <w:lang w:val="en-GB"/>
        </w:rPr>
        <w:noBreakHyphen/>
        <w:t>glandular/thin trabecular; B: Thick trabecular; C: Compact tumour nests; D: Clear cell hepatocellular carcinoma; E: Scirrhous hepatocellular carcinoma; F: Spindle cell hepatocellular carcinoma; G: Glandular; H: Cord-like pattern</w:t>
      </w:r>
    </w:p>
    <w:p w:rsidR="003A4456" w:rsidRPr="00FB56C4" w:rsidRDefault="003A4456" w:rsidP="003A4456">
      <w:pPr>
        <w:spacing w:line="360" w:lineRule="auto"/>
        <w:rPr>
          <w:rFonts w:ascii="Book Antiqua" w:hAnsi="Book Antiqua"/>
          <w:b/>
          <w:sz w:val="24"/>
          <w:szCs w:val="24"/>
          <w:lang w:val="en-GB"/>
        </w:rPr>
      </w:pPr>
      <w:r>
        <w:rPr>
          <w:rFonts w:ascii="Book Antiqua" w:hAnsi="Book Antiqua"/>
          <w:b/>
          <w:sz w:val="24"/>
          <w:szCs w:val="24"/>
          <w:lang w:val="en-GB"/>
        </w:rPr>
        <w:br w:type="page"/>
      </w:r>
      <w:r w:rsidRPr="00FB56C4">
        <w:rPr>
          <w:rFonts w:ascii="Book Antiqua" w:hAnsi="Book Antiqua"/>
          <w:b/>
          <w:sz w:val="24"/>
          <w:szCs w:val="24"/>
          <w:lang w:val="en-GB"/>
        </w:rPr>
        <w:t xml:space="preserve">Table 3 Degree of concordance in the interpretation of CK19 staining between needle core biopsy and surgery specimen </w:t>
      </w:r>
    </w:p>
    <w:tbl>
      <w:tblPr>
        <w:tblW w:w="5000" w:type="pct"/>
        <w:tblInd w:w="0" w:type="dxa"/>
        <w:tblBorders>
          <w:top w:val="single" w:sz="4" w:space="0" w:color="auto"/>
          <w:bottom w:val="single" w:sz="4" w:space="0" w:color="auto"/>
        </w:tblBorders>
        <w:tblLook w:val="0000" w:firstRow="0" w:lastRow="0" w:firstColumn="0" w:lastColumn="0" w:noHBand="0" w:noVBand="0"/>
      </w:tblPr>
      <w:tblGrid>
        <w:gridCol w:w="1537"/>
        <w:gridCol w:w="599"/>
        <w:gridCol w:w="599"/>
        <w:gridCol w:w="471"/>
        <w:gridCol w:w="344"/>
        <w:gridCol w:w="532"/>
        <w:gridCol w:w="844"/>
        <w:gridCol w:w="661"/>
        <w:gridCol w:w="471"/>
        <w:gridCol w:w="426"/>
        <w:gridCol w:w="532"/>
        <w:gridCol w:w="797"/>
        <w:gridCol w:w="709"/>
      </w:tblGrid>
      <w:tr w:rsidR="003A4456" w:rsidRPr="00580532" w:rsidTr="00AD14E2">
        <w:trPr>
          <w:trHeight w:val="525"/>
        </w:trPr>
        <w:tc>
          <w:tcPr>
            <w:tcW w:w="1083" w:type="pct"/>
            <w:gridSpan w:val="2"/>
            <w:vMerge w:val="restart"/>
            <w:tcBorders>
              <w:top w:val="single" w:sz="4" w:space="0" w:color="auto"/>
              <w:bottom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NCB</w:t>
            </w:r>
          </w:p>
        </w:tc>
        <w:tc>
          <w:tcPr>
            <w:tcW w:w="3917" w:type="pct"/>
            <w:gridSpan w:val="11"/>
            <w:tcBorders>
              <w:top w:val="single" w:sz="4" w:space="0" w:color="auto"/>
              <w:bottom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SS</w:t>
            </w:r>
          </w:p>
        </w:tc>
      </w:tr>
      <w:tr w:rsidR="003A4456" w:rsidRPr="00580532" w:rsidTr="00AD14E2">
        <w:trPr>
          <w:trHeight w:val="1203"/>
        </w:trPr>
        <w:tc>
          <w:tcPr>
            <w:tcW w:w="1083" w:type="pct"/>
            <w:gridSpan w:val="2"/>
            <w:vMerge/>
            <w:tcBorders>
              <w:top w:val="single" w:sz="4" w:space="0" w:color="auto"/>
              <w:bottom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p>
        </w:tc>
        <w:tc>
          <w:tcPr>
            <w:tcW w:w="1237" w:type="pct"/>
            <w:gridSpan w:val="4"/>
            <w:tcBorders>
              <w:top w:val="single" w:sz="4" w:space="0" w:color="auto"/>
              <w:bottom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 xml:space="preserve">4-tier </w:t>
            </w:r>
          </w:p>
        </w:tc>
        <w:tc>
          <w:tcPr>
            <w:tcW w:w="825" w:type="pct"/>
            <w:gridSpan w:val="2"/>
            <w:tcBorders>
              <w:top w:val="single" w:sz="4" w:space="0" w:color="auto"/>
              <w:bottom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4-tier-based binary classification</w:t>
            </w:r>
          </w:p>
        </w:tc>
        <w:tc>
          <w:tcPr>
            <w:tcW w:w="979" w:type="pct"/>
            <w:gridSpan w:val="3"/>
            <w:tcBorders>
              <w:top w:val="single" w:sz="4" w:space="0" w:color="auto"/>
              <w:bottom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w:t>
            </w:r>
          </w:p>
        </w:tc>
        <w:tc>
          <w:tcPr>
            <w:tcW w:w="876" w:type="pct"/>
            <w:gridSpan w:val="2"/>
            <w:tcBorders>
              <w:top w:val="single" w:sz="4" w:space="0" w:color="auto"/>
              <w:bottom w:val="single" w:sz="4" w:space="0" w:color="auto"/>
            </w:tcBorders>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3-tier-based binary classification</w:t>
            </w:r>
          </w:p>
        </w:tc>
      </w:tr>
      <w:tr w:rsidR="003A4456" w:rsidRPr="00580532" w:rsidTr="00AD14E2">
        <w:trPr>
          <w:trHeight w:val="304"/>
        </w:trPr>
        <w:tc>
          <w:tcPr>
            <w:tcW w:w="1083" w:type="pct"/>
            <w:gridSpan w:val="2"/>
            <w:tcBorders>
              <w:top w:val="single" w:sz="4" w:space="0" w:color="auto"/>
              <w:bottom w:val="nil"/>
            </w:tcBorders>
            <w:vAlign w:val="center"/>
          </w:tcPr>
          <w:p w:rsidR="003A4456" w:rsidRPr="00580532" w:rsidRDefault="003A4456" w:rsidP="00A06665">
            <w:pPr>
              <w:spacing w:line="360" w:lineRule="auto"/>
              <w:rPr>
                <w:rFonts w:ascii="Book Antiqua" w:hAnsi="Book Antiqua"/>
                <w:sz w:val="24"/>
                <w:szCs w:val="24"/>
                <w:lang w:val="en-GB"/>
              </w:rPr>
            </w:pPr>
          </w:p>
        </w:tc>
        <w:tc>
          <w:tcPr>
            <w:tcW w:w="309" w:type="pct"/>
            <w:tcBorders>
              <w:top w:val="single" w:sz="4" w:space="0" w:color="auto"/>
              <w:bottom w:val="nil"/>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tcBorders>
              <w:top w:val="single" w:sz="4" w:space="0" w:color="auto"/>
              <w:bottom w:val="nil"/>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tcBorders>
              <w:top w:val="single" w:sz="4" w:space="0" w:color="auto"/>
              <w:bottom w:val="nil"/>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tcBorders>
              <w:top w:val="single" w:sz="4" w:space="0" w:color="auto"/>
              <w:bottom w:val="nil"/>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464" w:type="pct"/>
            <w:tcBorders>
              <w:top w:val="single" w:sz="4" w:space="0" w:color="auto"/>
              <w:bottom w:val="nil"/>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61" w:type="pct"/>
            <w:tcBorders>
              <w:top w:val="single" w:sz="4" w:space="0" w:color="auto"/>
              <w:bottom w:val="nil"/>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61" w:type="pct"/>
            <w:tcBorders>
              <w:top w:val="single" w:sz="4" w:space="0" w:color="auto"/>
              <w:bottom w:val="nil"/>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tcBorders>
              <w:top w:val="single" w:sz="4" w:space="0" w:color="auto"/>
              <w:bottom w:val="nil"/>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tcBorders>
              <w:top w:val="single" w:sz="4" w:space="0" w:color="auto"/>
              <w:bottom w:val="nil"/>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464" w:type="pct"/>
            <w:tcBorders>
              <w:top w:val="single" w:sz="4" w:space="0" w:color="auto"/>
              <w:bottom w:val="nil"/>
            </w:tcBorders>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412" w:type="pct"/>
            <w:tcBorders>
              <w:top w:val="single" w:sz="4" w:space="0" w:color="auto"/>
              <w:bottom w:val="nil"/>
            </w:tcBorders>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r>
      <w:tr w:rsidR="003A4456" w:rsidRPr="00580532" w:rsidTr="00AD14E2">
        <w:trPr>
          <w:trHeight w:val="311"/>
        </w:trPr>
        <w:tc>
          <w:tcPr>
            <w:tcW w:w="773" w:type="pct"/>
            <w:vMerge w:val="restart"/>
            <w:tcBorders>
              <w:top w:val="nil"/>
            </w:tcBorders>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4-tier</w:t>
            </w:r>
          </w:p>
        </w:tc>
        <w:tc>
          <w:tcPr>
            <w:tcW w:w="309" w:type="pct"/>
            <w:tcBorders>
              <w:top w:val="nil"/>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tcBorders>
              <w:top w:val="nil"/>
            </w:tcBorders>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52</w:t>
            </w:r>
          </w:p>
        </w:tc>
        <w:tc>
          <w:tcPr>
            <w:tcW w:w="309" w:type="pct"/>
            <w:tcBorders>
              <w:top w:val="nil"/>
            </w:tcBorders>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w:t>
            </w:r>
          </w:p>
        </w:tc>
        <w:tc>
          <w:tcPr>
            <w:tcW w:w="309" w:type="pct"/>
            <w:tcBorders>
              <w:top w:val="nil"/>
            </w:tcBorders>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09" w:type="pct"/>
            <w:tcBorders>
              <w:top w:val="nil"/>
            </w:tcBorders>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64" w:type="pct"/>
            <w:tcBorders>
              <w:top w:val="nil"/>
            </w:tcBorders>
            <w:vAlign w:val="center"/>
          </w:tcPr>
          <w:p w:rsidR="003A4456" w:rsidRPr="00580532" w:rsidRDefault="003A4456" w:rsidP="00A06665">
            <w:pPr>
              <w:spacing w:line="360" w:lineRule="auto"/>
              <w:rPr>
                <w:rFonts w:ascii="Book Antiqua" w:hAnsi="Book Antiqua"/>
                <w:sz w:val="24"/>
                <w:szCs w:val="24"/>
                <w:lang w:val="en-GB"/>
              </w:rPr>
            </w:pPr>
          </w:p>
        </w:tc>
        <w:tc>
          <w:tcPr>
            <w:tcW w:w="361" w:type="pct"/>
            <w:tcBorders>
              <w:top w:val="nil"/>
            </w:tcBorders>
            <w:vAlign w:val="center"/>
          </w:tcPr>
          <w:p w:rsidR="003A4456" w:rsidRPr="00580532" w:rsidRDefault="003A4456" w:rsidP="00A06665">
            <w:pPr>
              <w:spacing w:line="360" w:lineRule="auto"/>
              <w:rPr>
                <w:rFonts w:ascii="Book Antiqua" w:hAnsi="Book Antiqua"/>
                <w:sz w:val="24"/>
                <w:szCs w:val="24"/>
                <w:lang w:val="en-GB"/>
              </w:rPr>
            </w:pPr>
          </w:p>
        </w:tc>
        <w:tc>
          <w:tcPr>
            <w:tcW w:w="361" w:type="pct"/>
            <w:tcBorders>
              <w:top w:val="nil"/>
            </w:tcBorders>
            <w:vAlign w:val="center"/>
          </w:tcPr>
          <w:p w:rsidR="003A4456" w:rsidRPr="00580532" w:rsidRDefault="003A4456" w:rsidP="00A06665">
            <w:pPr>
              <w:spacing w:line="360" w:lineRule="auto"/>
              <w:rPr>
                <w:rFonts w:ascii="Book Antiqua" w:hAnsi="Book Antiqua"/>
                <w:sz w:val="24"/>
                <w:szCs w:val="24"/>
                <w:lang w:val="en-GB"/>
              </w:rPr>
            </w:pPr>
          </w:p>
        </w:tc>
        <w:tc>
          <w:tcPr>
            <w:tcW w:w="309" w:type="pct"/>
            <w:tcBorders>
              <w:top w:val="nil"/>
            </w:tcBorders>
            <w:vAlign w:val="center"/>
          </w:tcPr>
          <w:p w:rsidR="003A4456" w:rsidRPr="00580532" w:rsidRDefault="003A4456" w:rsidP="00A06665">
            <w:pPr>
              <w:spacing w:line="360" w:lineRule="auto"/>
              <w:rPr>
                <w:rFonts w:ascii="Book Antiqua" w:hAnsi="Book Antiqua"/>
                <w:sz w:val="24"/>
                <w:szCs w:val="24"/>
                <w:lang w:val="en-GB"/>
              </w:rPr>
            </w:pPr>
          </w:p>
        </w:tc>
        <w:tc>
          <w:tcPr>
            <w:tcW w:w="309" w:type="pct"/>
            <w:tcBorders>
              <w:top w:val="nil"/>
            </w:tcBorders>
            <w:vAlign w:val="center"/>
          </w:tcPr>
          <w:p w:rsidR="003A4456" w:rsidRPr="00580532" w:rsidRDefault="003A4456" w:rsidP="00A06665">
            <w:pPr>
              <w:spacing w:line="360" w:lineRule="auto"/>
              <w:rPr>
                <w:rFonts w:ascii="Book Antiqua" w:hAnsi="Book Antiqua"/>
                <w:sz w:val="24"/>
                <w:szCs w:val="24"/>
                <w:lang w:val="en-GB"/>
              </w:rPr>
            </w:pPr>
          </w:p>
        </w:tc>
        <w:tc>
          <w:tcPr>
            <w:tcW w:w="464" w:type="pct"/>
            <w:tcBorders>
              <w:top w:val="nil"/>
            </w:tcBorders>
          </w:tcPr>
          <w:p w:rsidR="003A4456" w:rsidRPr="00580532" w:rsidRDefault="003A4456" w:rsidP="00A06665">
            <w:pPr>
              <w:spacing w:line="360" w:lineRule="auto"/>
              <w:rPr>
                <w:rFonts w:ascii="Book Antiqua" w:hAnsi="Book Antiqua"/>
                <w:sz w:val="24"/>
                <w:szCs w:val="24"/>
                <w:lang w:val="en-GB"/>
              </w:rPr>
            </w:pPr>
          </w:p>
        </w:tc>
        <w:tc>
          <w:tcPr>
            <w:tcW w:w="412" w:type="pct"/>
            <w:tcBorders>
              <w:top w:val="nil"/>
            </w:tcBorders>
          </w:tcPr>
          <w:p w:rsidR="003A4456" w:rsidRPr="00580532" w:rsidRDefault="003A4456" w:rsidP="00A06665">
            <w:pPr>
              <w:spacing w:line="360" w:lineRule="auto"/>
              <w:rPr>
                <w:rFonts w:ascii="Book Antiqua" w:hAnsi="Book Antiqua"/>
                <w:sz w:val="24"/>
                <w:szCs w:val="24"/>
                <w:lang w:val="en-GB"/>
              </w:rPr>
            </w:pPr>
          </w:p>
        </w:tc>
      </w:tr>
      <w:tr w:rsidR="003A4456" w:rsidRPr="00580532" w:rsidTr="00AD14E2">
        <w:trPr>
          <w:trHeight w:val="402"/>
        </w:trPr>
        <w:tc>
          <w:tcPr>
            <w:tcW w:w="773" w:type="pct"/>
            <w:vMerge/>
          </w:tcPr>
          <w:p w:rsidR="003A4456" w:rsidRPr="00580532" w:rsidRDefault="003A4456" w:rsidP="00A06665">
            <w:pPr>
              <w:spacing w:line="360" w:lineRule="auto"/>
              <w:rPr>
                <w:rFonts w:ascii="Book Antiqua" w:hAnsi="Book Antiqua"/>
                <w:b/>
                <w:sz w:val="24"/>
                <w:szCs w:val="24"/>
                <w:lang w:val="en-GB"/>
              </w:rPr>
            </w:pPr>
          </w:p>
        </w:tc>
        <w:tc>
          <w:tcPr>
            <w:tcW w:w="309" w:type="pct"/>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3</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64"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tcPr>
          <w:p w:rsidR="003A4456" w:rsidRPr="00580532" w:rsidRDefault="003A4456" w:rsidP="00A06665">
            <w:pPr>
              <w:spacing w:line="360" w:lineRule="auto"/>
              <w:rPr>
                <w:rFonts w:ascii="Book Antiqua" w:hAnsi="Book Antiqua"/>
                <w:sz w:val="24"/>
                <w:szCs w:val="24"/>
                <w:lang w:val="en-GB"/>
              </w:rPr>
            </w:pPr>
          </w:p>
        </w:tc>
        <w:tc>
          <w:tcPr>
            <w:tcW w:w="412" w:type="pct"/>
          </w:tcPr>
          <w:p w:rsidR="003A4456" w:rsidRPr="00580532" w:rsidRDefault="003A4456" w:rsidP="00A06665">
            <w:pPr>
              <w:spacing w:line="360" w:lineRule="auto"/>
              <w:rPr>
                <w:rFonts w:ascii="Book Antiqua" w:hAnsi="Book Antiqua"/>
                <w:sz w:val="24"/>
                <w:szCs w:val="24"/>
                <w:lang w:val="en-GB"/>
              </w:rPr>
            </w:pPr>
          </w:p>
        </w:tc>
      </w:tr>
      <w:tr w:rsidR="003A4456" w:rsidRPr="00580532" w:rsidTr="00AD14E2">
        <w:trPr>
          <w:trHeight w:val="344"/>
        </w:trPr>
        <w:tc>
          <w:tcPr>
            <w:tcW w:w="773" w:type="pct"/>
            <w:vMerge/>
          </w:tcPr>
          <w:p w:rsidR="003A4456" w:rsidRPr="00580532" w:rsidRDefault="003A4456" w:rsidP="00A06665">
            <w:pPr>
              <w:spacing w:line="360" w:lineRule="auto"/>
              <w:rPr>
                <w:rFonts w:ascii="Book Antiqua" w:hAnsi="Book Antiqua"/>
                <w:b/>
                <w:sz w:val="24"/>
                <w:szCs w:val="24"/>
                <w:lang w:val="en-GB"/>
              </w:rPr>
            </w:pPr>
          </w:p>
        </w:tc>
        <w:tc>
          <w:tcPr>
            <w:tcW w:w="309" w:type="pct"/>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3</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21</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4</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64"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tcPr>
          <w:p w:rsidR="003A4456" w:rsidRPr="00580532" w:rsidRDefault="003A4456" w:rsidP="00A06665">
            <w:pPr>
              <w:spacing w:line="360" w:lineRule="auto"/>
              <w:rPr>
                <w:rFonts w:ascii="Book Antiqua" w:hAnsi="Book Antiqua"/>
                <w:sz w:val="24"/>
                <w:szCs w:val="24"/>
                <w:lang w:val="en-GB"/>
              </w:rPr>
            </w:pPr>
          </w:p>
        </w:tc>
        <w:tc>
          <w:tcPr>
            <w:tcW w:w="412" w:type="pct"/>
          </w:tcPr>
          <w:p w:rsidR="003A4456" w:rsidRPr="00580532" w:rsidRDefault="003A4456" w:rsidP="00A06665">
            <w:pPr>
              <w:spacing w:line="360" w:lineRule="auto"/>
              <w:rPr>
                <w:rFonts w:ascii="Book Antiqua" w:hAnsi="Book Antiqua"/>
                <w:sz w:val="24"/>
                <w:szCs w:val="24"/>
                <w:lang w:val="en-GB"/>
              </w:rPr>
            </w:pPr>
          </w:p>
        </w:tc>
      </w:tr>
      <w:tr w:rsidR="003A4456" w:rsidRPr="00580532" w:rsidTr="00AD14E2">
        <w:trPr>
          <w:trHeight w:val="252"/>
        </w:trPr>
        <w:tc>
          <w:tcPr>
            <w:tcW w:w="773" w:type="pct"/>
            <w:vMerge/>
          </w:tcPr>
          <w:p w:rsidR="003A4456" w:rsidRPr="00580532" w:rsidRDefault="003A4456" w:rsidP="00A06665">
            <w:pPr>
              <w:spacing w:line="360" w:lineRule="auto"/>
              <w:rPr>
                <w:rFonts w:ascii="Book Antiqua" w:hAnsi="Book Antiqua"/>
                <w:b/>
                <w:sz w:val="24"/>
                <w:szCs w:val="24"/>
                <w:lang w:val="en-GB"/>
              </w:rPr>
            </w:pPr>
          </w:p>
        </w:tc>
        <w:tc>
          <w:tcPr>
            <w:tcW w:w="309" w:type="pct"/>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7</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115</w:t>
            </w:r>
          </w:p>
        </w:tc>
        <w:tc>
          <w:tcPr>
            <w:tcW w:w="464"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tcPr>
          <w:p w:rsidR="003A4456" w:rsidRPr="00580532" w:rsidRDefault="003A4456" w:rsidP="00A06665">
            <w:pPr>
              <w:spacing w:line="360" w:lineRule="auto"/>
              <w:rPr>
                <w:rFonts w:ascii="Book Antiqua" w:hAnsi="Book Antiqua"/>
                <w:sz w:val="24"/>
                <w:szCs w:val="24"/>
                <w:lang w:val="en-GB"/>
              </w:rPr>
            </w:pPr>
          </w:p>
        </w:tc>
        <w:tc>
          <w:tcPr>
            <w:tcW w:w="412" w:type="pct"/>
          </w:tcPr>
          <w:p w:rsidR="003A4456" w:rsidRPr="00580532" w:rsidRDefault="003A4456" w:rsidP="00A06665">
            <w:pPr>
              <w:spacing w:line="360" w:lineRule="auto"/>
              <w:rPr>
                <w:rFonts w:ascii="Book Antiqua" w:hAnsi="Book Antiqua"/>
                <w:sz w:val="24"/>
                <w:szCs w:val="24"/>
                <w:lang w:val="en-GB"/>
              </w:rPr>
            </w:pPr>
          </w:p>
        </w:tc>
      </w:tr>
      <w:tr w:rsidR="003A4456" w:rsidRPr="00580532" w:rsidTr="00AD14E2">
        <w:trPr>
          <w:trHeight w:val="747"/>
        </w:trPr>
        <w:tc>
          <w:tcPr>
            <w:tcW w:w="773" w:type="pct"/>
            <w:vMerge w:val="restart"/>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4-tier-based binary classification</w:t>
            </w:r>
          </w:p>
        </w:tc>
        <w:tc>
          <w:tcPr>
            <w:tcW w:w="309" w:type="pct"/>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86</w:t>
            </w:r>
          </w:p>
        </w:tc>
        <w:tc>
          <w:tcPr>
            <w:tcW w:w="361"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tcPr>
          <w:p w:rsidR="003A4456" w:rsidRPr="00580532" w:rsidRDefault="003A4456" w:rsidP="00A06665">
            <w:pPr>
              <w:spacing w:line="360" w:lineRule="auto"/>
              <w:rPr>
                <w:rFonts w:ascii="Book Antiqua" w:hAnsi="Book Antiqua"/>
                <w:sz w:val="24"/>
                <w:szCs w:val="24"/>
                <w:lang w:val="en-GB"/>
              </w:rPr>
            </w:pPr>
          </w:p>
        </w:tc>
        <w:tc>
          <w:tcPr>
            <w:tcW w:w="412" w:type="pct"/>
          </w:tcPr>
          <w:p w:rsidR="003A4456" w:rsidRPr="00580532" w:rsidRDefault="003A4456" w:rsidP="00A06665">
            <w:pPr>
              <w:spacing w:line="360" w:lineRule="auto"/>
              <w:rPr>
                <w:rFonts w:ascii="Book Antiqua" w:hAnsi="Book Antiqua"/>
                <w:sz w:val="24"/>
                <w:szCs w:val="24"/>
                <w:lang w:val="en-GB"/>
              </w:rPr>
            </w:pPr>
          </w:p>
        </w:tc>
      </w:tr>
      <w:tr w:rsidR="003A4456" w:rsidRPr="00580532" w:rsidTr="00AD14E2">
        <w:trPr>
          <w:trHeight w:val="316"/>
        </w:trPr>
        <w:tc>
          <w:tcPr>
            <w:tcW w:w="773" w:type="pct"/>
            <w:vMerge/>
          </w:tcPr>
          <w:p w:rsidR="003A4456" w:rsidRPr="00580532" w:rsidRDefault="003A4456" w:rsidP="00A06665">
            <w:pPr>
              <w:spacing w:line="360" w:lineRule="auto"/>
              <w:rPr>
                <w:rFonts w:ascii="Book Antiqua" w:hAnsi="Book Antiqua"/>
                <w:b/>
                <w:sz w:val="24"/>
                <w:szCs w:val="24"/>
                <w:lang w:val="en-GB"/>
              </w:rPr>
            </w:pPr>
          </w:p>
        </w:tc>
        <w:tc>
          <w:tcPr>
            <w:tcW w:w="309" w:type="pct"/>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7</w:t>
            </w:r>
          </w:p>
        </w:tc>
        <w:tc>
          <w:tcPr>
            <w:tcW w:w="361"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115</w:t>
            </w: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tcPr>
          <w:p w:rsidR="003A4456" w:rsidRPr="00580532" w:rsidRDefault="003A4456" w:rsidP="00A06665">
            <w:pPr>
              <w:spacing w:line="360" w:lineRule="auto"/>
              <w:rPr>
                <w:rFonts w:ascii="Book Antiqua" w:hAnsi="Book Antiqua"/>
                <w:sz w:val="24"/>
                <w:szCs w:val="24"/>
                <w:lang w:val="en-GB"/>
              </w:rPr>
            </w:pPr>
          </w:p>
        </w:tc>
        <w:tc>
          <w:tcPr>
            <w:tcW w:w="412" w:type="pct"/>
          </w:tcPr>
          <w:p w:rsidR="003A4456" w:rsidRPr="00580532" w:rsidRDefault="003A4456" w:rsidP="00A06665">
            <w:pPr>
              <w:spacing w:line="360" w:lineRule="auto"/>
              <w:rPr>
                <w:rFonts w:ascii="Book Antiqua" w:hAnsi="Book Antiqua"/>
                <w:sz w:val="24"/>
                <w:szCs w:val="24"/>
                <w:lang w:val="en-GB"/>
              </w:rPr>
            </w:pPr>
          </w:p>
        </w:tc>
      </w:tr>
      <w:tr w:rsidR="003A4456" w:rsidRPr="00580532" w:rsidTr="00AD14E2">
        <w:trPr>
          <w:trHeight w:val="336"/>
        </w:trPr>
        <w:tc>
          <w:tcPr>
            <w:tcW w:w="773" w:type="pct"/>
            <w:vMerge w:val="restart"/>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w:t>
            </w:r>
          </w:p>
        </w:tc>
        <w:tc>
          <w:tcPr>
            <w:tcW w:w="309" w:type="pct"/>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35</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8</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64" w:type="pct"/>
          </w:tcPr>
          <w:p w:rsidR="003A4456" w:rsidRPr="00580532" w:rsidRDefault="003A4456" w:rsidP="00A06665">
            <w:pPr>
              <w:spacing w:line="360" w:lineRule="auto"/>
              <w:rPr>
                <w:rFonts w:ascii="Book Antiqua" w:hAnsi="Book Antiqua"/>
                <w:sz w:val="24"/>
                <w:szCs w:val="24"/>
                <w:lang w:val="en-GB"/>
              </w:rPr>
            </w:pPr>
          </w:p>
        </w:tc>
        <w:tc>
          <w:tcPr>
            <w:tcW w:w="412" w:type="pct"/>
          </w:tcPr>
          <w:p w:rsidR="003A4456" w:rsidRPr="00580532" w:rsidRDefault="003A4456" w:rsidP="00A06665">
            <w:pPr>
              <w:spacing w:line="360" w:lineRule="auto"/>
              <w:rPr>
                <w:rFonts w:ascii="Book Antiqua" w:hAnsi="Book Antiqua"/>
                <w:sz w:val="24"/>
                <w:szCs w:val="24"/>
                <w:lang w:val="en-GB"/>
              </w:rPr>
            </w:pPr>
          </w:p>
        </w:tc>
      </w:tr>
      <w:tr w:rsidR="003A4456" w:rsidRPr="00580532" w:rsidTr="00AD14E2">
        <w:trPr>
          <w:trHeight w:val="226"/>
        </w:trPr>
        <w:tc>
          <w:tcPr>
            <w:tcW w:w="773" w:type="pct"/>
            <w:vMerge/>
            <w:vAlign w:val="center"/>
          </w:tcPr>
          <w:p w:rsidR="003A4456" w:rsidRPr="00580532" w:rsidRDefault="003A4456" w:rsidP="00A06665">
            <w:pPr>
              <w:spacing w:line="360" w:lineRule="auto"/>
              <w:rPr>
                <w:rFonts w:ascii="Book Antiqua" w:hAnsi="Book Antiqua"/>
                <w:b/>
                <w:sz w:val="24"/>
                <w:szCs w:val="24"/>
                <w:lang w:val="en-GB"/>
              </w:rPr>
            </w:pPr>
          </w:p>
        </w:tc>
        <w:tc>
          <w:tcPr>
            <w:tcW w:w="309" w:type="pct"/>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7</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22</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464" w:type="pct"/>
          </w:tcPr>
          <w:p w:rsidR="003A4456" w:rsidRPr="00580532" w:rsidRDefault="003A4456" w:rsidP="00A06665">
            <w:pPr>
              <w:spacing w:line="360" w:lineRule="auto"/>
              <w:rPr>
                <w:rFonts w:ascii="Book Antiqua" w:hAnsi="Book Antiqua"/>
                <w:sz w:val="24"/>
                <w:szCs w:val="24"/>
                <w:lang w:val="en-GB"/>
              </w:rPr>
            </w:pPr>
          </w:p>
        </w:tc>
        <w:tc>
          <w:tcPr>
            <w:tcW w:w="412" w:type="pct"/>
          </w:tcPr>
          <w:p w:rsidR="003A4456" w:rsidRPr="00580532" w:rsidRDefault="003A4456" w:rsidP="00A06665">
            <w:pPr>
              <w:spacing w:line="360" w:lineRule="auto"/>
              <w:rPr>
                <w:rFonts w:ascii="Book Antiqua" w:hAnsi="Book Antiqua"/>
                <w:sz w:val="24"/>
                <w:szCs w:val="24"/>
                <w:lang w:val="en-GB"/>
              </w:rPr>
            </w:pPr>
          </w:p>
        </w:tc>
      </w:tr>
      <w:tr w:rsidR="003A4456" w:rsidRPr="00580532" w:rsidTr="00AD14E2">
        <w:trPr>
          <w:trHeight w:val="340"/>
        </w:trPr>
        <w:tc>
          <w:tcPr>
            <w:tcW w:w="773" w:type="pct"/>
            <w:vMerge/>
            <w:vAlign w:val="center"/>
          </w:tcPr>
          <w:p w:rsidR="003A4456" w:rsidRPr="00580532" w:rsidRDefault="003A4456" w:rsidP="00A06665">
            <w:pPr>
              <w:spacing w:line="360" w:lineRule="auto"/>
              <w:rPr>
                <w:rFonts w:ascii="Book Antiqua" w:hAnsi="Book Antiqua"/>
                <w:b/>
                <w:sz w:val="24"/>
                <w:szCs w:val="24"/>
                <w:lang w:val="en-GB"/>
              </w:rPr>
            </w:pPr>
          </w:p>
        </w:tc>
        <w:tc>
          <w:tcPr>
            <w:tcW w:w="309" w:type="pct"/>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309" w:type="pct"/>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134</w:t>
            </w:r>
          </w:p>
        </w:tc>
        <w:tc>
          <w:tcPr>
            <w:tcW w:w="464" w:type="pct"/>
          </w:tcPr>
          <w:p w:rsidR="003A4456" w:rsidRPr="00580532" w:rsidRDefault="003A4456" w:rsidP="00A06665">
            <w:pPr>
              <w:spacing w:line="360" w:lineRule="auto"/>
              <w:rPr>
                <w:rFonts w:ascii="Book Antiqua" w:hAnsi="Book Antiqua"/>
                <w:sz w:val="24"/>
                <w:szCs w:val="24"/>
                <w:lang w:val="en-GB"/>
              </w:rPr>
            </w:pPr>
          </w:p>
        </w:tc>
        <w:tc>
          <w:tcPr>
            <w:tcW w:w="412" w:type="pct"/>
          </w:tcPr>
          <w:p w:rsidR="003A4456" w:rsidRPr="00580532" w:rsidRDefault="003A4456" w:rsidP="00A06665">
            <w:pPr>
              <w:spacing w:line="360" w:lineRule="auto"/>
              <w:rPr>
                <w:rFonts w:ascii="Book Antiqua" w:hAnsi="Book Antiqua"/>
                <w:sz w:val="24"/>
                <w:szCs w:val="24"/>
                <w:lang w:val="en-GB"/>
              </w:rPr>
            </w:pPr>
          </w:p>
        </w:tc>
      </w:tr>
      <w:tr w:rsidR="003A4456" w:rsidRPr="00580532" w:rsidTr="00AD14E2">
        <w:trPr>
          <w:trHeight w:val="122"/>
        </w:trPr>
        <w:tc>
          <w:tcPr>
            <w:tcW w:w="773" w:type="pct"/>
            <w:vMerge w:val="restart"/>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3-tier-based binary Classification</w:t>
            </w:r>
          </w:p>
        </w:tc>
        <w:tc>
          <w:tcPr>
            <w:tcW w:w="309" w:type="pct"/>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72</w:t>
            </w:r>
          </w:p>
        </w:tc>
        <w:tc>
          <w:tcPr>
            <w:tcW w:w="412" w:type="pct"/>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r>
      <w:tr w:rsidR="003A4456" w:rsidRPr="00580532" w:rsidTr="00AD14E2">
        <w:trPr>
          <w:trHeight w:val="212"/>
        </w:trPr>
        <w:tc>
          <w:tcPr>
            <w:tcW w:w="773" w:type="pct"/>
            <w:vMerge/>
          </w:tcPr>
          <w:p w:rsidR="003A4456" w:rsidRPr="00580532" w:rsidRDefault="003A4456" w:rsidP="00A06665">
            <w:pPr>
              <w:spacing w:line="360" w:lineRule="auto"/>
              <w:rPr>
                <w:rFonts w:ascii="Book Antiqua" w:hAnsi="Book Antiqua"/>
                <w:b/>
                <w:sz w:val="24"/>
                <w:szCs w:val="24"/>
                <w:lang w:val="en-GB"/>
              </w:rPr>
            </w:pPr>
          </w:p>
        </w:tc>
        <w:tc>
          <w:tcPr>
            <w:tcW w:w="309" w:type="pct"/>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61"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309" w:type="pct"/>
            <w:vAlign w:val="center"/>
          </w:tcPr>
          <w:p w:rsidR="003A4456" w:rsidRPr="00580532" w:rsidRDefault="003A4456" w:rsidP="00A06665">
            <w:pPr>
              <w:spacing w:line="360" w:lineRule="auto"/>
              <w:rPr>
                <w:rFonts w:ascii="Book Antiqua" w:hAnsi="Book Antiqua"/>
                <w:sz w:val="24"/>
                <w:szCs w:val="24"/>
                <w:lang w:val="en-GB"/>
              </w:rPr>
            </w:pPr>
          </w:p>
        </w:tc>
        <w:tc>
          <w:tcPr>
            <w:tcW w:w="464" w:type="pct"/>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412" w:type="pct"/>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134</w:t>
            </w:r>
          </w:p>
        </w:tc>
      </w:tr>
      <w:tr w:rsidR="003A4456" w:rsidRPr="00580532" w:rsidTr="00AD14E2">
        <w:trPr>
          <w:trHeight w:val="212"/>
        </w:trPr>
        <w:tc>
          <w:tcPr>
            <w:tcW w:w="1083" w:type="pct"/>
            <w:gridSpan w:val="2"/>
          </w:tcPr>
          <w:p w:rsidR="003A4456" w:rsidRPr="00580532" w:rsidRDefault="003A4456" w:rsidP="00A06665">
            <w:pPr>
              <w:spacing w:line="360" w:lineRule="auto"/>
              <w:rPr>
                <w:rFonts w:ascii="Book Antiqua" w:hAnsi="Book Antiqua"/>
                <w:b/>
                <w:sz w:val="24"/>
                <w:szCs w:val="24"/>
                <w:lang w:val="en-GB"/>
              </w:rPr>
            </w:pPr>
            <w:r w:rsidRPr="0044615E">
              <w:rPr>
                <w:rFonts w:ascii="Book Antiqua" w:hAnsi="Book Antiqua"/>
                <w:b/>
                <w:sz w:val="24"/>
                <w:szCs w:val="24"/>
                <w:lang w:val="en-GB"/>
              </w:rPr>
              <w:t>Kappa</w:t>
            </w:r>
            <w:r w:rsidRPr="00580532">
              <w:rPr>
                <w:rFonts w:ascii="Book Antiqua" w:hAnsi="Book Antiqua"/>
                <w:b/>
                <w:i/>
                <w:sz w:val="24"/>
                <w:szCs w:val="24"/>
                <w:lang w:val="en-GB"/>
              </w:rPr>
              <w:t xml:space="preserve"> </w:t>
            </w:r>
            <w:r w:rsidRPr="00580532">
              <w:rPr>
                <w:rFonts w:ascii="Book Antiqua" w:hAnsi="Book Antiqua"/>
                <w:b/>
                <w:sz w:val="24"/>
                <w:szCs w:val="24"/>
                <w:lang w:val="en-GB"/>
              </w:rPr>
              <w:t>value</w:t>
            </w:r>
          </w:p>
        </w:tc>
        <w:tc>
          <w:tcPr>
            <w:tcW w:w="1237" w:type="pct"/>
            <w:gridSpan w:val="4"/>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0.717</w:t>
            </w:r>
          </w:p>
        </w:tc>
        <w:tc>
          <w:tcPr>
            <w:tcW w:w="825" w:type="pct"/>
            <w:gridSpan w:val="2"/>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0.931</w:t>
            </w:r>
          </w:p>
        </w:tc>
        <w:tc>
          <w:tcPr>
            <w:tcW w:w="979" w:type="pct"/>
            <w:gridSpan w:val="3"/>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0.814</w:t>
            </w:r>
          </w:p>
        </w:tc>
        <w:tc>
          <w:tcPr>
            <w:tcW w:w="876" w:type="pct"/>
            <w:gridSpan w:val="2"/>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0.979</w:t>
            </w:r>
          </w:p>
        </w:tc>
      </w:tr>
      <w:tr w:rsidR="003A4456" w:rsidRPr="00580532" w:rsidTr="00AD14E2">
        <w:trPr>
          <w:trHeight w:val="212"/>
        </w:trPr>
        <w:tc>
          <w:tcPr>
            <w:tcW w:w="1083" w:type="pct"/>
            <w:gridSpan w:val="2"/>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i/>
                <w:sz w:val="24"/>
                <w:szCs w:val="24"/>
                <w:lang w:val="en-GB"/>
              </w:rPr>
              <w:t>P</w:t>
            </w:r>
            <w:r>
              <w:rPr>
                <w:rFonts w:ascii="Book Antiqua" w:hAnsi="Book Antiqua" w:hint="eastAsia"/>
                <w:b/>
                <w:i/>
                <w:sz w:val="24"/>
                <w:szCs w:val="24"/>
                <w:lang w:val="en-GB"/>
              </w:rPr>
              <w:t xml:space="preserve"> </w:t>
            </w:r>
            <w:r w:rsidRPr="00580532">
              <w:rPr>
                <w:rFonts w:ascii="Book Antiqua" w:hAnsi="Book Antiqua"/>
                <w:b/>
                <w:sz w:val="24"/>
                <w:szCs w:val="24"/>
                <w:lang w:val="en-GB"/>
              </w:rPr>
              <w:t>value</w:t>
            </w:r>
          </w:p>
        </w:tc>
        <w:tc>
          <w:tcPr>
            <w:tcW w:w="1237" w:type="pct"/>
            <w:gridSpan w:val="4"/>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c>
          <w:tcPr>
            <w:tcW w:w="825" w:type="pct"/>
            <w:gridSpan w:val="2"/>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c>
          <w:tcPr>
            <w:tcW w:w="979" w:type="pct"/>
            <w:gridSpan w:val="3"/>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c>
          <w:tcPr>
            <w:tcW w:w="876" w:type="pct"/>
            <w:gridSpan w:val="2"/>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r>
    </w:tbl>
    <w:p w:rsidR="003A4456" w:rsidRDefault="003A4456" w:rsidP="003A4456">
      <w:pPr>
        <w:spacing w:line="360" w:lineRule="auto"/>
        <w:rPr>
          <w:rFonts w:ascii="Book Antiqua" w:hAnsi="Book Antiqua" w:hint="eastAsia"/>
          <w:sz w:val="24"/>
          <w:szCs w:val="24"/>
          <w:lang w:val="en-GB"/>
        </w:rPr>
      </w:pPr>
    </w:p>
    <w:p w:rsidR="003A4456" w:rsidRPr="00580532" w:rsidRDefault="003A4456" w:rsidP="003A4456">
      <w:pPr>
        <w:spacing w:line="360" w:lineRule="auto"/>
        <w:rPr>
          <w:rFonts w:ascii="Book Antiqua" w:hAnsi="Book Antiqua"/>
          <w:sz w:val="24"/>
          <w:szCs w:val="24"/>
          <w:lang w:val="en-GB"/>
        </w:rPr>
      </w:pPr>
      <w:r w:rsidRPr="00580532">
        <w:rPr>
          <w:rFonts w:ascii="Book Antiqua" w:hAnsi="Book Antiqua"/>
          <w:sz w:val="24"/>
          <w:szCs w:val="24"/>
          <w:lang w:val="en-GB"/>
        </w:rPr>
        <w:t>NCB</w:t>
      </w:r>
      <w:r>
        <w:rPr>
          <w:rFonts w:ascii="Book Antiqua" w:hAnsi="Book Antiqua" w:hint="eastAsia"/>
          <w:sz w:val="24"/>
          <w:szCs w:val="24"/>
          <w:lang w:val="en-GB"/>
        </w:rPr>
        <w:t>:</w:t>
      </w:r>
      <w:r w:rsidRPr="00580532">
        <w:rPr>
          <w:rFonts w:ascii="Book Antiqua" w:hAnsi="Book Antiqua"/>
          <w:sz w:val="24"/>
          <w:szCs w:val="24"/>
          <w:lang w:val="en-GB"/>
        </w:rPr>
        <w:t xml:space="preserve"> Needle core biopsy; SS</w:t>
      </w:r>
      <w:r>
        <w:rPr>
          <w:rFonts w:ascii="Book Antiqua" w:hAnsi="Book Antiqua" w:hint="eastAsia"/>
          <w:sz w:val="24"/>
          <w:szCs w:val="24"/>
          <w:lang w:val="en-GB"/>
        </w:rPr>
        <w:t xml:space="preserve">: </w:t>
      </w:r>
      <w:r w:rsidRPr="00580532">
        <w:rPr>
          <w:rFonts w:ascii="Book Antiqua" w:hAnsi="Book Antiqua"/>
          <w:sz w:val="24"/>
          <w:szCs w:val="24"/>
          <w:lang w:val="en-GB"/>
        </w:rPr>
        <w:t>Surgery specimen</w:t>
      </w:r>
      <w:r>
        <w:rPr>
          <w:rFonts w:ascii="Book Antiqua" w:hAnsi="Book Antiqua" w:hint="eastAsia"/>
          <w:sz w:val="24"/>
          <w:szCs w:val="24"/>
          <w:lang w:val="en-GB"/>
        </w:rPr>
        <w:t>.</w:t>
      </w:r>
      <w:r w:rsidRPr="00580532">
        <w:rPr>
          <w:rFonts w:ascii="Book Antiqua" w:hAnsi="Book Antiqua"/>
          <w:sz w:val="24"/>
          <w:szCs w:val="24"/>
          <w:lang w:val="en-GB"/>
        </w:rPr>
        <w:t xml:space="preserve"> </w:t>
      </w:r>
    </w:p>
    <w:p w:rsidR="003A4456" w:rsidRPr="001D43DE" w:rsidRDefault="003A4456" w:rsidP="003A4456">
      <w:pPr>
        <w:spacing w:line="360" w:lineRule="auto"/>
        <w:rPr>
          <w:rFonts w:ascii="Book Antiqua" w:hAnsi="Book Antiqua" w:hint="eastAsia"/>
          <w:b/>
          <w:sz w:val="24"/>
          <w:szCs w:val="24"/>
          <w:lang w:val="en-GB"/>
        </w:rPr>
      </w:pPr>
      <w:r w:rsidRPr="00580532">
        <w:rPr>
          <w:rFonts w:ascii="Book Antiqua" w:hAnsi="Book Antiqua"/>
          <w:sz w:val="24"/>
          <w:szCs w:val="24"/>
          <w:lang w:val="en-GB"/>
        </w:rPr>
        <w:br w:type="page"/>
      </w:r>
      <w:r w:rsidRPr="001D43DE">
        <w:rPr>
          <w:rFonts w:ascii="Book Antiqua" w:hAnsi="Book Antiqua"/>
          <w:b/>
          <w:sz w:val="24"/>
          <w:szCs w:val="24"/>
          <w:lang w:val="en-GB"/>
        </w:rPr>
        <w:t>Table 4 Degree of concordance in the interpretation of glypican-3 staining between needle core biopsy and surgery specimen</w:t>
      </w:r>
    </w:p>
    <w:p w:rsidR="003A4456" w:rsidRPr="00580532" w:rsidRDefault="003A4456" w:rsidP="003A4456">
      <w:pPr>
        <w:spacing w:line="360" w:lineRule="auto"/>
        <w:rPr>
          <w:rFonts w:ascii="Book Antiqua" w:hAnsi="Book Antiqua"/>
          <w:b/>
          <w:sz w:val="24"/>
          <w:szCs w:val="24"/>
          <w:lang w:val="en-GB"/>
        </w:rPr>
      </w:pPr>
    </w:p>
    <w:tbl>
      <w:tblPr>
        <w:tblW w:w="0" w:type="auto"/>
        <w:tblInd w:w="250" w:type="dxa"/>
        <w:tblBorders>
          <w:top w:val="single" w:sz="4" w:space="0" w:color="auto"/>
          <w:bottom w:val="single" w:sz="4" w:space="0" w:color="auto"/>
        </w:tblBorders>
        <w:tblLayout w:type="fixed"/>
        <w:tblLook w:val="0000" w:firstRow="0" w:lastRow="0" w:firstColumn="0" w:lastColumn="0" w:noHBand="0" w:noVBand="0"/>
      </w:tblPr>
      <w:tblGrid>
        <w:gridCol w:w="2278"/>
        <w:gridCol w:w="699"/>
        <w:gridCol w:w="850"/>
        <w:gridCol w:w="851"/>
        <w:gridCol w:w="850"/>
        <w:gridCol w:w="851"/>
        <w:gridCol w:w="1276"/>
        <w:gridCol w:w="992"/>
        <w:gridCol w:w="992"/>
        <w:gridCol w:w="851"/>
        <w:gridCol w:w="850"/>
        <w:gridCol w:w="1276"/>
        <w:gridCol w:w="1134"/>
      </w:tblGrid>
      <w:tr w:rsidR="003A4456" w:rsidRPr="00580532" w:rsidTr="005F5CE5">
        <w:trPr>
          <w:trHeight w:val="525"/>
        </w:trPr>
        <w:tc>
          <w:tcPr>
            <w:tcW w:w="2977" w:type="dxa"/>
            <w:gridSpan w:val="2"/>
            <w:vMerge w:val="restart"/>
            <w:tcBorders>
              <w:top w:val="single" w:sz="4" w:space="0" w:color="auto"/>
              <w:bottom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NCB</w:t>
            </w:r>
          </w:p>
        </w:tc>
        <w:tc>
          <w:tcPr>
            <w:tcW w:w="10773" w:type="dxa"/>
            <w:gridSpan w:val="11"/>
            <w:tcBorders>
              <w:top w:val="single" w:sz="4" w:space="0" w:color="auto"/>
              <w:bottom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SS</w:t>
            </w:r>
          </w:p>
        </w:tc>
      </w:tr>
      <w:tr w:rsidR="003A4456" w:rsidRPr="00580532" w:rsidTr="005F5CE5">
        <w:trPr>
          <w:trHeight w:val="417"/>
        </w:trPr>
        <w:tc>
          <w:tcPr>
            <w:tcW w:w="2977" w:type="dxa"/>
            <w:gridSpan w:val="2"/>
            <w:vMerge/>
            <w:tcBorders>
              <w:top w:val="single" w:sz="4" w:space="0" w:color="auto"/>
              <w:bottom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p>
        </w:tc>
        <w:tc>
          <w:tcPr>
            <w:tcW w:w="3402" w:type="dxa"/>
            <w:gridSpan w:val="4"/>
            <w:tcBorders>
              <w:top w:val="single" w:sz="4" w:space="0" w:color="auto"/>
              <w:bottom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 xml:space="preserve">4-tier </w:t>
            </w:r>
          </w:p>
        </w:tc>
        <w:tc>
          <w:tcPr>
            <w:tcW w:w="2268" w:type="dxa"/>
            <w:gridSpan w:val="2"/>
            <w:tcBorders>
              <w:top w:val="single" w:sz="4" w:space="0" w:color="auto"/>
              <w:bottom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4-tier-based binary classification</w:t>
            </w:r>
          </w:p>
        </w:tc>
        <w:tc>
          <w:tcPr>
            <w:tcW w:w="2693" w:type="dxa"/>
            <w:gridSpan w:val="3"/>
            <w:tcBorders>
              <w:top w:val="single" w:sz="4" w:space="0" w:color="auto"/>
              <w:bottom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w:t>
            </w:r>
          </w:p>
        </w:tc>
        <w:tc>
          <w:tcPr>
            <w:tcW w:w="2410" w:type="dxa"/>
            <w:gridSpan w:val="2"/>
            <w:tcBorders>
              <w:top w:val="single" w:sz="4" w:space="0" w:color="auto"/>
              <w:bottom w:val="single" w:sz="4" w:space="0" w:color="auto"/>
            </w:tcBorders>
            <w:shd w:val="clear" w:color="auto" w:fill="auto"/>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3-tier-based binary classification</w:t>
            </w:r>
          </w:p>
        </w:tc>
      </w:tr>
      <w:tr w:rsidR="003A4456" w:rsidRPr="00580532" w:rsidTr="00A06665">
        <w:trPr>
          <w:trHeight w:val="304"/>
        </w:trPr>
        <w:tc>
          <w:tcPr>
            <w:tcW w:w="2977" w:type="dxa"/>
            <w:gridSpan w:val="2"/>
            <w:tcBorders>
              <w:top w:val="single" w:sz="4" w:space="0" w:color="auto"/>
            </w:tcBorders>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tcBorders>
              <w:top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1" w:type="dxa"/>
            <w:tcBorders>
              <w:top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tcBorders>
              <w:top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1" w:type="dxa"/>
            <w:tcBorders>
              <w:top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1276" w:type="dxa"/>
            <w:tcBorders>
              <w:top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992" w:type="dxa"/>
            <w:tcBorders>
              <w:top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992" w:type="dxa"/>
            <w:tcBorders>
              <w:top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1" w:type="dxa"/>
            <w:tcBorders>
              <w:top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tcBorders>
              <w:top w:val="single" w:sz="4" w:space="0" w:color="auto"/>
            </w:tcBorders>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1276" w:type="dxa"/>
            <w:tcBorders>
              <w:top w:val="single" w:sz="4" w:space="0" w:color="auto"/>
            </w:tcBorders>
            <w:shd w:val="clear" w:color="auto" w:fill="auto"/>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1134" w:type="dxa"/>
            <w:tcBorders>
              <w:top w:val="single" w:sz="4" w:space="0" w:color="auto"/>
            </w:tcBorders>
            <w:shd w:val="clear" w:color="auto" w:fill="auto"/>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r>
      <w:tr w:rsidR="003A4456" w:rsidRPr="00580532" w:rsidTr="00A06665">
        <w:trPr>
          <w:trHeight w:val="311"/>
        </w:trPr>
        <w:tc>
          <w:tcPr>
            <w:tcW w:w="2278" w:type="dxa"/>
            <w:vMerge w:val="restart"/>
            <w:shd w:val="clear" w:color="auto" w:fill="auto"/>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4-tier</w:t>
            </w:r>
          </w:p>
        </w:tc>
        <w:tc>
          <w:tcPr>
            <w:tcW w:w="699" w:type="dxa"/>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62</w:t>
            </w: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1276"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tcPr>
          <w:p w:rsidR="003A4456" w:rsidRPr="00580532" w:rsidRDefault="003A4456" w:rsidP="00A06665">
            <w:pPr>
              <w:spacing w:line="360" w:lineRule="auto"/>
              <w:rPr>
                <w:rFonts w:ascii="Book Antiqua" w:hAnsi="Book Antiqua"/>
                <w:sz w:val="24"/>
                <w:szCs w:val="24"/>
                <w:lang w:val="en-GB"/>
              </w:rPr>
            </w:pPr>
          </w:p>
        </w:tc>
        <w:tc>
          <w:tcPr>
            <w:tcW w:w="1134" w:type="dxa"/>
            <w:shd w:val="clear" w:color="auto" w:fill="auto"/>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402"/>
        </w:trPr>
        <w:tc>
          <w:tcPr>
            <w:tcW w:w="2278" w:type="dxa"/>
            <w:vMerge/>
            <w:shd w:val="clear" w:color="auto" w:fill="auto"/>
          </w:tcPr>
          <w:p w:rsidR="003A4456" w:rsidRPr="00580532" w:rsidRDefault="003A4456" w:rsidP="00A06665">
            <w:pPr>
              <w:spacing w:line="360" w:lineRule="auto"/>
              <w:rPr>
                <w:rFonts w:ascii="Book Antiqua" w:hAnsi="Book Antiqua"/>
                <w:b/>
                <w:sz w:val="24"/>
                <w:szCs w:val="24"/>
                <w:lang w:val="en-GB"/>
              </w:rPr>
            </w:pPr>
          </w:p>
        </w:tc>
        <w:tc>
          <w:tcPr>
            <w:tcW w:w="699" w:type="dxa"/>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18</w:t>
            </w: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25</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1276"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tcPr>
          <w:p w:rsidR="003A4456" w:rsidRPr="00580532" w:rsidRDefault="003A4456" w:rsidP="00A06665">
            <w:pPr>
              <w:spacing w:line="360" w:lineRule="auto"/>
              <w:rPr>
                <w:rFonts w:ascii="Book Antiqua" w:hAnsi="Book Antiqua"/>
                <w:sz w:val="24"/>
                <w:szCs w:val="24"/>
                <w:lang w:val="en-GB"/>
              </w:rPr>
            </w:pPr>
          </w:p>
        </w:tc>
        <w:tc>
          <w:tcPr>
            <w:tcW w:w="1134" w:type="dxa"/>
            <w:shd w:val="clear" w:color="auto" w:fill="auto"/>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344"/>
        </w:trPr>
        <w:tc>
          <w:tcPr>
            <w:tcW w:w="2278" w:type="dxa"/>
            <w:vMerge/>
            <w:shd w:val="clear" w:color="auto" w:fill="auto"/>
          </w:tcPr>
          <w:p w:rsidR="003A4456" w:rsidRPr="00580532" w:rsidRDefault="003A4456" w:rsidP="00A06665">
            <w:pPr>
              <w:spacing w:line="360" w:lineRule="auto"/>
              <w:rPr>
                <w:rFonts w:ascii="Book Antiqua" w:hAnsi="Book Antiqua"/>
                <w:b/>
                <w:sz w:val="24"/>
                <w:szCs w:val="24"/>
                <w:lang w:val="en-GB"/>
              </w:rPr>
            </w:pPr>
          </w:p>
        </w:tc>
        <w:tc>
          <w:tcPr>
            <w:tcW w:w="699" w:type="dxa"/>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15</w:t>
            </w: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1276"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tcPr>
          <w:p w:rsidR="003A4456" w:rsidRPr="00580532" w:rsidRDefault="003A4456" w:rsidP="00A06665">
            <w:pPr>
              <w:spacing w:line="360" w:lineRule="auto"/>
              <w:rPr>
                <w:rFonts w:ascii="Book Antiqua" w:hAnsi="Book Antiqua"/>
                <w:sz w:val="24"/>
                <w:szCs w:val="24"/>
                <w:lang w:val="en-GB"/>
              </w:rPr>
            </w:pPr>
          </w:p>
        </w:tc>
        <w:tc>
          <w:tcPr>
            <w:tcW w:w="1134" w:type="dxa"/>
            <w:shd w:val="clear" w:color="auto" w:fill="auto"/>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252"/>
        </w:trPr>
        <w:tc>
          <w:tcPr>
            <w:tcW w:w="2278" w:type="dxa"/>
            <w:vMerge/>
            <w:shd w:val="clear" w:color="auto" w:fill="auto"/>
          </w:tcPr>
          <w:p w:rsidR="003A4456" w:rsidRPr="00580532" w:rsidRDefault="003A4456" w:rsidP="00A06665">
            <w:pPr>
              <w:spacing w:line="360" w:lineRule="auto"/>
              <w:rPr>
                <w:rFonts w:ascii="Book Antiqua" w:hAnsi="Book Antiqua"/>
                <w:b/>
                <w:sz w:val="24"/>
                <w:szCs w:val="24"/>
                <w:lang w:val="en-GB"/>
              </w:rPr>
            </w:pPr>
          </w:p>
        </w:tc>
        <w:tc>
          <w:tcPr>
            <w:tcW w:w="699" w:type="dxa"/>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8</w:t>
            </w: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72</w:t>
            </w:r>
          </w:p>
        </w:tc>
        <w:tc>
          <w:tcPr>
            <w:tcW w:w="1276"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tcPr>
          <w:p w:rsidR="003A4456" w:rsidRPr="00580532" w:rsidRDefault="003A4456" w:rsidP="00A06665">
            <w:pPr>
              <w:spacing w:line="360" w:lineRule="auto"/>
              <w:rPr>
                <w:rFonts w:ascii="Book Antiqua" w:hAnsi="Book Antiqua"/>
                <w:sz w:val="24"/>
                <w:szCs w:val="24"/>
                <w:lang w:val="en-GB"/>
              </w:rPr>
            </w:pPr>
          </w:p>
        </w:tc>
        <w:tc>
          <w:tcPr>
            <w:tcW w:w="1134" w:type="dxa"/>
            <w:shd w:val="clear" w:color="auto" w:fill="auto"/>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747"/>
        </w:trPr>
        <w:tc>
          <w:tcPr>
            <w:tcW w:w="2278" w:type="dxa"/>
            <w:vMerge w:val="restart"/>
            <w:shd w:val="clear" w:color="auto" w:fill="auto"/>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4-tier-based binary classification</w:t>
            </w:r>
          </w:p>
        </w:tc>
        <w:tc>
          <w:tcPr>
            <w:tcW w:w="699" w:type="dxa"/>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127</w:t>
            </w: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tcPr>
          <w:p w:rsidR="003A4456" w:rsidRPr="00580532" w:rsidRDefault="003A4456" w:rsidP="00A06665">
            <w:pPr>
              <w:spacing w:line="360" w:lineRule="auto"/>
              <w:rPr>
                <w:rFonts w:ascii="Book Antiqua" w:hAnsi="Book Antiqua"/>
                <w:sz w:val="24"/>
                <w:szCs w:val="24"/>
                <w:lang w:val="en-GB"/>
              </w:rPr>
            </w:pPr>
          </w:p>
        </w:tc>
        <w:tc>
          <w:tcPr>
            <w:tcW w:w="1134" w:type="dxa"/>
            <w:shd w:val="clear" w:color="auto" w:fill="auto"/>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316"/>
        </w:trPr>
        <w:tc>
          <w:tcPr>
            <w:tcW w:w="2278" w:type="dxa"/>
            <w:vMerge/>
            <w:shd w:val="clear" w:color="auto" w:fill="auto"/>
          </w:tcPr>
          <w:p w:rsidR="003A4456" w:rsidRPr="00580532" w:rsidRDefault="003A4456" w:rsidP="00A06665">
            <w:pPr>
              <w:spacing w:line="360" w:lineRule="auto"/>
              <w:rPr>
                <w:rFonts w:ascii="Book Antiqua" w:hAnsi="Book Antiqua"/>
                <w:b/>
                <w:sz w:val="24"/>
                <w:szCs w:val="24"/>
                <w:lang w:val="en-GB"/>
              </w:rPr>
            </w:pPr>
          </w:p>
        </w:tc>
        <w:tc>
          <w:tcPr>
            <w:tcW w:w="699" w:type="dxa"/>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9</w:t>
            </w: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72</w:t>
            </w: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tcPr>
          <w:p w:rsidR="003A4456" w:rsidRPr="00580532" w:rsidRDefault="003A4456" w:rsidP="00A06665">
            <w:pPr>
              <w:spacing w:line="360" w:lineRule="auto"/>
              <w:rPr>
                <w:rFonts w:ascii="Book Antiqua" w:hAnsi="Book Antiqua"/>
                <w:sz w:val="24"/>
                <w:szCs w:val="24"/>
                <w:lang w:val="en-GB"/>
              </w:rPr>
            </w:pPr>
          </w:p>
        </w:tc>
        <w:tc>
          <w:tcPr>
            <w:tcW w:w="1134" w:type="dxa"/>
            <w:shd w:val="clear" w:color="auto" w:fill="auto"/>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336"/>
        </w:trPr>
        <w:tc>
          <w:tcPr>
            <w:tcW w:w="2278" w:type="dxa"/>
            <w:vMerge w:val="restart"/>
            <w:shd w:val="clear" w:color="auto" w:fill="auto"/>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w:t>
            </w:r>
          </w:p>
        </w:tc>
        <w:tc>
          <w:tcPr>
            <w:tcW w:w="699" w:type="dxa"/>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42</w:t>
            </w: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5</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1276" w:type="dxa"/>
            <w:shd w:val="clear" w:color="auto" w:fill="auto"/>
          </w:tcPr>
          <w:p w:rsidR="003A4456" w:rsidRPr="00580532" w:rsidRDefault="003A4456" w:rsidP="00A06665">
            <w:pPr>
              <w:spacing w:line="360" w:lineRule="auto"/>
              <w:rPr>
                <w:rFonts w:ascii="Book Antiqua" w:hAnsi="Book Antiqua"/>
                <w:sz w:val="24"/>
                <w:szCs w:val="24"/>
                <w:lang w:val="en-GB"/>
              </w:rPr>
            </w:pPr>
          </w:p>
        </w:tc>
        <w:tc>
          <w:tcPr>
            <w:tcW w:w="1134" w:type="dxa"/>
            <w:shd w:val="clear" w:color="auto" w:fill="auto"/>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226"/>
        </w:trPr>
        <w:tc>
          <w:tcPr>
            <w:tcW w:w="2278" w:type="dxa"/>
            <w:vMerge/>
            <w:shd w:val="clear" w:color="auto" w:fill="auto"/>
            <w:vAlign w:val="center"/>
          </w:tcPr>
          <w:p w:rsidR="003A4456" w:rsidRPr="00580532" w:rsidRDefault="003A4456" w:rsidP="00A06665">
            <w:pPr>
              <w:spacing w:line="360" w:lineRule="auto"/>
              <w:rPr>
                <w:rFonts w:ascii="Book Antiqua" w:hAnsi="Book Antiqua"/>
                <w:b/>
                <w:sz w:val="24"/>
                <w:szCs w:val="24"/>
                <w:lang w:val="en-GB"/>
              </w:rPr>
            </w:pPr>
          </w:p>
        </w:tc>
        <w:tc>
          <w:tcPr>
            <w:tcW w:w="699" w:type="dxa"/>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25</w:t>
            </w: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26</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5</w:t>
            </w:r>
          </w:p>
        </w:tc>
        <w:tc>
          <w:tcPr>
            <w:tcW w:w="1276" w:type="dxa"/>
            <w:shd w:val="clear" w:color="auto" w:fill="auto"/>
          </w:tcPr>
          <w:p w:rsidR="003A4456" w:rsidRPr="00580532" w:rsidRDefault="003A4456" w:rsidP="00A06665">
            <w:pPr>
              <w:spacing w:line="360" w:lineRule="auto"/>
              <w:rPr>
                <w:rFonts w:ascii="Book Antiqua" w:hAnsi="Book Antiqua"/>
                <w:sz w:val="24"/>
                <w:szCs w:val="24"/>
                <w:lang w:val="en-GB"/>
              </w:rPr>
            </w:pPr>
          </w:p>
        </w:tc>
        <w:tc>
          <w:tcPr>
            <w:tcW w:w="1134" w:type="dxa"/>
            <w:shd w:val="clear" w:color="auto" w:fill="auto"/>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340"/>
        </w:trPr>
        <w:tc>
          <w:tcPr>
            <w:tcW w:w="2278" w:type="dxa"/>
            <w:vMerge/>
            <w:shd w:val="clear" w:color="auto" w:fill="auto"/>
            <w:vAlign w:val="center"/>
          </w:tcPr>
          <w:p w:rsidR="003A4456" w:rsidRPr="00580532" w:rsidRDefault="003A4456" w:rsidP="00A06665">
            <w:pPr>
              <w:spacing w:line="360" w:lineRule="auto"/>
              <w:rPr>
                <w:rFonts w:ascii="Book Antiqua" w:hAnsi="Book Antiqua"/>
                <w:b/>
                <w:sz w:val="24"/>
                <w:szCs w:val="24"/>
                <w:lang w:val="en-GB"/>
              </w:rPr>
            </w:pPr>
          </w:p>
        </w:tc>
        <w:tc>
          <w:tcPr>
            <w:tcW w:w="699" w:type="dxa"/>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103</w:t>
            </w:r>
          </w:p>
        </w:tc>
        <w:tc>
          <w:tcPr>
            <w:tcW w:w="1276" w:type="dxa"/>
            <w:shd w:val="clear" w:color="auto" w:fill="auto"/>
          </w:tcPr>
          <w:p w:rsidR="003A4456" w:rsidRPr="00580532" w:rsidRDefault="003A4456" w:rsidP="00A06665">
            <w:pPr>
              <w:spacing w:line="360" w:lineRule="auto"/>
              <w:rPr>
                <w:rFonts w:ascii="Book Antiqua" w:hAnsi="Book Antiqua"/>
                <w:sz w:val="24"/>
                <w:szCs w:val="24"/>
                <w:lang w:val="en-GB"/>
              </w:rPr>
            </w:pPr>
          </w:p>
        </w:tc>
        <w:tc>
          <w:tcPr>
            <w:tcW w:w="1134" w:type="dxa"/>
            <w:shd w:val="clear" w:color="auto" w:fill="auto"/>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122"/>
        </w:trPr>
        <w:tc>
          <w:tcPr>
            <w:tcW w:w="2278" w:type="dxa"/>
            <w:vMerge w:val="restart"/>
            <w:shd w:val="clear" w:color="auto" w:fill="auto"/>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3-tier-based binary classification</w:t>
            </w:r>
          </w:p>
        </w:tc>
        <w:tc>
          <w:tcPr>
            <w:tcW w:w="699" w:type="dxa"/>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98</w:t>
            </w:r>
          </w:p>
        </w:tc>
        <w:tc>
          <w:tcPr>
            <w:tcW w:w="1134" w:type="dxa"/>
            <w:shd w:val="clear" w:color="auto" w:fill="auto"/>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5</w:t>
            </w:r>
          </w:p>
        </w:tc>
      </w:tr>
      <w:tr w:rsidR="003A4456" w:rsidRPr="00580532" w:rsidTr="00A06665">
        <w:trPr>
          <w:trHeight w:val="212"/>
        </w:trPr>
        <w:tc>
          <w:tcPr>
            <w:tcW w:w="2278" w:type="dxa"/>
            <w:vMerge/>
            <w:shd w:val="clear" w:color="auto" w:fill="auto"/>
          </w:tcPr>
          <w:p w:rsidR="003A4456" w:rsidRPr="00580532" w:rsidRDefault="003A4456" w:rsidP="00A06665">
            <w:pPr>
              <w:spacing w:line="360" w:lineRule="auto"/>
              <w:rPr>
                <w:rFonts w:ascii="Book Antiqua" w:hAnsi="Book Antiqua"/>
                <w:b/>
                <w:sz w:val="24"/>
                <w:szCs w:val="24"/>
                <w:lang w:val="en-GB"/>
              </w:rPr>
            </w:pPr>
          </w:p>
        </w:tc>
        <w:tc>
          <w:tcPr>
            <w:tcW w:w="699" w:type="dxa"/>
            <w:shd w:val="clear" w:color="auto" w:fill="auto"/>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992"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1"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850" w:type="dxa"/>
            <w:shd w:val="clear" w:color="auto" w:fill="auto"/>
            <w:vAlign w:val="center"/>
          </w:tcPr>
          <w:p w:rsidR="003A4456" w:rsidRPr="00580532" w:rsidRDefault="003A4456" w:rsidP="00A06665">
            <w:pPr>
              <w:spacing w:line="360" w:lineRule="auto"/>
              <w:rPr>
                <w:rFonts w:ascii="Book Antiqua" w:hAnsi="Book Antiqua"/>
                <w:sz w:val="24"/>
                <w:szCs w:val="24"/>
                <w:lang w:val="en-GB"/>
              </w:rPr>
            </w:pPr>
          </w:p>
        </w:tc>
        <w:tc>
          <w:tcPr>
            <w:tcW w:w="1276" w:type="dxa"/>
            <w:shd w:val="clear" w:color="auto" w:fill="auto"/>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c>
          <w:tcPr>
            <w:tcW w:w="1134" w:type="dxa"/>
            <w:shd w:val="clear" w:color="auto" w:fill="auto"/>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103</w:t>
            </w:r>
          </w:p>
        </w:tc>
      </w:tr>
      <w:tr w:rsidR="003A4456" w:rsidRPr="00580532" w:rsidTr="00A06665">
        <w:trPr>
          <w:trHeight w:val="212"/>
        </w:trPr>
        <w:tc>
          <w:tcPr>
            <w:tcW w:w="2977" w:type="dxa"/>
            <w:gridSpan w:val="2"/>
            <w:shd w:val="clear" w:color="auto" w:fill="auto"/>
          </w:tcPr>
          <w:p w:rsidR="003A4456" w:rsidRPr="00580532" w:rsidRDefault="003A4456" w:rsidP="00A06665">
            <w:pPr>
              <w:spacing w:line="360" w:lineRule="auto"/>
              <w:rPr>
                <w:rFonts w:ascii="Book Antiqua" w:hAnsi="Book Antiqua"/>
                <w:b/>
                <w:sz w:val="24"/>
                <w:szCs w:val="24"/>
                <w:lang w:val="en-GB"/>
              </w:rPr>
            </w:pPr>
            <w:r w:rsidRPr="003A4456">
              <w:rPr>
                <w:rFonts w:ascii="Book Antiqua" w:hAnsi="Book Antiqua"/>
                <w:b/>
                <w:sz w:val="24"/>
                <w:szCs w:val="24"/>
                <w:lang w:val="en-GB"/>
              </w:rPr>
              <w:t>Kappa</w:t>
            </w:r>
            <w:r w:rsidRPr="00580532">
              <w:rPr>
                <w:rFonts w:ascii="Book Antiqua" w:hAnsi="Book Antiqua"/>
                <w:b/>
                <w:i/>
                <w:sz w:val="24"/>
                <w:szCs w:val="24"/>
                <w:lang w:val="en-GB"/>
              </w:rPr>
              <w:t xml:space="preserve"> </w:t>
            </w:r>
            <w:r w:rsidRPr="00580532">
              <w:rPr>
                <w:rFonts w:ascii="Book Antiqua" w:hAnsi="Book Antiqua"/>
                <w:b/>
                <w:sz w:val="24"/>
                <w:szCs w:val="24"/>
                <w:lang w:val="en-GB"/>
              </w:rPr>
              <w:t>value</w:t>
            </w:r>
          </w:p>
        </w:tc>
        <w:tc>
          <w:tcPr>
            <w:tcW w:w="3402" w:type="dxa"/>
            <w:gridSpan w:val="4"/>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0.768</w:t>
            </w:r>
          </w:p>
        </w:tc>
        <w:tc>
          <w:tcPr>
            <w:tcW w:w="2268" w:type="dxa"/>
            <w:gridSpan w:val="2"/>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0.907</w:t>
            </w:r>
          </w:p>
        </w:tc>
        <w:tc>
          <w:tcPr>
            <w:tcW w:w="2693" w:type="dxa"/>
            <w:gridSpan w:val="3"/>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0.714</w:t>
            </w:r>
          </w:p>
        </w:tc>
        <w:tc>
          <w:tcPr>
            <w:tcW w:w="2410" w:type="dxa"/>
            <w:gridSpan w:val="2"/>
            <w:shd w:val="clear" w:color="auto" w:fill="auto"/>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0.933</w:t>
            </w:r>
          </w:p>
        </w:tc>
      </w:tr>
      <w:tr w:rsidR="003A4456" w:rsidRPr="00580532" w:rsidTr="00A06665">
        <w:trPr>
          <w:trHeight w:val="212"/>
        </w:trPr>
        <w:tc>
          <w:tcPr>
            <w:tcW w:w="2977" w:type="dxa"/>
            <w:gridSpan w:val="2"/>
            <w:shd w:val="clear" w:color="auto" w:fill="auto"/>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i/>
                <w:sz w:val="24"/>
                <w:szCs w:val="24"/>
                <w:lang w:val="en-GB"/>
              </w:rPr>
              <w:t>P</w:t>
            </w:r>
            <w:r w:rsidRPr="00580532">
              <w:rPr>
                <w:rFonts w:ascii="Book Antiqua" w:hAnsi="Book Antiqua"/>
                <w:b/>
                <w:sz w:val="24"/>
                <w:szCs w:val="24"/>
                <w:lang w:val="en-GB"/>
              </w:rPr>
              <w:t xml:space="preserve"> value</w:t>
            </w:r>
          </w:p>
        </w:tc>
        <w:tc>
          <w:tcPr>
            <w:tcW w:w="3402" w:type="dxa"/>
            <w:gridSpan w:val="4"/>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c>
          <w:tcPr>
            <w:tcW w:w="2268" w:type="dxa"/>
            <w:gridSpan w:val="2"/>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c>
          <w:tcPr>
            <w:tcW w:w="2693" w:type="dxa"/>
            <w:gridSpan w:val="3"/>
            <w:shd w:val="clear" w:color="auto" w:fill="auto"/>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c>
          <w:tcPr>
            <w:tcW w:w="2410" w:type="dxa"/>
            <w:gridSpan w:val="2"/>
            <w:shd w:val="clear" w:color="auto" w:fill="auto"/>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r>
    </w:tbl>
    <w:p w:rsidR="003A4456" w:rsidRDefault="003A4456" w:rsidP="003A4456">
      <w:pPr>
        <w:spacing w:line="360" w:lineRule="auto"/>
        <w:rPr>
          <w:rFonts w:ascii="Book Antiqua" w:hAnsi="Book Antiqua" w:hint="eastAsia"/>
          <w:sz w:val="24"/>
          <w:szCs w:val="24"/>
          <w:lang w:val="en-GB"/>
        </w:rPr>
      </w:pPr>
    </w:p>
    <w:p w:rsidR="003A4456" w:rsidRDefault="003A4456" w:rsidP="003A4456">
      <w:pPr>
        <w:spacing w:line="360" w:lineRule="auto"/>
        <w:rPr>
          <w:rFonts w:ascii="Book Antiqua" w:hAnsi="Book Antiqua" w:hint="eastAsia"/>
          <w:sz w:val="24"/>
          <w:szCs w:val="24"/>
          <w:lang w:val="en-GB"/>
        </w:rPr>
      </w:pPr>
      <w:r w:rsidRPr="00580532">
        <w:rPr>
          <w:rFonts w:ascii="Book Antiqua" w:hAnsi="Book Antiqua"/>
          <w:sz w:val="24"/>
          <w:szCs w:val="24"/>
          <w:lang w:val="en-GB"/>
        </w:rPr>
        <w:t>NCB</w:t>
      </w:r>
      <w:r>
        <w:rPr>
          <w:rFonts w:ascii="Book Antiqua" w:hAnsi="Book Antiqua" w:hint="eastAsia"/>
          <w:sz w:val="24"/>
          <w:szCs w:val="24"/>
          <w:lang w:val="en-GB"/>
        </w:rPr>
        <w:t>:</w:t>
      </w:r>
      <w:r w:rsidRPr="00580532">
        <w:rPr>
          <w:rFonts w:ascii="Book Antiqua" w:hAnsi="Book Antiqua"/>
          <w:sz w:val="24"/>
          <w:szCs w:val="24"/>
          <w:lang w:val="en-GB"/>
        </w:rPr>
        <w:t xml:space="preserve"> Needle c</w:t>
      </w:r>
      <w:r>
        <w:rPr>
          <w:rFonts w:ascii="Book Antiqua" w:hAnsi="Book Antiqua"/>
          <w:sz w:val="24"/>
          <w:szCs w:val="24"/>
          <w:lang w:val="en-GB"/>
        </w:rPr>
        <w:t>ore biopsy; SS</w:t>
      </w:r>
      <w:r>
        <w:rPr>
          <w:rFonts w:ascii="Book Antiqua" w:hAnsi="Book Antiqua" w:hint="eastAsia"/>
          <w:sz w:val="24"/>
          <w:szCs w:val="24"/>
          <w:lang w:val="en-GB"/>
        </w:rPr>
        <w:t>:</w:t>
      </w:r>
      <w:r>
        <w:rPr>
          <w:rFonts w:ascii="Book Antiqua" w:hAnsi="Book Antiqua"/>
          <w:sz w:val="24"/>
          <w:szCs w:val="24"/>
          <w:lang w:val="en-GB"/>
        </w:rPr>
        <w:t xml:space="preserve"> Surgery specime</w:t>
      </w:r>
      <w:r>
        <w:rPr>
          <w:rFonts w:ascii="Book Antiqua" w:hAnsi="Book Antiqua" w:hint="eastAsia"/>
          <w:sz w:val="24"/>
          <w:szCs w:val="24"/>
          <w:lang w:val="en-GB"/>
        </w:rPr>
        <w:t>.</w:t>
      </w:r>
    </w:p>
    <w:p w:rsidR="003A4456" w:rsidRDefault="003A4456" w:rsidP="003A4456">
      <w:pPr>
        <w:spacing w:line="360" w:lineRule="auto"/>
        <w:rPr>
          <w:rFonts w:ascii="Book Antiqua" w:hAnsi="Book Antiqua" w:hint="eastAsia"/>
          <w:b/>
          <w:sz w:val="24"/>
          <w:szCs w:val="24"/>
          <w:lang w:val="en-GB"/>
        </w:rPr>
      </w:pPr>
      <w:r>
        <w:rPr>
          <w:rFonts w:ascii="Book Antiqua" w:hAnsi="Book Antiqua"/>
          <w:b/>
          <w:sz w:val="24"/>
          <w:szCs w:val="24"/>
          <w:lang w:val="en-GB"/>
        </w:rPr>
        <w:br w:type="page"/>
        <w:t>Table 5</w:t>
      </w:r>
      <w:r w:rsidRPr="00580532">
        <w:rPr>
          <w:rFonts w:ascii="Book Antiqua" w:hAnsi="Book Antiqua"/>
          <w:b/>
          <w:sz w:val="24"/>
          <w:szCs w:val="24"/>
          <w:lang w:val="en-GB"/>
        </w:rPr>
        <w:t xml:space="preserve"> Degree of concordance in the interpretation of </w:t>
      </w:r>
      <w:r w:rsidRPr="003A4456">
        <w:rPr>
          <w:rFonts w:ascii="Book Antiqua" w:hAnsi="Book Antiqua"/>
          <w:b/>
          <w:sz w:val="24"/>
          <w:szCs w:val="24"/>
          <w:lang w:val="en-GB"/>
        </w:rPr>
        <w:t>Hepatocyte paraffin-1</w:t>
      </w:r>
      <w:r w:rsidRPr="00580532">
        <w:rPr>
          <w:rFonts w:ascii="Book Antiqua" w:hAnsi="Book Antiqua"/>
          <w:b/>
          <w:sz w:val="24"/>
          <w:szCs w:val="24"/>
          <w:lang w:val="en-GB"/>
        </w:rPr>
        <w:t xml:space="preserve"> staining between </w:t>
      </w:r>
      <w:r w:rsidRPr="00FB56C4">
        <w:rPr>
          <w:rFonts w:ascii="Book Antiqua" w:hAnsi="Book Antiqua"/>
          <w:b/>
          <w:sz w:val="24"/>
          <w:szCs w:val="24"/>
          <w:lang w:val="en-GB"/>
        </w:rPr>
        <w:t>needle core biopsy and surgery specimen</w:t>
      </w:r>
    </w:p>
    <w:p w:rsidR="003A4456" w:rsidRPr="00580532" w:rsidRDefault="003A4456" w:rsidP="003A4456">
      <w:pPr>
        <w:spacing w:line="360" w:lineRule="auto"/>
        <w:rPr>
          <w:rFonts w:ascii="Book Antiqua" w:hAnsi="Book Antiqua"/>
          <w:b/>
          <w:sz w:val="24"/>
          <w:szCs w:val="24"/>
          <w:lang w:val="en-GB"/>
        </w:rPr>
      </w:pPr>
    </w:p>
    <w:tbl>
      <w:tblPr>
        <w:tblW w:w="0" w:type="auto"/>
        <w:tblInd w:w="250" w:type="dxa"/>
        <w:tblBorders>
          <w:top w:val="single" w:sz="4" w:space="0" w:color="auto"/>
        </w:tblBorders>
        <w:tblLayout w:type="fixed"/>
        <w:tblLook w:val="0000" w:firstRow="0" w:lastRow="0" w:firstColumn="0" w:lastColumn="0" w:noHBand="0" w:noVBand="0"/>
      </w:tblPr>
      <w:tblGrid>
        <w:gridCol w:w="2297"/>
        <w:gridCol w:w="680"/>
        <w:gridCol w:w="850"/>
        <w:gridCol w:w="851"/>
        <w:gridCol w:w="850"/>
        <w:gridCol w:w="851"/>
        <w:gridCol w:w="1276"/>
        <w:gridCol w:w="992"/>
        <w:gridCol w:w="992"/>
        <w:gridCol w:w="851"/>
        <w:gridCol w:w="850"/>
        <w:gridCol w:w="1276"/>
        <w:gridCol w:w="1134"/>
      </w:tblGrid>
      <w:tr w:rsidR="003A4456" w:rsidRPr="00580532" w:rsidTr="0051502D">
        <w:trPr>
          <w:trHeight w:val="525"/>
        </w:trPr>
        <w:tc>
          <w:tcPr>
            <w:tcW w:w="2977" w:type="dxa"/>
            <w:gridSpan w:val="2"/>
            <w:vMerge w:val="restart"/>
            <w:tcBorders>
              <w:top w:val="single" w:sz="4" w:space="0" w:color="auto"/>
              <w:bottom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NCB</w:t>
            </w:r>
          </w:p>
        </w:tc>
        <w:tc>
          <w:tcPr>
            <w:tcW w:w="10773" w:type="dxa"/>
            <w:gridSpan w:val="11"/>
            <w:tcBorders>
              <w:top w:val="single" w:sz="4" w:space="0" w:color="auto"/>
              <w:bottom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SS</w:t>
            </w:r>
          </w:p>
        </w:tc>
      </w:tr>
      <w:tr w:rsidR="003A4456" w:rsidRPr="00580532" w:rsidTr="0051502D">
        <w:trPr>
          <w:trHeight w:val="417"/>
        </w:trPr>
        <w:tc>
          <w:tcPr>
            <w:tcW w:w="2977" w:type="dxa"/>
            <w:gridSpan w:val="2"/>
            <w:vMerge/>
            <w:tcBorders>
              <w:top w:val="single" w:sz="4" w:space="0" w:color="auto"/>
              <w:bottom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p>
        </w:tc>
        <w:tc>
          <w:tcPr>
            <w:tcW w:w="3402" w:type="dxa"/>
            <w:gridSpan w:val="4"/>
            <w:tcBorders>
              <w:top w:val="single" w:sz="4" w:space="0" w:color="auto"/>
              <w:bottom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 xml:space="preserve">4-tier </w:t>
            </w:r>
          </w:p>
        </w:tc>
        <w:tc>
          <w:tcPr>
            <w:tcW w:w="2268" w:type="dxa"/>
            <w:gridSpan w:val="2"/>
            <w:tcBorders>
              <w:top w:val="single" w:sz="4" w:space="0" w:color="auto"/>
              <w:bottom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4-tier-based binary classification</w:t>
            </w:r>
          </w:p>
        </w:tc>
        <w:tc>
          <w:tcPr>
            <w:tcW w:w="2693" w:type="dxa"/>
            <w:gridSpan w:val="3"/>
            <w:tcBorders>
              <w:top w:val="single" w:sz="4" w:space="0" w:color="auto"/>
              <w:bottom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w:t>
            </w:r>
          </w:p>
        </w:tc>
        <w:tc>
          <w:tcPr>
            <w:tcW w:w="2410" w:type="dxa"/>
            <w:gridSpan w:val="2"/>
            <w:tcBorders>
              <w:top w:val="single" w:sz="4" w:space="0" w:color="auto"/>
              <w:bottom w:val="single" w:sz="4" w:space="0" w:color="auto"/>
            </w:tcBorders>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3-tier-based binary classification</w:t>
            </w:r>
          </w:p>
        </w:tc>
      </w:tr>
      <w:tr w:rsidR="003A4456" w:rsidRPr="00580532" w:rsidTr="0051502D">
        <w:trPr>
          <w:trHeight w:val="304"/>
        </w:trPr>
        <w:tc>
          <w:tcPr>
            <w:tcW w:w="2977" w:type="dxa"/>
            <w:gridSpan w:val="2"/>
            <w:tcBorders>
              <w:top w:val="single" w:sz="4" w:space="0" w:color="auto"/>
            </w:tcBorders>
            <w:vAlign w:val="center"/>
          </w:tcPr>
          <w:p w:rsidR="003A4456" w:rsidRPr="00580532" w:rsidRDefault="003A4456" w:rsidP="00A06665">
            <w:pPr>
              <w:spacing w:line="360" w:lineRule="auto"/>
              <w:rPr>
                <w:rFonts w:ascii="Book Antiqua" w:hAnsi="Book Antiqua"/>
                <w:sz w:val="24"/>
                <w:szCs w:val="24"/>
                <w:lang w:val="en-GB"/>
              </w:rPr>
            </w:pPr>
          </w:p>
        </w:tc>
        <w:tc>
          <w:tcPr>
            <w:tcW w:w="850" w:type="dxa"/>
            <w:tcBorders>
              <w:top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1" w:type="dxa"/>
            <w:tcBorders>
              <w:top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tcBorders>
              <w:top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1" w:type="dxa"/>
            <w:tcBorders>
              <w:top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1276" w:type="dxa"/>
            <w:tcBorders>
              <w:top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992" w:type="dxa"/>
            <w:tcBorders>
              <w:top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992" w:type="dxa"/>
            <w:tcBorders>
              <w:top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1" w:type="dxa"/>
            <w:tcBorders>
              <w:top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tcBorders>
              <w:top w:val="single" w:sz="4" w:space="0" w:color="auto"/>
            </w:tcBorders>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1276" w:type="dxa"/>
            <w:tcBorders>
              <w:top w:val="single" w:sz="4" w:space="0" w:color="auto"/>
            </w:tcBorders>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1134" w:type="dxa"/>
            <w:tcBorders>
              <w:top w:val="single" w:sz="4" w:space="0" w:color="auto"/>
            </w:tcBorders>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r>
      <w:tr w:rsidR="003A4456" w:rsidRPr="00580532" w:rsidTr="00A06665">
        <w:trPr>
          <w:trHeight w:val="311"/>
        </w:trPr>
        <w:tc>
          <w:tcPr>
            <w:tcW w:w="2297" w:type="dxa"/>
            <w:vMerge w:val="restart"/>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4-tier</w:t>
            </w:r>
          </w:p>
        </w:tc>
        <w:tc>
          <w:tcPr>
            <w:tcW w:w="680" w:type="dxa"/>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79</w:t>
            </w:r>
          </w:p>
        </w:tc>
        <w:tc>
          <w:tcPr>
            <w:tcW w:w="851"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850"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851"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1276"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tcPr>
          <w:p w:rsidR="003A4456" w:rsidRPr="00580532" w:rsidRDefault="003A4456" w:rsidP="00A06665">
            <w:pPr>
              <w:spacing w:line="360" w:lineRule="auto"/>
              <w:rPr>
                <w:rFonts w:ascii="Book Antiqua" w:hAnsi="Book Antiqua"/>
                <w:sz w:val="24"/>
                <w:szCs w:val="24"/>
                <w:lang w:val="en-GB"/>
              </w:rPr>
            </w:pPr>
          </w:p>
        </w:tc>
        <w:tc>
          <w:tcPr>
            <w:tcW w:w="1134" w:type="dxa"/>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402"/>
        </w:trPr>
        <w:tc>
          <w:tcPr>
            <w:tcW w:w="2297" w:type="dxa"/>
            <w:vMerge/>
          </w:tcPr>
          <w:p w:rsidR="003A4456" w:rsidRPr="00580532" w:rsidRDefault="003A4456" w:rsidP="00A06665">
            <w:pPr>
              <w:spacing w:line="360" w:lineRule="auto"/>
              <w:rPr>
                <w:rFonts w:ascii="Book Antiqua" w:hAnsi="Book Antiqua"/>
                <w:b/>
                <w:sz w:val="24"/>
                <w:szCs w:val="24"/>
                <w:lang w:val="en-GB"/>
              </w:rPr>
            </w:pPr>
          </w:p>
        </w:tc>
        <w:tc>
          <w:tcPr>
            <w:tcW w:w="680" w:type="dxa"/>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15</w:t>
            </w:r>
          </w:p>
        </w:tc>
        <w:tc>
          <w:tcPr>
            <w:tcW w:w="851"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w:t>
            </w:r>
          </w:p>
        </w:tc>
        <w:tc>
          <w:tcPr>
            <w:tcW w:w="850"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851"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1276"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tcPr>
          <w:p w:rsidR="003A4456" w:rsidRPr="00580532" w:rsidRDefault="003A4456" w:rsidP="00A06665">
            <w:pPr>
              <w:spacing w:line="360" w:lineRule="auto"/>
              <w:rPr>
                <w:rFonts w:ascii="Book Antiqua" w:hAnsi="Book Antiqua"/>
                <w:sz w:val="24"/>
                <w:szCs w:val="24"/>
                <w:lang w:val="en-GB"/>
              </w:rPr>
            </w:pPr>
          </w:p>
        </w:tc>
        <w:tc>
          <w:tcPr>
            <w:tcW w:w="1134" w:type="dxa"/>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344"/>
        </w:trPr>
        <w:tc>
          <w:tcPr>
            <w:tcW w:w="2297" w:type="dxa"/>
            <w:vMerge/>
          </w:tcPr>
          <w:p w:rsidR="003A4456" w:rsidRPr="00580532" w:rsidRDefault="003A4456" w:rsidP="00A06665">
            <w:pPr>
              <w:spacing w:line="360" w:lineRule="auto"/>
              <w:rPr>
                <w:rFonts w:ascii="Book Antiqua" w:hAnsi="Book Antiqua"/>
                <w:b/>
                <w:sz w:val="24"/>
                <w:szCs w:val="24"/>
                <w:lang w:val="en-GB"/>
              </w:rPr>
            </w:pPr>
          </w:p>
        </w:tc>
        <w:tc>
          <w:tcPr>
            <w:tcW w:w="680" w:type="dxa"/>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5</w:t>
            </w:r>
          </w:p>
        </w:tc>
        <w:tc>
          <w:tcPr>
            <w:tcW w:w="851"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12</w:t>
            </w:r>
          </w:p>
        </w:tc>
        <w:tc>
          <w:tcPr>
            <w:tcW w:w="850"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12</w:t>
            </w:r>
          </w:p>
        </w:tc>
        <w:tc>
          <w:tcPr>
            <w:tcW w:w="851"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1276"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tcPr>
          <w:p w:rsidR="003A4456" w:rsidRPr="00580532" w:rsidRDefault="003A4456" w:rsidP="00A06665">
            <w:pPr>
              <w:spacing w:line="360" w:lineRule="auto"/>
              <w:rPr>
                <w:rFonts w:ascii="Book Antiqua" w:hAnsi="Book Antiqua"/>
                <w:sz w:val="24"/>
                <w:szCs w:val="24"/>
                <w:lang w:val="en-GB"/>
              </w:rPr>
            </w:pPr>
          </w:p>
        </w:tc>
        <w:tc>
          <w:tcPr>
            <w:tcW w:w="1134" w:type="dxa"/>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252"/>
        </w:trPr>
        <w:tc>
          <w:tcPr>
            <w:tcW w:w="2297" w:type="dxa"/>
            <w:vMerge/>
          </w:tcPr>
          <w:p w:rsidR="003A4456" w:rsidRPr="00580532" w:rsidRDefault="003A4456" w:rsidP="00A06665">
            <w:pPr>
              <w:spacing w:line="360" w:lineRule="auto"/>
              <w:rPr>
                <w:rFonts w:ascii="Book Antiqua" w:hAnsi="Book Antiqua"/>
                <w:b/>
                <w:sz w:val="24"/>
                <w:szCs w:val="24"/>
                <w:lang w:val="en-GB"/>
              </w:rPr>
            </w:pPr>
          </w:p>
        </w:tc>
        <w:tc>
          <w:tcPr>
            <w:tcW w:w="680" w:type="dxa"/>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w:t>
            </w:r>
          </w:p>
        </w:tc>
        <w:tc>
          <w:tcPr>
            <w:tcW w:w="851"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5</w:t>
            </w:r>
          </w:p>
        </w:tc>
        <w:tc>
          <w:tcPr>
            <w:tcW w:w="850"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13</w:t>
            </w:r>
          </w:p>
        </w:tc>
        <w:tc>
          <w:tcPr>
            <w:tcW w:w="851"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65</w:t>
            </w:r>
          </w:p>
        </w:tc>
        <w:tc>
          <w:tcPr>
            <w:tcW w:w="1276"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tcPr>
          <w:p w:rsidR="003A4456" w:rsidRPr="00580532" w:rsidRDefault="003A4456" w:rsidP="00A06665">
            <w:pPr>
              <w:spacing w:line="360" w:lineRule="auto"/>
              <w:rPr>
                <w:rFonts w:ascii="Book Antiqua" w:hAnsi="Book Antiqua"/>
                <w:sz w:val="24"/>
                <w:szCs w:val="24"/>
                <w:lang w:val="en-GB"/>
              </w:rPr>
            </w:pPr>
          </w:p>
        </w:tc>
        <w:tc>
          <w:tcPr>
            <w:tcW w:w="1134" w:type="dxa"/>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332"/>
        </w:trPr>
        <w:tc>
          <w:tcPr>
            <w:tcW w:w="2297" w:type="dxa"/>
            <w:vMerge w:val="restart"/>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4-tier-based binary classification</w:t>
            </w:r>
          </w:p>
        </w:tc>
        <w:tc>
          <w:tcPr>
            <w:tcW w:w="680" w:type="dxa"/>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124</w:t>
            </w:r>
          </w:p>
        </w:tc>
        <w:tc>
          <w:tcPr>
            <w:tcW w:w="992"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tcPr>
          <w:p w:rsidR="003A4456" w:rsidRPr="00580532" w:rsidRDefault="003A4456" w:rsidP="00A06665">
            <w:pPr>
              <w:spacing w:line="360" w:lineRule="auto"/>
              <w:rPr>
                <w:rFonts w:ascii="Book Antiqua" w:hAnsi="Book Antiqua"/>
                <w:sz w:val="24"/>
                <w:szCs w:val="24"/>
                <w:lang w:val="en-GB"/>
              </w:rPr>
            </w:pPr>
          </w:p>
        </w:tc>
        <w:tc>
          <w:tcPr>
            <w:tcW w:w="1134" w:type="dxa"/>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324"/>
        </w:trPr>
        <w:tc>
          <w:tcPr>
            <w:tcW w:w="2297" w:type="dxa"/>
            <w:vMerge/>
          </w:tcPr>
          <w:p w:rsidR="003A4456" w:rsidRPr="00580532" w:rsidRDefault="003A4456" w:rsidP="00A06665">
            <w:pPr>
              <w:spacing w:line="360" w:lineRule="auto"/>
              <w:rPr>
                <w:rFonts w:ascii="Book Antiqua" w:hAnsi="Book Antiqua"/>
                <w:b/>
                <w:sz w:val="24"/>
                <w:szCs w:val="24"/>
                <w:lang w:val="en-GB"/>
              </w:rPr>
            </w:pPr>
          </w:p>
        </w:tc>
        <w:tc>
          <w:tcPr>
            <w:tcW w:w="680" w:type="dxa"/>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19</w:t>
            </w:r>
          </w:p>
        </w:tc>
        <w:tc>
          <w:tcPr>
            <w:tcW w:w="992"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65</w:t>
            </w: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tcPr>
          <w:p w:rsidR="003A4456" w:rsidRPr="00580532" w:rsidRDefault="003A4456" w:rsidP="00A06665">
            <w:pPr>
              <w:spacing w:line="360" w:lineRule="auto"/>
              <w:rPr>
                <w:rFonts w:ascii="Book Antiqua" w:hAnsi="Book Antiqua"/>
                <w:sz w:val="24"/>
                <w:szCs w:val="24"/>
                <w:lang w:val="en-GB"/>
              </w:rPr>
            </w:pPr>
          </w:p>
        </w:tc>
        <w:tc>
          <w:tcPr>
            <w:tcW w:w="1134" w:type="dxa"/>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336"/>
        </w:trPr>
        <w:tc>
          <w:tcPr>
            <w:tcW w:w="2297" w:type="dxa"/>
            <w:vMerge w:val="restart"/>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w:t>
            </w:r>
          </w:p>
        </w:tc>
        <w:tc>
          <w:tcPr>
            <w:tcW w:w="680" w:type="dxa"/>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35</w:t>
            </w:r>
          </w:p>
        </w:tc>
        <w:tc>
          <w:tcPr>
            <w:tcW w:w="851"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26</w:t>
            </w:r>
          </w:p>
        </w:tc>
        <w:tc>
          <w:tcPr>
            <w:tcW w:w="850"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1276" w:type="dxa"/>
          </w:tcPr>
          <w:p w:rsidR="003A4456" w:rsidRPr="00580532" w:rsidRDefault="003A4456" w:rsidP="00A06665">
            <w:pPr>
              <w:spacing w:line="360" w:lineRule="auto"/>
              <w:rPr>
                <w:rFonts w:ascii="Book Antiqua" w:hAnsi="Book Antiqua"/>
                <w:sz w:val="24"/>
                <w:szCs w:val="24"/>
                <w:lang w:val="en-GB"/>
              </w:rPr>
            </w:pPr>
          </w:p>
        </w:tc>
        <w:tc>
          <w:tcPr>
            <w:tcW w:w="1134" w:type="dxa"/>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226"/>
        </w:trPr>
        <w:tc>
          <w:tcPr>
            <w:tcW w:w="2297" w:type="dxa"/>
            <w:vMerge/>
            <w:vAlign w:val="center"/>
          </w:tcPr>
          <w:p w:rsidR="003A4456" w:rsidRPr="00580532" w:rsidRDefault="003A4456" w:rsidP="00A06665">
            <w:pPr>
              <w:spacing w:line="360" w:lineRule="auto"/>
              <w:rPr>
                <w:rFonts w:ascii="Book Antiqua" w:hAnsi="Book Antiqua"/>
                <w:b/>
                <w:sz w:val="24"/>
                <w:szCs w:val="24"/>
                <w:lang w:val="en-GB"/>
              </w:rPr>
            </w:pPr>
          </w:p>
        </w:tc>
        <w:tc>
          <w:tcPr>
            <w:tcW w:w="680" w:type="dxa"/>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12</w:t>
            </w:r>
          </w:p>
        </w:tc>
        <w:tc>
          <w:tcPr>
            <w:tcW w:w="851"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32</w:t>
            </w:r>
          </w:p>
        </w:tc>
        <w:tc>
          <w:tcPr>
            <w:tcW w:w="850"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7</w:t>
            </w:r>
          </w:p>
        </w:tc>
        <w:tc>
          <w:tcPr>
            <w:tcW w:w="1276" w:type="dxa"/>
          </w:tcPr>
          <w:p w:rsidR="003A4456" w:rsidRPr="00580532" w:rsidRDefault="003A4456" w:rsidP="00A06665">
            <w:pPr>
              <w:spacing w:line="360" w:lineRule="auto"/>
              <w:rPr>
                <w:rFonts w:ascii="Book Antiqua" w:hAnsi="Book Antiqua"/>
                <w:sz w:val="24"/>
                <w:szCs w:val="24"/>
                <w:lang w:val="en-GB"/>
              </w:rPr>
            </w:pPr>
          </w:p>
        </w:tc>
        <w:tc>
          <w:tcPr>
            <w:tcW w:w="1134" w:type="dxa"/>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340"/>
        </w:trPr>
        <w:tc>
          <w:tcPr>
            <w:tcW w:w="2297" w:type="dxa"/>
            <w:vMerge/>
            <w:vAlign w:val="center"/>
          </w:tcPr>
          <w:p w:rsidR="003A4456" w:rsidRPr="00580532" w:rsidRDefault="003A4456" w:rsidP="00A06665">
            <w:pPr>
              <w:spacing w:line="360" w:lineRule="auto"/>
              <w:rPr>
                <w:rFonts w:ascii="Book Antiqua" w:hAnsi="Book Antiqua"/>
                <w:b/>
                <w:sz w:val="24"/>
                <w:szCs w:val="24"/>
                <w:lang w:val="en-GB"/>
              </w:rPr>
            </w:pPr>
          </w:p>
        </w:tc>
        <w:tc>
          <w:tcPr>
            <w:tcW w:w="680" w:type="dxa"/>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851"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6</w:t>
            </w:r>
          </w:p>
        </w:tc>
        <w:tc>
          <w:tcPr>
            <w:tcW w:w="850" w:type="dxa"/>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90</w:t>
            </w:r>
          </w:p>
        </w:tc>
        <w:tc>
          <w:tcPr>
            <w:tcW w:w="1276" w:type="dxa"/>
          </w:tcPr>
          <w:p w:rsidR="003A4456" w:rsidRPr="00580532" w:rsidRDefault="003A4456" w:rsidP="00A06665">
            <w:pPr>
              <w:spacing w:line="360" w:lineRule="auto"/>
              <w:rPr>
                <w:rFonts w:ascii="Book Antiqua" w:hAnsi="Book Antiqua"/>
                <w:sz w:val="24"/>
                <w:szCs w:val="24"/>
                <w:lang w:val="en-GB"/>
              </w:rPr>
            </w:pPr>
          </w:p>
        </w:tc>
        <w:tc>
          <w:tcPr>
            <w:tcW w:w="1134" w:type="dxa"/>
          </w:tcPr>
          <w:p w:rsidR="003A4456" w:rsidRPr="00580532" w:rsidRDefault="003A4456" w:rsidP="00A06665">
            <w:pPr>
              <w:spacing w:line="360" w:lineRule="auto"/>
              <w:rPr>
                <w:rFonts w:ascii="Book Antiqua" w:hAnsi="Book Antiqua"/>
                <w:sz w:val="24"/>
                <w:szCs w:val="24"/>
                <w:lang w:val="en-GB"/>
              </w:rPr>
            </w:pPr>
          </w:p>
        </w:tc>
      </w:tr>
      <w:tr w:rsidR="003A4456" w:rsidRPr="00580532" w:rsidTr="00A06665">
        <w:trPr>
          <w:trHeight w:val="122"/>
        </w:trPr>
        <w:tc>
          <w:tcPr>
            <w:tcW w:w="2297" w:type="dxa"/>
            <w:vMerge w:val="restart"/>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3-tier-based binary classification</w:t>
            </w:r>
          </w:p>
        </w:tc>
        <w:tc>
          <w:tcPr>
            <w:tcW w:w="680" w:type="dxa"/>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105</w:t>
            </w:r>
          </w:p>
        </w:tc>
        <w:tc>
          <w:tcPr>
            <w:tcW w:w="1134" w:type="dxa"/>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7</w:t>
            </w:r>
          </w:p>
        </w:tc>
      </w:tr>
      <w:tr w:rsidR="003A4456" w:rsidRPr="00580532" w:rsidTr="00A06665">
        <w:trPr>
          <w:trHeight w:val="212"/>
        </w:trPr>
        <w:tc>
          <w:tcPr>
            <w:tcW w:w="2297" w:type="dxa"/>
            <w:vMerge/>
          </w:tcPr>
          <w:p w:rsidR="003A4456" w:rsidRPr="00580532" w:rsidRDefault="003A4456" w:rsidP="00A06665">
            <w:pPr>
              <w:spacing w:line="360" w:lineRule="auto"/>
              <w:rPr>
                <w:rFonts w:ascii="Book Antiqua" w:hAnsi="Book Antiqua"/>
                <w:b/>
                <w:sz w:val="24"/>
                <w:szCs w:val="24"/>
                <w:lang w:val="en-GB"/>
              </w:rPr>
            </w:pPr>
          </w:p>
        </w:tc>
        <w:tc>
          <w:tcPr>
            <w:tcW w:w="680" w:type="dxa"/>
            <w:vAlign w:val="center"/>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sz w:val="24"/>
                <w:szCs w:val="24"/>
                <w:lang w:val="en-GB"/>
              </w:rPr>
              <w:t>-</w:t>
            </w: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992" w:type="dxa"/>
            <w:vAlign w:val="center"/>
          </w:tcPr>
          <w:p w:rsidR="003A4456" w:rsidRPr="00580532" w:rsidRDefault="003A4456" w:rsidP="00A06665">
            <w:pPr>
              <w:spacing w:line="360" w:lineRule="auto"/>
              <w:rPr>
                <w:rFonts w:ascii="Book Antiqua" w:hAnsi="Book Antiqua"/>
                <w:sz w:val="24"/>
                <w:szCs w:val="24"/>
                <w:lang w:val="en-GB"/>
              </w:rPr>
            </w:pPr>
          </w:p>
        </w:tc>
        <w:tc>
          <w:tcPr>
            <w:tcW w:w="851" w:type="dxa"/>
            <w:vAlign w:val="center"/>
          </w:tcPr>
          <w:p w:rsidR="003A4456" w:rsidRPr="00580532" w:rsidRDefault="003A4456" w:rsidP="00A06665">
            <w:pPr>
              <w:spacing w:line="360" w:lineRule="auto"/>
              <w:rPr>
                <w:rFonts w:ascii="Book Antiqua" w:hAnsi="Book Antiqua"/>
                <w:sz w:val="24"/>
                <w:szCs w:val="24"/>
                <w:lang w:val="en-GB"/>
              </w:rPr>
            </w:pPr>
          </w:p>
        </w:tc>
        <w:tc>
          <w:tcPr>
            <w:tcW w:w="850" w:type="dxa"/>
            <w:vAlign w:val="center"/>
          </w:tcPr>
          <w:p w:rsidR="003A4456" w:rsidRPr="00580532" w:rsidRDefault="003A4456" w:rsidP="00A06665">
            <w:pPr>
              <w:spacing w:line="360" w:lineRule="auto"/>
              <w:rPr>
                <w:rFonts w:ascii="Book Antiqua" w:hAnsi="Book Antiqua"/>
                <w:sz w:val="24"/>
                <w:szCs w:val="24"/>
                <w:lang w:val="en-GB"/>
              </w:rPr>
            </w:pPr>
          </w:p>
        </w:tc>
        <w:tc>
          <w:tcPr>
            <w:tcW w:w="1276" w:type="dxa"/>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6</w:t>
            </w:r>
          </w:p>
        </w:tc>
        <w:tc>
          <w:tcPr>
            <w:tcW w:w="1134" w:type="dxa"/>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90</w:t>
            </w:r>
          </w:p>
        </w:tc>
      </w:tr>
      <w:tr w:rsidR="003A4456" w:rsidRPr="00580532" w:rsidTr="00A06665">
        <w:trPr>
          <w:trHeight w:val="212"/>
        </w:trPr>
        <w:tc>
          <w:tcPr>
            <w:tcW w:w="2977" w:type="dxa"/>
            <w:gridSpan w:val="2"/>
          </w:tcPr>
          <w:p w:rsidR="003A4456" w:rsidRPr="00580532" w:rsidRDefault="003A4456" w:rsidP="00A06665">
            <w:pPr>
              <w:spacing w:line="360" w:lineRule="auto"/>
              <w:rPr>
                <w:rFonts w:ascii="Book Antiqua" w:hAnsi="Book Antiqua"/>
                <w:b/>
                <w:sz w:val="24"/>
                <w:szCs w:val="24"/>
                <w:lang w:val="en-GB"/>
              </w:rPr>
            </w:pPr>
            <w:r w:rsidRPr="0044615E">
              <w:rPr>
                <w:rFonts w:ascii="Book Antiqua" w:hAnsi="Book Antiqua"/>
                <w:b/>
                <w:sz w:val="24"/>
                <w:szCs w:val="24"/>
                <w:lang w:val="en-GB"/>
              </w:rPr>
              <w:t>Kappa</w:t>
            </w:r>
            <w:r w:rsidRPr="00580532">
              <w:rPr>
                <w:rFonts w:ascii="Book Antiqua" w:hAnsi="Book Antiqua"/>
                <w:b/>
                <w:i/>
                <w:sz w:val="24"/>
                <w:szCs w:val="24"/>
                <w:lang w:val="en-GB"/>
              </w:rPr>
              <w:t xml:space="preserve"> </w:t>
            </w:r>
            <w:r w:rsidRPr="00580532">
              <w:rPr>
                <w:rFonts w:ascii="Book Antiqua" w:hAnsi="Book Antiqua"/>
                <w:b/>
                <w:sz w:val="24"/>
                <w:szCs w:val="24"/>
                <w:lang w:val="en-GB"/>
              </w:rPr>
              <w:t>value</w:t>
            </w:r>
          </w:p>
        </w:tc>
        <w:tc>
          <w:tcPr>
            <w:tcW w:w="3402" w:type="dxa"/>
            <w:gridSpan w:val="4"/>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0.633</w:t>
            </w:r>
          </w:p>
        </w:tc>
        <w:tc>
          <w:tcPr>
            <w:tcW w:w="2268" w:type="dxa"/>
            <w:gridSpan w:val="2"/>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0.803</w:t>
            </w:r>
          </w:p>
        </w:tc>
        <w:tc>
          <w:tcPr>
            <w:tcW w:w="2693" w:type="dxa"/>
            <w:gridSpan w:val="3"/>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0.619</w:t>
            </w:r>
          </w:p>
        </w:tc>
        <w:tc>
          <w:tcPr>
            <w:tcW w:w="2410" w:type="dxa"/>
            <w:gridSpan w:val="2"/>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0.874</w:t>
            </w:r>
          </w:p>
        </w:tc>
      </w:tr>
      <w:tr w:rsidR="003A4456" w:rsidRPr="00580532" w:rsidTr="00A06665">
        <w:trPr>
          <w:trHeight w:val="212"/>
        </w:trPr>
        <w:tc>
          <w:tcPr>
            <w:tcW w:w="2977" w:type="dxa"/>
            <w:gridSpan w:val="2"/>
          </w:tcPr>
          <w:p w:rsidR="003A4456" w:rsidRPr="00580532" w:rsidRDefault="003A4456" w:rsidP="00A06665">
            <w:pPr>
              <w:spacing w:line="360" w:lineRule="auto"/>
              <w:rPr>
                <w:rFonts w:ascii="Book Antiqua" w:hAnsi="Book Antiqua"/>
                <w:b/>
                <w:sz w:val="24"/>
                <w:szCs w:val="24"/>
                <w:lang w:val="en-GB"/>
              </w:rPr>
            </w:pPr>
            <w:r w:rsidRPr="00580532">
              <w:rPr>
                <w:rFonts w:ascii="Book Antiqua" w:hAnsi="Book Antiqua"/>
                <w:b/>
                <w:i/>
                <w:sz w:val="24"/>
                <w:szCs w:val="24"/>
                <w:lang w:val="en-GB"/>
              </w:rPr>
              <w:t>P</w:t>
            </w:r>
            <w:r w:rsidRPr="00580532">
              <w:rPr>
                <w:rFonts w:ascii="Book Antiqua" w:hAnsi="Book Antiqua"/>
                <w:b/>
                <w:sz w:val="24"/>
                <w:szCs w:val="24"/>
                <w:lang w:val="en-GB"/>
              </w:rPr>
              <w:t xml:space="preserve"> value</w:t>
            </w:r>
          </w:p>
        </w:tc>
        <w:tc>
          <w:tcPr>
            <w:tcW w:w="3402" w:type="dxa"/>
            <w:gridSpan w:val="4"/>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c>
          <w:tcPr>
            <w:tcW w:w="2268" w:type="dxa"/>
            <w:gridSpan w:val="2"/>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c>
          <w:tcPr>
            <w:tcW w:w="2693" w:type="dxa"/>
            <w:gridSpan w:val="3"/>
            <w:vAlign w:val="center"/>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c>
          <w:tcPr>
            <w:tcW w:w="2410" w:type="dxa"/>
            <w:gridSpan w:val="2"/>
          </w:tcPr>
          <w:p w:rsidR="003A4456" w:rsidRPr="00580532" w:rsidRDefault="003A4456"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r>
    </w:tbl>
    <w:p w:rsidR="003A4456" w:rsidRDefault="003A4456" w:rsidP="003A4456">
      <w:pPr>
        <w:spacing w:line="360" w:lineRule="auto"/>
        <w:rPr>
          <w:rFonts w:ascii="Book Antiqua" w:hAnsi="Book Antiqua" w:hint="eastAsia"/>
          <w:sz w:val="24"/>
          <w:szCs w:val="24"/>
          <w:lang w:val="en-GB"/>
        </w:rPr>
      </w:pPr>
    </w:p>
    <w:p w:rsidR="003A4456" w:rsidRPr="00580532" w:rsidRDefault="003A4456" w:rsidP="003A4456">
      <w:pPr>
        <w:spacing w:line="360" w:lineRule="auto"/>
        <w:rPr>
          <w:rStyle w:val="apple-converted-space"/>
          <w:rFonts w:ascii="Book Antiqua" w:hAnsi="Book Antiqua"/>
          <w:sz w:val="24"/>
          <w:szCs w:val="24"/>
          <w:lang w:val="en-GB"/>
        </w:rPr>
      </w:pPr>
      <w:r w:rsidRPr="00580532">
        <w:rPr>
          <w:rFonts w:ascii="Book Antiqua" w:hAnsi="Book Antiqua"/>
          <w:sz w:val="24"/>
          <w:szCs w:val="24"/>
          <w:lang w:val="en-GB"/>
        </w:rPr>
        <w:t>NCB</w:t>
      </w:r>
      <w:r>
        <w:rPr>
          <w:rFonts w:ascii="Book Antiqua" w:hAnsi="Book Antiqua" w:hint="eastAsia"/>
          <w:sz w:val="24"/>
          <w:szCs w:val="24"/>
          <w:lang w:val="en-GB"/>
        </w:rPr>
        <w:t>:</w:t>
      </w:r>
      <w:r w:rsidRPr="00580532">
        <w:rPr>
          <w:rFonts w:ascii="Book Antiqua" w:hAnsi="Book Antiqua"/>
          <w:sz w:val="24"/>
          <w:szCs w:val="24"/>
          <w:lang w:val="en-GB"/>
        </w:rPr>
        <w:t xml:space="preserve"> Needle core biopsy; SS</w:t>
      </w:r>
      <w:r>
        <w:rPr>
          <w:rFonts w:ascii="Book Antiqua" w:hAnsi="Book Antiqua" w:hint="eastAsia"/>
          <w:sz w:val="24"/>
          <w:szCs w:val="24"/>
          <w:lang w:val="en-GB"/>
        </w:rPr>
        <w:t>:</w:t>
      </w:r>
      <w:r w:rsidRPr="00580532">
        <w:rPr>
          <w:rFonts w:ascii="Book Antiqua" w:hAnsi="Book Antiqua"/>
          <w:sz w:val="24"/>
          <w:szCs w:val="24"/>
          <w:lang w:val="en-GB"/>
        </w:rPr>
        <w:t xml:space="preserve"> Surgery specimen</w:t>
      </w:r>
      <w:r>
        <w:rPr>
          <w:rFonts w:ascii="Book Antiqua" w:hAnsi="Book Antiqua" w:hint="eastAsia"/>
          <w:sz w:val="24"/>
          <w:szCs w:val="24"/>
          <w:lang w:val="en-GB"/>
        </w:rPr>
        <w:t>.</w:t>
      </w:r>
      <w:r w:rsidRPr="00580532">
        <w:rPr>
          <w:rFonts w:ascii="Book Antiqua" w:hAnsi="Book Antiqua"/>
          <w:sz w:val="24"/>
          <w:szCs w:val="24"/>
          <w:lang w:val="en-GB"/>
        </w:rPr>
        <w:t xml:space="preserve"> </w:t>
      </w:r>
    </w:p>
    <w:p w:rsidR="00554C32" w:rsidRPr="00580532" w:rsidRDefault="00554C32" w:rsidP="00554C32">
      <w:pPr>
        <w:spacing w:line="360" w:lineRule="auto"/>
        <w:rPr>
          <w:rFonts w:ascii="Book Antiqua" w:hAnsi="Book Antiqua"/>
          <w:b/>
          <w:sz w:val="24"/>
          <w:szCs w:val="24"/>
          <w:lang w:val="en-GB"/>
        </w:rPr>
      </w:pPr>
      <w:r>
        <w:rPr>
          <w:rFonts w:ascii="Book Antiqua" w:hAnsi="Book Antiqua"/>
          <w:b/>
          <w:sz w:val="24"/>
          <w:szCs w:val="24"/>
          <w:lang w:val="en-GB"/>
        </w:rPr>
        <w:br w:type="page"/>
        <w:t>Table 6</w:t>
      </w:r>
      <w:r w:rsidRPr="00580532">
        <w:rPr>
          <w:rFonts w:ascii="Book Antiqua" w:hAnsi="Book Antiqua"/>
          <w:b/>
          <w:sz w:val="24"/>
          <w:szCs w:val="24"/>
          <w:lang w:val="en-GB"/>
        </w:rPr>
        <w:t xml:space="preserve"> Degree of concordance between </w:t>
      </w:r>
      <w:r w:rsidRPr="00FB56C4">
        <w:rPr>
          <w:rFonts w:ascii="Book Antiqua" w:hAnsi="Book Antiqua"/>
          <w:b/>
          <w:sz w:val="24"/>
          <w:szCs w:val="24"/>
          <w:lang w:val="en-GB"/>
        </w:rPr>
        <w:t>needle core biopsy and surgery specimen</w:t>
      </w:r>
      <w:r>
        <w:rPr>
          <w:rFonts w:ascii="Book Antiqua" w:hAnsi="Book Antiqua"/>
          <w:b/>
          <w:sz w:val="24"/>
          <w:szCs w:val="24"/>
          <w:lang w:val="en-GB"/>
        </w:rPr>
        <w:t xml:space="preserve"> diagnosis</w:t>
      </w:r>
    </w:p>
    <w:tbl>
      <w:tblPr>
        <w:tblW w:w="0" w:type="auto"/>
        <w:tblInd w:w="113" w:type="dxa"/>
        <w:tblBorders>
          <w:top w:val="single" w:sz="4" w:space="0" w:color="auto"/>
          <w:bottom w:val="single" w:sz="4" w:space="0" w:color="auto"/>
        </w:tblBorders>
        <w:tblLayout w:type="fixed"/>
        <w:tblLook w:val="0000" w:firstRow="0" w:lastRow="0" w:firstColumn="0" w:lastColumn="0" w:noHBand="0" w:noVBand="0"/>
      </w:tblPr>
      <w:tblGrid>
        <w:gridCol w:w="2345"/>
        <w:gridCol w:w="1929"/>
        <w:gridCol w:w="1932"/>
        <w:gridCol w:w="1654"/>
      </w:tblGrid>
      <w:tr w:rsidR="00554C32" w:rsidRPr="00580532" w:rsidTr="00A06665">
        <w:trPr>
          <w:trHeight w:val="472"/>
        </w:trPr>
        <w:tc>
          <w:tcPr>
            <w:tcW w:w="4274" w:type="dxa"/>
            <w:gridSpan w:val="2"/>
            <w:vMerge w:val="restart"/>
            <w:tcBorders>
              <w:top w:val="single" w:sz="4" w:space="0" w:color="auto"/>
              <w:bottom w:val="nil"/>
            </w:tcBorders>
            <w:vAlign w:val="center"/>
          </w:tcPr>
          <w:p w:rsidR="00554C32" w:rsidRPr="00554C32" w:rsidRDefault="00554C32" w:rsidP="00A06665">
            <w:pPr>
              <w:spacing w:line="360" w:lineRule="auto"/>
              <w:rPr>
                <w:rFonts w:ascii="Book Antiqua" w:hAnsi="Book Antiqua"/>
                <w:b/>
                <w:sz w:val="24"/>
                <w:szCs w:val="24"/>
                <w:lang w:val="en-GB"/>
              </w:rPr>
            </w:pPr>
            <w:r w:rsidRPr="00554C32">
              <w:rPr>
                <w:rFonts w:ascii="Book Antiqua" w:hAnsi="Book Antiqua"/>
                <w:b/>
                <w:sz w:val="24"/>
                <w:szCs w:val="24"/>
                <w:lang w:val="en-GB"/>
              </w:rPr>
              <w:t>NCB diagnosis</w:t>
            </w:r>
          </w:p>
        </w:tc>
        <w:tc>
          <w:tcPr>
            <w:tcW w:w="3586" w:type="dxa"/>
            <w:gridSpan w:val="2"/>
            <w:tcBorders>
              <w:top w:val="single" w:sz="4" w:space="0" w:color="auto"/>
              <w:bottom w:val="nil"/>
            </w:tcBorders>
            <w:vAlign w:val="center"/>
          </w:tcPr>
          <w:p w:rsidR="00554C32" w:rsidRPr="00554C32" w:rsidRDefault="00554C32" w:rsidP="00A06665">
            <w:pPr>
              <w:spacing w:line="360" w:lineRule="auto"/>
              <w:rPr>
                <w:rFonts w:ascii="Book Antiqua" w:hAnsi="Book Antiqua"/>
                <w:b/>
                <w:sz w:val="24"/>
                <w:szCs w:val="24"/>
                <w:lang w:val="en-GB"/>
              </w:rPr>
            </w:pPr>
            <w:r w:rsidRPr="00554C32">
              <w:rPr>
                <w:rFonts w:ascii="Book Antiqua" w:hAnsi="Book Antiqua"/>
                <w:b/>
                <w:sz w:val="24"/>
                <w:szCs w:val="24"/>
                <w:lang w:val="en-GB"/>
              </w:rPr>
              <w:t>SS diagnosis (gold standard)</w:t>
            </w:r>
          </w:p>
        </w:tc>
      </w:tr>
      <w:tr w:rsidR="00554C32" w:rsidRPr="00580532" w:rsidTr="00A06665">
        <w:trPr>
          <w:trHeight w:val="537"/>
        </w:trPr>
        <w:tc>
          <w:tcPr>
            <w:tcW w:w="4274" w:type="dxa"/>
            <w:gridSpan w:val="2"/>
            <w:vMerge/>
            <w:tcBorders>
              <w:top w:val="nil"/>
              <w:bottom w:val="single" w:sz="4" w:space="0" w:color="auto"/>
            </w:tcBorders>
          </w:tcPr>
          <w:p w:rsidR="00554C32" w:rsidRPr="00554C32" w:rsidRDefault="00554C32" w:rsidP="00A06665">
            <w:pPr>
              <w:spacing w:line="360" w:lineRule="auto"/>
              <w:rPr>
                <w:rFonts w:ascii="Book Antiqua" w:hAnsi="Book Antiqua"/>
                <w:b/>
                <w:sz w:val="24"/>
                <w:szCs w:val="24"/>
                <w:lang w:val="en-GB"/>
              </w:rPr>
            </w:pPr>
          </w:p>
        </w:tc>
        <w:tc>
          <w:tcPr>
            <w:tcW w:w="1932" w:type="dxa"/>
            <w:tcBorders>
              <w:top w:val="nil"/>
              <w:bottom w:val="single" w:sz="4" w:space="0" w:color="auto"/>
            </w:tcBorders>
            <w:vAlign w:val="center"/>
          </w:tcPr>
          <w:p w:rsidR="00554C32" w:rsidRPr="00554C32" w:rsidRDefault="00554C32" w:rsidP="00A06665">
            <w:pPr>
              <w:spacing w:line="360" w:lineRule="auto"/>
              <w:rPr>
                <w:rFonts w:ascii="Book Antiqua" w:hAnsi="Book Antiqua"/>
                <w:b/>
                <w:sz w:val="24"/>
                <w:szCs w:val="24"/>
                <w:lang w:val="en-GB"/>
              </w:rPr>
            </w:pPr>
            <w:r w:rsidRPr="00554C32">
              <w:rPr>
                <w:rFonts w:ascii="Book Antiqua" w:hAnsi="Book Antiqua"/>
                <w:b/>
                <w:sz w:val="24"/>
                <w:szCs w:val="24"/>
                <w:lang w:val="en-GB"/>
              </w:rPr>
              <w:t>HCC</w:t>
            </w:r>
          </w:p>
        </w:tc>
        <w:tc>
          <w:tcPr>
            <w:tcW w:w="1654" w:type="dxa"/>
            <w:tcBorders>
              <w:top w:val="nil"/>
              <w:bottom w:val="single" w:sz="4" w:space="0" w:color="auto"/>
            </w:tcBorders>
            <w:vAlign w:val="center"/>
          </w:tcPr>
          <w:p w:rsidR="00554C32" w:rsidRPr="00554C32" w:rsidRDefault="00554C32" w:rsidP="00A06665">
            <w:pPr>
              <w:spacing w:line="360" w:lineRule="auto"/>
              <w:rPr>
                <w:rFonts w:ascii="Book Antiqua" w:hAnsi="Book Antiqua"/>
                <w:b/>
                <w:sz w:val="24"/>
                <w:szCs w:val="24"/>
                <w:lang w:val="en-GB"/>
              </w:rPr>
            </w:pPr>
            <w:r w:rsidRPr="00554C32">
              <w:rPr>
                <w:rFonts w:ascii="Book Antiqua" w:hAnsi="Book Antiqua"/>
                <w:b/>
                <w:sz w:val="24"/>
                <w:szCs w:val="24"/>
                <w:lang w:val="en-GB"/>
              </w:rPr>
              <w:t>ICC</w:t>
            </w:r>
          </w:p>
        </w:tc>
      </w:tr>
      <w:tr w:rsidR="00554C32" w:rsidRPr="00580532" w:rsidTr="00A06665">
        <w:trPr>
          <w:trHeight w:val="286"/>
        </w:trPr>
        <w:tc>
          <w:tcPr>
            <w:tcW w:w="2345" w:type="dxa"/>
            <w:vMerge w:val="restart"/>
            <w:tcBorders>
              <w:top w:val="single" w:sz="4" w:space="0" w:color="auto"/>
            </w:tcBorders>
          </w:tcPr>
          <w:p w:rsidR="00554C32" w:rsidRPr="00580532" w:rsidRDefault="00554C32" w:rsidP="00A06665">
            <w:pPr>
              <w:spacing w:line="360" w:lineRule="auto"/>
              <w:rPr>
                <w:rFonts w:ascii="Book Antiqua" w:hAnsi="Book Antiqua"/>
                <w:b/>
                <w:sz w:val="24"/>
                <w:szCs w:val="24"/>
                <w:lang w:val="en-GB"/>
              </w:rPr>
            </w:pPr>
            <w:r w:rsidRPr="00580532">
              <w:rPr>
                <w:rFonts w:ascii="Book Antiqua" w:hAnsi="Book Antiqua"/>
                <w:b/>
                <w:sz w:val="24"/>
                <w:szCs w:val="24"/>
                <w:lang w:val="en-GB"/>
              </w:rPr>
              <w:t>Morphology</w:t>
            </w:r>
          </w:p>
        </w:tc>
        <w:tc>
          <w:tcPr>
            <w:tcW w:w="1929" w:type="dxa"/>
            <w:tcBorders>
              <w:top w:val="single" w:sz="4" w:space="0" w:color="auto"/>
            </w:tcBorders>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HCC</w:t>
            </w:r>
          </w:p>
        </w:tc>
        <w:tc>
          <w:tcPr>
            <w:tcW w:w="1932" w:type="dxa"/>
            <w:tcBorders>
              <w:top w:val="single" w:sz="4" w:space="0" w:color="auto"/>
            </w:tcBorders>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146</w:t>
            </w:r>
          </w:p>
        </w:tc>
        <w:tc>
          <w:tcPr>
            <w:tcW w:w="1654" w:type="dxa"/>
            <w:tcBorders>
              <w:top w:val="single" w:sz="4" w:space="0" w:color="auto"/>
            </w:tcBorders>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7</w:t>
            </w:r>
          </w:p>
        </w:tc>
      </w:tr>
      <w:tr w:rsidR="00554C32" w:rsidRPr="00580532" w:rsidTr="00A06665">
        <w:trPr>
          <w:trHeight w:val="263"/>
        </w:trPr>
        <w:tc>
          <w:tcPr>
            <w:tcW w:w="2345" w:type="dxa"/>
            <w:vMerge/>
          </w:tcPr>
          <w:p w:rsidR="00554C32" w:rsidRPr="00580532" w:rsidRDefault="00554C32" w:rsidP="00A06665">
            <w:pPr>
              <w:spacing w:line="360" w:lineRule="auto"/>
              <w:rPr>
                <w:rFonts w:ascii="Book Antiqua" w:hAnsi="Book Antiqua"/>
                <w:b/>
                <w:sz w:val="24"/>
                <w:szCs w:val="24"/>
                <w:lang w:val="en-GB"/>
              </w:rPr>
            </w:pPr>
          </w:p>
        </w:tc>
        <w:tc>
          <w:tcPr>
            <w:tcW w:w="1929" w:type="dxa"/>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ICC</w:t>
            </w:r>
          </w:p>
        </w:tc>
        <w:tc>
          <w:tcPr>
            <w:tcW w:w="1932"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10</w:t>
            </w:r>
          </w:p>
        </w:tc>
        <w:tc>
          <w:tcPr>
            <w:tcW w:w="1654"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45</w:t>
            </w:r>
          </w:p>
        </w:tc>
      </w:tr>
      <w:tr w:rsidR="00554C32" w:rsidRPr="00580532" w:rsidTr="00A06665">
        <w:trPr>
          <w:trHeight w:val="211"/>
        </w:trPr>
        <w:tc>
          <w:tcPr>
            <w:tcW w:w="2345" w:type="dxa"/>
            <w:vMerge/>
          </w:tcPr>
          <w:p w:rsidR="00554C32" w:rsidRPr="00580532" w:rsidRDefault="00554C32" w:rsidP="00A06665">
            <w:pPr>
              <w:spacing w:line="360" w:lineRule="auto"/>
              <w:rPr>
                <w:rFonts w:ascii="Book Antiqua" w:hAnsi="Book Antiqua"/>
                <w:b/>
                <w:i/>
                <w:sz w:val="24"/>
                <w:szCs w:val="24"/>
                <w:lang w:val="en-GB"/>
              </w:rPr>
            </w:pPr>
          </w:p>
        </w:tc>
        <w:tc>
          <w:tcPr>
            <w:tcW w:w="1929" w:type="dxa"/>
            <w:vAlign w:val="center"/>
          </w:tcPr>
          <w:p w:rsidR="00554C32" w:rsidRPr="00580532" w:rsidRDefault="00554C32" w:rsidP="00A06665">
            <w:pPr>
              <w:spacing w:line="360" w:lineRule="auto"/>
              <w:rPr>
                <w:rFonts w:ascii="Book Antiqua" w:hAnsi="Book Antiqua"/>
                <w:sz w:val="24"/>
                <w:szCs w:val="24"/>
                <w:lang w:val="en-GB"/>
              </w:rPr>
            </w:pPr>
            <w:r w:rsidRPr="00554C32">
              <w:rPr>
                <w:rFonts w:ascii="Book Antiqua" w:hAnsi="Book Antiqua"/>
                <w:sz w:val="24"/>
                <w:szCs w:val="24"/>
                <w:lang w:val="en-GB"/>
              </w:rPr>
              <w:t>Kappa</w:t>
            </w:r>
            <w:r w:rsidRPr="00580532">
              <w:rPr>
                <w:rFonts w:ascii="Book Antiqua" w:hAnsi="Book Antiqua"/>
                <w:i/>
                <w:sz w:val="24"/>
                <w:szCs w:val="24"/>
                <w:lang w:val="en-GB"/>
              </w:rPr>
              <w:t xml:space="preserve"> </w:t>
            </w:r>
            <w:r w:rsidRPr="00580532">
              <w:rPr>
                <w:rFonts w:ascii="Book Antiqua" w:hAnsi="Book Antiqua"/>
                <w:sz w:val="24"/>
                <w:szCs w:val="24"/>
                <w:lang w:val="en-GB"/>
              </w:rPr>
              <w:t>value</w:t>
            </w:r>
          </w:p>
        </w:tc>
        <w:tc>
          <w:tcPr>
            <w:tcW w:w="3586" w:type="dxa"/>
            <w:gridSpan w:val="2"/>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0.786</w:t>
            </w:r>
          </w:p>
        </w:tc>
      </w:tr>
      <w:tr w:rsidR="00554C32" w:rsidRPr="00580532" w:rsidTr="00A06665">
        <w:trPr>
          <w:trHeight w:val="329"/>
        </w:trPr>
        <w:tc>
          <w:tcPr>
            <w:tcW w:w="2345" w:type="dxa"/>
            <w:vMerge/>
          </w:tcPr>
          <w:p w:rsidR="00554C32" w:rsidRPr="00580532" w:rsidRDefault="00554C32" w:rsidP="00A06665">
            <w:pPr>
              <w:spacing w:line="360" w:lineRule="auto"/>
              <w:rPr>
                <w:rFonts w:ascii="Book Antiqua" w:hAnsi="Book Antiqua"/>
                <w:b/>
                <w:i/>
                <w:sz w:val="24"/>
                <w:szCs w:val="24"/>
                <w:lang w:val="en-GB"/>
              </w:rPr>
            </w:pPr>
          </w:p>
        </w:tc>
        <w:tc>
          <w:tcPr>
            <w:tcW w:w="1929"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i/>
                <w:sz w:val="24"/>
                <w:szCs w:val="24"/>
                <w:lang w:val="en-GB"/>
              </w:rPr>
              <w:t>P</w:t>
            </w:r>
            <w:r w:rsidRPr="00580532">
              <w:rPr>
                <w:rFonts w:ascii="Book Antiqua" w:hAnsi="Book Antiqua"/>
                <w:sz w:val="24"/>
                <w:szCs w:val="24"/>
                <w:lang w:val="en-GB"/>
              </w:rPr>
              <w:t xml:space="preserve"> value</w:t>
            </w:r>
          </w:p>
        </w:tc>
        <w:tc>
          <w:tcPr>
            <w:tcW w:w="3586" w:type="dxa"/>
            <w:gridSpan w:val="2"/>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r>
      <w:tr w:rsidR="00554C32" w:rsidRPr="00580532" w:rsidTr="00A06665">
        <w:trPr>
          <w:trHeight w:val="263"/>
        </w:trPr>
        <w:tc>
          <w:tcPr>
            <w:tcW w:w="2345" w:type="dxa"/>
            <w:vMerge w:val="restart"/>
          </w:tcPr>
          <w:p w:rsidR="00554C32" w:rsidRPr="00580532" w:rsidRDefault="00554C32" w:rsidP="00A06665">
            <w:pPr>
              <w:spacing w:line="360" w:lineRule="auto"/>
              <w:rPr>
                <w:rFonts w:ascii="Book Antiqua" w:hAnsi="Book Antiqua"/>
                <w:b/>
                <w:sz w:val="24"/>
                <w:szCs w:val="24"/>
                <w:lang w:val="en-GB"/>
              </w:rPr>
            </w:pPr>
            <w:r w:rsidRPr="00580532">
              <w:rPr>
                <w:rFonts w:ascii="Book Antiqua" w:hAnsi="Book Antiqua"/>
                <w:b/>
                <w:sz w:val="24"/>
                <w:szCs w:val="24"/>
                <w:lang w:val="en-GB"/>
              </w:rPr>
              <w:t>3-tier-based binary classification</w:t>
            </w:r>
          </w:p>
        </w:tc>
        <w:tc>
          <w:tcPr>
            <w:tcW w:w="1929" w:type="dxa"/>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HCC</w:t>
            </w:r>
          </w:p>
        </w:tc>
        <w:tc>
          <w:tcPr>
            <w:tcW w:w="1932"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151</w:t>
            </w:r>
          </w:p>
        </w:tc>
        <w:tc>
          <w:tcPr>
            <w:tcW w:w="1654"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2</w:t>
            </w:r>
          </w:p>
        </w:tc>
      </w:tr>
      <w:tr w:rsidR="00554C32" w:rsidRPr="00580532" w:rsidTr="00A06665">
        <w:trPr>
          <w:trHeight w:val="239"/>
        </w:trPr>
        <w:tc>
          <w:tcPr>
            <w:tcW w:w="2345" w:type="dxa"/>
            <w:vMerge/>
          </w:tcPr>
          <w:p w:rsidR="00554C32" w:rsidRPr="00580532" w:rsidRDefault="00554C32" w:rsidP="00A06665">
            <w:pPr>
              <w:spacing w:line="360" w:lineRule="auto"/>
              <w:rPr>
                <w:rFonts w:ascii="Book Antiqua" w:hAnsi="Book Antiqua"/>
                <w:b/>
                <w:sz w:val="24"/>
                <w:szCs w:val="24"/>
                <w:lang w:val="en-GB"/>
              </w:rPr>
            </w:pPr>
          </w:p>
        </w:tc>
        <w:tc>
          <w:tcPr>
            <w:tcW w:w="1929" w:type="dxa"/>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ICC</w:t>
            </w:r>
          </w:p>
        </w:tc>
        <w:tc>
          <w:tcPr>
            <w:tcW w:w="1932"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5</w:t>
            </w:r>
          </w:p>
        </w:tc>
        <w:tc>
          <w:tcPr>
            <w:tcW w:w="1654"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50</w:t>
            </w:r>
          </w:p>
        </w:tc>
      </w:tr>
      <w:tr w:rsidR="00554C32" w:rsidRPr="00580532" w:rsidTr="00A06665">
        <w:trPr>
          <w:trHeight w:val="329"/>
        </w:trPr>
        <w:tc>
          <w:tcPr>
            <w:tcW w:w="2345" w:type="dxa"/>
            <w:vMerge/>
          </w:tcPr>
          <w:p w:rsidR="00554C32" w:rsidRPr="00580532" w:rsidRDefault="00554C32" w:rsidP="00A06665">
            <w:pPr>
              <w:spacing w:line="360" w:lineRule="auto"/>
              <w:rPr>
                <w:rFonts w:ascii="Book Antiqua" w:hAnsi="Book Antiqua"/>
                <w:b/>
                <w:i/>
                <w:sz w:val="24"/>
                <w:szCs w:val="24"/>
                <w:lang w:val="en-GB"/>
              </w:rPr>
            </w:pPr>
          </w:p>
        </w:tc>
        <w:tc>
          <w:tcPr>
            <w:tcW w:w="1929" w:type="dxa"/>
            <w:vAlign w:val="center"/>
          </w:tcPr>
          <w:p w:rsidR="00554C32" w:rsidRPr="00580532" w:rsidRDefault="00554C32" w:rsidP="00A06665">
            <w:pPr>
              <w:spacing w:line="360" w:lineRule="auto"/>
              <w:rPr>
                <w:rFonts w:ascii="Book Antiqua" w:hAnsi="Book Antiqua"/>
                <w:sz w:val="24"/>
                <w:szCs w:val="24"/>
                <w:lang w:val="en-GB"/>
              </w:rPr>
            </w:pPr>
            <w:r w:rsidRPr="00554C32">
              <w:rPr>
                <w:rFonts w:ascii="Book Antiqua" w:hAnsi="Book Antiqua"/>
                <w:sz w:val="24"/>
                <w:szCs w:val="24"/>
                <w:lang w:val="en-GB"/>
              </w:rPr>
              <w:t xml:space="preserve">Kappa </w:t>
            </w:r>
            <w:r w:rsidRPr="00580532">
              <w:rPr>
                <w:rFonts w:ascii="Book Antiqua" w:hAnsi="Book Antiqua"/>
                <w:sz w:val="24"/>
                <w:szCs w:val="24"/>
                <w:lang w:val="en-GB"/>
              </w:rPr>
              <w:t>value</w:t>
            </w:r>
          </w:p>
        </w:tc>
        <w:tc>
          <w:tcPr>
            <w:tcW w:w="3586" w:type="dxa"/>
            <w:gridSpan w:val="2"/>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0.912</w:t>
            </w:r>
          </w:p>
        </w:tc>
      </w:tr>
      <w:tr w:rsidR="00554C32" w:rsidRPr="00580532" w:rsidTr="00A06665">
        <w:trPr>
          <w:trHeight w:val="263"/>
        </w:trPr>
        <w:tc>
          <w:tcPr>
            <w:tcW w:w="2345" w:type="dxa"/>
            <w:vMerge/>
          </w:tcPr>
          <w:p w:rsidR="00554C32" w:rsidRPr="00580532" w:rsidRDefault="00554C32" w:rsidP="00A06665">
            <w:pPr>
              <w:spacing w:line="360" w:lineRule="auto"/>
              <w:rPr>
                <w:rFonts w:ascii="Book Antiqua" w:hAnsi="Book Antiqua"/>
                <w:b/>
                <w:i/>
                <w:sz w:val="24"/>
                <w:szCs w:val="24"/>
                <w:lang w:val="en-GB"/>
              </w:rPr>
            </w:pPr>
          </w:p>
        </w:tc>
        <w:tc>
          <w:tcPr>
            <w:tcW w:w="1929"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i/>
                <w:sz w:val="24"/>
                <w:szCs w:val="24"/>
                <w:lang w:val="en-GB"/>
              </w:rPr>
              <w:t>P</w:t>
            </w:r>
            <w:r w:rsidRPr="00580532">
              <w:rPr>
                <w:rFonts w:ascii="Book Antiqua" w:hAnsi="Book Antiqua"/>
                <w:sz w:val="24"/>
                <w:szCs w:val="24"/>
                <w:lang w:val="en-GB"/>
              </w:rPr>
              <w:t xml:space="preserve"> value</w:t>
            </w:r>
          </w:p>
        </w:tc>
        <w:tc>
          <w:tcPr>
            <w:tcW w:w="3586" w:type="dxa"/>
            <w:gridSpan w:val="2"/>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r>
      <w:tr w:rsidR="00554C32" w:rsidRPr="00580532" w:rsidTr="00A06665">
        <w:trPr>
          <w:trHeight w:val="239"/>
        </w:trPr>
        <w:tc>
          <w:tcPr>
            <w:tcW w:w="2345" w:type="dxa"/>
            <w:vMerge w:val="restart"/>
          </w:tcPr>
          <w:p w:rsidR="00554C32" w:rsidRPr="00580532" w:rsidRDefault="00554C32" w:rsidP="00A06665">
            <w:pPr>
              <w:spacing w:line="360" w:lineRule="auto"/>
              <w:rPr>
                <w:rFonts w:ascii="Book Antiqua" w:hAnsi="Book Antiqua"/>
                <w:b/>
                <w:sz w:val="24"/>
                <w:szCs w:val="24"/>
                <w:lang w:val="en-GB"/>
              </w:rPr>
            </w:pPr>
            <w:r w:rsidRPr="00580532">
              <w:rPr>
                <w:rFonts w:ascii="Book Antiqua" w:hAnsi="Book Antiqua"/>
                <w:b/>
                <w:sz w:val="24"/>
                <w:szCs w:val="24"/>
                <w:lang w:val="en-GB"/>
              </w:rPr>
              <w:t>4-tier-based binary classification</w:t>
            </w:r>
          </w:p>
        </w:tc>
        <w:tc>
          <w:tcPr>
            <w:tcW w:w="1929" w:type="dxa"/>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HCC</w:t>
            </w:r>
          </w:p>
        </w:tc>
        <w:tc>
          <w:tcPr>
            <w:tcW w:w="1932"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155</w:t>
            </w:r>
          </w:p>
        </w:tc>
        <w:tc>
          <w:tcPr>
            <w:tcW w:w="1654"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r>
      <w:tr w:rsidR="00554C32" w:rsidRPr="00580532" w:rsidTr="00A06665">
        <w:trPr>
          <w:trHeight w:val="202"/>
        </w:trPr>
        <w:tc>
          <w:tcPr>
            <w:tcW w:w="2345" w:type="dxa"/>
            <w:vMerge/>
          </w:tcPr>
          <w:p w:rsidR="00554C32" w:rsidRPr="00580532" w:rsidRDefault="00554C32" w:rsidP="00A06665">
            <w:pPr>
              <w:spacing w:line="360" w:lineRule="auto"/>
              <w:rPr>
                <w:rFonts w:ascii="Book Antiqua" w:hAnsi="Book Antiqua"/>
                <w:b/>
                <w:sz w:val="24"/>
                <w:szCs w:val="24"/>
                <w:lang w:val="en-GB"/>
              </w:rPr>
            </w:pPr>
          </w:p>
        </w:tc>
        <w:tc>
          <w:tcPr>
            <w:tcW w:w="1929" w:type="dxa"/>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ICC</w:t>
            </w:r>
          </w:p>
        </w:tc>
        <w:tc>
          <w:tcPr>
            <w:tcW w:w="1932"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1</w:t>
            </w:r>
          </w:p>
        </w:tc>
        <w:tc>
          <w:tcPr>
            <w:tcW w:w="1654"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52</w:t>
            </w:r>
          </w:p>
        </w:tc>
      </w:tr>
      <w:tr w:rsidR="00554C32" w:rsidRPr="00580532" w:rsidTr="00A06665">
        <w:trPr>
          <w:trHeight w:val="305"/>
        </w:trPr>
        <w:tc>
          <w:tcPr>
            <w:tcW w:w="2345" w:type="dxa"/>
            <w:vMerge/>
          </w:tcPr>
          <w:p w:rsidR="00554C32" w:rsidRPr="00580532" w:rsidRDefault="00554C32" w:rsidP="00A06665">
            <w:pPr>
              <w:spacing w:line="360" w:lineRule="auto"/>
              <w:rPr>
                <w:rFonts w:ascii="Book Antiqua" w:hAnsi="Book Antiqua"/>
                <w:b/>
                <w:i/>
                <w:sz w:val="24"/>
                <w:szCs w:val="24"/>
                <w:lang w:val="en-GB"/>
              </w:rPr>
            </w:pPr>
          </w:p>
        </w:tc>
        <w:tc>
          <w:tcPr>
            <w:tcW w:w="1929" w:type="dxa"/>
            <w:vAlign w:val="center"/>
          </w:tcPr>
          <w:p w:rsidR="00554C32" w:rsidRPr="00580532" w:rsidRDefault="00554C32" w:rsidP="00A06665">
            <w:pPr>
              <w:spacing w:line="360" w:lineRule="auto"/>
              <w:rPr>
                <w:rFonts w:ascii="Book Antiqua" w:hAnsi="Book Antiqua"/>
                <w:sz w:val="24"/>
                <w:szCs w:val="24"/>
                <w:lang w:val="en-GB"/>
              </w:rPr>
            </w:pPr>
            <w:r w:rsidRPr="00554C32">
              <w:rPr>
                <w:rFonts w:ascii="Book Antiqua" w:hAnsi="Book Antiqua"/>
                <w:sz w:val="24"/>
                <w:szCs w:val="24"/>
                <w:lang w:val="en-GB"/>
              </w:rPr>
              <w:t>Kappa</w:t>
            </w:r>
            <w:r w:rsidRPr="00580532">
              <w:rPr>
                <w:rFonts w:ascii="Book Antiqua" w:hAnsi="Book Antiqua"/>
                <w:i/>
                <w:sz w:val="24"/>
                <w:szCs w:val="24"/>
                <w:lang w:val="en-GB"/>
              </w:rPr>
              <w:t xml:space="preserve"> </w:t>
            </w:r>
            <w:r w:rsidRPr="00580532">
              <w:rPr>
                <w:rFonts w:ascii="Book Antiqua" w:hAnsi="Book Antiqua"/>
                <w:sz w:val="24"/>
                <w:szCs w:val="24"/>
                <w:lang w:val="en-GB"/>
              </w:rPr>
              <w:t>value</w:t>
            </w:r>
          </w:p>
        </w:tc>
        <w:tc>
          <w:tcPr>
            <w:tcW w:w="3586" w:type="dxa"/>
            <w:gridSpan w:val="2"/>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0.987</w:t>
            </w:r>
          </w:p>
        </w:tc>
      </w:tr>
      <w:tr w:rsidR="00554C32" w:rsidRPr="00580532" w:rsidTr="00A06665">
        <w:trPr>
          <w:trHeight w:val="267"/>
        </w:trPr>
        <w:tc>
          <w:tcPr>
            <w:tcW w:w="2345" w:type="dxa"/>
            <w:vMerge/>
          </w:tcPr>
          <w:p w:rsidR="00554C32" w:rsidRPr="00580532" w:rsidRDefault="00554C32" w:rsidP="00A06665">
            <w:pPr>
              <w:spacing w:line="360" w:lineRule="auto"/>
              <w:rPr>
                <w:rFonts w:ascii="Book Antiqua" w:hAnsi="Book Antiqua"/>
                <w:b/>
                <w:i/>
                <w:sz w:val="24"/>
                <w:szCs w:val="24"/>
                <w:lang w:val="en-GB"/>
              </w:rPr>
            </w:pPr>
          </w:p>
        </w:tc>
        <w:tc>
          <w:tcPr>
            <w:tcW w:w="1929" w:type="dxa"/>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i/>
                <w:sz w:val="24"/>
                <w:szCs w:val="24"/>
                <w:lang w:val="en-GB"/>
              </w:rPr>
              <w:t>P</w:t>
            </w:r>
            <w:r w:rsidRPr="00580532">
              <w:rPr>
                <w:rFonts w:ascii="Book Antiqua" w:hAnsi="Book Antiqua"/>
                <w:sz w:val="24"/>
                <w:szCs w:val="24"/>
                <w:lang w:val="en-GB"/>
              </w:rPr>
              <w:t xml:space="preserve"> value</w:t>
            </w:r>
          </w:p>
        </w:tc>
        <w:tc>
          <w:tcPr>
            <w:tcW w:w="3586" w:type="dxa"/>
            <w:gridSpan w:val="2"/>
            <w:vAlign w:val="center"/>
          </w:tcPr>
          <w:p w:rsidR="00554C32" w:rsidRPr="00580532" w:rsidRDefault="00554C32"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r>
    </w:tbl>
    <w:p w:rsidR="00554C32" w:rsidRDefault="00554C32" w:rsidP="00554C32">
      <w:pPr>
        <w:spacing w:line="360" w:lineRule="auto"/>
        <w:rPr>
          <w:rFonts w:ascii="Book Antiqua" w:hAnsi="Book Antiqua" w:hint="eastAsia"/>
          <w:sz w:val="24"/>
          <w:szCs w:val="24"/>
          <w:lang w:val="en-GB"/>
        </w:rPr>
      </w:pPr>
    </w:p>
    <w:p w:rsidR="00554C32" w:rsidRPr="00580532" w:rsidRDefault="00554C32" w:rsidP="00554C32">
      <w:pPr>
        <w:spacing w:line="360" w:lineRule="auto"/>
        <w:rPr>
          <w:rStyle w:val="apple-converted-space"/>
          <w:rFonts w:ascii="Book Antiqua" w:hAnsi="Book Antiqua"/>
          <w:sz w:val="24"/>
          <w:szCs w:val="24"/>
          <w:lang w:val="en-GB"/>
        </w:rPr>
      </w:pPr>
      <w:r w:rsidRPr="00580532">
        <w:rPr>
          <w:rFonts w:ascii="Book Antiqua" w:hAnsi="Book Antiqua"/>
          <w:sz w:val="24"/>
          <w:szCs w:val="24"/>
          <w:lang w:val="en-GB"/>
        </w:rPr>
        <w:t>NCB</w:t>
      </w:r>
      <w:r>
        <w:rPr>
          <w:rFonts w:ascii="Book Antiqua" w:hAnsi="Book Antiqua" w:hint="eastAsia"/>
          <w:sz w:val="24"/>
          <w:szCs w:val="24"/>
          <w:lang w:val="en-GB"/>
        </w:rPr>
        <w:t>:</w:t>
      </w:r>
      <w:r w:rsidRPr="00580532">
        <w:rPr>
          <w:rFonts w:ascii="Book Antiqua" w:hAnsi="Book Antiqua"/>
          <w:sz w:val="24"/>
          <w:szCs w:val="24"/>
          <w:lang w:val="en-GB"/>
        </w:rPr>
        <w:t xml:space="preserve"> Needle core biopsy; SS</w:t>
      </w:r>
      <w:r>
        <w:rPr>
          <w:rFonts w:ascii="Book Antiqua" w:hAnsi="Book Antiqua" w:hint="eastAsia"/>
          <w:sz w:val="24"/>
          <w:szCs w:val="24"/>
          <w:lang w:val="en-GB"/>
        </w:rPr>
        <w:t>:</w:t>
      </w:r>
      <w:r w:rsidRPr="00580532">
        <w:rPr>
          <w:rFonts w:ascii="Book Antiqua" w:hAnsi="Book Antiqua"/>
          <w:sz w:val="24"/>
          <w:szCs w:val="24"/>
          <w:lang w:val="en-GB"/>
        </w:rPr>
        <w:t xml:space="preserve"> Surgery specimen; HCC</w:t>
      </w:r>
      <w:r>
        <w:rPr>
          <w:rFonts w:ascii="Book Antiqua" w:hAnsi="Book Antiqua" w:hint="eastAsia"/>
          <w:sz w:val="24"/>
          <w:szCs w:val="24"/>
          <w:lang w:val="en-GB"/>
        </w:rPr>
        <w:t>:</w:t>
      </w:r>
      <w:r w:rsidRPr="00580532">
        <w:rPr>
          <w:rFonts w:ascii="Book Antiqua" w:hAnsi="Book Antiqua"/>
          <w:sz w:val="24"/>
          <w:szCs w:val="24"/>
          <w:lang w:val="en-GB"/>
        </w:rPr>
        <w:t xml:space="preserve"> Hepatocellular carcinoma; ICC</w:t>
      </w:r>
      <w:r>
        <w:rPr>
          <w:rFonts w:ascii="Book Antiqua" w:hAnsi="Book Antiqua" w:hint="eastAsia"/>
          <w:sz w:val="24"/>
          <w:szCs w:val="24"/>
          <w:lang w:val="en-GB"/>
        </w:rPr>
        <w:t>:</w:t>
      </w:r>
      <w:r w:rsidRPr="00580532">
        <w:rPr>
          <w:rFonts w:ascii="Book Antiqua" w:hAnsi="Book Antiqua"/>
          <w:sz w:val="24"/>
          <w:szCs w:val="24"/>
          <w:lang w:val="en-GB"/>
        </w:rPr>
        <w:t xml:space="preserve"> Intrahepatic cholangiocarcinoma</w:t>
      </w:r>
      <w:r>
        <w:rPr>
          <w:rFonts w:ascii="Book Antiqua" w:hAnsi="Book Antiqua" w:hint="eastAsia"/>
          <w:sz w:val="24"/>
          <w:szCs w:val="24"/>
          <w:lang w:val="en-GB"/>
        </w:rPr>
        <w:t>.</w:t>
      </w:r>
    </w:p>
    <w:p w:rsidR="00304FA0" w:rsidRDefault="00304FA0" w:rsidP="00304FA0">
      <w:pPr>
        <w:spacing w:line="360" w:lineRule="auto"/>
        <w:rPr>
          <w:rFonts w:ascii="Book Antiqua" w:hAnsi="Book Antiqua" w:hint="eastAsia"/>
          <w:b/>
          <w:sz w:val="24"/>
          <w:szCs w:val="24"/>
          <w:lang w:val="en-GB"/>
        </w:rPr>
      </w:pPr>
      <w:r>
        <w:rPr>
          <w:rFonts w:ascii="Book Antiqua" w:hAnsi="Book Antiqua"/>
          <w:b/>
          <w:sz w:val="24"/>
          <w:szCs w:val="24"/>
          <w:lang w:val="en-GB"/>
        </w:rPr>
        <w:br w:type="page"/>
        <w:t>Table 7</w:t>
      </w:r>
      <w:r w:rsidRPr="00580532">
        <w:rPr>
          <w:rFonts w:ascii="Book Antiqua" w:hAnsi="Book Antiqua"/>
          <w:b/>
          <w:sz w:val="24"/>
          <w:szCs w:val="24"/>
          <w:lang w:val="en-GB"/>
        </w:rPr>
        <w:t xml:space="preserve"> Degree of concordance of the histological grade between</w:t>
      </w:r>
      <w:r w:rsidRPr="0044615E">
        <w:rPr>
          <w:rFonts w:ascii="Book Antiqua" w:hAnsi="Book Antiqua"/>
          <w:b/>
          <w:sz w:val="24"/>
          <w:szCs w:val="24"/>
          <w:lang w:val="en-GB"/>
        </w:rPr>
        <w:t xml:space="preserve"> </w:t>
      </w:r>
      <w:r w:rsidRPr="00FB56C4">
        <w:rPr>
          <w:rFonts w:ascii="Book Antiqua" w:hAnsi="Book Antiqua"/>
          <w:b/>
          <w:sz w:val="24"/>
          <w:szCs w:val="24"/>
          <w:lang w:val="en-GB"/>
        </w:rPr>
        <w:t>surgery specimen</w:t>
      </w:r>
      <w:r w:rsidRPr="00580532">
        <w:rPr>
          <w:rFonts w:ascii="Book Antiqua" w:hAnsi="Book Antiqua"/>
          <w:b/>
          <w:sz w:val="24"/>
          <w:szCs w:val="24"/>
          <w:lang w:val="en-GB"/>
        </w:rPr>
        <w:t xml:space="preserve"> </w:t>
      </w:r>
      <w:r w:rsidRPr="00FB56C4">
        <w:rPr>
          <w:rFonts w:ascii="Book Antiqua" w:hAnsi="Book Antiqua"/>
          <w:b/>
          <w:sz w:val="24"/>
          <w:szCs w:val="24"/>
          <w:lang w:val="en-GB"/>
        </w:rPr>
        <w:t>and needle core biopsy</w:t>
      </w:r>
    </w:p>
    <w:p w:rsidR="00304FA0" w:rsidRPr="00580532" w:rsidRDefault="00304FA0" w:rsidP="00304FA0">
      <w:pPr>
        <w:spacing w:line="360" w:lineRule="auto"/>
        <w:rPr>
          <w:rFonts w:ascii="Book Antiqua" w:hAnsi="Book Antiqua"/>
          <w:b/>
          <w:sz w:val="24"/>
          <w:szCs w:val="24"/>
          <w:lang w:val="en-GB"/>
        </w:rPr>
      </w:pPr>
    </w:p>
    <w:tbl>
      <w:tblPr>
        <w:tblW w:w="0" w:type="auto"/>
        <w:tblInd w:w="363" w:type="dxa"/>
        <w:tblBorders>
          <w:top w:val="single" w:sz="4" w:space="0" w:color="auto"/>
          <w:bottom w:val="single" w:sz="4" w:space="0" w:color="auto"/>
        </w:tblBorders>
        <w:tblLayout w:type="fixed"/>
        <w:tblLook w:val="0000" w:firstRow="0" w:lastRow="0" w:firstColumn="0" w:lastColumn="0" w:noHBand="0" w:noVBand="0"/>
      </w:tblPr>
      <w:tblGrid>
        <w:gridCol w:w="826"/>
        <w:gridCol w:w="1380"/>
        <w:gridCol w:w="1103"/>
        <w:gridCol w:w="965"/>
        <w:gridCol w:w="828"/>
        <w:gridCol w:w="1379"/>
        <w:gridCol w:w="1103"/>
      </w:tblGrid>
      <w:tr w:rsidR="00304FA0" w:rsidRPr="00580532" w:rsidTr="00D64688">
        <w:trPr>
          <w:trHeight w:val="195"/>
        </w:trPr>
        <w:tc>
          <w:tcPr>
            <w:tcW w:w="2206" w:type="dxa"/>
            <w:gridSpan w:val="2"/>
            <w:vMerge w:val="restart"/>
            <w:tcBorders>
              <w:top w:val="nil"/>
              <w:bottom w:val="nil"/>
            </w:tcBorders>
            <w:vAlign w:val="center"/>
          </w:tcPr>
          <w:p w:rsidR="00304FA0" w:rsidRPr="00304FA0" w:rsidRDefault="00304FA0" w:rsidP="00A06665">
            <w:pPr>
              <w:spacing w:line="360" w:lineRule="auto"/>
              <w:rPr>
                <w:rFonts w:ascii="Book Antiqua" w:hAnsi="Book Antiqua"/>
                <w:b/>
                <w:sz w:val="24"/>
                <w:szCs w:val="24"/>
                <w:lang w:val="en-GB"/>
              </w:rPr>
            </w:pPr>
            <w:r w:rsidRPr="00304FA0">
              <w:rPr>
                <w:rFonts w:ascii="Book Antiqua" w:hAnsi="Book Antiqua"/>
                <w:b/>
                <w:sz w:val="24"/>
                <w:szCs w:val="24"/>
                <w:lang w:val="en-GB"/>
              </w:rPr>
              <w:t>SS</w:t>
            </w:r>
          </w:p>
        </w:tc>
        <w:tc>
          <w:tcPr>
            <w:tcW w:w="5378" w:type="dxa"/>
            <w:gridSpan w:val="5"/>
            <w:tcBorders>
              <w:top w:val="nil"/>
              <w:bottom w:val="nil"/>
            </w:tcBorders>
            <w:vAlign w:val="center"/>
          </w:tcPr>
          <w:p w:rsidR="00304FA0" w:rsidRPr="00304FA0" w:rsidRDefault="00304FA0" w:rsidP="00A06665">
            <w:pPr>
              <w:spacing w:line="360" w:lineRule="auto"/>
              <w:rPr>
                <w:rFonts w:ascii="Book Antiqua" w:hAnsi="Book Antiqua"/>
                <w:b/>
                <w:sz w:val="24"/>
                <w:szCs w:val="24"/>
                <w:lang w:val="en-GB"/>
              </w:rPr>
            </w:pPr>
            <w:r w:rsidRPr="00304FA0">
              <w:rPr>
                <w:rFonts w:ascii="Book Antiqua" w:hAnsi="Book Antiqua"/>
                <w:b/>
                <w:sz w:val="24"/>
                <w:szCs w:val="24"/>
                <w:lang w:val="en-GB"/>
              </w:rPr>
              <w:t>NCB</w:t>
            </w:r>
          </w:p>
        </w:tc>
      </w:tr>
      <w:tr w:rsidR="00304FA0" w:rsidRPr="00580532" w:rsidTr="00A06665">
        <w:trPr>
          <w:trHeight w:val="195"/>
        </w:trPr>
        <w:tc>
          <w:tcPr>
            <w:tcW w:w="2206" w:type="dxa"/>
            <w:gridSpan w:val="2"/>
            <w:vMerge/>
            <w:tcBorders>
              <w:top w:val="nil"/>
              <w:bottom w:val="nil"/>
            </w:tcBorders>
          </w:tcPr>
          <w:p w:rsidR="00304FA0" w:rsidRPr="00304FA0" w:rsidRDefault="00304FA0" w:rsidP="00A06665">
            <w:pPr>
              <w:spacing w:line="360" w:lineRule="auto"/>
              <w:rPr>
                <w:rFonts w:ascii="Book Antiqua" w:hAnsi="Book Antiqua"/>
                <w:b/>
                <w:sz w:val="24"/>
                <w:szCs w:val="24"/>
                <w:lang w:val="en-GB"/>
              </w:rPr>
            </w:pPr>
          </w:p>
        </w:tc>
        <w:tc>
          <w:tcPr>
            <w:tcW w:w="2896" w:type="dxa"/>
            <w:gridSpan w:val="3"/>
            <w:tcBorders>
              <w:top w:val="nil"/>
              <w:bottom w:val="nil"/>
            </w:tcBorders>
            <w:vAlign w:val="center"/>
          </w:tcPr>
          <w:p w:rsidR="00304FA0" w:rsidRPr="00304FA0" w:rsidRDefault="00304FA0" w:rsidP="00A06665">
            <w:pPr>
              <w:spacing w:line="360" w:lineRule="auto"/>
              <w:rPr>
                <w:rFonts w:ascii="Book Antiqua" w:hAnsi="Book Antiqua"/>
                <w:b/>
                <w:sz w:val="24"/>
                <w:szCs w:val="24"/>
                <w:lang w:val="en-GB"/>
              </w:rPr>
            </w:pPr>
            <w:r w:rsidRPr="00304FA0">
              <w:rPr>
                <w:rFonts w:ascii="Book Antiqua" w:hAnsi="Book Antiqua"/>
                <w:b/>
                <w:sz w:val="24"/>
                <w:szCs w:val="24"/>
                <w:lang w:val="en-GB"/>
              </w:rPr>
              <w:t>3-tier</w:t>
            </w:r>
          </w:p>
        </w:tc>
        <w:tc>
          <w:tcPr>
            <w:tcW w:w="2482" w:type="dxa"/>
            <w:gridSpan w:val="2"/>
            <w:tcBorders>
              <w:top w:val="nil"/>
              <w:bottom w:val="nil"/>
            </w:tcBorders>
            <w:vAlign w:val="center"/>
          </w:tcPr>
          <w:p w:rsidR="00304FA0" w:rsidRPr="00304FA0" w:rsidRDefault="00304FA0" w:rsidP="00A06665">
            <w:pPr>
              <w:spacing w:line="360" w:lineRule="auto"/>
              <w:rPr>
                <w:rFonts w:ascii="Book Antiqua" w:hAnsi="Book Antiqua"/>
                <w:b/>
                <w:sz w:val="24"/>
                <w:szCs w:val="24"/>
                <w:lang w:val="en-GB"/>
              </w:rPr>
            </w:pPr>
            <w:r w:rsidRPr="00304FA0">
              <w:rPr>
                <w:rFonts w:ascii="Book Antiqua" w:hAnsi="Book Antiqua"/>
                <w:b/>
                <w:sz w:val="24"/>
                <w:szCs w:val="24"/>
                <w:lang w:val="en-GB"/>
              </w:rPr>
              <w:t>2-tier</w:t>
            </w:r>
          </w:p>
        </w:tc>
      </w:tr>
      <w:tr w:rsidR="00304FA0" w:rsidRPr="00580532" w:rsidTr="00A06665">
        <w:trPr>
          <w:trHeight w:val="407"/>
        </w:trPr>
        <w:tc>
          <w:tcPr>
            <w:tcW w:w="2206" w:type="dxa"/>
            <w:gridSpan w:val="2"/>
            <w:vMerge/>
            <w:tcBorders>
              <w:top w:val="nil"/>
              <w:bottom w:val="single" w:sz="4" w:space="0" w:color="auto"/>
            </w:tcBorders>
          </w:tcPr>
          <w:p w:rsidR="00304FA0" w:rsidRPr="00304FA0" w:rsidRDefault="00304FA0" w:rsidP="00A06665">
            <w:pPr>
              <w:spacing w:line="360" w:lineRule="auto"/>
              <w:rPr>
                <w:rFonts w:ascii="Book Antiqua" w:hAnsi="Book Antiqua"/>
                <w:b/>
                <w:sz w:val="24"/>
                <w:szCs w:val="24"/>
                <w:lang w:val="en-GB"/>
              </w:rPr>
            </w:pPr>
          </w:p>
        </w:tc>
        <w:tc>
          <w:tcPr>
            <w:tcW w:w="1103" w:type="dxa"/>
            <w:tcBorders>
              <w:top w:val="nil"/>
              <w:bottom w:val="single" w:sz="4" w:space="0" w:color="auto"/>
            </w:tcBorders>
            <w:vAlign w:val="center"/>
          </w:tcPr>
          <w:p w:rsidR="00304FA0" w:rsidRPr="00304FA0" w:rsidRDefault="00304FA0" w:rsidP="00A06665">
            <w:pPr>
              <w:spacing w:line="360" w:lineRule="auto"/>
              <w:rPr>
                <w:rFonts w:ascii="Book Antiqua" w:hAnsi="Book Antiqua"/>
                <w:b/>
                <w:sz w:val="24"/>
                <w:szCs w:val="24"/>
                <w:lang w:val="en-GB"/>
              </w:rPr>
            </w:pPr>
            <w:r w:rsidRPr="00304FA0">
              <w:rPr>
                <w:rFonts w:ascii="Book Antiqua" w:hAnsi="Book Antiqua"/>
                <w:b/>
                <w:sz w:val="24"/>
                <w:szCs w:val="24"/>
                <w:lang w:val="en-GB"/>
              </w:rPr>
              <w:t>Well</w:t>
            </w:r>
          </w:p>
        </w:tc>
        <w:tc>
          <w:tcPr>
            <w:tcW w:w="965" w:type="dxa"/>
            <w:tcBorders>
              <w:top w:val="nil"/>
              <w:bottom w:val="single" w:sz="4" w:space="0" w:color="auto"/>
            </w:tcBorders>
            <w:vAlign w:val="center"/>
          </w:tcPr>
          <w:p w:rsidR="00304FA0" w:rsidRPr="00304FA0" w:rsidRDefault="00304FA0" w:rsidP="00A06665">
            <w:pPr>
              <w:spacing w:line="360" w:lineRule="auto"/>
              <w:rPr>
                <w:rFonts w:ascii="Book Antiqua" w:hAnsi="Book Antiqua"/>
                <w:b/>
                <w:sz w:val="24"/>
                <w:szCs w:val="24"/>
                <w:lang w:val="en-GB"/>
              </w:rPr>
            </w:pPr>
            <w:r w:rsidRPr="00304FA0">
              <w:rPr>
                <w:rFonts w:ascii="Book Antiqua" w:hAnsi="Book Antiqua"/>
                <w:b/>
                <w:sz w:val="24"/>
                <w:szCs w:val="24"/>
                <w:lang w:val="en-GB"/>
              </w:rPr>
              <w:t>Moderately</w:t>
            </w:r>
          </w:p>
        </w:tc>
        <w:tc>
          <w:tcPr>
            <w:tcW w:w="828" w:type="dxa"/>
            <w:tcBorders>
              <w:top w:val="nil"/>
              <w:bottom w:val="single" w:sz="4" w:space="0" w:color="auto"/>
            </w:tcBorders>
            <w:vAlign w:val="center"/>
          </w:tcPr>
          <w:p w:rsidR="00304FA0" w:rsidRPr="00304FA0" w:rsidRDefault="00304FA0" w:rsidP="00A06665">
            <w:pPr>
              <w:spacing w:line="360" w:lineRule="auto"/>
              <w:rPr>
                <w:rFonts w:ascii="Book Antiqua" w:hAnsi="Book Antiqua"/>
                <w:b/>
                <w:sz w:val="24"/>
                <w:szCs w:val="24"/>
                <w:lang w:val="en-GB"/>
              </w:rPr>
            </w:pPr>
            <w:r w:rsidRPr="00304FA0">
              <w:rPr>
                <w:rFonts w:ascii="Book Antiqua" w:hAnsi="Book Antiqua"/>
                <w:b/>
                <w:sz w:val="24"/>
                <w:szCs w:val="24"/>
                <w:lang w:val="en-GB"/>
              </w:rPr>
              <w:t>Poorly</w:t>
            </w:r>
          </w:p>
        </w:tc>
        <w:tc>
          <w:tcPr>
            <w:tcW w:w="1379" w:type="dxa"/>
            <w:tcBorders>
              <w:top w:val="nil"/>
              <w:bottom w:val="single" w:sz="4" w:space="0" w:color="auto"/>
            </w:tcBorders>
            <w:vAlign w:val="center"/>
          </w:tcPr>
          <w:p w:rsidR="00304FA0" w:rsidRPr="00304FA0" w:rsidRDefault="00304FA0" w:rsidP="00A06665">
            <w:pPr>
              <w:spacing w:line="360" w:lineRule="auto"/>
              <w:rPr>
                <w:rFonts w:ascii="Book Antiqua" w:hAnsi="Book Antiqua"/>
                <w:b/>
                <w:sz w:val="24"/>
                <w:szCs w:val="24"/>
                <w:lang w:val="en-GB"/>
              </w:rPr>
            </w:pPr>
            <w:r w:rsidRPr="00304FA0">
              <w:rPr>
                <w:rFonts w:ascii="Book Antiqua" w:hAnsi="Book Antiqua"/>
                <w:b/>
                <w:sz w:val="24"/>
                <w:szCs w:val="24"/>
                <w:lang w:val="en-GB"/>
              </w:rPr>
              <w:t>Well and moderately</w:t>
            </w:r>
          </w:p>
        </w:tc>
        <w:tc>
          <w:tcPr>
            <w:tcW w:w="1103" w:type="dxa"/>
            <w:tcBorders>
              <w:top w:val="nil"/>
              <w:bottom w:val="single" w:sz="4" w:space="0" w:color="auto"/>
            </w:tcBorders>
            <w:vAlign w:val="center"/>
          </w:tcPr>
          <w:p w:rsidR="00304FA0" w:rsidRPr="00304FA0" w:rsidRDefault="00304FA0" w:rsidP="00A06665">
            <w:pPr>
              <w:spacing w:line="360" w:lineRule="auto"/>
              <w:rPr>
                <w:rFonts w:ascii="Book Antiqua" w:hAnsi="Book Antiqua"/>
                <w:b/>
                <w:sz w:val="24"/>
                <w:szCs w:val="24"/>
                <w:lang w:val="en-GB"/>
              </w:rPr>
            </w:pPr>
            <w:r w:rsidRPr="00304FA0">
              <w:rPr>
                <w:rFonts w:ascii="Book Antiqua" w:hAnsi="Book Antiqua"/>
                <w:b/>
                <w:sz w:val="24"/>
                <w:szCs w:val="24"/>
                <w:lang w:val="en-GB"/>
              </w:rPr>
              <w:t>Poorly</w:t>
            </w:r>
          </w:p>
        </w:tc>
      </w:tr>
      <w:tr w:rsidR="00304FA0" w:rsidRPr="00580532" w:rsidTr="00A06665">
        <w:trPr>
          <w:trHeight w:val="308"/>
        </w:trPr>
        <w:tc>
          <w:tcPr>
            <w:tcW w:w="826" w:type="dxa"/>
            <w:vMerge w:val="restart"/>
            <w:tcBorders>
              <w:top w:val="single" w:sz="4" w:space="0" w:color="auto"/>
            </w:tcBorders>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3-tier</w:t>
            </w:r>
          </w:p>
        </w:tc>
        <w:tc>
          <w:tcPr>
            <w:tcW w:w="1380" w:type="dxa"/>
            <w:tcBorders>
              <w:top w:val="single" w:sz="4" w:space="0" w:color="auto"/>
            </w:tcBorders>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Well</w:t>
            </w:r>
          </w:p>
        </w:tc>
        <w:tc>
          <w:tcPr>
            <w:tcW w:w="1103" w:type="dxa"/>
            <w:tcBorders>
              <w:top w:val="single" w:sz="4" w:space="0" w:color="auto"/>
            </w:tcBorders>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15</w:t>
            </w:r>
          </w:p>
        </w:tc>
        <w:tc>
          <w:tcPr>
            <w:tcW w:w="965" w:type="dxa"/>
            <w:tcBorders>
              <w:top w:val="single" w:sz="4" w:space="0" w:color="auto"/>
            </w:tcBorders>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3</w:t>
            </w:r>
          </w:p>
        </w:tc>
        <w:tc>
          <w:tcPr>
            <w:tcW w:w="828" w:type="dxa"/>
            <w:tcBorders>
              <w:top w:val="single" w:sz="4" w:space="0" w:color="auto"/>
            </w:tcBorders>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0</w:t>
            </w:r>
          </w:p>
        </w:tc>
        <w:tc>
          <w:tcPr>
            <w:tcW w:w="1379" w:type="dxa"/>
            <w:tcBorders>
              <w:top w:val="single" w:sz="4" w:space="0" w:color="auto"/>
            </w:tcBorders>
          </w:tcPr>
          <w:p w:rsidR="00304FA0" w:rsidRPr="00580532" w:rsidRDefault="00304FA0" w:rsidP="00A06665">
            <w:pPr>
              <w:spacing w:line="360" w:lineRule="auto"/>
              <w:rPr>
                <w:rFonts w:ascii="Book Antiqua" w:hAnsi="Book Antiqua"/>
                <w:sz w:val="24"/>
                <w:szCs w:val="24"/>
                <w:lang w:val="en-GB"/>
              </w:rPr>
            </w:pPr>
          </w:p>
        </w:tc>
        <w:tc>
          <w:tcPr>
            <w:tcW w:w="1103" w:type="dxa"/>
            <w:tcBorders>
              <w:top w:val="single" w:sz="4" w:space="0" w:color="auto"/>
            </w:tcBorders>
          </w:tcPr>
          <w:p w:rsidR="00304FA0" w:rsidRPr="00580532" w:rsidRDefault="00304FA0" w:rsidP="00A06665">
            <w:pPr>
              <w:spacing w:line="360" w:lineRule="auto"/>
              <w:rPr>
                <w:rFonts w:ascii="Book Antiqua" w:hAnsi="Book Antiqua"/>
                <w:sz w:val="24"/>
                <w:szCs w:val="24"/>
                <w:lang w:val="en-GB"/>
              </w:rPr>
            </w:pPr>
          </w:p>
        </w:tc>
      </w:tr>
      <w:tr w:rsidR="00304FA0" w:rsidRPr="00580532" w:rsidTr="00A06665">
        <w:trPr>
          <w:trHeight w:val="323"/>
        </w:trPr>
        <w:tc>
          <w:tcPr>
            <w:tcW w:w="826" w:type="dxa"/>
            <w:vMerge/>
          </w:tcPr>
          <w:p w:rsidR="00304FA0" w:rsidRPr="00580532" w:rsidRDefault="00304FA0" w:rsidP="00A06665">
            <w:pPr>
              <w:spacing w:line="360" w:lineRule="auto"/>
              <w:rPr>
                <w:rFonts w:ascii="Book Antiqua" w:hAnsi="Book Antiqua"/>
                <w:sz w:val="24"/>
                <w:szCs w:val="24"/>
                <w:lang w:val="en-GB"/>
              </w:rPr>
            </w:pPr>
          </w:p>
        </w:tc>
        <w:tc>
          <w:tcPr>
            <w:tcW w:w="1380" w:type="dxa"/>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Moderately</w:t>
            </w:r>
          </w:p>
        </w:tc>
        <w:tc>
          <w:tcPr>
            <w:tcW w:w="1103" w:type="dxa"/>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17</w:t>
            </w:r>
          </w:p>
        </w:tc>
        <w:tc>
          <w:tcPr>
            <w:tcW w:w="965" w:type="dxa"/>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66</w:t>
            </w:r>
          </w:p>
        </w:tc>
        <w:tc>
          <w:tcPr>
            <w:tcW w:w="828" w:type="dxa"/>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10</w:t>
            </w:r>
          </w:p>
        </w:tc>
        <w:tc>
          <w:tcPr>
            <w:tcW w:w="1379" w:type="dxa"/>
          </w:tcPr>
          <w:p w:rsidR="00304FA0" w:rsidRPr="00580532" w:rsidRDefault="00304FA0" w:rsidP="00A06665">
            <w:pPr>
              <w:spacing w:line="360" w:lineRule="auto"/>
              <w:rPr>
                <w:rFonts w:ascii="Book Antiqua" w:hAnsi="Book Antiqua"/>
                <w:sz w:val="24"/>
                <w:szCs w:val="24"/>
                <w:lang w:val="en-GB"/>
              </w:rPr>
            </w:pPr>
          </w:p>
        </w:tc>
        <w:tc>
          <w:tcPr>
            <w:tcW w:w="1103" w:type="dxa"/>
          </w:tcPr>
          <w:p w:rsidR="00304FA0" w:rsidRPr="00580532" w:rsidRDefault="00304FA0" w:rsidP="00A06665">
            <w:pPr>
              <w:spacing w:line="360" w:lineRule="auto"/>
              <w:rPr>
                <w:rFonts w:ascii="Book Antiqua" w:hAnsi="Book Antiqua"/>
                <w:sz w:val="24"/>
                <w:szCs w:val="24"/>
                <w:lang w:val="en-GB"/>
              </w:rPr>
            </w:pPr>
          </w:p>
        </w:tc>
      </w:tr>
      <w:tr w:rsidR="00304FA0" w:rsidRPr="00580532" w:rsidTr="00A06665">
        <w:trPr>
          <w:trHeight w:val="323"/>
        </w:trPr>
        <w:tc>
          <w:tcPr>
            <w:tcW w:w="826" w:type="dxa"/>
            <w:vMerge/>
          </w:tcPr>
          <w:p w:rsidR="00304FA0" w:rsidRPr="00580532" w:rsidRDefault="00304FA0" w:rsidP="00A06665">
            <w:pPr>
              <w:spacing w:line="360" w:lineRule="auto"/>
              <w:rPr>
                <w:rFonts w:ascii="Book Antiqua" w:hAnsi="Book Antiqua"/>
                <w:sz w:val="24"/>
                <w:szCs w:val="24"/>
                <w:lang w:val="en-GB"/>
              </w:rPr>
            </w:pPr>
          </w:p>
        </w:tc>
        <w:tc>
          <w:tcPr>
            <w:tcW w:w="1380" w:type="dxa"/>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Poorly</w:t>
            </w:r>
          </w:p>
        </w:tc>
        <w:tc>
          <w:tcPr>
            <w:tcW w:w="1103" w:type="dxa"/>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5</w:t>
            </w:r>
          </w:p>
        </w:tc>
        <w:tc>
          <w:tcPr>
            <w:tcW w:w="965" w:type="dxa"/>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30</w:t>
            </w:r>
          </w:p>
        </w:tc>
        <w:tc>
          <w:tcPr>
            <w:tcW w:w="828" w:type="dxa"/>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62</w:t>
            </w:r>
          </w:p>
        </w:tc>
        <w:tc>
          <w:tcPr>
            <w:tcW w:w="1379" w:type="dxa"/>
          </w:tcPr>
          <w:p w:rsidR="00304FA0" w:rsidRPr="00580532" w:rsidRDefault="00304FA0" w:rsidP="00A06665">
            <w:pPr>
              <w:spacing w:line="360" w:lineRule="auto"/>
              <w:rPr>
                <w:rFonts w:ascii="Book Antiqua" w:hAnsi="Book Antiqua"/>
                <w:sz w:val="24"/>
                <w:szCs w:val="24"/>
                <w:lang w:val="en-GB"/>
              </w:rPr>
            </w:pPr>
          </w:p>
        </w:tc>
        <w:tc>
          <w:tcPr>
            <w:tcW w:w="1103" w:type="dxa"/>
          </w:tcPr>
          <w:p w:rsidR="00304FA0" w:rsidRPr="00580532" w:rsidRDefault="00304FA0" w:rsidP="00A06665">
            <w:pPr>
              <w:spacing w:line="360" w:lineRule="auto"/>
              <w:rPr>
                <w:rFonts w:ascii="Book Antiqua" w:hAnsi="Book Antiqua"/>
                <w:sz w:val="24"/>
                <w:szCs w:val="24"/>
                <w:lang w:val="en-GB"/>
              </w:rPr>
            </w:pPr>
          </w:p>
        </w:tc>
      </w:tr>
      <w:tr w:rsidR="00304FA0" w:rsidRPr="00580532" w:rsidTr="00A06665">
        <w:trPr>
          <w:trHeight w:val="372"/>
        </w:trPr>
        <w:tc>
          <w:tcPr>
            <w:tcW w:w="826" w:type="dxa"/>
            <w:vMerge w:val="restart"/>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2-tier</w:t>
            </w:r>
          </w:p>
        </w:tc>
        <w:tc>
          <w:tcPr>
            <w:tcW w:w="1380" w:type="dxa"/>
            <w:vAlign w:val="center"/>
          </w:tcPr>
          <w:p w:rsidR="00304FA0" w:rsidRPr="00580532" w:rsidRDefault="00304FA0" w:rsidP="00A06665">
            <w:pPr>
              <w:spacing w:line="360" w:lineRule="auto"/>
              <w:rPr>
                <w:rFonts w:ascii="Book Antiqua" w:hAnsi="Book Antiqua"/>
                <w:i/>
                <w:sz w:val="24"/>
                <w:szCs w:val="24"/>
                <w:lang w:val="en-GB"/>
              </w:rPr>
            </w:pPr>
            <w:r w:rsidRPr="00580532">
              <w:rPr>
                <w:rFonts w:ascii="Book Antiqua" w:hAnsi="Book Antiqua"/>
                <w:sz w:val="24"/>
                <w:szCs w:val="24"/>
                <w:lang w:val="en-GB"/>
              </w:rPr>
              <w:t>Well</w:t>
            </w:r>
            <w:r>
              <w:rPr>
                <w:rFonts w:ascii="Book Antiqua" w:hAnsi="Book Antiqua" w:hint="eastAsia"/>
                <w:sz w:val="24"/>
                <w:szCs w:val="24"/>
                <w:lang w:val="en-GB"/>
              </w:rPr>
              <w:t xml:space="preserve"> </w:t>
            </w:r>
            <w:r w:rsidRPr="00580532">
              <w:rPr>
                <w:rFonts w:ascii="Book Antiqua" w:hAnsi="Book Antiqua"/>
                <w:sz w:val="24"/>
                <w:szCs w:val="24"/>
                <w:lang w:val="en-GB"/>
              </w:rPr>
              <w:t>+</w:t>
            </w:r>
            <w:r>
              <w:rPr>
                <w:rFonts w:ascii="Book Antiqua" w:hAnsi="Book Antiqua" w:hint="eastAsia"/>
                <w:sz w:val="24"/>
                <w:szCs w:val="24"/>
                <w:lang w:val="en-GB"/>
              </w:rPr>
              <w:t xml:space="preserve"> </w:t>
            </w:r>
            <w:r w:rsidRPr="00580532">
              <w:rPr>
                <w:rFonts w:ascii="Book Antiqua" w:hAnsi="Book Antiqua"/>
                <w:sz w:val="24"/>
                <w:szCs w:val="24"/>
                <w:lang w:val="en-GB"/>
              </w:rPr>
              <w:t>moderately</w:t>
            </w:r>
          </w:p>
        </w:tc>
        <w:tc>
          <w:tcPr>
            <w:tcW w:w="2896" w:type="dxa"/>
            <w:gridSpan w:val="3"/>
            <w:vAlign w:val="center"/>
          </w:tcPr>
          <w:p w:rsidR="00304FA0" w:rsidRPr="00580532" w:rsidRDefault="00304FA0" w:rsidP="00A06665">
            <w:pPr>
              <w:spacing w:line="360" w:lineRule="auto"/>
              <w:rPr>
                <w:rFonts w:ascii="Book Antiqua" w:hAnsi="Book Antiqua"/>
                <w:sz w:val="24"/>
                <w:szCs w:val="24"/>
                <w:lang w:val="en-GB"/>
              </w:rPr>
            </w:pPr>
          </w:p>
        </w:tc>
        <w:tc>
          <w:tcPr>
            <w:tcW w:w="1379" w:type="dxa"/>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101</w:t>
            </w:r>
          </w:p>
        </w:tc>
        <w:tc>
          <w:tcPr>
            <w:tcW w:w="1103" w:type="dxa"/>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10</w:t>
            </w:r>
          </w:p>
        </w:tc>
      </w:tr>
      <w:tr w:rsidR="00304FA0" w:rsidRPr="00580532" w:rsidTr="00A06665">
        <w:trPr>
          <w:trHeight w:val="278"/>
        </w:trPr>
        <w:tc>
          <w:tcPr>
            <w:tcW w:w="826" w:type="dxa"/>
            <w:vMerge/>
          </w:tcPr>
          <w:p w:rsidR="00304FA0" w:rsidRPr="00580532" w:rsidRDefault="00304FA0" w:rsidP="00A06665">
            <w:pPr>
              <w:spacing w:line="360" w:lineRule="auto"/>
              <w:rPr>
                <w:rFonts w:ascii="Book Antiqua" w:hAnsi="Book Antiqua"/>
                <w:sz w:val="24"/>
                <w:szCs w:val="24"/>
                <w:lang w:val="en-GB"/>
              </w:rPr>
            </w:pPr>
          </w:p>
        </w:tc>
        <w:tc>
          <w:tcPr>
            <w:tcW w:w="1380" w:type="dxa"/>
            <w:vAlign w:val="center"/>
          </w:tcPr>
          <w:p w:rsidR="00304FA0" w:rsidRPr="00580532" w:rsidRDefault="00304FA0" w:rsidP="00A06665">
            <w:pPr>
              <w:spacing w:line="360" w:lineRule="auto"/>
              <w:rPr>
                <w:rFonts w:ascii="Book Antiqua" w:hAnsi="Book Antiqua"/>
                <w:i/>
                <w:sz w:val="24"/>
                <w:szCs w:val="24"/>
                <w:lang w:val="en-GB"/>
              </w:rPr>
            </w:pPr>
            <w:r w:rsidRPr="00580532">
              <w:rPr>
                <w:rFonts w:ascii="Book Antiqua" w:hAnsi="Book Antiqua"/>
                <w:sz w:val="24"/>
                <w:szCs w:val="24"/>
                <w:lang w:val="en-GB"/>
              </w:rPr>
              <w:t>Poorly</w:t>
            </w:r>
          </w:p>
        </w:tc>
        <w:tc>
          <w:tcPr>
            <w:tcW w:w="2896" w:type="dxa"/>
            <w:gridSpan w:val="3"/>
            <w:vAlign w:val="center"/>
          </w:tcPr>
          <w:p w:rsidR="00304FA0" w:rsidRPr="00580532" w:rsidRDefault="00304FA0" w:rsidP="00A06665">
            <w:pPr>
              <w:spacing w:line="360" w:lineRule="auto"/>
              <w:rPr>
                <w:rFonts w:ascii="Book Antiqua" w:hAnsi="Book Antiqua"/>
                <w:sz w:val="24"/>
                <w:szCs w:val="24"/>
                <w:lang w:val="en-GB"/>
              </w:rPr>
            </w:pPr>
          </w:p>
        </w:tc>
        <w:tc>
          <w:tcPr>
            <w:tcW w:w="1379" w:type="dxa"/>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35</w:t>
            </w:r>
          </w:p>
        </w:tc>
        <w:tc>
          <w:tcPr>
            <w:tcW w:w="1103" w:type="dxa"/>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62</w:t>
            </w:r>
          </w:p>
        </w:tc>
      </w:tr>
      <w:tr w:rsidR="00304FA0" w:rsidRPr="00580532" w:rsidTr="00A06665">
        <w:trPr>
          <w:trHeight w:val="452"/>
        </w:trPr>
        <w:tc>
          <w:tcPr>
            <w:tcW w:w="2206" w:type="dxa"/>
            <w:gridSpan w:val="2"/>
            <w:vAlign w:val="center"/>
          </w:tcPr>
          <w:p w:rsidR="00304FA0" w:rsidRPr="00580532" w:rsidRDefault="00304FA0" w:rsidP="00A06665">
            <w:pPr>
              <w:spacing w:line="360" w:lineRule="auto"/>
              <w:rPr>
                <w:rFonts w:ascii="Book Antiqua" w:hAnsi="Book Antiqua"/>
                <w:sz w:val="24"/>
                <w:szCs w:val="24"/>
                <w:lang w:val="en-GB"/>
              </w:rPr>
            </w:pPr>
            <w:r w:rsidRPr="00304FA0">
              <w:rPr>
                <w:rFonts w:ascii="Book Antiqua" w:hAnsi="Book Antiqua"/>
                <w:sz w:val="24"/>
                <w:szCs w:val="24"/>
                <w:lang w:val="en-GB"/>
              </w:rPr>
              <w:t xml:space="preserve">Kappa </w:t>
            </w:r>
            <w:r w:rsidRPr="00580532">
              <w:rPr>
                <w:rFonts w:ascii="Book Antiqua" w:hAnsi="Book Antiqua"/>
                <w:sz w:val="24"/>
                <w:szCs w:val="24"/>
                <w:lang w:val="en-GB"/>
              </w:rPr>
              <w:t>value</w:t>
            </w:r>
          </w:p>
        </w:tc>
        <w:tc>
          <w:tcPr>
            <w:tcW w:w="2896" w:type="dxa"/>
            <w:gridSpan w:val="3"/>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0.488</w:t>
            </w:r>
          </w:p>
        </w:tc>
        <w:tc>
          <w:tcPr>
            <w:tcW w:w="2482" w:type="dxa"/>
            <w:gridSpan w:val="2"/>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0.588</w:t>
            </w:r>
          </w:p>
        </w:tc>
      </w:tr>
      <w:tr w:rsidR="00304FA0" w:rsidRPr="00580532" w:rsidTr="00A06665">
        <w:trPr>
          <w:trHeight w:val="452"/>
        </w:trPr>
        <w:tc>
          <w:tcPr>
            <w:tcW w:w="2206" w:type="dxa"/>
            <w:gridSpan w:val="2"/>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i/>
                <w:sz w:val="24"/>
                <w:szCs w:val="24"/>
                <w:lang w:val="en-GB"/>
              </w:rPr>
              <w:t>P</w:t>
            </w:r>
            <w:r w:rsidRPr="00580532">
              <w:rPr>
                <w:rFonts w:ascii="Book Antiqua" w:hAnsi="Book Antiqua"/>
                <w:sz w:val="24"/>
                <w:szCs w:val="24"/>
                <w:lang w:val="en-GB"/>
              </w:rPr>
              <w:t xml:space="preserve"> value</w:t>
            </w:r>
          </w:p>
        </w:tc>
        <w:tc>
          <w:tcPr>
            <w:tcW w:w="2896" w:type="dxa"/>
            <w:gridSpan w:val="3"/>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c>
          <w:tcPr>
            <w:tcW w:w="2482" w:type="dxa"/>
            <w:gridSpan w:val="2"/>
            <w:vAlign w:val="center"/>
          </w:tcPr>
          <w:p w:rsidR="00304FA0" w:rsidRPr="00580532" w:rsidRDefault="00304FA0" w:rsidP="00A06665">
            <w:pPr>
              <w:spacing w:line="360" w:lineRule="auto"/>
              <w:rPr>
                <w:rFonts w:ascii="Book Antiqua" w:hAnsi="Book Antiqua"/>
                <w:sz w:val="24"/>
                <w:szCs w:val="24"/>
                <w:lang w:val="en-GB"/>
              </w:rPr>
            </w:pPr>
            <w:r w:rsidRPr="00580532">
              <w:rPr>
                <w:rFonts w:ascii="Book Antiqua" w:hAnsi="Book Antiqua"/>
                <w:sz w:val="24"/>
                <w:szCs w:val="24"/>
                <w:lang w:val="en-GB"/>
              </w:rPr>
              <w:t>&lt;</w:t>
            </w:r>
            <w:r>
              <w:rPr>
                <w:rFonts w:ascii="Book Antiqua" w:hAnsi="Book Antiqua" w:hint="eastAsia"/>
                <w:sz w:val="24"/>
                <w:szCs w:val="24"/>
                <w:lang w:val="en-GB"/>
              </w:rPr>
              <w:t xml:space="preserve"> </w:t>
            </w:r>
            <w:r w:rsidRPr="00580532">
              <w:rPr>
                <w:rFonts w:ascii="Book Antiqua" w:hAnsi="Book Antiqua"/>
                <w:sz w:val="24"/>
                <w:szCs w:val="24"/>
                <w:lang w:val="en-GB"/>
              </w:rPr>
              <w:t>0.001</w:t>
            </w:r>
          </w:p>
        </w:tc>
      </w:tr>
    </w:tbl>
    <w:p w:rsidR="00304FA0" w:rsidRDefault="00304FA0" w:rsidP="00304FA0">
      <w:pPr>
        <w:spacing w:line="360" w:lineRule="auto"/>
        <w:rPr>
          <w:rFonts w:ascii="Book Antiqua" w:hAnsi="Book Antiqua" w:hint="eastAsia"/>
          <w:sz w:val="24"/>
          <w:szCs w:val="24"/>
          <w:lang w:val="en-GB"/>
        </w:rPr>
      </w:pPr>
    </w:p>
    <w:p w:rsidR="00304FA0" w:rsidRPr="00580532" w:rsidRDefault="00304FA0" w:rsidP="00304FA0">
      <w:pPr>
        <w:spacing w:line="360" w:lineRule="auto"/>
        <w:rPr>
          <w:rStyle w:val="apple-converted-space"/>
          <w:rFonts w:ascii="Book Antiqua" w:hAnsi="Book Antiqua"/>
          <w:sz w:val="24"/>
          <w:szCs w:val="24"/>
          <w:lang w:val="en-GB"/>
        </w:rPr>
      </w:pPr>
      <w:r w:rsidRPr="00580532">
        <w:rPr>
          <w:rFonts w:ascii="Book Antiqua" w:hAnsi="Book Antiqua"/>
          <w:sz w:val="24"/>
          <w:szCs w:val="24"/>
          <w:lang w:val="en-GB"/>
        </w:rPr>
        <w:t>SS</w:t>
      </w:r>
      <w:r>
        <w:rPr>
          <w:rFonts w:ascii="Book Antiqua" w:hAnsi="Book Antiqua" w:hint="eastAsia"/>
          <w:sz w:val="24"/>
          <w:szCs w:val="24"/>
          <w:lang w:val="en-GB"/>
        </w:rPr>
        <w:t>:</w:t>
      </w:r>
      <w:r w:rsidRPr="00580532">
        <w:rPr>
          <w:rFonts w:ascii="Book Antiqua" w:hAnsi="Book Antiqua"/>
          <w:sz w:val="24"/>
          <w:szCs w:val="24"/>
          <w:lang w:val="en-GB"/>
        </w:rPr>
        <w:t xml:space="preserve"> Surgery specimen; NCB</w:t>
      </w:r>
      <w:r>
        <w:rPr>
          <w:rFonts w:ascii="Book Antiqua" w:hAnsi="Book Antiqua" w:hint="eastAsia"/>
          <w:sz w:val="24"/>
          <w:szCs w:val="24"/>
          <w:lang w:val="en-GB"/>
        </w:rPr>
        <w:t>:</w:t>
      </w:r>
      <w:r w:rsidRPr="00580532">
        <w:rPr>
          <w:rFonts w:ascii="Book Antiqua" w:hAnsi="Book Antiqua"/>
          <w:sz w:val="24"/>
          <w:szCs w:val="24"/>
          <w:lang w:val="en-GB"/>
        </w:rPr>
        <w:t xml:space="preserve"> Needle core biopsy</w:t>
      </w:r>
      <w:r>
        <w:rPr>
          <w:rFonts w:ascii="Book Antiqua" w:hAnsi="Book Antiqua" w:hint="eastAsia"/>
          <w:sz w:val="24"/>
          <w:szCs w:val="24"/>
          <w:lang w:val="en-GB"/>
        </w:rPr>
        <w:t>.</w:t>
      </w:r>
    </w:p>
    <w:p w:rsidR="00604A9C" w:rsidRPr="00304FA0" w:rsidRDefault="00604A9C" w:rsidP="00AD4B85">
      <w:pPr>
        <w:spacing w:line="360" w:lineRule="auto"/>
        <w:rPr>
          <w:rFonts w:ascii="Book Antiqua" w:hAnsi="Book Antiqua"/>
          <w:b/>
          <w:sz w:val="24"/>
          <w:szCs w:val="24"/>
          <w:lang w:val="en-GB"/>
        </w:rPr>
      </w:pPr>
    </w:p>
    <w:sectPr w:rsidR="00604A9C" w:rsidRPr="00304FA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89A" w:rsidRDefault="00E5789A">
      <w:r>
        <w:separator/>
      </w:r>
    </w:p>
  </w:endnote>
  <w:endnote w:type="continuationSeparator" w:id="0">
    <w:p w:rsidR="00E5789A" w:rsidRDefault="00E57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TimesNewRomanPS-BoldItalicMT">
    <w:altName w:val="hakuyoxingshu7000"/>
    <w:charset w:val="00"/>
    <w:family w:val="roman"/>
    <w:pitch w:val="default"/>
    <w:sig w:usb0="00000000" w:usb1="00000000" w:usb2="00000010" w:usb3="00000000" w:csb0="0004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Times-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A9C" w:rsidRDefault="00604A9C">
    <w:pPr>
      <w:pStyle w:val="a3"/>
      <w:jc w:val="center"/>
    </w:pPr>
    <w:r>
      <w:fldChar w:fldCharType="begin"/>
    </w:r>
    <w:r>
      <w:instrText xml:space="preserve"> PAGE   \* MERGEFORMAT </w:instrText>
    </w:r>
    <w:r>
      <w:fldChar w:fldCharType="separate"/>
    </w:r>
    <w:r w:rsidR="00E5789A" w:rsidRPr="00E5789A">
      <w:rPr>
        <w:noProof/>
        <w:lang w:val="zh-CN" w:eastAsia="zh-CN"/>
      </w:rPr>
      <w:t>1</w:t>
    </w:r>
    <w:r>
      <w:rPr>
        <w:lang w:val="zh-CN" w:eastAsia="zh-CN"/>
      </w:rPr>
      <w:fldChar w:fldCharType="end"/>
    </w:r>
  </w:p>
  <w:p w:rsidR="00604A9C" w:rsidRDefault="00604A9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89A" w:rsidRDefault="00E5789A">
      <w:r>
        <w:separator/>
      </w:r>
    </w:p>
  </w:footnote>
  <w:footnote w:type="continuationSeparator" w:id="0">
    <w:p w:rsidR="00E5789A" w:rsidRDefault="00E578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A9C" w:rsidRDefault="00604A9C">
    <w:pPr>
      <w:pStyle w:val="ad"/>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I2NDYxtDQ0NDU0NjVT0lEKTi0uzszPAykwqgUAevPmAywAAAA="/>
    <w:docVar w:name="KY_MEDREF_DOCUID" w:val="{91E3D57F-4510-4BF6-A972-C041BDFB7A40}"/>
    <w:docVar w:name="KY_MEDREF_VERSION" w:val="3"/>
    <w:docVar w:name="MachineID" w:val="189|203|197|201|189|197|185|188|197|198|206|197|206|198|197|200|199|"/>
    <w:docVar w:name="Username" w:val="Quality Control Editor"/>
  </w:docVars>
  <w:rsids>
    <w:rsidRoot w:val="00172A27"/>
    <w:rsid w:val="000005D6"/>
    <w:rsid w:val="00002B4A"/>
    <w:rsid w:val="00004033"/>
    <w:rsid w:val="00004FD0"/>
    <w:rsid w:val="0000644D"/>
    <w:rsid w:val="0000713F"/>
    <w:rsid w:val="0000755B"/>
    <w:rsid w:val="00011F84"/>
    <w:rsid w:val="00014B9D"/>
    <w:rsid w:val="0001506F"/>
    <w:rsid w:val="00015850"/>
    <w:rsid w:val="000178A7"/>
    <w:rsid w:val="00020F9A"/>
    <w:rsid w:val="000229E1"/>
    <w:rsid w:val="0002408A"/>
    <w:rsid w:val="00024E48"/>
    <w:rsid w:val="000274A4"/>
    <w:rsid w:val="00027B93"/>
    <w:rsid w:val="00031F52"/>
    <w:rsid w:val="000331F9"/>
    <w:rsid w:val="00034B2C"/>
    <w:rsid w:val="00036FD3"/>
    <w:rsid w:val="0004236E"/>
    <w:rsid w:val="00043E86"/>
    <w:rsid w:val="00044C84"/>
    <w:rsid w:val="00050C68"/>
    <w:rsid w:val="0005163F"/>
    <w:rsid w:val="0005306D"/>
    <w:rsid w:val="00055436"/>
    <w:rsid w:val="00057AF7"/>
    <w:rsid w:val="00057BA5"/>
    <w:rsid w:val="00057C89"/>
    <w:rsid w:val="000626C5"/>
    <w:rsid w:val="00064C37"/>
    <w:rsid w:val="00065F77"/>
    <w:rsid w:val="00066B2A"/>
    <w:rsid w:val="00067C9D"/>
    <w:rsid w:val="000711F3"/>
    <w:rsid w:val="00071949"/>
    <w:rsid w:val="00076366"/>
    <w:rsid w:val="00082000"/>
    <w:rsid w:val="00083CDA"/>
    <w:rsid w:val="00085391"/>
    <w:rsid w:val="00085FB2"/>
    <w:rsid w:val="00086A0C"/>
    <w:rsid w:val="0009297A"/>
    <w:rsid w:val="00093496"/>
    <w:rsid w:val="00093ED0"/>
    <w:rsid w:val="000966AA"/>
    <w:rsid w:val="00097F67"/>
    <w:rsid w:val="000A104F"/>
    <w:rsid w:val="000A18A8"/>
    <w:rsid w:val="000A1D11"/>
    <w:rsid w:val="000A2523"/>
    <w:rsid w:val="000A3F4C"/>
    <w:rsid w:val="000A460C"/>
    <w:rsid w:val="000A47F0"/>
    <w:rsid w:val="000A4A70"/>
    <w:rsid w:val="000A4D7E"/>
    <w:rsid w:val="000A5559"/>
    <w:rsid w:val="000A582C"/>
    <w:rsid w:val="000A68C6"/>
    <w:rsid w:val="000B4AEF"/>
    <w:rsid w:val="000B5D6A"/>
    <w:rsid w:val="000B6FAA"/>
    <w:rsid w:val="000B770E"/>
    <w:rsid w:val="000B794B"/>
    <w:rsid w:val="000C0247"/>
    <w:rsid w:val="000C1A5F"/>
    <w:rsid w:val="000C2D0A"/>
    <w:rsid w:val="000C4093"/>
    <w:rsid w:val="000C7B8D"/>
    <w:rsid w:val="000C7FED"/>
    <w:rsid w:val="000D05AB"/>
    <w:rsid w:val="000D44DD"/>
    <w:rsid w:val="000D4600"/>
    <w:rsid w:val="000D4EE3"/>
    <w:rsid w:val="000D6140"/>
    <w:rsid w:val="000E2310"/>
    <w:rsid w:val="000E38E1"/>
    <w:rsid w:val="000E3ABC"/>
    <w:rsid w:val="000E44CC"/>
    <w:rsid w:val="000E4F71"/>
    <w:rsid w:val="000E5EB7"/>
    <w:rsid w:val="000E7706"/>
    <w:rsid w:val="000F0876"/>
    <w:rsid w:val="000F088B"/>
    <w:rsid w:val="000F169C"/>
    <w:rsid w:val="000F22B4"/>
    <w:rsid w:val="000F3C98"/>
    <w:rsid w:val="000F59E6"/>
    <w:rsid w:val="000F6E63"/>
    <w:rsid w:val="00100D57"/>
    <w:rsid w:val="00105E67"/>
    <w:rsid w:val="00107CC8"/>
    <w:rsid w:val="00107F00"/>
    <w:rsid w:val="001111F2"/>
    <w:rsid w:val="001120C3"/>
    <w:rsid w:val="0011287A"/>
    <w:rsid w:val="001143CF"/>
    <w:rsid w:val="00114689"/>
    <w:rsid w:val="001171AD"/>
    <w:rsid w:val="001171F6"/>
    <w:rsid w:val="00122196"/>
    <w:rsid w:val="00125DA5"/>
    <w:rsid w:val="00127AC7"/>
    <w:rsid w:val="001324A0"/>
    <w:rsid w:val="00132E1E"/>
    <w:rsid w:val="001405EC"/>
    <w:rsid w:val="00145565"/>
    <w:rsid w:val="0014756B"/>
    <w:rsid w:val="00150E2B"/>
    <w:rsid w:val="00151B41"/>
    <w:rsid w:val="00152EF6"/>
    <w:rsid w:val="00152F57"/>
    <w:rsid w:val="0015444D"/>
    <w:rsid w:val="00154C22"/>
    <w:rsid w:val="00157B95"/>
    <w:rsid w:val="00160EC0"/>
    <w:rsid w:val="0016394F"/>
    <w:rsid w:val="00164183"/>
    <w:rsid w:val="00167BEF"/>
    <w:rsid w:val="001716D7"/>
    <w:rsid w:val="00172D53"/>
    <w:rsid w:val="001746C0"/>
    <w:rsid w:val="00175849"/>
    <w:rsid w:val="00176E39"/>
    <w:rsid w:val="00181412"/>
    <w:rsid w:val="001824F1"/>
    <w:rsid w:val="00182609"/>
    <w:rsid w:val="00182DBC"/>
    <w:rsid w:val="00183630"/>
    <w:rsid w:val="00186945"/>
    <w:rsid w:val="00186EFC"/>
    <w:rsid w:val="00187983"/>
    <w:rsid w:val="00187F80"/>
    <w:rsid w:val="001915AD"/>
    <w:rsid w:val="001918EB"/>
    <w:rsid w:val="001943A6"/>
    <w:rsid w:val="00195B13"/>
    <w:rsid w:val="00197951"/>
    <w:rsid w:val="001A2944"/>
    <w:rsid w:val="001A458E"/>
    <w:rsid w:val="001A52C7"/>
    <w:rsid w:val="001A7CC9"/>
    <w:rsid w:val="001B07C0"/>
    <w:rsid w:val="001B303D"/>
    <w:rsid w:val="001B3D7B"/>
    <w:rsid w:val="001B6DAC"/>
    <w:rsid w:val="001B7CA6"/>
    <w:rsid w:val="001C1A47"/>
    <w:rsid w:val="001C1B97"/>
    <w:rsid w:val="001C351B"/>
    <w:rsid w:val="001C6FDF"/>
    <w:rsid w:val="001D1194"/>
    <w:rsid w:val="001D1C0F"/>
    <w:rsid w:val="001D3517"/>
    <w:rsid w:val="001D365D"/>
    <w:rsid w:val="001D43DE"/>
    <w:rsid w:val="001D49E6"/>
    <w:rsid w:val="001E0121"/>
    <w:rsid w:val="001E0469"/>
    <w:rsid w:val="001E086A"/>
    <w:rsid w:val="001E1026"/>
    <w:rsid w:val="001E2C31"/>
    <w:rsid w:val="001E43D6"/>
    <w:rsid w:val="001E4CC4"/>
    <w:rsid w:val="001F014F"/>
    <w:rsid w:val="001F0C4D"/>
    <w:rsid w:val="001F0FCF"/>
    <w:rsid w:val="001F1A91"/>
    <w:rsid w:val="001F34C2"/>
    <w:rsid w:val="00200B99"/>
    <w:rsid w:val="00201D06"/>
    <w:rsid w:val="00202A82"/>
    <w:rsid w:val="00203A12"/>
    <w:rsid w:val="002043F2"/>
    <w:rsid w:val="002054B3"/>
    <w:rsid w:val="002110AB"/>
    <w:rsid w:val="0021353F"/>
    <w:rsid w:val="002156F6"/>
    <w:rsid w:val="0021575A"/>
    <w:rsid w:val="002175E4"/>
    <w:rsid w:val="00217C38"/>
    <w:rsid w:val="002218D8"/>
    <w:rsid w:val="002237E3"/>
    <w:rsid w:val="002244E8"/>
    <w:rsid w:val="002252B2"/>
    <w:rsid w:val="00226B42"/>
    <w:rsid w:val="0023278A"/>
    <w:rsid w:val="00234A75"/>
    <w:rsid w:val="002426F6"/>
    <w:rsid w:val="00243021"/>
    <w:rsid w:val="00243F95"/>
    <w:rsid w:val="00246D19"/>
    <w:rsid w:val="00247FE0"/>
    <w:rsid w:val="0025013D"/>
    <w:rsid w:val="002513E4"/>
    <w:rsid w:val="002522A6"/>
    <w:rsid w:val="00252C5C"/>
    <w:rsid w:val="002538BA"/>
    <w:rsid w:val="00256A33"/>
    <w:rsid w:val="00256CA8"/>
    <w:rsid w:val="002571E2"/>
    <w:rsid w:val="0026080F"/>
    <w:rsid w:val="00261BAD"/>
    <w:rsid w:val="00267205"/>
    <w:rsid w:val="00271BBB"/>
    <w:rsid w:val="0027264B"/>
    <w:rsid w:val="002735E7"/>
    <w:rsid w:val="002741F0"/>
    <w:rsid w:val="002803C2"/>
    <w:rsid w:val="002810A7"/>
    <w:rsid w:val="00284CE6"/>
    <w:rsid w:val="0028784F"/>
    <w:rsid w:val="002915B0"/>
    <w:rsid w:val="00294430"/>
    <w:rsid w:val="002947F8"/>
    <w:rsid w:val="0029503E"/>
    <w:rsid w:val="0029599F"/>
    <w:rsid w:val="00295C65"/>
    <w:rsid w:val="0029669B"/>
    <w:rsid w:val="00296EBE"/>
    <w:rsid w:val="00297DA1"/>
    <w:rsid w:val="002A0099"/>
    <w:rsid w:val="002A3FEE"/>
    <w:rsid w:val="002A4678"/>
    <w:rsid w:val="002A4A84"/>
    <w:rsid w:val="002A58A4"/>
    <w:rsid w:val="002A70D8"/>
    <w:rsid w:val="002B4C49"/>
    <w:rsid w:val="002C1A6D"/>
    <w:rsid w:val="002C4717"/>
    <w:rsid w:val="002C51A4"/>
    <w:rsid w:val="002C5CA4"/>
    <w:rsid w:val="002C7B10"/>
    <w:rsid w:val="002D1B2D"/>
    <w:rsid w:val="002D446C"/>
    <w:rsid w:val="002D6DE7"/>
    <w:rsid w:val="002D72D4"/>
    <w:rsid w:val="002D7B4C"/>
    <w:rsid w:val="002E2419"/>
    <w:rsid w:val="002E4909"/>
    <w:rsid w:val="002E49A1"/>
    <w:rsid w:val="002E576E"/>
    <w:rsid w:val="002E62E7"/>
    <w:rsid w:val="002E7929"/>
    <w:rsid w:val="002E7E74"/>
    <w:rsid w:val="002F04DF"/>
    <w:rsid w:val="002F36A4"/>
    <w:rsid w:val="002F7628"/>
    <w:rsid w:val="002F7AC1"/>
    <w:rsid w:val="00302BAE"/>
    <w:rsid w:val="00302EB2"/>
    <w:rsid w:val="0030374D"/>
    <w:rsid w:val="00304FA0"/>
    <w:rsid w:val="00307F8D"/>
    <w:rsid w:val="0031140D"/>
    <w:rsid w:val="00313820"/>
    <w:rsid w:val="003140FE"/>
    <w:rsid w:val="003155D9"/>
    <w:rsid w:val="00315CE2"/>
    <w:rsid w:val="003172A9"/>
    <w:rsid w:val="00317FF6"/>
    <w:rsid w:val="00320C63"/>
    <w:rsid w:val="0032140A"/>
    <w:rsid w:val="0032247D"/>
    <w:rsid w:val="00324BE2"/>
    <w:rsid w:val="00326A4F"/>
    <w:rsid w:val="003272A4"/>
    <w:rsid w:val="003328D8"/>
    <w:rsid w:val="00332F8A"/>
    <w:rsid w:val="00333714"/>
    <w:rsid w:val="00333B9D"/>
    <w:rsid w:val="00336892"/>
    <w:rsid w:val="00336EBB"/>
    <w:rsid w:val="00337A49"/>
    <w:rsid w:val="003414EF"/>
    <w:rsid w:val="003423D7"/>
    <w:rsid w:val="0034283D"/>
    <w:rsid w:val="00342DF4"/>
    <w:rsid w:val="00345A80"/>
    <w:rsid w:val="003469D0"/>
    <w:rsid w:val="0035256C"/>
    <w:rsid w:val="0035657D"/>
    <w:rsid w:val="003565F5"/>
    <w:rsid w:val="00357809"/>
    <w:rsid w:val="00365044"/>
    <w:rsid w:val="00366569"/>
    <w:rsid w:val="00367A00"/>
    <w:rsid w:val="0037031E"/>
    <w:rsid w:val="0037250E"/>
    <w:rsid w:val="003725C5"/>
    <w:rsid w:val="00372C89"/>
    <w:rsid w:val="00373033"/>
    <w:rsid w:val="003735B9"/>
    <w:rsid w:val="00377051"/>
    <w:rsid w:val="0038031A"/>
    <w:rsid w:val="00380838"/>
    <w:rsid w:val="0038220F"/>
    <w:rsid w:val="003841CF"/>
    <w:rsid w:val="003841D4"/>
    <w:rsid w:val="00385CC3"/>
    <w:rsid w:val="0038602E"/>
    <w:rsid w:val="003901A4"/>
    <w:rsid w:val="003918CB"/>
    <w:rsid w:val="00394727"/>
    <w:rsid w:val="00394D16"/>
    <w:rsid w:val="00396196"/>
    <w:rsid w:val="00397DFB"/>
    <w:rsid w:val="00397FE6"/>
    <w:rsid w:val="003A1660"/>
    <w:rsid w:val="003A4456"/>
    <w:rsid w:val="003A59B3"/>
    <w:rsid w:val="003A5ACB"/>
    <w:rsid w:val="003A6297"/>
    <w:rsid w:val="003A6C65"/>
    <w:rsid w:val="003B13AD"/>
    <w:rsid w:val="003B2059"/>
    <w:rsid w:val="003B35F2"/>
    <w:rsid w:val="003B77C5"/>
    <w:rsid w:val="003C0B72"/>
    <w:rsid w:val="003C0BB6"/>
    <w:rsid w:val="003C0E51"/>
    <w:rsid w:val="003C1524"/>
    <w:rsid w:val="003C1C18"/>
    <w:rsid w:val="003C3DFB"/>
    <w:rsid w:val="003C4845"/>
    <w:rsid w:val="003C56D9"/>
    <w:rsid w:val="003D0CF1"/>
    <w:rsid w:val="003D1939"/>
    <w:rsid w:val="003D1BC0"/>
    <w:rsid w:val="003D48F8"/>
    <w:rsid w:val="003D5880"/>
    <w:rsid w:val="003D799F"/>
    <w:rsid w:val="003E1746"/>
    <w:rsid w:val="003E1F7E"/>
    <w:rsid w:val="003E38E8"/>
    <w:rsid w:val="003E44A6"/>
    <w:rsid w:val="003E5DD8"/>
    <w:rsid w:val="003F009B"/>
    <w:rsid w:val="003F012F"/>
    <w:rsid w:val="003F36A7"/>
    <w:rsid w:val="003F66E7"/>
    <w:rsid w:val="003F68BE"/>
    <w:rsid w:val="003F746A"/>
    <w:rsid w:val="003F7AAF"/>
    <w:rsid w:val="00400481"/>
    <w:rsid w:val="0040364E"/>
    <w:rsid w:val="00403C3D"/>
    <w:rsid w:val="004052F1"/>
    <w:rsid w:val="0041337F"/>
    <w:rsid w:val="00414E35"/>
    <w:rsid w:val="004162B8"/>
    <w:rsid w:val="004208D7"/>
    <w:rsid w:val="00422467"/>
    <w:rsid w:val="00424AEF"/>
    <w:rsid w:val="00426EE2"/>
    <w:rsid w:val="004319ED"/>
    <w:rsid w:val="00441B56"/>
    <w:rsid w:val="00442A40"/>
    <w:rsid w:val="004436B2"/>
    <w:rsid w:val="00444E69"/>
    <w:rsid w:val="0044615E"/>
    <w:rsid w:val="00446E19"/>
    <w:rsid w:val="00446FFE"/>
    <w:rsid w:val="0044705E"/>
    <w:rsid w:val="00447BEA"/>
    <w:rsid w:val="00450AAA"/>
    <w:rsid w:val="00456012"/>
    <w:rsid w:val="00456DFB"/>
    <w:rsid w:val="004577A5"/>
    <w:rsid w:val="00457C34"/>
    <w:rsid w:val="004643CC"/>
    <w:rsid w:val="00464993"/>
    <w:rsid w:val="00467CE2"/>
    <w:rsid w:val="00467FF4"/>
    <w:rsid w:val="004711D6"/>
    <w:rsid w:val="00472F3D"/>
    <w:rsid w:val="00475326"/>
    <w:rsid w:val="004760FD"/>
    <w:rsid w:val="0047766B"/>
    <w:rsid w:val="00477D10"/>
    <w:rsid w:val="00481058"/>
    <w:rsid w:val="00482D3A"/>
    <w:rsid w:val="00483967"/>
    <w:rsid w:val="00483F96"/>
    <w:rsid w:val="00484321"/>
    <w:rsid w:val="00485257"/>
    <w:rsid w:val="00485C55"/>
    <w:rsid w:val="004867BD"/>
    <w:rsid w:val="0048690C"/>
    <w:rsid w:val="004870F2"/>
    <w:rsid w:val="00487624"/>
    <w:rsid w:val="00487ECF"/>
    <w:rsid w:val="00490FD0"/>
    <w:rsid w:val="00495018"/>
    <w:rsid w:val="004958D3"/>
    <w:rsid w:val="0049715E"/>
    <w:rsid w:val="004A4F4A"/>
    <w:rsid w:val="004A63A4"/>
    <w:rsid w:val="004B3A85"/>
    <w:rsid w:val="004B6A2D"/>
    <w:rsid w:val="004C0764"/>
    <w:rsid w:val="004C39D1"/>
    <w:rsid w:val="004C405F"/>
    <w:rsid w:val="004C4940"/>
    <w:rsid w:val="004D0863"/>
    <w:rsid w:val="004D2745"/>
    <w:rsid w:val="004D45AF"/>
    <w:rsid w:val="004E0F42"/>
    <w:rsid w:val="004E166D"/>
    <w:rsid w:val="004E193D"/>
    <w:rsid w:val="004E1C88"/>
    <w:rsid w:val="004F0024"/>
    <w:rsid w:val="004F0A40"/>
    <w:rsid w:val="004F1121"/>
    <w:rsid w:val="004F1C05"/>
    <w:rsid w:val="004F2316"/>
    <w:rsid w:val="004F325B"/>
    <w:rsid w:val="004F398E"/>
    <w:rsid w:val="004F6C00"/>
    <w:rsid w:val="004F726D"/>
    <w:rsid w:val="004F7722"/>
    <w:rsid w:val="00504FF4"/>
    <w:rsid w:val="00505960"/>
    <w:rsid w:val="00507083"/>
    <w:rsid w:val="0051037A"/>
    <w:rsid w:val="005108E6"/>
    <w:rsid w:val="00514B11"/>
    <w:rsid w:val="0051502D"/>
    <w:rsid w:val="00515EC3"/>
    <w:rsid w:val="00515F02"/>
    <w:rsid w:val="005210C8"/>
    <w:rsid w:val="00526542"/>
    <w:rsid w:val="00527458"/>
    <w:rsid w:val="005278BE"/>
    <w:rsid w:val="00527C17"/>
    <w:rsid w:val="00530A4E"/>
    <w:rsid w:val="005323B5"/>
    <w:rsid w:val="00533CF4"/>
    <w:rsid w:val="00533E06"/>
    <w:rsid w:val="005348F8"/>
    <w:rsid w:val="0053675D"/>
    <w:rsid w:val="00536904"/>
    <w:rsid w:val="00537AAB"/>
    <w:rsid w:val="00537E9D"/>
    <w:rsid w:val="0054046B"/>
    <w:rsid w:val="005424EC"/>
    <w:rsid w:val="005434B0"/>
    <w:rsid w:val="00543D0D"/>
    <w:rsid w:val="00544B62"/>
    <w:rsid w:val="00544DD2"/>
    <w:rsid w:val="00550E61"/>
    <w:rsid w:val="00550FDB"/>
    <w:rsid w:val="0055181F"/>
    <w:rsid w:val="0055411A"/>
    <w:rsid w:val="00554405"/>
    <w:rsid w:val="00554C32"/>
    <w:rsid w:val="005550ED"/>
    <w:rsid w:val="005551B0"/>
    <w:rsid w:val="0055656F"/>
    <w:rsid w:val="00562633"/>
    <w:rsid w:val="005627A7"/>
    <w:rsid w:val="00564E04"/>
    <w:rsid w:val="00565226"/>
    <w:rsid w:val="0056723C"/>
    <w:rsid w:val="0057127D"/>
    <w:rsid w:val="00572EB5"/>
    <w:rsid w:val="00573797"/>
    <w:rsid w:val="00574CBB"/>
    <w:rsid w:val="00574F6A"/>
    <w:rsid w:val="0057708E"/>
    <w:rsid w:val="005771AF"/>
    <w:rsid w:val="00580532"/>
    <w:rsid w:val="00580943"/>
    <w:rsid w:val="005817DE"/>
    <w:rsid w:val="00582717"/>
    <w:rsid w:val="00584F77"/>
    <w:rsid w:val="005857C0"/>
    <w:rsid w:val="00586556"/>
    <w:rsid w:val="00586DFB"/>
    <w:rsid w:val="00587073"/>
    <w:rsid w:val="00587F81"/>
    <w:rsid w:val="00590665"/>
    <w:rsid w:val="0059259D"/>
    <w:rsid w:val="00596EF5"/>
    <w:rsid w:val="005A0963"/>
    <w:rsid w:val="005A156F"/>
    <w:rsid w:val="005A318E"/>
    <w:rsid w:val="005A40E3"/>
    <w:rsid w:val="005A4D7B"/>
    <w:rsid w:val="005A5A84"/>
    <w:rsid w:val="005A5EFF"/>
    <w:rsid w:val="005A735E"/>
    <w:rsid w:val="005A7D3F"/>
    <w:rsid w:val="005B2D73"/>
    <w:rsid w:val="005B32E6"/>
    <w:rsid w:val="005B7BC0"/>
    <w:rsid w:val="005C0479"/>
    <w:rsid w:val="005C2654"/>
    <w:rsid w:val="005C2B00"/>
    <w:rsid w:val="005C61B5"/>
    <w:rsid w:val="005C655B"/>
    <w:rsid w:val="005C6F65"/>
    <w:rsid w:val="005D1E6D"/>
    <w:rsid w:val="005D1E86"/>
    <w:rsid w:val="005D3C59"/>
    <w:rsid w:val="005D76A3"/>
    <w:rsid w:val="005D7970"/>
    <w:rsid w:val="005E2565"/>
    <w:rsid w:val="005E363F"/>
    <w:rsid w:val="005E3D59"/>
    <w:rsid w:val="005F0774"/>
    <w:rsid w:val="005F0B79"/>
    <w:rsid w:val="005F5CE5"/>
    <w:rsid w:val="005F6211"/>
    <w:rsid w:val="00603BE6"/>
    <w:rsid w:val="00603F0B"/>
    <w:rsid w:val="00604A9C"/>
    <w:rsid w:val="00606444"/>
    <w:rsid w:val="00606B6D"/>
    <w:rsid w:val="00612BF0"/>
    <w:rsid w:val="0061341D"/>
    <w:rsid w:val="00613C62"/>
    <w:rsid w:val="0061741D"/>
    <w:rsid w:val="00617A86"/>
    <w:rsid w:val="00617B0E"/>
    <w:rsid w:val="00617F68"/>
    <w:rsid w:val="0062049D"/>
    <w:rsid w:val="00624A48"/>
    <w:rsid w:val="006257A4"/>
    <w:rsid w:val="0062760B"/>
    <w:rsid w:val="00630FA5"/>
    <w:rsid w:val="00632D37"/>
    <w:rsid w:val="00632EE4"/>
    <w:rsid w:val="00634C78"/>
    <w:rsid w:val="00643229"/>
    <w:rsid w:val="00644244"/>
    <w:rsid w:val="0065169F"/>
    <w:rsid w:val="00651C94"/>
    <w:rsid w:val="00654BA3"/>
    <w:rsid w:val="00654CFB"/>
    <w:rsid w:val="00654DEF"/>
    <w:rsid w:val="00655199"/>
    <w:rsid w:val="006563E0"/>
    <w:rsid w:val="006625EB"/>
    <w:rsid w:val="00662BED"/>
    <w:rsid w:val="00664DF8"/>
    <w:rsid w:val="00665181"/>
    <w:rsid w:val="006670DC"/>
    <w:rsid w:val="00670B12"/>
    <w:rsid w:val="0067144F"/>
    <w:rsid w:val="00671C35"/>
    <w:rsid w:val="00673628"/>
    <w:rsid w:val="0067465B"/>
    <w:rsid w:val="00675156"/>
    <w:rsid w:val="0068053A"/>
    <w:rsid w:val="00680B78"/>
    <w:rsid w:val="006835A4"/>
    <w:rsid w:val="00686454"/>
    <w:rsid w:val="006913EA"/>
    <w:rsid w:val="00691C60"/>
    <w:rsid w:val="006921CB"/>
    <w:rsid w:val="0069223C"/>
    <w:rsid w:val="00697076"/>
    <w:rsid w:val="006A1823"/>
    <w:rsid w:val="006A6A90"/>
    <w:rsid w:val="006A748B"/>
    <w:rsid w:val="006B01B4"/>
    <w:rsid w:val="006B1A71"/>
    <w:rsid w:val="006B260C"/>
    <w:rsid w:val="006B31F3"/>
    <w:rsid w:val="006B62C7"/>
    <w:rsid w:val="006B7467"/>
    <w:rsid w:val="006C2106"/>
    <w:rsid w:val="006C4A04"/>
    <w:rsid w:val="006C5D94"/>
    <w:rsid w:val="006C622B"/>
    <w:rsid w:val="006C62EC"/>
    <w:rsid w:val="006C65A2"/>
    <w:rsid w:val="006C6669"/>
    <w:rsid w:val="006C6FC1"/>
    <w:rsid w:val="006C7042"/>
    <w:rsid w:val="006D2282"/>
    <w:rsid w:val="006D27CF"/>
    <w:rsid w:val="006D3633"/>
    <w:rsid w:val="006D5A15"/>
    <w:rsid w:val="006E1EB7"/>
    <w:rsid w:val="006E38BB"/>
    <w:rsid w:val="006E7820"/>
    <w:rsid w:val="006F2C57"/>
    <w:rsid w:val="006F381F"/>
    <w:rsid w:val="006F5560"/>
    <w:rsid w:val="006F6BD7"/>
    <w:rsid w:val="006F719C"/>
    <w:rsid w:val="007006B3"/>
    <w:rsid w:val="00700C7E"/>
    <w:rsid w:val="007018F8"/>
    <w:rsid w:val="007034B0"/>
    <w:rsid w:val="007045F6"/>
    <w:rsid w:val="00704931"/>
    <w:rsid w:val="0070509A"/>
    <w:rsid w:val="00705C12"/>
    <w:rsid w:val="00706659"/>
    <w:rsid w:val="00710617"/>
    <w:rsid w:val="007141D1"/>
    <w:rsid w:val="0071761C"/>
    <w:rsid w:val="00722472"/>
    <w:rsid w:val="007258E5"/>
    <w:rsid w:val="0073210E"/>
    <w:rsid w:val="00732334"/>
    <w:rsid w:val="007330B1"/>
    <w:rsid w:val="00733277"/>
    <w:rsid w:val="007357CC"/>
    <w:rsid w:val="007414B2"/>
    <w:rsid w:val="00741553"/>
    <w:rsid w:val="00741E1E"/>
    <w:rsid w:val="0074443C"/>
    <w:rsid w:val="007472C8"/>
    <w:rsid w:val="007473DA"/>
    <w:rsid w:val="007476EE"/>
    <w:rsid w:val="00747C7B"/>
    <w:rsid w:val="007502F4"/>
    <w:rsid w:val="00752094"/>
    <w:rsid w:val="00754650"/>
    <w:rsid w:val="00754B79"/>
    <w:rsid w:val="00754E80"/>
    <w:rsid w:val="0075570B"/>
    <w:rsid w:val="007635E6"/>
    <w:rsid w:val="00765074"/>
    <w:rsid w:val="0076511C"/>
    <w:rsid w:val="00765E44"/>
    <w:rsid w:val="00767E80"/>
    <w:rsid w:val="007733E9"/>
    <w:rsid w:val="00774215"/>
    <w:rsid w:val="00775A77"/>
    <w:rsid w:val="00776CA7"/>
    <w:rsid w:val="007818F2"/>
    <w:rsid w:val="007858C5"/>
    <w:rsid w:val="00787B0B"/>
    <w:rsid w:val="00791B6C"/>
    <w:rsid w:val="00792E8E"/>
    <w:rsid w:val="0079387F"/>
    <w:rsid w:val="00793AD5"/>
    <w:rsid w:val="00794871"/>
    <w:rsid w:val="007951F3"/>
    <w:rsid w:val="007967C1"/>
    <w:rsid w:val="00796802"/>
    <w:rsid w:val="007A1BB1"/>
    <w:rsid w:val="007A2824"/>
    <w:rsid w:val="007A38FD"/>
    <w:rsid w:val="007A465F"/>
    <w:rsid w:val="007A4D65"/>
    <w:rsid w:val="007A76D1"/>
    <w:rsid w:val="007A7ED0"/>
    <w:rsid w:val="007B13EA"/>
    <w:rsid w:val="007B392A"/>
    <w:rsid w:val="007B7B2D"/>
    <w:rsid w:val="007C2363"/>
    <w:rsid w:val="007C26DA"/>
    <w:rsid w:val="007C3854"/>
    <w:rsid w:val="007C3950"/>
    <w:rsid w:val="007C5D21"/>
    <w:rsid w:val="007C62B7"/>
    <w:rsid w:val="007D189C"/>
    <w:rsid w:val="007E5302"/>
    <w:rsid w:val="007E67BB"/>
    <w:rsid w:val="007E6A29"/>
    <w:rsid w:val="007E6BCB"/>
    <w:rsid w:val="007E7240"/>
    <w:rsid w:val="007E770B"/>
    <w:rsid w:val="007E7BA5"/>
    <w:rsid w:val="007F1956"/>
    <w:rsid w:val="007F2773"/>
    <w:rsid w:val="007F2C32"/>
    <w:rsid w:val="007F6A86"/>
    <w:rsid w:val="007F6BBF"/>
    <w:rsid w:val="007F6D90"/>
    <w:rsid w:val="00800A67"/>
    <w:rsid w:val="00800D32"/>
    <w:rsid w:val="008021D8"/>
    <w:rsid w:val="00804151"/>
    <w:rsid w:val="00806B2C"/>
    <w:rsid w:val="00811657"/>
    <w:rsid w:val="008117BF"/>
    <w:rsid w:val="00811A9D"/>
    <w:rsid w:val="00812CA9"/>
    <w:rsid w:val="0081516C"/>
    <w:rsid w:val="0081709B"/>
    <w:rsid w:val="00822B14"/>
    <w:rsid w:val="0082349B"/>
    <w:rsid w:val="00823B65"/>
    <w:rsid w:val="00823D8A"/>
    <w:rsid w:val="00824A4D"/>
    <w:rsid w:val="00824BC1"/>
    <w:rsid w:val="00826997"/>
    <w:rsid w:val="00826C56"/>
    <w:rsid w:val="00827A76"/>
    <w:rsid w:val="00834205"/>
    <w:rsid w:val="00837A35"/>
    <w:rsid w:val="00837D8F"/>
    <w:rsid w:val="008420CA"/>
    <w:rsid w:val="008426CF"/>
    <w:rsid w:val="00842976"/>
    <w:rsid w:val="00842ECD"/>
    <w:rsid w:val="0084305B"/>
    <w:rsid w:val="008432C8"/>
    <w:rsid w:val="00843EBB"/>
    <w:rsid w:val="00844D7D"/>
    <w:rsid w:val="00845111"/>
    <w:rsid w:val="00850C26"/>
    <w:rsid w:val="008526FA"/>
    <w:rsid w:val="00860280"/>
    <w:rsid w:val="00861BE3"/>
    <w:rsid w:val="0086257F"/>
    <w:rsid w:val="008656BB"/>
    <w:rsid w:val="00865712"/>
    <w:rsid w:val="0086658A"/>
    <w:rsid w:val="00866B8F"/>
    <w:rsid w:val="00870577"/>
    <w:rsid w:val="00873093"/>
    <w:rsid w:val="008736C9"/>
    <w:rsid w:val="008740C2"/>
    <w:rsid w:val="00877234"/>
    <w:rsid w:val="00883782"/>
    <w:rsid w:val="00884648"/>
    <w:rsid w:val="00884DD1"/>
    <w:rsid w:val="00890475"/>
    <w:rsid w:val="00890FEA"/>
    <w:rsid w:val="0089354B"/>
    <w:rsid w:val="008941C0"/>
    <w:rsid w:val="00894E71"/>
    <w:rsid w:val="00895DDC"/>
    <w:rsid w:val="00895F0E"/>
    <w:rsid w:val="008A046F"/>
    <w:rsid w:val="008A1672"/>
    <w:rsid w:val="008A2B7A"/>
    <w:rsid w:val="008A351B"/>
    <w:rsid w:val="008B3399"/>
    <w:rsid w:val="008B5BCD"/>
    <w:rsid w:val="008B6770"/>
    <w:rsid w:val="008C03D1"/>
    <w:rsid w:val="008C1EA0"/>
    <w:rsid w:val="008C284E"/>
    <w:rsid w:val="008C389D"/>
    <w:rsid w:val="008C4642"/>
    <w:rsid w:val="008C7620"/>
    <w:rsid w:val="008D0EB9"/>
    <w:rsid w:val="008D5FFB"/>
    <w:rsid w:val="008E0804"/>
    <w:rsid w:val="008E2C78"/>
    <w:rsid w:val="008E34FF"/>
    <w:rsid w:val="008E367C"/>
    <w:rsid w:val="008E4327"/>
    <w:rsid w:val="008E539D"/>
    <w:rsid w:val="008E6990"/>
    <w:rsid w:val="008E6EA4"/>
    <w:rsid w:val="008E7D17"/>
    <w:rsid w:val="008E7DB4"/>
    <w:rsid w:val="008F0A0C"/>
    <w:rsid w:val="008F0AF3"/>
    <w:rsid w:val="008F1CE7"/>
    <w:rsid w:val="008F63F5"/>
    <w:rsid w:val="008F7059"/>
    <w:rsid w:val="00900654"/>
    <w:rsid w:val="00901174"/>
    <w:rsid w:val="00903194"/>
    <w:rsid w:val="009036B6"/>
    <w:rsid w:val="00905532"/>
    <w:rsid w:val="00906EED"/>
    <w:rsid w:val="00910A9C"/>
    <w:rsid w:val="00911302"/>
    <w:rsid w:val="00911694"/>
    <w:rsid w:val="0091326F"/>
    <w:rsid w:val="00914925"/>
    <w:rsid w:val="00914F12"/>
    <w:rsid w:val="00915125"/>
    <w:rsid w:val="0092086A"/>
    <w:rsid w:val="00924402"/>
    <w:rsid w:val="00924CBA"/>
    <w:rsid w:val="00930C1A"/>
    <w:rsid w:val="00931C38"/>
    <w:rsid w:val="009326EC"/>
    <w:rsid w:val="00933236"/>
    <w:rsid w:val="00935948"/>
    <w:rsid w:val="00935D8B"/>
    <w:rsid w:val="00936880"/>
    <w:rsid w:val="009411A2"/>
    <w:rsid w:val="00941365"/>
    <w:rsid w:val="00941403"/>
    <w:rsid w:val="00945AE5"/>
    <w:rsid w:val="00946A84"/>
    <w:rsid w:val="009474A0"/>
    <w:rsid w:val="0095373E"/>
    <w:rsid w:val="00955941"/>
    <w:rsid w:val="009562A5"/>
    <w:rsid w:val="00956717"/>
    <w:rsid w:val="00960CDF"/>
    <w:rsid w:val="0096166A"/>
    <w:rsid w:val="00961E58"/>
    <w:rsid w:val="00964BE3"/>
    <w:rsid w:val="009668C1"/>
    <w:rsid w:val="0096698C"/>
    <w:rsid w:val="00966C16"/>
    <w:rsid w:val="00972303"/>
    <w:rsid w:val="009739D6"/>
    <w:rsid w:val="00973BC4"/>
    <w:rsid w:val="00975093"/>
    <w:rsid w:val="00975D88"/>
    <w:rsid w:val="00977A86"/>
    <w:rsid w:val="00977CA3"/>
    <w:rsid w:val="00980012"/>
    <w:rsid w:val="00980122"/>
    <w:rsid w:val="00980221"/>
    <w:rsid w:val="00981591"/>
    <w:rsid w:val="00981B51"/>
    <w:rsid w:val="009821EC"/>
    <w:rsid w:val="0098369E"/>
    <w:rsid w:val="00984B91"/>
    <w:rsid w:val="009858E8"/>
    <w:rsid w:val="00985CE3"/>
    <w:rsid w:val="00986DE3"/>
    <w:rsid w:val="00987356"/>
    <w:rsid w:val="0099075B"/>
    <w:rsid w:val="00991411"/>
    <w:rsid w:val="00992244"/>
    <w:rsid w:val="00992AE4"/>
    <w:rsid w:val="00997B20"/>
    <w:rsid w:val="00997DDA"/>
    <w:rsid w:val="00997F0A"/>
    <w:rsid w:val="009A1AF9"/>
    <w:rsid w:val="009A5128"/>
    <w:rsid w:val="009A568A"/>
    <w:rsid w:val="009A6347"/>
    <w:rsid w:val="009B33BD"/>
    <w:rsid w:val="009B3D09"/>
    <w:rsid w:val="009B40AA"/>
    <w:rsid w:val="009B5BD0"/>
    <w:rsid w:val="009C10F5"/>
    <w:rsid w:val="009C14C2"/>
    <w:rsid w:val="009C2CC4"/>
    <w:rsid w:val="009C4416"/>
    <w:rsid w:val="009C44D1"/>
    <w:rsid w:val="009C66A9"/>
    <w:rsid w:val="009C7204"/>
    <w:rsid w:val="009D273F"/>
    <w:rsid w:val="009D2A13"/>
    <w:rsid w:val="009D2C8F"/>
    <w:rsid w:val="009D419C"/>
    <w:rsid w:val="009D687E"/>
    <w:rsid w:val="009D6B12"/>
    <w:rsid w:val="009E03E1"/>
    <w:rsid w:val="009E1865"/>
    <w:rsid w:val="009E242A"/>
    <w:rsid w:val="009E38F7"/>
    <w:rsid w:val="009E4EB4"/>
    <w:rsid w:val="009E617B"/>
    <w:rsid w:val="009E6697"/>
    <w:rsid w:val="009E772D"/>
    <w:rsid w:val="009E7F4C"/>
    <w:rsid w:val="009F19A6"/>
    <w:rsid w:val="009F3457"/>
    <w:rsid w:val="009F41CC"/>
    <w:rsid w:val="009F7BAC"/>
    <w:rsid w:val="00A0115D"/>
    <w:rsid w:val="00A02F17"/>
    <w:rsid w:val="00A04790"/>
    <w:rsid w:val="00A06665"/>
    <w:rsid w:val="00A1270E"/>
    <w:rsid w:val="00A13B46"/>
    <w:rsid w:val="00A150B6"/>
    <w:rsid w:val="00A16B12"/>
    <w:rsid w:val="00A179AA"/>
    <w:rsid w:val="00A17F8D"/>
    <w:rsid w:val="00A26031"/>
    <w:rsid w:val="00A278CE"/>
    <w:rsid w:val="00A27D5B"/>
    <w:rsid w:val="00A3054F"/>
    <w:rsid w:val="00A3055F"/>
    <w:rsid w:val="00A3136D"/>
    <w:rsid w:val="00A316CD"/>
    <w:rsid w:val="00A32079"/>
    <w:rsid w:val="00A32981"/>
    <w:rsid w:val="00A3482C"/>
    <w:rsid w:val="00A3552D"/>
    <w:rsid w:val="00A378FB"/>
    <w:rsid w:val="00A4187E"/>
    <w:rsid w:val="00A46450"/>
    <w:rsid w:val="00A46671"/>
    <w:rsid w:val="00A47DEA"/>
    <w:rsid w:val="00A5048F"/>
    <w:rsid w:val="00A51BF6"/>
    <w:rsid w:val="00A54288"/>
    <w:rsid w:val="00A551EA"/>
    <w:rsid w:val="00A613AE"/>
    <w:rsid w:val="00A664C2"/>
    <w:rsid w:val="00A6673C"/>
    <w:rsid w:val="00A67E9B"/>
    <w:rsid w:val="00A733AF"/>
    <w:rsid w:val="00A74FE4"/>
    <w:rsid w:val="00A752AD"/>
    <w:rsid w:val="00A75BC5"/>
    <w:rsid w:val="00A76D03"/>
    <w:rsid w:val="00A8264C"/>
    <w:rsid w:val="00A840F8"/>
    <w:rsid w:val="00A930E2"/>
    <w:rsid w:val="00A948B1"/>
    <w:rsid w:val="00A94B43"/>
    <w:rsid w:val="00A9732B"/>
    <w:rsid w:val="00AA34B0"/>
    <w:rsid w:val="00AA4870"/>
    <w:rsid w:val="00AA57AA"/>
    <w:rsid w:val="00AA7F35"/>
    <w:rsid w:val="00AB069F"/>
    <w:rsid w:val="00AB3196"/>
    <w:rsid w:val="00AB3E6C"/>
    <w:rsid w:val="00AB6D18"/>
    <w:rsid w:val="00AB73E2"/>
    <w:rsid w:val="00AC023F"/>
    <w:rsid w:val="00AC0A8B"/>
    <w:rsid w:val="00AC6692"/>
    <w:rsid w:val="00AD14E2"/>
    <w:rsid w:val="00AD4B50"/>
    <w:rsid w:val="00AD4B85"/>
    <w:rsid w:val="00AD4E87"/>
    <w:rsid w:val="00AD64FE"/>
    <w:rsid w:val="00AD6EDA"/>
    <w:rsid w:val="00AD7CDD"/>
    <w:rsid w:val="00AD7D35"/>
    <w:rsid w:val="00AE0AE3"/>
    <w:rsid w:val="00AE2B1B"/>
    <w:rsid w:val="00AE37DB"/>
    <w:rsid w:val="00AE623A"/>
    <w:rsid w:val="00AE7891"/>
    <w:rsid w:val="00AF19DE"/>
    <w:rsid w:val="00AF1DDA"/>
    <w:rsid w:val="00AF36E2"/>
    <w:rsid w:val="00AF4EA2"/>
    <w:rsid w:val="00AF6C93"/>
    <w:rsid w:val="00B01459"/>
    <w:rsid w:val="00B01CD8"/>
    <w:rsid w:val="00B0223A"/>
    <w:rsid w:val="00B0300D"/>
    <w:rsid w:val="00B043BF"/>
    <w:rsid w:val="00B0498A"/>
    <w:rsid w:val="00B05ECC"/>
    <w:rsid w:val="00B077DE"/>
    <w:rsid w:val="00B10A19"/>
    <w:rsid w:val="00B1305B"/>
    <w:rsid w:val="00B13EDC"/>
    <w:rsid w:val="00B13FD1"/>
    <w:rsid w:val="00B14E0B"/>
    <w:rsid w:val="00B159E2"/>
    <w:rsid w:val="00B160DC"/>
    <w:rsid w:val="00B162B5"/>
    <w:rsid w:val="00B171EF"/>
    <w:rsid w:val="00B207BC"/>
    <w:rsid w:val="00B2130E"/>
    <w:rsid w:val="00B214C3"/>
    <w:rsid w:val="00B2504B"/>
    <w:rsid w:val="00B27315"/>
    <w:rsid w:val="00B314F4"/>
    <w:rsid w:val="00B32A94"/>
    <w:rsid w:val="00B33368"/>
    <w:rsid w:val="00B37141"/>
    <w:rsid w:val="00B454A3"/>
    <w:rsid w:val="00B47BF5"/>
    <w:rsid w:val="00B50672"/>
    <w:rsid w:val="00B50CF3"/>
    <w:rsid w:val="00B547BA"/>
    <w:rsid w:val="00B613CC"/>
    <w:rsid w:val="00B64649"/>
    <w:rsid w:val="00B646E5"/>
    <w:rsid w:val="00B6532D"/>
    <w:rsid w:val="00B726CC"/>
    <w:rsid w:val="00B72B3C"/>
    <w:rsid w:val="00B76CA1"/>
    <w:rsid w:val="00B77586"/>
    <w:rsid w:val="00B77D0A"/>
    <w:rsid w:val="00B77E7E"/>
    <w:rsid w:val="00B810B8"/>
    <w:rsid w:val="00B82BA8"/>
    <w:rsid w:val="00B835EE"/>
    <w:rsid w:val="00B86B1C"/>
    <w:rsid w:val="00B872C5"/>
    <w:rsid w:val="00B9087C"/>
    <w:rsid w:val="00B91E06"/>
    <w:rsid w:val="00B9440A"/>
    <w:rsid w:val="00B96139"/>
    <w:rsid w:val="00BA041F"/>
    <w:rsid w:val="00BA12B7"/>
    <w:rsid w:val="00BA2EFA"/>
    <w:rsid w:val="00BA311B"/>
    <w:rsid w:val="00BA4E61"/>
    <w:rsid w:val="00BA5D16"/>
    <w:rsid w:val="00BA5FC7"/>
    <w:rsid w:val="00BA7C5E"/>
    <w:rsid w:val="00BB0892"/>
    <w:rsid w:val="00BB19DF"/>
    <w:rsid w:val="00BB1F44"/>
    <w:rsid w:val="00BB3285"/>
    <w:rsid w:val="00BB3ACA"/>
    <w:rsid w:val="00BC0D08"/>
    <w:rsid w:val="00BC3582"/>
    <w:rsid w:val="00BC3B36"/>
    <w:rsid w:val="00BC3D65"/>
    <w:rsid w:val="00BC59AC"/>
    <w:rsid w:val="00BC787E"/>
    <w:rsid w:val="00BD0592"/>
    <w:rsid w:val="00BD2B74"/>
    <w:rsid w:val="00BD3945"/>
    <w:rsid w:val="00BE1AAD"/>
    <w:rsid w:val="00BE2101"/>
    <w:rsid w:val="00BE4D63"/>
    <w:rsid w:val="00BE4F7F"/>
    <w:rsid w:val="00BF01AA"/>
    <w:rsid w:val="00BF312D"/>
    <w:rsid w:val="00BF3C84"/>
    <w:rsid w:val="00BF41A7"/>
    <w:rsid w:val="00BF7D36"/>
    <w:rsid w:val="00BF7EF9"/>
    <w:rsid w:val="00C0192D"/>
    <w:rsid w:val="00C01B24"/>
    <w:rsid w:val="00C03A6A"/>
    <w:rsid w:val="00C03E06"/>
    <w:rsid w:val="00C050DB"/>
    <w:rsid w:val="00C05A20"/>
    <w:rsid w:val="00C10C36"/>
    <w:rsid w:val="00C11E6C"/>
    <w:rsid w:val="00C131EE"/>
    <w:rsid w:val="00C15F8E"/>
    <w:rsid w:val="00C20C69"/>
    <w:rsid w:val="00C238C5"/>
    <w:rsid w:val="00C27938"/>
    <w:rsid w:val="00C31077"/>
    <w:rsid w:val="00C32377"/>
    <w:rsid w:val="00C35462"/>
    <w:rsid w:val="00C35776"/>
    <w:rsid w:val="00C35D60"/>
    <w:rsid w:val="00C41745"/>
    <w:rsid w:val="00C43881"/>
    <w:rsid w:val="00C43F4A"/>
    <w:rsid w:val="00C46164"/>
    <w:rsid w:val="00C47000"/>
    <w:rsid w:val="00C4743C"/>
    <w:rsid w:val="00C51C47"/>
    <w:rsid w:val="00C53E54"/>
    <w:rsid w:val="00C57CE6"/>
    <w:rsid w:val="00C63FC5"/>
    <w:rsid w:val="00C64CFA"/>
    <w:rsid w:val="00C67977"/>
    <w:rsid w:val="00C728B5"/>
    <w:rsid w:val="00C73FBA"/>
    <w:rsid w:val="00C75C90"/>
    <w:rsid w:val="00C762CE"/>
    <w:rsid w:val="00C802FC"/>
    <w:rsid w:val="00C80DC4"/>
    <w:rsid w:val="00C828F8"/>
    <w:rsid w:val="00C85C85"/>
    <w:rsid w:val="00C91943"/>
    <w:rsid w:val="00C92099"/>
    <w:rsid w:val="00C94C20"/>
    <w:rsid w:val="00C96083"/>
    <w:rsid w:val="00C979B1"/>
    <w:rsid w:val="00C97D59"/>
    <w:rsid w:val="00CA2385"/>
    <w:rsid w:val="00CA357F"/>
    <w:rsid w:val="00CA587F"/>
    <w:rsid w:val="00CA5A3D"/>
    <w:rsid w:val="00CA6006"/>
    <w:rsid w:val="00CB48C2"/>
    <w:rsid w:val="00CB6AA0"/>
    <w:rsid w:val="00CC06B7"/>
    <w:rsid w:val="00CC0DCC"/>
    <w:rsid w:val="00CC4467"/>
    <w:rsid w:val="00CC44A4"/>
    <w:rsid w:val="00CC4C5F"/>
    <w:rsid w:val="00CC7328"/>
    <w:rsid w:val="00CD0116"/>
    <w:rsid w:val="00CD06BB"/>
    <w:rsid w:val="00CD2A6B"/>
    <w:rsid w:val="00CD6B4D"/>
    <w:rsid w:val="00CD7251"/>
    <w:rsid w:val="00CD7D12"/>
    <w:rsid w:val="00CE1DB1"/>
    <w:rsid w:val="00CE274A"/>
    <w:rsid w:val="00CE305B"/>
    <w:rsid w:val="00CE4173"/>
    <w:rsid w:val="00CE48AA"/>
    <w:rsid w:val="00CF0A08"/>
    <w:rsid w:val="00CF163B"/>
    <w:rsid w:val="00CF3653"/>
    <w:rsid w:val="00CF385D"/>
    <w:rsid w:val="00CF3FFC"/>
    <w:rsid w:val="00CF4C25"/>
    <w:rsid w:val="00CF596C"/>
    <w:rsid w:val="00CF5977"/>
    <w:rsid w:val="00CF5AE0"/>
    <w:rsid w:val="00CF6A03"/>
    <w:rsid w:val="00CF6A8E"/>
    <w:rsid w:val="00D000BC"/>
    <w:rsid w:val="00D10477"/>
    <w:rsid w:val="00D10DCF"/>
    <w:rsid w:val="00D159F3"/>
    <w:rsid w:val="00D16F97"/>
    <w:rsid w:val="00D17557"/>
    <w:rsid w:val="00D17767"/>
    <w:rsid w:val="00D17EBB"/>
    <w:rsid w:val="00D21647"/>
    <w:rsid w:val="00D22C19"/>
    <w:rsid w:val="00D26748"/>
    <w:rsid w:val="00D30489"/>
    <w:rsid w:val="00D311EB"/>
    <w:rsid w:val="00D31ABF"/>
    <w:rsid w:val="00D328AF"/>
    <w:rsid w:val="00D32C99"/>
    <w:rsid w:val="00D347B9"/>
    <w:rsid w:val="00D36832"/>
    <w:rsid w:val="00D36CD7"/>
    <w:rsid w:val="00D37E78"/>
    <w:rsid w:val="00D37F4A"/>
    <w:rsid w:val="00D41417"/>
    <w:rsid w:val="00D42180"/>
    <w:rsid w:val="00D43252"/>
    <w:rsid w:val="00D435FE"/>
    <w:rsid w:val="00D44305"/>
    <w:rsid w:val="00D45AD7"/>
    <w:rsid w:val="00D45FA6"/>
    <w:rsid w:val="00D46100"/>
    <w:rsid w:val="00D46F82"/>
    <w:rsid w:val="00D5001C"/>
    <w:rsid w:val="00D5137C"/>
    <w:rsid w:val="00D55B7F"/>
    <w:rsid w:val="00D577F1"/>
    <w:rsid w:val="00D57992"/>
    <w:rsid w:val="00D60487"/>
    <w:rsid w:val="00D64688"/>
    <w:rsid w:val="00D67636"/>
    <w:rsid w:val="00D70500"/>
    <w:rsid w:val="00D71C22"/>
    <w:rsid w:val="00D76618"/>
    <w:rsid w:val="00D76EB2"/>
    <w:rsid w:val="00D77124"/>
    <w:rsid w:val="00D80884"/>
    <w:rsid w:val="00D811E2"/>
    <w:rsid w:val="00D83A4D"/>
    <w:rsid w:val="00D85D9F"/>
    <w:rsid w:val="00D86F20"/>
    <w:rsid w:val="00D90BB3"/>
    <w:rsid w:val="00D91C03"/>
    <w:rsid w:val="00D9224C"/>
    <w:rsid w:val="00D96A93"/>
    <w:rsid w:val="00D96C5A"/>
    <w:rsid w:val="00D9716E"/>
    <w:rsid w:val="00DA1312"/>
    <w:rsid w:val="00DA57B6"/>
    <w:rsid w:val="00DA6999"/>
    <w:rsid w:val="00DA7671"/>
    <w:rsid w:val="00DB06F2"/>
    <w:rsid w:val="00DB112A"/>
    <w:rsid w:val="00DB3DEB"/>
    <w:rsid w:val="00DB4399"/>
    <w:rsid w:val="00DB7778"/>
    <w:rsid w:val="00DB7D94"/>
    <w:rsid w:val="00DC0FB3"/>
    <w:rsid w:val="00DC182F"/>
    <w:rsid w:val="00DC20B7"/>
    <w:rsid w:val="00DC33EF"/>
    <w:rsid w:val="00DC39E5"/>
    <w:rsid w:val="00DD036D"/>
    <w:rsid w:val="00DD3804"/>
    <w:rsid w:val="00DD6771"/>
    <w:rsid w:val="00DD7B8F"/>
    <w:rsid w:val="00DE468D"/>
    <w:rsid w:val="00DE4F6C"/>
    <w:rsid w:val="00DE5F90"/>
    <w:rsid w:val="00DE6864"/>
    <w:rsid w:val="00DE6A34"/>
    <w:rsid w:val="00DE71CC"/>
    <w:rsid w:val="00DF1220"/>
    <w:rsid w:val="00DF1732"/>
    <w:rsid w:val="00DF18FD"/>
    <w:rsid w:val="00DF36B0"/>
    <w:rsid w:val="00DF3BDF"/>
    <w:rsid w:val="00DF68F9"/>
    <w:rsid w:val="00E0217B"/>
    <w:rsid w:val="00E03651"/>
    <w:rsid w:val="00E06EE3"/>
    <w:rsid w:val="00E0753B"/>
    <w:rsid w:val="00E10A37"/>
    <w:rsid w:val="00E11DF7"/>
    <w:rsid w:val="00E1204B"/>
    <w:rsid w:val="00E13390"/>
    <w:rsid w:val="00E16B5C"/>
    <w:rsid w:val="00E25455"/>
    <w:rsid w:val="00E264A5"/>
    <w:rsid w:val="00E27ACC"/>
    <w:rsid w:val="00E30460"/>
    <w:rsid w:val="00E3270A"/>
    <w:rsid w:val="00E32730"/>
    <w:rsid w:val="00E33D3B"/>
    <w:rsid w:val="00E33FCC"/>
    <w:rsid w:val="00E3676A"/>
    <w:rsid w:val="00E369F9"/>
    <w:rsid w:val="00E36AC2"/>
    <w:rsid w:val="00E41F5D"/>
    <w:rsid w:val="00E42F42"/>
    <w:rsid w:val="00E43054"/>
    <w:rsid w:val="00E436A1"/>
    <w:rsid w:val="00E462C6"/>
    <w:rsid w:val="00E468B9"/>
    <w:rsid w:val="00E50A30"/>
    <w:rsid w:val="00E5206C"/>
    <w:rsid w:val="00E54D2F"/>
    <w:rsid w:val="00E564FF"/>
    <w:rsid w:val="00E5789A"/>
    <w:rsid w:val="00E6226B"/>
    <w:rsid w:val="00E62BD7"/>
    <w:rsid w:val="00E649A7"/>
    <w:rsid w:val="00E6525B"/>
    <w:rsid w:val="00E66810"/>
    <w:rsid w:val="00E70251"/>
    <w:rsid w:val="00E72C22"/>
    <w:rsid w:val="00E72CBA"/>
    <w:rsid w:val="00E730F6"/>
    <w:rsid w:val="00E75FED"/>
    <w:rsid w:val="00E76247"/>
    <w:rsid w:val="00E769AC"/>
    <w:rsid w:val="00E829C9"/>
    <w:rsid w:val="00E83908"/>
    <w:rsid w:val="00E86EBC"/>
    <w:rsid w:val="00E86F44"/>
    <w:rsid w:val="00E92DE9"/>
    <w:rsid w:val="00E948A2"/>
    <w:rsid w:val="00E95437"/>
    <w:rsid w:val="00E97127"/>
    <w:rsid w:val="00E97223"/>
    <w:rsid w:val="00E97553"/>
    <w:rsid w:val="00EA0234"/>
    <w:rsid w:val="00EA4ED7"/>
    <w:rsid w:val="00EA5DE3"/>
    <w:rsid w:val="00EA6D45"/>
    <w:rsid w:val="00EA7315"/>
    <w:rsid w:val="00EA7556"/>
    <w:rsid w:val="00EB0480"/>
    <w:rsid w:val="00EB5A29"/>
    <w:rsid w:val="00EB6427"/>
    <w:rsid w:val="00EC3AFA"/>
    <w:rsid w:val="00EC56F6"/>
    <w:rsid w:val="00EC5797"/>
    <w:rsid w:val="00ED11BD"/>
    <w:rsid w:val="00ED2DC7"/>
    <w:rsid w:val="00ED5C8C"/>
    <w:rsid w:val="00EE0B7F"/>
    <w:rsid w:val="00EE31B2"/>
    <w:rsid w:val="00EE5688"/>
    <w:rsid w:val="00EE66CF"/>
    <w:rsid w:val="00EF222F"/>
    <w:rsid w:val="00EF2F8F"/>
    <w:rsid w:val="00F0026B"/>
    <w:rsid w:val="00F008FC"/>
    <w:rsid w:val="00F01DCC"/>
    <w:rsid w:val="00F0336D"/>
    <w:rsid w:val="00F0384C"/>
    <w:rsid w:val="00F06DE4"/>
    <w:rsid w:val="00F0755A"/>
    <w:rsid w:val="00F105F6"/>
    <w:rsid w:val="00F10DEA"/>
    <w:rsid w:val="00F114D2"/>
    <w:rsid w:val="00F129B4"/>
    <w:rsid w:val="00F12F57"/>
    <w:rsid w:val="00F137CC"/>
    <w:rsid w:val="00F13D58"/>
    <w:rsid w:val="00F14E6E"/>
    <w:rsid w:val="00F17812"/>
    <w:rsid w:val="00F17823"/>
    <w:rsid w:val="00F21721"/>
    <w:rsid w:val="00F23AAE"/>
    <w:rsid w:val="00F2460C"/>
    <w:rsid w:val="00F267A4"/>
    <w:rsid w:val="00F301AF"/>
    <w:rsid w:val="00F31B9B"/>
    <w:rsid w:val="00F32809"/>
    <w:rsid w:val="00F33DC4"/>
    <w:rsid w:val="00F3506F"/>
    <w:rsid w:val="00F351E5"/>
    <w:rsid w:val="00F363FE"/>
    <w:rsid w:val="00F4111B"/>
    <w:rsid w:val="00F43412"/>
    <w:rsid w:val="00F4588C"/>
    <w:rsid w:val="00F472FB"/>
    <w:rsid w:val="00F47D90"/>
    <w:rsid w:val="00F51FD8"/>
    <w:rsid w:val="00F53ACB"/>
    <w:rsid w:val="00F579F2"/>
    <w:rsid w:val="00F61E8B"/>
    <w:rsid w:val="00F623C8"/>
    <w:rsid w:val="00F626F0"/>
    <w:rsid w:val="00F64057"/>
    <w:rsid w:val="00F65DC5"/>
    <w:rsid w:val="00F66CB1"/>
    <w:rsid w:val="00F67FD6"/>
    <w:rsid w:val="00F7240C"/>
    <w:rsid w:val="00F7306A"/>
    <w:rsid w:val="00F73E5F"/>
    <w:rsid w:val="00F77E98"/>
    <w:rsid w:val="00F8038D"/>
    <w:rsid w:val="00F816A0"/>
    <w:rsid w:val="00F82ADE"/>
    <w:rsid w:val="00F838C1"/>
    <w:rsid w:val="00F93026"/>
    <w:rsid w:val="00F96311"/>
    <w:rsid w:val="00F97021"/>
    <w:rsid w:val="00FA34BF"/>
    <w:rsid w:val="00FA34F2"/>
    <w:rsid w:val="00FA6690"/>
    <w:rsid w:val="00FB2800"/>
    <w:rsid w:val="00FB2F66"/>
    <w:rsid w:val="00FB3CE0"/>
    <w:rsid w:val="00FB52FC"/>
    <w:rsid w:val="00FB56C4"/>
    <w:rsid w:val="00FB6A26"/>
    <w:rsid w:val="00FB72C5"/>
    <w:rsid w:val="00FC51D7"/>
    <w:rsid w:val="00FC5AD2"/>
    <w:rsid w:val="00FC5C54"/>
    <w:rsid w:val="00FD1935"/>
    <w:rsid w:val="00FD4B3D"/>
    <w:rsid w:val="00FD5287"/>
    <w:rsid w:val="00FD7839"/>
    <w:rsid w:val="00FD7F26"/>
    <w:rsid w:val="00FE0425"/>
    <w:rsid w:val="00FE2C88"/>
    <w:rsid w:val="00FE3579"/>
    <w:rsid w:val="00FE3594"/>
    <w:rsid w:val="00FE5011"/>
    <w:rsid w:val="00FE5180"/>
    <w:rsid w:val="00FE7E01"/>
    <w:rsid w:val="00FF022E"/>
    <w:rsid w:val="00FF046C"/>
    <w:rsid w:val="00FF0555"/>
    <w:rsid w:val="00FF0CAD"/>
    <w:rsid w:val="00FF5254"/>
    <w:rsid w:val="072F17D3"/>
    <w:rsid w:val="083F3294"/>
    <w:rsid w:val="10EA0139"/>
    <w:rsid w:val="14463964"/>
    <w:rsid w:val="314F136D"/>
    <w:rsid w:val="33F621E0"/>
    <w:rsid w:val="380215DC"/>
    <w:rsid w:val="383E1349"/>
    <w:rsid w:val="3DFC3E57"/>
    <w:rsid w:val="436D7150"/>
    <w:rsid w:val="5CC270CF"/>
    <w:rsid w:val="5D153333"/>
    <w:rsid w:val="60D17CEA"/>
    <w:rsid w:val="67A95AD8"/>
    <w:rsid w:val="6C8020A6"/>
    <w:rsid w:val="6EAA5558"/>
    <w:rsid w:val="75153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qFormat="1"/>
    <w:lsdException w:name="header" w:unhideWhenUsed="0"/>
    <w:lsdException w:name="footer" w:semiHidden="0" w:unhideWhenUsed="0"/>
    <w:lsdException w:name="caption" w:locked="1" w:semiHidden="0" w:uiPriority="0" w:unhideWhenUsed="0" w:qFormat="1"/>
    <w:lsdException w:name="annotation reference" w:semiHidden="0"/>
    <w:lsdException w:name="line number" w:semiHidden="0"/>
    <w:lsdException w:name="endnote reference" w:semiHidden="0"/>
    <w:lsdException w:name="endnote text" w:semiHidden="0"/>
    <w:lsdException w:name="Title" w:locked="1" w:semiHidden="0" w:uiPriority="0" w:unhideWhenUsed="0" w:qFormat="1"/>
    <w:lsdException w:name="Default Paragraph Font" w:semiHidden="0" w:uiPriority="1"/>
    <w:lsdException w:name="Subtitle" w:locked="1" w:semiHidden="0" w:uiPriority="0" w:unhideWhenUsed="0" w:qFormat="1"/>
    <w:lsdException w:name="Hyperlink" w:semiHidden="0" w:unhideWhenUsed="0"/>
    <w:lsdException w:name="Strong" w:locked="1" w:semiHidden="0" w:uiPriority="0" w:unhideWhenUsed="0" w:qFormat="1"/>
    <w:lsdException w:name="Emphasis" w:locked="1" w:semiHidden="0" w:uiPriority="20" w:unhideWhenUsed="0" w:qFormat="1"/>
    <w:lsdException w:name="Plain Text" w:uiPriority="0"/>
    <w:lsdException w:name="Normal (Web)" w:semiHidden="0"/>
    <w:lsdException w:name="HTML Cite" w:semiHidden="0"/>
    <w:lsdException w:name="Normal Table" w:semiHidden="0"/>
    <w:lsdException w:name="annotation subject" w:semiHidden="0"/>
    <w:lsdException w:name="Balloon Text" w:semiHidden="0"/>
    <w:lsdException w:name="Table Grid" w:locked="1" w:semiHidden="0" w:uiPriority="59" w:unhideWhenUsed="0"/>
    <w:lsdException w:name="No Spacing" w:semiHidden="0" w:unhideWhenUsed="0" w:qFormat="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0" w:uiPriority="71" w:unhideWhenUsed="0"/>
    <w:lsdException w:name="List Paragraph" w:semiHidden="0" w:unhideWhenUsed="0" w:qFormat="1"/>
    <w:lsdException w:name="Quote" w:semiHidden="0" w:unhideWhenUsed="0" w:qFormat="1"/>
    <w:lsdException w:name="Intense Quote" w:semiHidden="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locked/>
    <w:pPr>
      <w:keepNext/>
      <w:keepLines/>
      <w:spacing w:before="340" w:after="330" w:line="578" w:lineRule="auto"/>
      <w:outlineLvl w:val="0"/>
    </w:pPr>
    <w:rPr>
      <w:b/>
      <w:bCs/>
      <w:kern w:val="44"/>
      <w:sz w:val="44"/>
      <w:szCs w:val="44"/>
      <w:lang w:val="x-none" w:eastAsia="x-none"/>
    </w:rPr>
  </w:style>
  <w:style w:type="paragraph" w:styleId="3">
    <w:name w:val="heading 3"/>
    <w:basedOn w:val="a"/>
    <w:link w:val="3Char"/>
    <w:uiPriority w:val="9"/>
    <w:qFormat/>
    <w:locked/>
    <w:pPr>
      <w:widowControl/>
      <w:spacing w:before="100" w:beforeAutospacing="1" w:after="100" w:afterAutospacing="1"/>
      <w:jc w:val="left"/>
      <w:outlineLvl w:val="2"/>
    </w:pPr>
    <w:rPr>
      <w:rFonts w:ascii="宋体" w:hAnsi="宋体"/>
      <w:b/>
      <w:bCs/>
      <w:kern w:val="0"/>
      <w:sz w:val="27"/>
      <w:szCs w:val="27"/>
      <w:lang w:val="x-none" w:eastAsia="x-none"/>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uiPriority w:val="9"/>
    <w:rPr>
      <w:rFonts w:ascii="宋体" w:hAnsi="宋体" w:cs="宋体"/>
      <w:b/>
      <w:bCs/>
      <w:sz w:val="27"/>
      <w:szCs w:val="27"/>
    </w:rPr>
  </w:style>
  <w:style w:type="character" w:customStyle="1" w:styleId="Char">
    <w:name w:val="页脚 Char"/>
    <w:link w:val="a3"/>
    <w:uiPriority w:val="99"/>
    <w:locked/>
    <w:rPr>
      <w:rFonts w:cs="Times New Roman"/>
      <w:sz w:val="18"/>
      <w:szCs w:val="18"/>
    </w:rPr>
  </w:style>
  <w:style w:type="character" w:styleId="a4">
    <w:name w:val="line number"/>
    <w:basedOn w:val="a0"/>
    <w:uiPriority w:val="99"/>
    <w:unhideWhenUsed/>
  </w:style>
  <w:style w:type="character" w:customStyle="1" w:styleId="high-light-bg4">
    <w:name w:val="high-light-bg4"/>
    <w:basedOn w:val="a0"/>
  </w:style>
  <w:style w:type="character" w:customStyle="1" w:styleId="Char0">
    <w:name w:val="尾注文本 Char"/>
    <w:link w:val="a5"/>
    <w:uiPriority w:val="99"/>
    <w:semiHidden/>
    <w:rPr>
      <w:kern w:val="2"/>
      <w:sz w:val="21"/>
      <w:szCs w:val="22"/>
    </w:rPr>
  </w:style>
  <w:style w:type="character" w:customStyle="1" w:styleId="article-headermeta-info-data">
    <w:name w:val="article-header__meta-info-data"/>
    <w:basedOn w:val="a0"/>
  </w:style>
  <w:style w:type="character" w:styleId="a6">
    <w:name w:val="Hyperlink"/>
    <w:uiPriority w:val="99"/>
    <w:rPr>
      <w:color w:val="333333"/>
      <w:u w:val="none"/>
    </w:rPr>
  </w:style>
  <w:style w:type="character" w:customStyle="1" w:styleId="highlight">
    <w:name w:val="highlight"/>
    <w:basedOn w:val="a0"/>
  </w:style>
  <w:style w:type="character" w:customStyle="1" w:styleId="doi">
    <w:name w:val="doi"/>
    <w:basedOn w:val="a0"/>
  </w:style>
  <w:style w:type="character" w:customStyle="1" w:styleId="figpopup-sensitive-area">
    <w:name w:val="figpopup-sensitive-area"/>
    <w:basedOn w:val="a0"/>
  </w:style>
  <w:style w:type="character" w:customStyle="1" w:styleId="Char1">
    <w:name w:val="批注框文本 Char"/>
    <w:link w:val="a7"/>
    <w:uiPriority w:val="99"/>
    <w:semiHidden/>
    <w:rPr>
      <w:kern w:val="2"/>
      <w:sz w:val="18"/>
      <w:szCs w:val="18"/>
      <w:lang w:eastAsia="zh-CN"/>
    </w:rPr>
  </w:style>
  <w:style w:type="character" w:styleId="HTML">
    <w:name w:val="HTML Cite"/>
    <w:uiPriority w:val="99"/>
    <w:unhideWhenUsed/>
    <w:rPr>
      <w:i/>
      <w:iCs/>
    </w:rPr>
  </w:style>
  <w:style w:type="character" w:styleId="a8">
    <w:name w:val="endnote reference"/>
    <w:uiPriority w:val="99"/>
    <w:unhideWhenUsed/>
    <w:rPr>
      <w:vertAlign w:val="superscript"/>
    </w:rPr>
  </w:style>
  <w:style w:type="character" w:customStyle="1" w:styleId="high-light">
    <w:name w:val="high-light"/>
    <w:basedOn w:val="a0"/>
  </w:style>
  <w:style w:type="character" w:customStyle="1" w:styleId="1Char">
    <w:name w:val="标题 1 Char"/>
    <w:link w:val="1"/>
    <w:rPr>
      <w:b/>
      <w:bCs/>
      <w:kern w:val="44"/>
      <w:sz w:val="44"/>
      <w:szCs w:val="44"/>
    </w:rPr>
  </w:style>
  <w:style w:type="character" w:styleId="a9">
    <w:name w:val="annotation reference"/>
    <w:uiPriority w:val="99"/>
    <w:unhideWhenUsed/>
    <w:rPr>
      <w:rFonts w:ascii="Tahoma" w:hAnsi="Tahoma" w:cs="Tahoma"/>
      <w:b w:val="0"/>
      <w:i w:val="0"/>
      <w:caps w:val="0"/>
      <w:strike w:val="0"/>
      <w:sz w:val="16"/>
      <w:szCs w:val="21"/>
      <w:u w:val="none"/>
    </w:rPr>
  </w:style>
  <w:style w:type="character" w:styleId="aa">
    <w:name w:val="Emphasis"/>
    <w:uiPriority w:val="20"/>
    <w:qFormat/>
    <w:locked/>
    <w:rPr>
      <w:i w:val="0"/>
      <w:iCs w:val="0"/>
      <w:color w:val="DD4B39"/>
    </w:rPr>
  </w:style>
  <w:style w:type="character" w:customStyle="1" w:styleId="ref-title">
    <w:name w:val="ref-title"/>
    <w:basedOn w:val="a0"/>
  </w:style>
  <w:style w:type="character" w:customStyle="1" w:styleId="ref-vol">
    <w:name w:val="ref-vol"/>
    <w:basedOn w:val="a0"/>
  </w:style>
  <w:style w:type="character" w:customStyle="1" w:styleId="cit">
    <w:name w:val="cit"/>
    <w:basedOn w:val="a0"/>
  </w:style>
  <w:style w:type="character" w:customStyle="1" w:styleId="apple-converted-space">
    <w:name w:val="apple-converted-space"/>
    <w:basedOn w:val="a0"/>
  </w:style>
  <w:style w:type="character" w:customStyle="1" w:styleId="ref-journal">
    <w:name w:val="ref-journal"/>
    <w:basedOn w:val="a0"/>
  </w:style>
  <w:style w:type="character" w:customStyle="1" w:styleId="citation-publication-date">
    <w:name w:val="citation-publication-date"/>
    <w:basedOn w:val="a0"/>
  </w:style>
  <w:style w:type="character" w:customStyle="1" w:styleId="fm-citation-ids-label">
    <w:name w:val="fm-citation-ids-label"/>
    <w:basedOn w:val="a0"/>
  </w:style>
  <w:style w:type="character" w:customStyle="1" w:styleId="Char2">
    <w:name w:val="批注主题 Char"/>
    <w:link w:val="ab"/>
    <w:uiPriority w:val="99"/>
    <w:semiHidden/>
    <w:rPr>
      <w:rFonts w:ascii="Tahoma" w:hAnsi="Tahoma" w:cs="Tahoma"/>
      <w:b/>
      <w:bCs/>
      <w:kern w:val="2"/>
      <w:sz w:val="16"/>
      <w:szCs w:val="22"/>
      <w:lang w:eastAsia="zh-CN"/>
    </w:rPr>
  </w:style>
  <w:style w:type="character" w:customStyle="1" w:styleId="Char3">
    <w:name w:val="批注文字 Char"/>
    <w:link w:val="ac"/>
    <w:uiPriority w:val="99"/>
    <w:qFormat/>
    <w:rPr>
      <w:rFonts w:ascii="Tahoma" w:hAnsi="Tahoma" w:cs="Tahoma"/>
      <w:kern w:val="2"/>
      <w:sz w:val="16"/>
      <w:szCs w:val="22"/>
      <w:lang w:eastAsia="zh-CN"/>
    </w:rPr>
  </w:style>
  <w:style w:type="character" w:customStyle="1" w:styleId="jrnl">
    <w:name w:val="jrnl"/>
    <w:basedOn w:val="a0"/>
    <w:uiPriority w:val="99"/>
  </w:style>
  <w:style w:type="character" w:customStyle="1" w:styleId="Char4">
    <w:name w:val="页眉 Char"/>
    <w:link w:val="ad"/>
    <w:uiPriority w:val="99"/>
    <w:semiHidden/>
    <w:locked/>
    <w:rPr>
      <w:rFonts w:cs="Times New Roman"/>
      <w:sz w:val="18"/>
      <w:szCs w:val="18"/>
    </w:rPr>
  </w:style>
  <w:style w:type="character" w:customStyle="1" w:styleId="highlight2">
    <w:name w:val="highlight2"/>
  </w:style>
  <w:style w:type="character" w:customStyle="1" w:styleId="element-citation">
    <w:name w:val="element-citation"/>
    <w:basedOn w:val="a0"/>
  </w:style>
  <w:style w:type="character" w:customStyle="1" w:styleId="op-xueshu-links-new-title">
    <w:name w:val="op-xueshu-links-new-title"/>
    <w:basedOn w:val="a0"/>
  </w:style>
  <w:style w:type="paragraph" w:styleId="ac">
    <w:name w:val="annotation text"/>
    <w:basedOn w:val="a"/>
    <w:link w:val="Char3"/>
    <w:uiPriority w:val="99"/>
    <w:unhideWhenUsed/>
    <w:qFormat/>
    <w:pPr>
      <w:jc w:val="left"/>
    </w:pPr>
    <w:rPr>
      <w:rFonts w:ascii="Tahoma" w:hAnsi="Tahoma"/>
      <w:sz w:val="16"/>
      <w:lang w:val="x-none"/>
    </w:rPr>
  </w:style>
  <w:style w:type="paragraph" w:styleId="ae">
    <w:name w:val="caption"/>
    <w:basedOn w:val="a"/>
    <w:next w:val="a"/>
    <w:qFormat/>
    <w:locked/>
    <w:rPr>
      <w:rFonts w:ascii="Cambria" w:eastAsia="黑体" w:hAnsi="Cambria"/>
      <w:sz w:val="20"/>
      <w:szCs w:val="20"/>
    </w:rPr>
  </w:style>
  <w:style w:type="paragraph" w:styleId="a3">
    <w:name w:val="footer"/>
    <w:basedOn w:val="a"/>
    <w:link w:val="Char"/>
    <w:uiPriority w:val="99"/>
    <w:pPr>
      <w:tabs>
        <w:tab w:val="center" w:pos="4153"/>
        <w:tab w:val="right" w:pos="8306"/>
      </w:tabs>
      <w:snapToGrid w:val="0"/>
      <w:jc w:val="left"/>
    </w:pPr>
    <w:rPr>
      <w:kern w:val="0"/>
      <w:sz w:val="18"/>
      <w:szCs w:val="18"/>
      <w:lang w:val="x-none" w:eastAsia="x-none"/>
    </w:rPr>
  </w:style>
  <w:style w:type="paragraph" w:styleId="a7">
    <w:name w:val="Balloon Text"/>
    <w:basedOn w:val="a"/>
    <w:link w:val="Char1"/>
    <w:uiPriority w:val="99"/>
    <w:unhideWhenUsed/>
    <w:rPr>
      <w:sz w:val="18"/>
      <w:szCs w:val="18"/>
      <w:lang w:val="x-none"/>
    </w:rPr>
  </w:style>
  <w:style w:type="paragraph" w:styleId="a5">
    <w:name w:val="endnote text"/>
    <w:basedOn w:val="a"/>
    <w:link w:val="Char0"/>
    <w:uiPriority w:val="99"/>
    <w:unhideWhenUsed/>
    <w:pPr>
      <w:snapToGrid w:val="0"/>
      <w:jc w:val="left"/>
    </w:pPr>
    <w:rPr>
      <w:lang w:val="x-none" w:eastAsia="x-none"/>
    </w:rPr>
  </w:style>
  <w:style w:type="paragraph" w:styleId="ab">
    <w:name w:val="annotation subject"/>
    <w:basedOn w:val="ac"/>
    <w:next w:val="ac"/>
    <w:link w:val="Char2"/>
    <w:uiPriority w:val="99"/>
    <w:unhideWhenUsed/>
    <w:rPr>
      <w:b/>
      <w:bCs/>
    </w:rPr>
  </w:style>
  <w:style w:type="paragraph" w:styleId="af">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paragraph" w:styleId="ad">
    <w:name w:val="header"/>
    <w:basedOn w:val="a"/>
    <w:link w:val="Char4"/>
    <w:uiPriority w:val="99"/>
    <w:semiHidden/>
    <w:pPr>
      <w:pBdr>
        <w:bottom w:val="single" w:sz="6" w:space="1" w:color="auto"/>
      </w:pBdr>
      <w:tabs>
        <w:tab w:val="center" w:pos="4153"/>
        <w:tab w:val="right" w:pos="8306"/>
      </w:tabs>
      <w:snapToGrid w:val="0"/>
      <w:jc w:val="center"/>
    </w:pPr>
    <w:rPr>
      <w:kern w:val="0"/>
      <w:sz w:val="18"/>
      <w:szCs w:val="18"/>
      <w:lang w:val="x-none" w:eastAsia="x-none"/>
    </w:rPr>
  </w:style>
  <w:style w:type="paragraph" w:customStyle="1" w:styleId="p">
    <w:name w:val="p"/>
    <w:basedOn w:val="a"/>
    <w:pPr>
      <w:widowControl/>
      <w:spacing w:before="100" w:beforeAutospacing="1" w:after="100" w:afterAutospacing="1"/>
      <w:jc w:val="left"/>
    </w:pPr>
    <w:rPr>
      <w:rFonts w:ascii="宋体" w:hAnsi="宋体" w:cs="宋体"/>
      <w:kern w:val="0"/>
      <w:sz w:val="24"/>
      <w:szCs w:val="24"/>
    </w:rPr>
  </w:style>
  <w:style w:type="paragraph" w:customStyle="1" w:styleId="ColorfulList-Accent11">
    <w:name w:val="Colorful List - Accent 11"/>
    <w:basedOn w:val="a"/>
    <w:uiPriority w:val="99"/>
    <w:qFormat/>
    <w:pPr>
      <w:ind w:firstLineChars="200" w:firstLine="420"/>
    </w:pPr>
  </w:style>
  <w:style w:type="paragraph" w:customStyle="1" w:styleId="2">
    <w:name w:val="标题2"/>
    <w:basedOn w:val="a"/>
    <w:uiPriority w:val="99"/>
    <w:pPr>
      <w:widowControl/>
      <w:spacing w:before="100" w:beforeAutospacing="1" w:after="100" w:afterAutospacing="1"/>
      <w:jc w:val="left"/>
    </w:pPr>
    <w:rPr>
      <w:rFonts w:ascii="宋体" w:hAnsi="宋体" w:cs="宋体"/>
      <w:kern w:val="0"/>
      <w:sz w:val="24"/>
      <w:szCs w:val="24"/>
    </w:rPr>
  </w:style>
  <w:style w:type="paragraph" w:customStyle="1" w:styleId="Default">
    <w:name w:val="Default"/>
    <w:pPr>
      <w:widowControl w:val="0"/>
      <w:autoSpaceDE w:val="0"/>
      <w:autoSpaceDN w:val="0"/>
      <w:adjustRightInd w:val="0"/>
    </w:pPr>
    <w:rPr>
      <w:rFonts w:ascii="宋体" w:hAnsi="宋体" w:cs="宋体"/>
      <w:color w:val="000000"/>
      <w:sz w:val="24"/>
      <w:szCs w:val="24"/>
    </w:rPr>
  </w:style>
  <w:style w:type="paragraph" w:styleId="af0">
    <w:name w:val="Revision"/>
    <w:uiPriority w:val="71"/>
    <w:rPr>
      <w:kern w:val="2"/>
      <w:sz w:val="21"/>
      <w:szCs w:val="22"/>
    </w:rPr>
  </w:style>
  <w:style w:type="paragraph" w:customStyle="1" w:styleId="10">
    <w:name w:val="标题1"/>
    <w:basedOn w:val="a"/>
    <w:uiPriority w:val="99"/>
    <w:pPr>
      <w:widowControl/>
      <w:spacing w:before="100" w:beforeAutospacing="1" w:after="100" w:afterAutospacing="1"/>
      <w:jc w:val="left"/>
    </w:pPr>
    <w:rPr>
      <w:rFonts w:ascii="宋体" w:hAnsi="宋体" w:cs="宋体"/>
      <w:kern w:val="0"/>
      <w:sz w:val="24"/>
      <w:szCs w:val="24"/>
    </w:rPr>
  </w:style>
  <w:style w:type="paragraph" w:customStyle="1" w:styleId="abstract">
    <w:name w:val="abstract"/>
    <w:basedOn w:val="a"/>
    <w:pPr>
      <w:widowControl/>
      <w:spacing w:before="100" w:beforeAutospacing="1" w:after="100" w:afterAutospacing="1"/>
      <w:jc w:val="left"/>
    </w:pPr>
    <w:rPr>
      <w:rFonts w:ascii="宋体" w:hAnsi="宋体" w:cs="宋体"/>
      <w:kern w:val="0"/>
      <w:sz w:val="24"/>
      <w:szCs w:val="24"/>
    </w:rPr>
  </w:style>
  <w:style w:type="paragraph" w:customStyle="1" w:styleId="ColorfulShading-Accent11">
    <w:name w:val="Colorful Shading - Accent 11"/>
    <w:uiPriority w:val="99"/>
    <w:semiHidden/>
    <w:rPr>
      <w:kern w:val="2"/>
      <w:sz w:val="21"/>
      <w:szCs w:val="22"/>
    </w:rPr>
  </w:style>
  <w:style w:type="table" w:styleId="af1">
    <w:name w:val="Table Grid"/>
    <w:basedOn w:val="a1"/>
    <w:uiPriority w:val="5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573797"/>
  </w:style>
  <w:style w:type="paragraph" w:styleId="af2">
    <w:name w:val="Plain Text"/>
    <w:basedOn w:val="a"/>
    <w:link w:val="Char5"/>
    <w:unhideWhenUsed/>
    <w:rsid w:val="009E03E1"/>
    <w:rPr>
      <w:rFonts w:ascii="宋体" w:hAnsi="Courier New" w:cs="Courier New"/>
      <w:szCs w:val="21"/>
    </w:rPr>
  </w:style>
  <w:style w:type="character" w:customStyle="1" w:styleId="Char5">
    <w:name w:val="纯文本 Char"/>
    <w:link w:val="af2"/>
    <w:rsid w:val="009E03E1"/>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qFormat="1"/>
    <w:lsdException w:name="header" w:unhideWhenUsed="0"/>
    <w:lsdException w:name="footer" w:semiHidden="0" w:unhideWhenUsed="0"/>
    <w:lsdException w:name="caption" w:locked="1" w:semiHidden="0" w:uiPriority="0" w:unhideWhenUsed="0" w:qFormat="1"/>
    <w:lsdException w:name="annotation reference" w:semiHidden="0"/>
    <w:lsdException w:name="line number" w:semiHidden="0"/>
    <w:lsdException w:name="endnote reference" w:semiHidden="0"/>
    <w:lsdException w:name="endnote text" w:semiHidden="0"/>
    <w:lsdException w:name="Title" w:locked="1" w:semiHidden="0" w:uiPriority="0" w:unhideWhenUsed="0" w:qFormat="1"/>
    <w:lsdException w:name="Default Paragraph Font" w:semiHidden="0" w:uiPriority="1"/>
    <w:lsdException w:name="Subtitle" w:locked="1" w:semiHidden="0" w:uiPriority="0" w:unhideWhenUsed="0" w:qFormat="1"/>
    <w:lsdException w:name="Hyperlink" w:semiHidden="0" w:unhideWhenUsed="0"/>
    <w:lsdException w:name="Strong" w:locked="1" w:semiHidden="0" w:uiPriority="0" w:unhideWhenUsed="0" w:qFormat="1"/>
    <w:lsdException w:name="Emphasis" w:locked="1" w:semiHidden="0" w:uiPriority="20" w:unhideWhenUsed="0" w:qFormat="1"/>
    <w:lsdException w:name="Plain Text" w:uiPriority="0"/>
    <w:lsdException w:name="Normal (Web)" w:semiHidden="0"/>
    <w:lsdException w:name="HTML Cite" w:semiHidden="0"/>
    <w:lsdException w:name="Normal Table" w:semiHidden="0"/>
    <w:lsdException w:name="annotation subject" w:semiHidden="0"/>
    <w:lsdException w:name="Balloon Text" w:semiHidden="0"/>
    <w:lsdException w:name="Table Grid" w:locked="1" w:semiHidden="0" w:uiPriority="59" w:unhideWhenUsed="0"/>
    <w:lsdException w:name="No Spacing" w:semiHidden="0" w:unhideWhenUsed="0" w:qFormat="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0" w:uiPriority="71" w:unhideWhenUsed="0"/>
    <w:lsdException w:name="List Paragraph" w:semiHidden="0" w:unhideWhenUsed="0" w:qFormat="1"/>
    <w:lsdException w:name="Quote" w:semiHidden="0" w:unhideWhenUsed="0" w:qFormat="1"/>
    <w:lsdException w:name="Intense Quote" w:semiHidden="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locked/>
    <w:pPr>
      <w:keepNext/>
      <w:keepLines/>
      <w:spacing w:before="340" w:after="330" w:line="578" w:lineRule="auto"/>
      <w:outlineLvl w:val="0"/>
    </w:pPr>
    <w:rPr>
      <w:b/>
      <w:bCs/>
      <w:kern w:val="44"/>
      <w:sz w:val="44"/>
      <w:szCs w:val="44"/>
      <w:lang w:val="x-none" w:eastAsia="x-none"/>
    </w:rPr>
  </w:style>
  <w:style w:type="paragraph" w:styleId="3">
    <w:name w:val="heading 3"/>
    <w:basedOn w:val="a"/>
    <w:link w:val="3Char"/>
    <w:uiPriority w:val="9"/>
    <w:qFormat/>
    <w:locked/>
    <w:pPr>
      <w:widowControl/>
      <w:spacing w:before="100" w:beforeAutospacing="1" w:after="100" w:afterAutospacing="1"/>
      <w:jc w:val="left"/>
      <w:outlineLvl w:val="2"/>
    </w:pPr>
    <w:rPr>
      <w:rFonts w:ascii="宋体" w:hAnsi="宋体"/>
      <w:b/>
      <w:bCs/>
      <w:kern w:val="0"/>
      <w:sz w:val="27"/>
      <w:szCs w:val="27"/>
      <w:lang w:val="x-none" w:eastAsia="x-none"/>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uiPriority w:val="9"/>
    <w:rPr>
      <w:rFonts w:ascii="宋体" w:hAnsi="宋体" w:cs="宋体"/>
      <w:b/>
      <w:bCs/>
      <w:sz w:val="27"/>
      <w:szCs w:val="27"/>
    </w:rPr>
  </w:style>
  <w:style w:type="character" w:customStyle="1" w:styleId="Char">
    <w:name w:val="页脚 Char"/>
    <w:link w:val="a3"/>
    <w:uiPriority w:val="99"/>
    <w:locked/>
    <w:rPr>
      <w:rFonts w:cs="Times New Roman"/>
      <w:sz w:val="18"/>
      <w:szCs w:val="18"/>
    </w:rPr>
  </w:style>
  <w:style w:type="character" w:styleId="a4">
    <w:name w:val="line number"/>
    <w:basedOn w:val="a0"/>
    <w:uiPriority w:val="99"/>
    <w:unhideWhenUsed/>
  </w:style>
  <w:style w:type="character" w:customStyle="1" w:styleId="high-light-bg4">
    <w:name w:val="high-light-bg4"/>
    <w:basedOn w:val="a0"/>
  </w:style>
  <w:style w:type="character" w:customStyle="1" w:styleId="Char0">
    <w:name w:val="尾注文本 Char"/>
    <w:link w:val="a5"/>
    <w:uiPriority w:val="99"/>
    <w:semiHidden/>
    <w:rPr>
      <w:kern w:val="2"/>
      <w:sz w:val="21"/>
      <w:szCs w:val="22"/>
    </w:rPr>
  </w:style>
  <w:style w:type="character" w:customStyle="1" w:styleId="article-headermeta-info-data">
    <w:name w:val="article-header__meta-info-data"/>
    <w:basedOn w:val="a0"/>
  </w:style>
  <w:style w:type="character" w:styleId="a6">
    <w:name w:val="Hyperlink"/>
    <w:uiPriority w:val="99"/>
    <w:rPr>
      <w:color w:val="333333"/>
      <w:u w:val="none"/>
    </w:rPr>
  </w:style>
  <w:style w:type="character" w:customStyle="1" w:styleId="highlight">
    <w:name w:val="highlight"/>
    <w:basedOn w:val="a0"/>
  </w:style>
  <w:style w:type="character" w:customStyle="1" w:styleId="doi">
    <w:name w:val="doi"/>
    <w:basedOn w:val="a0"/>
  </w:style>
  <w:style w:type="character" w:customStyle="1" w:styleId="figpopup-sensitive-area">
    <w:name w:val="figpopup-sensitive-area"/>
    <w:basedOn w:val="a0"/>
  </w:style>
  <w:style w:type="character" w:customStyle="1" w:styleId="Char1">
    <w:name w:val="批注框文本 Char"/>
    <w:link w:val="a7"/>
    <w:uiPriority w:val="99"/>
    <w:semiHidden/>
    <w:rPr>
      <w:kern w:val="2"/>
      <w:sz w:val="18"/>
      <w:szCs w:val="18"/>
      <w:lang w:eastAsia="zh-CN"/>
    </w:rPr>
  </w:style>
  <w:style w:type="character" w:styleId="HTML">
    <w:name w:val="HTML Cite"/>
    <w:uiPriority w:val="99"/>
    <w:unhideWhenUsed/>
    <w:rPr>
      <w:i/>
      <w:iCs/>
    </w:rPr>
  </w:style>
  <w:style w:type="character" w:styleId="a8">
    <w:name w:val="endnote reference"/>
    <w:uiPriority w:val="99"/>
    <w:unhideWhenUsed/>
    <w:rPr>
      <w:vertAlign w:val="superscript"/>
    </w:rPr>
  </w:style>
  <w:style w:type="character" w:customStyle="1" w:styleId="high-light">
    <w:name w:val="high-light"/>
    <w:basedOn w:val="a0"/>
  </w:style>
  <w:style w:type="character" w:customStyle="1" w:styleId="1Char">
    <w:name w:val="标题 1 Char"/>
    <w:link w:val="1"/>
    <w:rPr>
      <w:b/>
      <w:bCs/>
      <w:kern w:val="44"/>
      <w:sz w:val="44"/>
      <w:szCs w:val="44"/>
    </w:rPr>
  </w:style>
  <w:style w:type="character" w:styleId="a9">
    <w:name w:val="annotation reference"/>
    <w:uiPriority w:val="99"/>
    <w:unhideWhenUsed/>
    <w:rPr>
      <w:rFonts w:ascii="Tahoma" w:hAnsi="Tahoma" w:cs="Tahoma"/>
      <w:b w:val="0"/>
      <w:i w:val="0"/>
      <w:caps w:val="0"/>
      <w:strike w:val="0"/>
      <w:sz w:val="16"/>
      <w:szCs w:val="21"/>
      <w:u w:val="none"/>
    </w:rPr>
  </w:style>
  <w:style w:type="character" w:styleId="aa">
    <w:name w:val="Emphasis"/>
    <w:uiPriority w:val="20"/>
    <w:qFormat/>
    <w:locked/>
    <w:rPr>
      <w:i w:val="0"/>
      <w:iCs w:val="0"/>
      <w:color w:val="DD4B39"/>
    </w:rPr>
  </w:style>
  <w:style w:type="character" w:customStyle="1" w:styleId="ref-title">
    <w:name w:val="ref-title"/>
    <w:basedOn w:val="a0"/>
  </w:style>
  <w:style w:type="character" w:customStyle="1" w:styleId="ref-vol">
    <w:name w:val="ref-vol"/>
    <w:basedOn w:val="a0"/>
  </w:style>
  <w:style w:type="character" w:customStyle="1" w:styleId="cit">
    <w:name w:val="cit"/>
    <w:basedOn w:val="a0"/>
  </w:style>
  <w:style w:type="character" w:customStyle="1" w:styleId="apple-converted-space">
    <w:name w:val="apple-converted-space"/>
    <w:basedOn w:val="a0"/>
  </w:style>
  <w:style w:type="character" w:customStyle="1" w:styleId="ref-journal">
    <w:name w:val="ref-journal"/>
    <w:basedOn w:val="a0"/>
  </w:style>
  <w:style w:type="character" w:customStyle="1" w:styleId="citation-publication-date">
    <w:name w:val="citation-publication-date"/>
    <w:basedOn w:val="a0"/>
  </w:style>
  <w:style w:type="character" w:customStyle="1" w:styleId="fm-citation-ids-label">
    <w:name w:val="fm-citation-ids-label"/>
    <w:basedOn w:val="a0"/>
  </w:style>
  <w:style w:type="character" w:customStyle="1" w:styleId="Char2">
    <w:name w:val="批注主题 Char"/>
    <w:link w:val="ab"/>
    <w:uiPriority w:val="99"/>
    <w:semiHidden/>
    <w:rPr>
      <w:rFonts w:ascii="Tahoma" w:hAnsi="Tahoma" w:cs="Tahoma"/>
      <w:b/>
      <w:bCs/>
      <w:kern w:val="2"/>
      <w:sz w:val="16"/>
      <w:szCs w:val="22"/>
      <w:lang w:eastAsia="zh-CN"/>
    </w:rPr>
  </w:style>
  <w:style w:type="character" w:customStyle="1" w:styleId="Char3">
    <w:name w:val="批注文字 Char"/>
    <w:link w:val="ac"/>
    <w:uiPriority w:val="99"/>
    <w:qFormat/>
    <w:rPr>
      <w:rFonts w:ascii="Tahoma" w:hAnsi="Tahoma" w:cs="Tahoma"/>
      <w:kern w:val="2"/>
      <w:sz w:val="16"/>
      <w:szCs w:val="22"/>
      <w:lang w:eastAsia="zh-CN"/>
    </w:rPr>
  </w:style>
  <w:style w:type="character" w:customStyle="1" w:styleId="jrnl">
    <w:name w:val="jrnl"/>
    <w:basedOn w:val="a0"/>
    <w:uiPriority w:val="99"/>
  </w:style>
  <w:style w:type="character" w:customStyle="1" w:styleId="Char4">
    <w:name w:val="页眉 Char"/>
    <w:link w:val="ad"/>
    <w:uiPriority w:val="99"/>
    <w:semiHidden/>
    <w:locked/>
    <w:rPr>
      <w:rFonts w:cs="Times New Roman"/>
      <w:sz w:val="18"/>
      <w:szCs w:val="18"/>
    </w:rPr>
  </w:style>
  <w:style w:type="character" w:customStyle="1" w:styleId="highlight2">
    <w:name w:val="highlight2"/>
  </w:style>
  <w:style w:type="character" w:customStyle="1" w:styleId="element-citation">
    <w:name w:val="element-citation"/>
    <w:basedOn w:val="a0"/>
  </w:style>
  <w:style w:type="character" w:customStyle="1" w:styleId="op-xueshu-links-new-title">
    <w:name w:val="op-xueshu-links-new-title"/>
    <w:basedOn w:val="a0"/>
  </w:style>
  <w:style w:type="paragraph" w:styleId="ac">
    <w:name w:val="annotation text"/>
    <w:basedOn w:val="a"/>
    <w:link w:val="Char3"/>
    <w:uiPriority w:val="99"/>
    <w:unhideWhenUsed/>
    <w:qFormat/>
    <w:pPr>
      <w:jc w:val="left"/>
    </w:pPr>
    <w:rPr>
      <w:rFonts w:ascii="Tahoma" w:hAnsi="Tahoma"/>
      <w:sz w:val="16"/>
      <w:lang w:val="x-none"/>
    </w:rPr>
  </w:style>
  <w:style w:type="paragraph" w:styleId="ae">
    <w:name w:val="caption"/>
    <w:basedOn w:val="a"/>
    <w:next w:val="a"/>
    <w:qFormat/>
    <w:locked/>
    <w:rPr>
      <w:rFonts w:ascii="Cambria" w:eastAsia="黑体" w:hAnsi="Cambria"/>
      <w:sz w:val="20"/>
      <w:szCs w:val="20"/>
    </w:rPr>
  </w:style>
  <w:style w:type="paragraph" w:styleId="a3">
    <w:name w:val="footer"/>
    <w:basedOn w:val="a"/>
    <w:link w:val="Char"/>
    <w:uiPriority w:val="99"/>
    <w:pPr>
      <w:tabs>
        <w:tab w:val="center" w:pos="4153"/>
        <w:tab w:val="right" w:pos="8306"/>
      </w:tabs>
      <w:snapToGrid w:val="0"/>
      <w:jc w:val="left"/>
    </w:pPr>
    <w:rPr>
      <w:kern w:val="0"/>
      <w:sz w:val="18"/>
      <w:szCs w:val="18"/>
      <w:lang w:val="x-none" w:eastAsia="x-none"/>
    </w:rPr>
  </w:style>
  <w:style w:type="paragraph" w:styleId="a7">
    <w:name w:val="Balloon Text"/>
    <w:basedOn w:val="a"/>
    <w:link w:val="Char1"/>
    <w:uiPriority w:val="99"/>
    <w:unhideWhenUsed/>
    <w:rPr>
      <w:sz w:val="18"/>
      <w:szCs w:val="18"/>
      <w:lang w:val="x-none"/>
    </w:rPr>
  </w:style>
  <w:style w:type="paragraph" w:styleId="a5">
    <w:name w:val="endnote text"/>
    <w:basedOn w:val="a"/>
    <w:link w:val="Char0"/>
    <w:uiPriority w:val="99"/>
    <w:unhideWhenUsed/>
    <w:pPr>
      <w:snapToGrid w:val="0"/>
      <w:jc w:val="left"/>
    </w:pPr>
    <w:rPr>
      <w:lang w:val="x-none" w:eastAsia="x-none"/>
    </w:rPr>
  </w:style>
  <w:style w:type="paragraph" w:styleId="ab">
    <w:name w:val="annotation subject"/>
    <w:basedOn w:val="ac"/>
    <w:next w:val="ac"/>
    <w:link w:val="Char2"/>
    <w:uiPriority w:val="99"/>
    <w:unhideWhenUsed/>
    <w:rPr>
      <w:b/>
      <w:bCs/>
    </w:rPr>
  </w:style>
  <w:style w:type="paragraph" w:styleId="af">
    <w:name w:val="Normal (Web)"/>
    <w:basedOn w:val="a"/>
    <w:uiPriority w:val="99"/>
    <w:unhideWhenUsed/>
    <w:pPr>
      <w:widowControl/>
      <w:spacing w:before="100" w:beforeAutospacing="1" w:after="100" w:afterAutospacing="1"/>
      <w:jc w:val="left"/>
    </w:pPr>
    <w:rPr>
      <w:rFonts w:ascii="宋体" w:hAnsi="宋体" w:cs="宋体"/>
      <w:kern w:val="0"/>
      <w:sz w:val="24"/>
      <w:szCs w:val="24"/>
    </w:rPr>
  </w:style>
  <w:style w:type="paragraph" w:styleId="ad">
    <w:name w:val="header"/>
    <w:basedOn w:val="a"/>
    <w:link w:val="Char4"/>
    <w:uiPriority w:val="99"/>
    <w:semiHidden/>
    <w:pPr>
      <w:pBdr>
        <w:bottom w:val="single" w:sz="6" w:space="1" w:color="auto"/>
      </w:pBdr>
      <w:tabs>
        <w:tab w:val="center" w:pos="4153"/>
        <w:tab w:val="right" w:pos="8306"/>
      </w:tabs>
      <w:snapToGrid w:val="0"/>
      <w:jc w:val="center"/>
    </w:pPr>
    <w:rPr>
      <w:kern w:val="0"/>
      <w:sz w:val="18"/>
      <w:szCs w:val="18"/>
      <w:lang w:val="x-none" w:eastAsia="x-none"/>
    </w:rPr>
  </w:style>
  <w:style w:type="paragraph" w:customStyle="1" w:styleId="p">
    <w:name w:val="p"/>
    <w:basedOn w:val="a"/>
    <w:pPr>
      <w:widowControl/>
      <w:spacing w:before="100" w:beforeAutospacing="1" w:after="100" w:afterAutospacing="1"/>
      <w:jc w:val="left"/>
    </w:pPr>
    <w:rPr>
      <w:rFonts w:ascii="宋体" w:hAnsi="宋体" w:cs="宋体"/>
      <w:kern w:val="0"/>
      <w:sz w:val="24"/>
      <w:szCs w:val="24"/>
    </w:rPr>
  </w:style>
  <w:style w:type="paragraph" w:customStyle="1" w:styleId="ColorfulList-Accent11">
    <w:name w:val="Colorful List - Accent 11"/>
    <w:basedOn w:val="a"/>
    <w:uiPriority w:val="99"/>
    <w:qFormat/>
    <w:pPr>
      <w:ind w:firstLineChars="200" w:firstLine="420"/>
    </w:pPr>
  </w:style>
  <w:style w:type="paragraph" w:customStyle="1" w:styleId="2">
    <w:name w:val="标题2"/>
    <w:basedOn w:val="a"/>
    <w:uiPriority w:val="99"/>
    <w:pPr>
      <w:widowControl/>
      <w:spacing w:before="100" w:beforeAutospacing="1" w:after="100" w:afterAutospacing="1"/>
      <w:jc w:val="left"/>
    </w:pPr>
    <w:rPr>
      <w:rFonts w:ascii="宋体" w:hAnsi="宋体" w:cs="宋体"/>
      <w:kern w:val="0"/>
      <w:sz w:val="24"/>
      <w:szCs w:val="24"/>
    </w:rPr>
  </w:style>
  <w:style w:type="paragraph" w:customStyle="1" w:styleId="Default">
    <w:name w:val="Default"/>
    <w:pPr>
      <w:widowControl w:val="0"/>
      <w:autoSpaceDE w:val="0"/>
      <w:autoSpaceDN w:val="0"/>
      <w:adjustRightInd w:val="0"/>
    </w:pPr>
    <w:rPr>
      <w:rFonts w:ascii="宋体" w:hAnsi="宋体" w:cs="宋体"/>
      <w:color w:val="000000"/>
      <w:sz w:val="24"/>
      <w:szCs w:val="24"/>
    </w:rPr>
  </w:style>
  <w:style w:type="paragraph" w:styleId="af0">
    <w:name w:val="Revision"/>
    <w:uiPriority w:val="71"/>
    <w:rPr>
      <w:kern w:val="2"/>
      <w:sz w:val="21"/>
      <w:szCs w:val="22"/>
    </w:rPr>
  </w:style>
  <w:style w:type="paragraph" w:customStyle="1" w:styleId="10">
    <w:name w:val="标题1"/>
    <w:basedOn w:val="a"/>
    <w:uiPriority w:val="99"/>
    <w:pPr>
      <w:widowControl/>
      <w:spacing w:before="100" w:beforeAutospacing="1" w:after="100" w:afterAutospacing="1"/>
      <w:jc w:val="left"/>
    </w:pPr>
    <w:rPr>
      <w:rFonts w:ascii="宋体" w:hAnsi="宋体" w:cs="宋体"/>
      <w:kern w:val="0"/>
      <w:sz w:val="24"/>
      <w:szCs w:val="24"/>
    </w:rPr>
  </w:style>
  <w:style w:type="paragraph" w:customStyle="1" w:styleId="abstract">
    <w:name w:val="abstract"/>
    <w:basedOn w:val="a"/>
    <w:pPr>
      <w:widowControl/>
      <w:spacing w:before="100" w:beforeAutospacing="1" w:after="100" w:afterAutospacing="1"/>
      <w:jc w:val="left"/>
    </w:pPr>
    <w:rPr>
      <w:rFonts w:ascii="宋体" w:hAnsi="宋体" w:cs="宋体"/>
      <w:kern w:val="0"/>
      <w:sz w:val="24"/>
      <w:szCs w:val="24"/>
    </w:rPr>
  </w:style>
  <w:style w:type="paragraph" w:customStyle="1" w:styleId="ColorfulShading-Accent11">
    <w:name w:val="Colorful Shading - Accent 11"/>
    <w:uiPriority w:val="99"/>
    <w:semiHidden/>
    <w:rPr>
      <w:kern w:val="2"/>
      <w:sz w:val="21"/>
      <w:szCs w:val="22"/>
    </w:rPr>
  </w:style>
  <w:style w:type="table" w:styleId="af1">
    <w:name w:val="Table Grid"/>
    <w:basedOn w:val="a1"/>
    <w:uiPriority w:val="5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573797"/>
  </w:style>
  <w:style w:type="paragraph" w:styleId="af2">
    <w:name w:val="Plain Text"/>
    <w:basedOn w:val="a"/>
    <w:link w:val="Char5"/>
    <w:unhideWhenUsed/>
    <w:rsid w:val="009E03E1"/>
    <w:rPr>
      <w:rFonts w:ascii="宋体" w:hAnsi="Courier New" w:cs="Courier New"/>
      <w:szCs w:val="21"/>
    </w:rPr>
  </w:style>
  <w:style w:type="character" w:customStyle="1" w:styleId="Char5">
    <w:name w:val="纯文本 Char"/>
    <w:link w:val="af2"/>
    <w:rsid w:val="009E03E1"/>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29307">
      <w:bodyDiv w:val="1"/>
      <w:marLeft w:val="0"/>
      <w:marRight w:val="0"/>
      <w:marTop w:val="0"/>
      <w:marBottom w:val="0"/>
      <w:divBdr>
        <w:top w:val="none" w:sz="0" w:space="0" w:color="auto"/>
        <w:left w:val="none" w:sz="0" w:space="0" w:color="auto"/>
        <w:bottom w:val="none" w:sz="0" w:space="0" w:color="auto"/>
        <w:right w:val="none" w:sz="0" w:space="0" w:color="auto"/>
      </w:divBdr>
    </w:div>
    <w:div w:id="953363720">
      <w:bodyDiv w:val="1"/>
      <w:marLeft w:val="0"/>
      <w:marRight w:val="0"/>
      <w:marTop w:val="0"/>
      <w:marBottom w:val="0"/>
      <w:divBdr>
        <w:top w:val="none" w:sz="0" w:space="0" w:color="auto"/>
        <w:left w:val="none" w:sz="0" w:space="0" w:color="auto"/>
        <w:bottom w:val="none" w:sz="0" w:space="0" w:color="auto"/>
        <w:right w:val="none" w:sz="0" w:space="0" w:color="auto"/>
      </w:divBdr>
    </w:div>
    <w:div w:id="1149640206">
      <w:bodyDiv w:val="1"/>
      <w:marLeft w:val="0"/>
      <w:marRight w:val="0"/>
      <w:marTop w:val="0"/>
      <w:marBottom w:val="0"/>
      <w:divBdr>
        <w:top w:val="none" w:sz="0" w:space="0" w:color="auto"/>
        <w:left w:val="none" w:sz="0" w:space="0" w:color="auto"/>
        <w:bottom w:val="none" w:sz="0" w:space="0" w:color="auto"/>
        <w:right w:val="none" w:sz="0" w:space="0" w:color="auto"/>
      </w:divBdr>
    </w:div>
    <w:div w:id="1748112704">
      <w:bodyDiv w:val="1"/>
      <w:marLeft w:val="0"/>
      <w:marRight w:val="0"/>
      <w:marTop w:val="0"/>
      <w:marBottom w:val="0"/>
      <w:divBdr>
        <w:top w:val="none" w:sz="0" w:space="0" w:color="auto"/>
        <w:left w:val="none" w:sz="0" w:space="0" w:color="auto"/>
        <w:bottom w:val="none" w:sz="0" w:space="0" w:color="auto"/>
        <w:right w:val="none" w:sz="0" w:space="0" w:color="auto"/>
      </w:divBdr>
    </w:div>
    <w:div w:id="184616877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https:/orcid.org/0000-0001-5514-7243"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medcentralcanada.ca/pmcc/articles/PMC3945267/;jsessionid=91B7D8C4846C700E638A018524F4CAF7.thrasher?lang=en-ca" TargetMode="Externa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hyperlink" Target="mailto:liningbjah@163.com" TargetMode="Externa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60A04B0-869A-4BA0-9523-A0C7054FA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6243</Words>
  <Characters>35586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41746</CharactersWithSpaces>
  <SharedDoc>false</SharedDoc>
  <HLinks>
    <vt:vector size="36" baseType="variant">
      <vt:variant>
        <vt:i4>5963857</vt:i4>
      </vt:variant>
      <vt:variant>
        <vt:i4>15</vt:i4>
      </vt:variant>
      <vt:variant>
        <vt:i4>0</vt:i4>
      </vt:variant>
      <vt:variant>
        <vt:i4>5</vt:i4>
      </vt:variant>
      <vt:variant>
        <vt:lpwstr>http://pubmedcentralcanada.ca/pmcc/articles/PMC3945267/;jsessionid=91B7D8C4846C700E638A018524F4CAF7.thrasher?lang=en-ca</vt:lpwstr>
      </vt:variant>
      <vt:variant>
        <vt:lpwstr>B15</vt:lpwstr>
      </vt:variant>
      <vt:variant>
        <vt:i4>4390923</vt:i4>
      </vt:variant>
      <vt:variant>
        <vt:i4>12</vt:i4>
      </vt:variant>
      <vt:variant>
        <vt:i4>0</vt:i4>
      </vt:variant>
      <vt:variant>
        <vt:i4>5</vt:i4>
      </vt:variant>
      <vt:variant>
        <vt:lpwstr/>
      </vt:variant>
      <vt:variant>
        <vt:lpwstr>_ENREF_2</vt:lpwstr>
      </vt:variant>
      <vt:variant>
        <vt:i4>4390923</vt:i4>
      </vt:variant>
      <vt:variant>
        <vt:i4>9</vt:i4>
      </vt:variant>
      <vt:variant>
        <vt:i4>0</vt:i4>
      </vt:variant>
      <vt:variant>
        <vt:i4>5</vt:i4>
      </vt:variant>
      <vt:variant>
        <vt:lpwstr/>
      </vt:variant>
      <vt:variant>
        <vt:lpwstr>_ENREF_2</vt:lpwstr>
      </vt:variant>
      <vt:variant>
        <vt:i4>3801166</vt:i4>
      </vt:variant>
      <vt:variant>
        <vt:i4>6</vt:i4>
      </vt:variant>
      <vt:variant>
        <vt:i4>0</vt:i4>
      </vt:variant>
      <vt:variant>
        <vt:i4>5</vt:i4>
      </vt:variant>
      <vt:variant>
        <vt:lpwstr>mailto:liningbjah@163.com</vt:lpwstr>
      </vt:variant>
      <vt:variant>
        <vt:lpwstr/>
      </vt:variant>
      <vt:variant>
        <vt:i4>2555949</vt:i4>
      </vt:variant>
      <vt:variant>
        <vt:i4>3</vt:i4>
      </vt:variant>
      <vt:variant>
        <vt:i4>0</vt:i4>
      </vt:variant>
      <vt:variant>
        <vt:i4>5</vt:i4>
      </vt:variant>
      <vt:variant>
        <vt:lpwstr>http://creativecommons.org/licenses/by-nc/4.0/</vt:lpwstr>
      </vt:variant>
      <vt:variant>
        <vt:lpwstr/>
      </vt:variant>
      <vt:variant>
        <vt:i4>4980744</vt:i4>
      </vt:variant>
      <vt:variant>
        <vt:i4>0</vt:i4>
      </vt:variant>
      <vt:variant>
        <vt:i4>0</vt:i4>
      </vt:variant>
      <vt:variant>
        <vt:i4>5</vt:i4>
      </vt:variant>
      <vt:variant>
        <vt:lpwstr>http://orcid.org/https:/orcid.org/0000-0001-5514-7243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Quality Control Editor</dc:creator>
  <cp:lastModifiedBy>Wang Jie</cp:lastModifiedBy>
  <cp:revision>2</cp:revision>
  <cp:lastPrinted>2019-03-21T02:53:00Z</cp:lastPrinted>
  <dcterms:created xsi:type="dcterms:W3CDTF">2019-05-15T10:01:00Z</dcterms:created>
  <dcterms:modified xsi:type="dcterms:W3CDTF">2019-05-15T10:01:00Z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43473.5751273148</vt:r8>
  </property>
  <property fmtid="{D5CDD505-2E9C-101B-9397-08002B2CF9AE}" pid="4" name="KSOProductBuildVer">
    <vt:lpwstr>2052-11.1.0.8214</vt:lpwstr>
  </property>
</Properties>
</file>