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484C" w14:textId="0278C218" w:rsidR="00FC2E30" w:rsidRPr="006B05AE" w:rsidRDefault="00FC2E30" w:rsidP="00490A12">
      <w:pPr>
        <w:spacing w:line="360" w:lineRule="auto"/>
        <w:jc w:val="both"/>
        <w:rPr>
          <w:rFonts w:ascii="Book Antiqua" w:hAnsi="Book Antiqua"/>
          <w:b/>
        </w:rPr>
      </w:pPr>
      <w:r w:rsidRPr="006B05AE">
        <w:rPr>
          <w:rFonts w:ascii="Book Antiqua" w:hAnsi="Book Antiqua"/>
          <w:b/>
        </w:rPr>
        <w:t xml:space="preserve">Name of Journal: </w:t>
      </w:r>
      <w:r w:rsidRPr="006B05AE">
        <w:rPr>
          <w:rFonts w:ascii="Book Antiqua" w:hAnsi="Book Antiqua"/>
          <w:i/>
        </w:rPr>
        <w:t xml:space="preserve">World Journal of </w:t>
      </w:r>
      <w:proofErr w:type="spellStart"/>
      <w:r w:rsidRPr="006B05AE">
        <w:rPr>
          <w:rFonts w:ascii="Book Antiqua" w:hAnsi="Book Antiqua"/>
          <w:i/>
        </w:rPr>
        <w:t>Orthopedics</w:t>
      </w:r>
      <w:proofErr w:type="spellEnd"/>
    </w:p>
    <w:p w14:paraId="1BDE763C" w14:textId="1469DBE2" w:rsidR="00FC2E30" w:rsidRPr="006B05AE" w:rsidRDefault="00FC2E30" w:rsidP="00490A12">
      <w:pPr>
        <w:spacing w:line="360" w:lineRule="auto"/>
        <w:jc w:val="both"/>
        <w:rPr>
          <w:rFonts w:ascii="Book Antiqua" w:hAnsi="Book Antiqua"/>
          <w:b/>
        </w:rPr>
      </w:pPr>
      <w:r w:rsidRPr="006B05AE">
        <w:rPr>
          <w:rFonts w:ascii="Book Antiqua" w:hAnsi="Book Antiqua"/>
          <w:b/>
        </w:rPr>
        <w:t xml:space="preserve">Manuscript NO: </w:t>
      </w:r>
      <w:r w:rsidRPr="006B05AE">
        <w:rPr>
          <w:rFonts w:ascii="Book Antiqua" w:hAnsi="Book Antiqua"/>
        </w:rPr>
        <w:t>46151</w:t>
      </w:r>
    </w:p>
    <w:p w14:paraId="0405B6E3" w14:textId="08B0E1FC" w:rsidR="00FC2E30" w:rsidRPr="006B05AE" w:rsidRDefault="00FC2E30" w:rsidP="00490A12">
      <w:pPr>
        <w:spacing w:line="360" w:lineRule="auto"/>
        <w:jc w:val="both"/>
        <w:rPr>
          <w:rFonts w:ascii="Book Antiqua" w:hAnsi="Book Antiqua"/>
          <w:b/>
        </w:rPr>
      </w:pPr>
      <w:r w:rsidRPr="006B05AE">
        <w:rPr>
          <w:rFonts w:ascii="Book Antiqua" w:hAnsi="Book Antiqua"/>
          <w:b/>
        </w:rPr>
        <w:t>Manuscript Type:</w:t>
      </w:r>
      <w:r w:rsidRPr="006B05AE">
        <w:rPr>
          <w:rFonts w:ascii="Book Antiqua" w:hAnsi="Book Antiqua"/>
        </w:rPr>
        <w:t xml:space="preserve"> OPINION REVIEW</w:t>
      </w:r>
    </w:p>
    <w:p w14:paraId="11C90BC6" w14:textId="77777777" w:rsidR="00FC2E30" w:rsidRPr="006B05AE" w:rsidRDefault="00FC2E30" w:rsidP="00490A12">
      <w:pPr>
        <w:spacing w:line="360" w:lineRule="auto"/>
        <w:jc w:val="both"/>
        <w:rPr>
          <w:rFonts w:ascii="Book Antiqua" w:hAnsi="Book Antiqua"/>
          <w:b/>
        </w:rPr>
      </w:pPr>
    </w:p>
    <w:p w14:paraId="272BB2F6" w14:textId="37205190" w:rsidR="00E342B4" w:rsidRPr="006B05AE" w:rsidRDefault="00E342B4" w:rsidP="00490A12">
      <w:pPr>
        <w:spacing w:line="360" w:lineRule="auto"/>
        <w:jc w:val="both"/>
        <w:rPr>
          <w:rFonts w:ascii="Book Antiqua" w:hAnsi="Book Antiqua" w:cs="Calibri"/>
          <w:b/>
          <w:bCs/>
        </w:rPr>
      </w:pPr>
      <w:r w:rsidRPr="006B05AE">
        <w:rPr>
          <w:rFonts w:ascii="Book Antiqua" w:hAnsi="Book Antiqua" w:cs="Calibri"/>
          <w:b/>
          <w:bCs/>
        </w:rPr>
        <w:t>Delirium after emergency hip surgery – common and serious, but rarely consented for</w:t>
      </w:r>
    </w:p>
    <w:p w14:paraId="6DE5C6FE" w14:textId="77777777" w:rsidR="003B3644" w:rsidRPr="006B05AE" w:rsidRDefault="003B3644" w:rsidP="00490A12">
      <w:pPr>
        <w:spacing w:line="360" w:lineRule="auto"/>
        <w:jc w:val="both"/>
        <w:rPr>
          <w:rFonts w:ascii="Book Antiqua" w:hAnsi="Book Antiqua" w:cs="Calibri"/>
          <w:b/>
          <w:bCs/>
        </w:rPr>
      </w:pPr>
    </w:p>
    <w:p w14:paraId="527D512C" w14:textId="230FFBA1" w:rsidR="00E342B4" w:rsidRPr="006B05AE" w:rsidRDefault="003B3644" w:rsidP="00490A12">
      <w:pPr>
        <w:spacing w:line="360" w:lineRule="auto"/>
        <w:jc w:val="both"/>
        <w:rPr>
          <w:rFonts w:ascii="Book Antiqua" w:hAnsi="Book Antiqua" w:cs="Calibri"/>
          <w:bCs/>
        </w:rPr>
      </w:pPr>
      <w:proofErr w:type="spellStart"/>
      <w:r w:rsidRPr="006B05AE">
        <w:rPr>
          <w:rFonts w:ascii="Book Antiqua" w:hAnsi="Book Antiqua" w:cs="Calibri"/>
        </w:rPr>
        <w:t>Koizia</w:t>
      </w:r>
      <w:proofErr w:type="spellEnd"/>
      <w:r w:rsidRPr="006B05AE">
        <w:rPr>
          <w:rFonts w:ascii="Book Antiqua" w:hAnsi="Book Antiqua" w:cs="Calibri"/>
          <w:bCs/>
        </w:rPr>
        <w:t xml:space="preserve"> LJ </w:t>
      </w:r>
      <w:r w:rsidRPr="006B05AE">
        <w:rPr>
          <w:rFonts w:ascii="Book Antiqua" w:hAnsi="Book Antiqua" w:cs="Calibri"/>
          <w:bCs/>
          <w:i/>
        </w:rPr>
        <w:t xml:space="preserve">et al. </w:t>
      </w:r>
      <w:r w:rsidRPr="006B05AE">
        <w:rPr>
          <w:rFonts w:ascii="Book Antiqua" w:hAnsi="Book Antiqua" w:cs="Calibri"/>
          <w:bCs/>
        </w:rPr>
        <w:t>Delirium after emergency hip surgery</w:t>
      </w:r>
    </w:p>
    <w:p w14:paraId="373524FB" w14:textId="77777777" w:rsidR="003B3644" w:rsidRPr="006B05AE" w:rsidRDefault="003B3644" w:rsidP="00490A12">
      <w:pPr>
        <w:spacing w:line="360" w:lineRule="auto"/>
        <w:jc w:val="both"/>
        <w:rPr>
          <w:rFonts w:ascii="Book Antiqua" w:eastAsiaTheme="minorEastAsia" w:hAnsi="Book Antiqua" w:cs="Calibri"/>
          <w:b/>
          <w:bCs/>
          <w:lang w:eastAsia="zh-CN"/>
        </w:rPr>
      </w:pPr>
    </w:p>
    <w:p w14:paraId="1DA7B5C2" w14:textId="6768B75C" w:rsidR="00FC2E30" w:rsidRPr="006B05AE" w:rsidRDefault="00FC2E30" w:rsidP="00490A12">
      <w:pPr>
        <w:spacing w:line="360" w:lineRule="auto"/>
        <w:jc w:val="both"/>
        <w:rPr>
          <w:rFonts w:ascii="Book Antiqua" w:hAnsi="Book Antiqua" w:cs="Calibri"/>
        </w:rPr>
      </w:pPr>
      <w:r w:rsidRPr="006B05AE">
        <w:rPr>
          <w:rFonts w:ascii="Book Antiqua" w:hAnsi="Book Antiqua" w:cs="Calibri"/>
        </w:rPr>
        <w:t xml:space="preserve">Louis J </w:t>
      </w:r>
      <w:proofErr w:type="spellStart"/>
      <w:r w:rsidRPr="006B05AE">
        <w:rPr>
          <w:rFonts w:ascii="Book Antiqua" w:hAnsi="Book Antiqua" w:cs="Calibri"/>
        </w:rPr>
        <w:t>Koizia</w:t>
      </w:r>
      <w:proofErr w:type="spellEnd"/>
      <w:r w:rsidRPr="006B05AE">
        <w:rPr>
          <w:rFonts w:ascii="Book Antiqua" w:eastAsia="SimSun" w:hAnsi="Book Antiqua" w:cs="SimSun"/>
          <w:lang w:eastAsia="zh-CN"/>
        </w:rPr>
        <w:t xml:space="preserve">, </w:t>
      </w:r>
      <w:r w:rsidRPr="006B05AE">
        <w:rPr>
          <w:rFonts w:ascii="Book Antiqua" w:hAnsi="Book Antiqua" w:cs="Calibri"/>
        </w:rPr>
        <w:t>Faye Wilson,</w:t>
      </w:r>
      <w:r w:rsidRPr="006B05AE">
        <w:rPr>
          <w:rFonts w:ascii="Book Antiqua" w:eastAsiaTheme="minorEastAsia" w:hAnsi="Book Antiqua" w:cs="Calibri"/>
          <w:lang w:eastAsia="zh-CN"/>
        </w:rPr>
        <w:t xml:space="preserve"> </w:t>
      </w:r>
      <w:r w:rsidRPr="006B05AE">
        <w:rPr>
          <w:rFonts w:ascii="Book Antiqua" w:hAnsi="Book Antiqua" w:cs="Calibri"/>
        </w:rPr>
        <w:t>Peter Reilly,</w:t>
      </w:r>
      <w:r w:rsidRPr="006B05AE">
        <w:rPr>
          <w:rFonts w:ascii="Book Antiqua" w:eastAsiaTheme="minorEastAsia" w:hAnsi="Book Antiqua" w:cs="Calibri"/>
          <w:lang w:eastAsia="zh-CN"/>
        </w:rPr>
        <w:t xml:space="preserve"> </w:t>
      </w:r>
      <w:r w:rsidRPr="006B05AE">
        <w:rPr>
          <w:rFonts w:ascii="Book Antiqua" w:hAnsi="Book Antiqua" w:cs="Calibri"/>
        </w:rPr>
        <w:t xml:space="preserve">Michael B </w:t>
      </w:r>
      <w:proofErr w:type="spellStart"/>
      <w:r w:rsidRPr="006B05AE">
        <w:rPr>
          <w:rFonts w:ascii="Book Antiqua" w:hAnsi="Book Antiqua" w:cs="Calibri"/>
        </w:rPr>
        <w:t>Fertleman</w:t>
      </w:r>
      <w:proofErr w:type="spellEnd"/>
    </w:p>
    <w:p w14:paraId="5E06C1F7" w14:textId="77777777" w:rsidR="003B3644" w:rsidRPr="006B05AE" w:rsidRDefault="003B3644" w:rsidP="00490A12">
      <w:pPr>
        <w:spacing w:line="360" w:lineRule="auto"/>
        <w:jc w:val="both"/>
        <w:rPr>
          <w:rFonts w:ascii="Book Antiqua" w:eastAsia="SimSun" w:hAnsi="Book Antiqua" w:cs="SimSun"/>
          <w:lang w:val="en-US" w:eastAsia="zh-CN"/>
        </w:rPr>
      </w:pPr>
      <w:r w:rsidRPr="003B3644">
        <w:rPr>
          <w:rFonts w:ascii="Book Antiqua" w:eastAsia="SimSun" w:hAnsi="Book Antiqua" w:cs="SimSun"/>
          <w:b/>
          <w:bCs/>
          <w:lang w:val="en-US" w:eastAsia="zh-CN"/>
        </w:rPr>
        <w:br/>
        <w:t xml:space="preserve">Louis J </w:t>
      </w:r>
      <w:proofErr w:type="spellStart"/>
      <w:r w:rsidRPr="003B3644">
        <w:rPr>
          <w:rFonts w:ascii="Book Antiqua" w:eastAsia="SimSun" w:hAnsi="Book Antiqua" w:cs="SimSun"/>
          <w:b/>
          <w:bCs/>
          <w:lang w:val="en-US" w:eastAsia="zh-CN"/>
        </w:rPr>
        <w:t>Koizia</w:t>
      </w:r>
      <w:proofErr w:type="spellEnd"/>
      <w:r w:rsidRPr="003B3644">
        <w:rPr>
          <w:rFonts w:ascii="Book Antiqua" w:eastAsia="SimSun" w:hAnsi="Book Antiqua" w:cs="SimSun"/>
          <w:b/>
          <w:bCs/>
          <w:lang w:val="en-US" w:eastAsia="zh-CN"/>
        </w:rPr>
        <w:t xml:space="preserve">, Michael B </w:t>
      </w:r>
      <w:proofErr w:type="spellStart"/>
      <w:r w:rsidRPr="003B3644">
        <w:rPr>
          <w:rFonts w:ascii="Book Antiqua" w:eastAsia="SimSun" w:hAnsi="Book Antiqua" w:cs="SimSun"/>
          <w:b/>
          <w:bCs/>
          <w:lang w:val="en-US" w:eastAsia="zh-CN"/>
        </w:rPr>
        <w:t>Fertleman</w:t>
      </w:r>
      <w:proofErr w:type="spellEnd"/>
      <w:r w:rsidRPr="003B3644">
        <w:rPr>
          <w:rFonts w:ascii="Book Antiqua" w:eastAsia="SimSun" w:hAnsi="Book Antiqua" w:cs="SimSun"/>
          <w:b/>
          <w:bCs/>
          <w:lang w:val="en-US" w:eastAsia="zh-CN"/>
        </w:rPr>
        <w:t>, </w:t>
      </w:r>
      <w:r w:rsidRPr="003B3644">
        <w:rPr>
          <w:rFonts w:ascii="Book Antiqua" w:eastAsia="SimSun" w:hAnsi="Book Antiqua" w:cs="SimSun"/>
          <w:lang w:val="en-US" w:eastAsia="zh-CN"/>
        </w:rPr>
        <w:t>Geriatric Medicine, Imperial College NHS Trust, London W2 1NY, United Kingdom</w:t>
      </w:r>
    </w:p>
    <w:p w14:paraId="36BDCC53" w14:textId="77777777" w:rsidR="003B3644" w:rsidRPr="006B05AE" w:rsidRDefault="003B3644" w:rsidP="00490A12">
      <w:pPr>
        <w:spacing w:line="360" w:lineRule="auto"/>
        <w:jc w:val="both"/>
        <w:rPr>
          <w:rFonts w:ascii="Book Antiqua" w:eastAsia="SimSun" w:hAnsi="Book Antiqua" w:cs="SimSun"/>
          <w:lang w:val="en-US" w:eastAsia="zh-CN"/>
        </w:rPr>
      </w:pPr>
      <w:r w:rsidRPr="003B3644">
        <w:rPr>
          <w:rFonts w:ascii="Book Antiqua" w:eastAsia="SimSun" w:hAnsi="Book Antiqua" w:cs="SimSun"/>
          <w:lang w:val="en-US" w:eastAsia="zh-CN"/>
        </w:rPr>
        <w:br/>
      </w:r>
      <w:r w:rsidRPr="003B3644">
        <w:rPr>
          <w:rFonts w:ascii="Book Antiqua" w:eastAsia="SimSun" w:hAnsi="Book Antiqua" w:cs="SimSun"/>
          <w:b/>
          <w:bCs/>
          <w:lang w:val="en-US" w:eastAsia="zh-CN"/>
        </w:rPr>
        <w:t>Faye Wilson, </w:t>
      </w:r>
      <w:r w:rsidRPr="003B3644">
        <w:rPr>
          <w:rFonts w:ascii="Book Antiqua" w:eastAsia="SimSun" w:hAnsi="Book Antiqua" w:cs="SimSun"/>
          <w:lang w:val="en-US" w:eastAsia="zh-CN"/>
        </w:rPr>
        <w:t>Geriatric Medicine, City Hospitals Sunderland, Sunderland SR4 7TP, United Kingdom</w:t>
      </w:r>
    </w:p>
    <w:p w14:paraId="3BD5DFD5" w14:textId="444C1B3D" w:rsidR="003B3644" w:rsidRPr="006B05AE" w:rsidRDefault="003B3644" w:rsidP="00490A12">
      <w:pPr>
        <w:spacing w:line="360" w:lineRule="auto"/>
        <w:jc w:val="both"/>
        <w:rPr>
          <w:rFonts w:ascii="Book Antiqua" w:eastAsia="SimSun" w:hAnsi="Book Antiqua" w:cs="SimSun"/>
          <w:lang w:val="en-US" w:eastAsia="zh-CN"/>
        </w:rPr>
      </w:pPr>
      <w:r w:rsidRPr="003B3644">
        <w:rPr>
          <w:rFonts w:ascii="Book Antiqua" w:eastAsia="SimSun" w:hAnsi="Book Antiqua" w:cs="SimSun"/>
          <w:lang w:val="en-US" w:eastAsia="zh-CN"/>
        </w:rPr>
        <w:br/>
      </w:r>
      <w:r w:rsidRPr="003B3644">
        <w:rPr>
          <w:rFonts w:ascii="Book Antiqua" w:eastAsia="SimSun" w:hAnsi="Book Antiqua" w:cs="SimSun"/>
          <w:b/>
          <w:bCs/>
          <w:lang w:val="en-US" w:eastAsia="zh-CN"/>
        </w:rPr>
        <w:t>Peter Reilly, </w:t>
      </w:r>
      <w:r w:rsidRPr="003B3644">
        <w:rPr>
          <w:rFonts w:ascii="Book Antiqua" w:eastAsia="SimSun" w:hAnsi="Book Antiqua" w:cs="SimSun"/>
          <w:lang w:val="en-US" w:eastAsia="zh-CN"/>
        </w:rPr>
        <w:t xml:space="preserve">Department of Trauma and </w:t>
      </w:r>
      <w:proofErr w:type="spellStart"/>
      <w:r w:rsidRPr="003B3644">
        <w:rPr>
          <w:rFonts w:ascii="Book Antiqua" w:eastAsia="SimSun" w:hAnsi="Book Antiqua" w:cs="SimSun"/>
          <w:lang w:val="en-US" w:eastAsia="zh-CN"/>
        </w:rPr>
        <w:t>Orthopaedics</w:t>
      </w:r>
      <w:proofErr w:type="spellEnd"/>
      <w:r w:rsidRPr="003B3644">
        <w:rPr>
          <w:rFonts w:ascii="Book Antiqua" w:eastAsia="SimSun" w:hAnsi="Book Antiqua" w:cs="SimSun"/>
          <w:lang w:val="en-US" w:eastAsia="zh-CN"/>
        </w:rPr>
        <w:t>, Imperial College Healthcare NHS Trust, London W2 1NY, United Kingdom</w:t>
      </w:r>
    </w:p>
    <w:p w14:paraId="45DA4021" w14:textId="77777777" w:rsidR="003B3644" w:rsidRPr="006B05AE" w:rsidRDefault="003B3644" w:rsidP="00490A12">
      <w:pPr>
        <w:spacing w:line="360" w:lineRule="auto"/>
        <w:jc w:val="both"/>
        <w:rPr>
          <w:rFonts w:ascii="Book Antiqua" w:eastAsiaTheme="minorEastAsia" w:hAnsi="Book Antiqua" w:cs="Calibri"/>
          <w:b/>
          <w:bCs/>
          <w:lang w:val="en-US" w:eastAsia="zh-CN"/>
        </w:rPr>
      </w:pPr>
    </w:p>
    <w:p w14:paraId="57E4FF43" w14:textId="77777777" w:rsidR="003B3644" w:rsidRPr="006B05AE" w:rsidRDefault="003B3644" w:rsidP="00490A12">
      <w:pPr>
        <w:spacing w:line="360" w:lineRule="auto"/>
        <w:jc w:val="both"/>
        <w:rPr>
          <w:rFonts w:ascii="Book Antiqua" w:hAnsi="Book Antiqua" w:cs="Calibri"/>
        </w:rPr>
      </w:pPr>
      <w:r w:rsidRPr="006B05AE">
        <w:rPr>
          <w:rFonts w:ascii="Book Antiqua" w:hAnsi="Book Antiqua"/>
          <w:b/>
        </w:rPr>
        <w:t>ORCID number:</w:t>
      </w:r>
      <w:r w:rsidRPr="006B05AE">
        <w:rPr>
          <w:rFonts w:ascii="Book Antiqua" w:hAnsi="Book Antiqua"/>
        </w:rPr>
        <w:t> </w:t>
      </w:r>
      <w:r w:rsidRPr="006B05AE">
        <w:rPr>
          <w:rFonts w:ascii="Book Antiqua" w:hAnsi="Book Antiqua" w:cs="Calibri"/>
        </w:rPr>
        <w:t xml:space="preserve">Louis J </w:t>
      </w:r>
      <w:proofErr w:type="spellStart"/>
      <w:r w:rsidRPr="006B05AE">
        <w:rPr>
          <w:rFonts w:ascii="Book Antiqua" w:hAnsi="Book Antiqua" w:cs="Calibri"/>
        </w:rPr>
        <w:t>Koizia</w:t>
      </w:r>
      <w:proofErr w:type="spellEnd"/>
      <w:r w:rsidRPr="006B05AE">
        <w:rPr>
          <w:rFonts w:ascii="Book Antiqua" w:hAnsi="Book Antiqua" w:cs="Calibri"/>
        </w:rPr>
        <w:t xml:space="preserve"> (0000-0003-4074-6926);</w:t>
      </w:r>
      <w:r w:rsidRPr="006B05AE">
        <w:rPr>
          <w:rFonts w:ascii="Book Antiqua" w:eastAsiaTheme="minorEastAsia" w:hAnsi="Book Antiqua" w:cs="Calibri"/>
          <w:lang w:eastAsia="zh-CN"/>
        </w:rPr>
        <w:t xml:space="preserve"> </w:t>
      </w:r>
      <w:r w:rsidRPr="006B05AE">
        <w:rPr>
          <w:rFonts w:ascii="Book Antiqua" w:hAnsi="Book Antiqua" w:cs="Calibri"/>
        </w:rPr>
        <w:t>Faye Wilson (0000-0002-4438-0370);</w:t>
      </w:r>
      <w:r w:rsidRPr="006B05AE">
        <w:rPr>
          <w:rFonts w:ascii="Book Antiqua" w:eastAsiaTheme="minorEastAsia" w:hAnsi="Book Antiqua" w:cs="Calibri"/>
          <w:lang w:eastAsia="zh-CN"/>
        </w:rPr>
        <w:t xml:space="preserve"> </w:t>
      </w:r>
      <w:r w:rsidRPr="006B05AE">
        <w:rPr>
          <w:rFonts w:ascii="Book Antiqua" w:hAnsi="Book Antiqua" w:cs="Calibri"/>
        </w:rPr>
        <w:t>Peter Reilly (0000-0002-3872-910X);</w:t>
      </w:r>
      <w:r w:rsidRPr="006B05AE">
        <w:rPr>
          <w:rFonts w:ascii="Book Antiqua" w:eastAsiaTheme="minorEastAsia" w:hAnsi="Book Antiqua" w:cs="Calibri"/>
          <w:lang w:eastAsia="zh-CN"/>
        </w:rPr>
        <w:t xml:space="preserve"> </w:t>
      </w:r>
      <w:r w:rsidRPr="006B05AE">
        <w:rPr>
          <w:rFonts w:ascii="Book Antiqua" w:hAnsi="Book Antiqua" w:cs="Calibri"/>
        </w:rPr>
        <w:t xml:space="preserve">Michael B </w:t>
      </w:r>
      <w:proofErr w:type="spellStart"/>
      <w:r w:rsidRPr="006B05AE">
        <w:rPr>
          <w:rFonts w:ascii="Book Antiqua" w:hAnsi="Book Antiqua" w:cs="Calibri"/>
        </w:rPr>
        <w:t>Fertleman</w:t>
      </w:r>
      <w:proofErr w:type="spellEnd"/>
      <w:r w:rsidRPr="006B05AE">
        <w:rPr>
          <w:rFonts w:ascii="Book Antiqua" w:hAnsi="Book Antiqua" w:cs="Calibri"/>
        </w:rPr>
        <w:t xml:space="preserve"> (0000-0003-4023-1156).</w:t>
      </w:r>
    </w:p>
    <w:p w14:paraId="71EC5DF8" w14:textId="77777777" w:rsidR="00FC2E30" w:rsidRPr="006B05AE" w:rsidRDefault="00FC2E30" w:rsidP="00490A12">
      <w:pPr>
        <w:spacing w:line="360" w:lineRule="auto"/>
        <w:jc w:val="both"/>
        <w:rPr>
          <w:rFonts w:ascii="Book Antiqua" w:eastAsiaTheme="minorEastAsia" w:hAnsi="Book Antiqua" w:cs="Calibri"/>
          <w:b/>
          <w:bCs/>
          <w:lang w:eastAsia="zh-CN"/>
        </w:rPr>
      </w:pPr>
    </w:p>
    <w:p w14:paraId="364217BF" w14:textId="46985E4F" w:rsidR="00E07378" w:rsidRPr="006B05AE" w:rsidRDefault="003B3644" w:rsidP="00490A12">
      <w:pPr>
        <w:spacing w:line="360" w:lineRule="auto"/>
        <w:jc w:val="both"/>
        <w:rPr>
          <w:rFonts w:ascii="Book Antiqua" w:hAnsi="Book Antiqua" w:cs="Calibri"/>
          <w:shd w:val="clear" w:color="auto" w:fill="FFFFFF"/>
          <w:lang w:eastAsia="en-GB"/>
        </w:rPr>
      </w:pPr>
      <w:r w:rsidRPr="006B05AE">
        <w:rPr>
          <w:rFonts w:ascii="Book Antiqua" w:hAnsi="Book Antiqua"/>
          <w:b/>
        </w:rPr>
        <w:t>Author contributions:</w:t>
      </w:r>
      <w:r w:rsidR="00E07378" w:rsidRPr="006B05AE">
        <w:rPr>
          <w:rFonts w:ascii="Book Antiqua" w:hAnsi="Book Antiqua" w:cs="Calibri"/>
          <w:shd w:val="clear" w:color="auto" w:fill="FFFFFF"/>
          <w:lang w:eastAsia="en-GB"/>
        </w:rPr>
        <w:t xml:space="preserve"> The authors state equal contribution in the elaboration of this manuscript</w:t>
      </w:r>
      <w:r w:rsidRPr="006B05AE">
        <w:rPr>
          <w:rFonts w:ascii="Book Antiqua" w:hAnsi="Book Antiqua" w:cs="Calibri"/>
          <w:shd w:val="clear" w:color="auto" w:fill="FFFFFF"/>
          <w:lang w:eastAsia="en-GB"/>
        </w:rPr>
        <w:t>;</w:t>
      </w:r>
      <w:r w:rsidR="00E07378" w:rsidRPr="006B05AE">
        <w:rPr>
          <w:rFonts w:ascii="Book Antiqua" w:hAnsi="Book Antiqua" w:cs="Calibri"/>
          <w:shd w:val="clear" w:color="auto" w:fill="FFFFFF"/>
          <w:lang w:eastAsia="en-GB"/>
        </w:rPr>
        <w:t xml:space="preserve"> </w:t>
      </w:r>
      <w:proofErr w:type="spellStart"/>
      <w:r w:rsidRPr="006B05AE">
        <w:rPr>
          <w:rFonts w:ascii="Book Antiqua" w:hAnsi="Book Antiqua" w:cs="Calibri"/>
        </w:rPr>
        <w:t>Koizia</w:t>
      </w:r>
      <w:proofErr w:type="spellEnd"/>
      <w:r w:rsidRPr="006B05AE">
        <w:rPr>
          <w:rFonts w:ascii="Book Antiqua" w:hAnsi="Book Antiqua" w:cs="Calibri"/>
          <w:shd w:val="clear" w:color="auto" w:fill="FFFFFF"/>
          <w:lang w:eastAsia="en-GB"/>
        </w:rPr>
        <w:t xml:space="preserve"> </w:t>
      </w:r>
      <w:r w:rsidR="00E07378" w:rsidRPr="006B05AE">
        <w:rPr>
          <w:rFonts w:ascii="Book Antiqua" w:hAnsi="Book Antiqua" w:cs="Calibri"/>
          <w:shd w:val="clear" w:color="auto" w:fill="FFFFFF"/>
          <w:lang w:eastAsia="en-GB"/>
        </w:rPr>
        <w:t>L</w:t>
      </w:r>
      <w:r w:rsidRPr="006B05AE">
        <w:rPr>
          <w:rFonts w:ascii="Book Antiqua" w:hAnsi="Book Antiqua" w:cs="Calibri"/>
          <w:shd w:val="clear" w:color="auto" w:fill="FFFFFF"/>
          <w:lang w:eastAsia="en-GB"/>
        </w:rPr>
        <w:t>J</w:t>
      </w:r>
      <w:r w:rsidR="00E07378" w:rsidRPr="006B05AE">
        <w:rPr>
          <w:rFonts w:ascii="Book Antiqua" w:hAnsi="Book Antiqua" w:cs="Calibri"/>
          <w:shd w:val="clear" w:color="auto" w:fill="FFFFFF"/>
          <w:lang w:eastAsia="en-GB"/>
        </w:rPr>
        <w:t xml:space="preserve"> undertook literature review and wrote the manuscript</w:t>
      </w:r>
      <w:r w:rsidRPr="006B05AE">
        <w:rPr>
          <w:rFonts w:ascii="Book Antiqua" w:hAnsi="Book Antiqua" w:cs="Calibri"/>
          <w:shd w:val="clear" w:color="auto" w:fill="FFFFFF"/>
          <w:lang w:eastAsia="en-GB"/>
        </w:rPr>
        <w:t xml:space="preserve">; </w:t>
      </w:r>
      <w:r w:rsidRPr="006B05AE">
        <w:rPr>
          <w:rFonts w:ascii="Book Antiqua" w:hAnsi="Book Antiqua" w:cs="Calibri"/>
        </w:rPr>
        <w:t>Wilson</w:t>
      </w:r>
      <w:r w:rsidRPr="006B05AE">
        <w:rPr>
          <w:rFonts w:ascii="Book Antiqua" w:hAnsi="Book Antiqua" w:cs="Calibri"/>
          <w:shd w:val="clear" w:color="auto" w:fill="FFFFFF"/>
          <w:lang w:eastAsia="en-GB"/>
        </w:rPr>
        <w:t xml:space="preserve"> </w:t>
      </w:r>
      <w:r w:rsidR="00E07378" w:rsidRPr="006B05AE">
        <w:rPr>
          <w:rFonts w:ascii="Book Antiqua" w:hAnsi="Book Antiqua" w:cs="Calibri"/>
          <w:shd w:val="clear" w:color="auto" w:fill="FFFFFF"/>
          <w:lang w:eastAsia="en-GB"/>
        </w:rPr>
        <w:t>F completed literature review and wrote the manuscript</w:t>
      </w:r>
      <w:r w:rsidRPr="006B05AE">
        <w:rPr>
          <w:rFonts w:ascii="Book Antiqua" w:hAnsi="Book Antiqua" w:cs="Calibri"/>
          <w:shd w:val="clear" w:color="auto" w:fill="FFFFFF"/>
          <w:lang w:eastAsia="en-GB"/>
        </w:rPr>
        <w:t xml:space="preserve">; </w:t>
      </w:r>
      <w:r w:rsidRPr="006B05AE">
        <w:rPr>
          <w:rFonts w:ascii="Book Antiqua" w:hAnsi="Book Antiqua" w:cs="Calibri"/>
        </w:rPr>
        <w:t>Reilly</w:t>
      </w:r>
      <w:r w:rsidRPr="006B05AE">
        <w:rPr>
          <w:rFonts w:ascii="Book Antiqua" w:hAnsi="Book Antiqua" w:cs="Calibri"/>
          <w:shd w:val="clear" w:color="auto" w:fill="FFFFFF"/>
          <w:lang w:eastAsia="en-GB"/>
        </w:rPr>
        <w:t xml:space="preserve"> </w:t>
      </w:r>
      <w:r w:rsidR="00E07378" w:rsidRPr="006B05AE">
        <w:rPr>
          <w:rFonts w:ascii="Book Antiqua" w:hAnsi="Book Antiqua" w:cs="Calibri"/>
          <w:shd w:val="clear" w:color="auto" w:fill="FFFFFF"/>
          <w:lang w:eastAsia="en-GB"/>
        </w:rPr>
        <w:t>P edited the final manuscript</w:t>
      </w:r>
      <w:r w:rsidRPr="006B05AE">
        <w:rPr>
          <w:rFonts w:ascii="Book Antiqua" w:hAnsi="Book Antiqua" w:cs="Calibri"/>
          <w:shd w:val="clear" w:color="auto" w:fill="FFFFFF"/>
          <w:lang w:eastAsia="en-GB"/>
        </w:rPr>
        <w:t xml:space="preserve">; </w:t>
      </w:r>
      <w:proofErr w:type="spellStart"/>
      <w:r w:rsidRPr="006B05AE">
        <w:rPr>
          <w:rFonts w:ascii="Book Antiqua" w:hAnsi="Book Antiqua" w:cs="Calibri"/>
        </w:rPr>
        <w:t>Fertleman</w:t>
      </w:r>
      <w:proofErr w:type="spellEnd"/>
      <w:r w:rsidRPr="006B05AE">
        <w:rPr>
          <w:rFonts w:ascii="Book Antiqua" w:hAnsi="Book Antiqua" w:cs="Calibri"/>
          <w:shd w:val="clear" w:color="auto" w:fill="FFFFFF"/>
          <w:lang w:eastAsia="en-GB"/>
        </w:rPr>
        <w:t xml:space="preserve"> </w:t>
      </w:r>
      <w:r w:rsidR="00E07378" w:rsidRPr="006B05AE">
        <w:rPr>
          <w:rFonts w:ascii="Book Antiqua" w:hAnsi="Book Antiqua" w:cs="Calibri"/>
          <w:shd w:val="clear" w:color="auto" w:fill="FFFFFF"/>
          <w:lang w:eastAsia="en-GB"/>
        </w:rPr>
        <w:t>M</w:t>
      </w:r>
      <w:r w:rsidRPr="006B05AE">
        <w:rPr>
          <w:rFonts w:ascii="Book Antiqua" w:hAnsi="Book Antiqua" w:cs="Calibri"/>
          <w:shd w:val="clear" w:color="auto" w:fill="FFFFFF"/>
          <w:lang w:eastAsia="en-GB"/>
        </w:rPr>
        <w:t>B</w:t>
      </w:r>
      <w:r w:rsidR="00E07378" w:rsidRPr="006B05AE">
        <w:rPr>
          <w:rFonts w:ascii="Book Antiqua" w:hAnsi="Book Antiqua" w:cs="Calibri"/>
          <w:shd w:val="clear" w:color="auto" w:fill="FFFFFF"/>
          <w:lang w:eastAsia="en-GB"/>
        </w:rPr>
        <w:t xml:space="preserve"> oversaw the project and wrote the manuscript. </w:t>
      </w:r>
    </w:p>
    <w:p w14:paraId="5E66DBC8" w14:textId="77777777" w:rsidR="00382DDD" w:rsidRPr="006B05AE" w:rsidRDefault="00382DDD" w:rsidP="00490A12">
      <w:pPr>
        <w:spacing w:line="360" w:lineRule="auto"/>
        <w:jc w:val="both"/>
        <w:rPr>
          <w:rFonts w:ascii="Book Antiqua" w:hAnsi="Book Antiqua" w:cs="Calibri"/>
          <w:shd w:val="clear" w:color="auto" w:fill="FFFFFF"/>
          <w:lang w:eastAsia="en-GB"/>
        </w:rPr>
      </w:pPr>
    </w:p>
    <w:p w14:paraId="322BD487" w14:textId="09ACD5F2" w:rsidR="00382DDD" w:rsidRPr="006B05AE" w:rsidRDefault="00382DDD" w:rsidP="00490A12">
      <w:pPr>
        <w:spacing w:line="360" w:lineRule="auto"/>
        <w:jc w:val="both"/>
        <w:rPr>
          <w:rFonts w:ascii="Book Antiqua" w:hAnsi="Book Antiqua"/>
          <w:b/>
        </w:rPr>
      </w:pPr>
      <w:r w:rsidRPr="006B05AE">
        <w:rPr>
          <w:rFonts w:ascii="Book Antiqua" w:hAnsi="Book Antiqua"/>
          <w:b/>
        </w:rPr>
        <w:t>Conflict-of-interest statement</w:t>
      </w:r>
      <w:r w:rsidRPr="006B05AE">
        <w:rPr>
          <w:rFonts w:ascii="Book Antiqua" w:hAnsi="Book Antiqua" w:cs="TimesNewRomanPS-BoldItalicMT"/>
          <w:b/>
          <w:iCs/>
        </w:rPr>
        <w:t xml:space="preserve">: </w:t>
      </w:r>
      <w:r w:rsidRPr="006B05AE">
        <w:rPr>
          <w:rFonts w:ascii="Book Antiqua" w:hAnsi="Book Antiqua" w:cs="Calibri"/>
          <w:shd w:val="clear" w:color="auto" w:fill="FFFFFF"/>
          <w:lang w:eastAsia="en-GB"/>
        </w:rPr>
        <w:t>The authors each declare no conflict of interest.</w:t>
      </w:r>
    </w:p>
    <w:p w14:paraId="7AD57D2B" w14:textId="77777777" w:rsidR="00382DDD" w:rsidRPr="006B05AE" w:rsidRDefault="00382DDD" w:rsidP="00490A12">
      <w:pPr>
        <w:adjustRightInd w:val="0"/>
        <w:snapToGrid w:val="0"/>
        <w:spacing w:line="360" w:lineRule="auto"/>
        <w:jc w:val="both"/>
        <w:rPr>
          <w:rFonts w:ascii="Book Antiqua" w:hAnsi="Book Antiqua"/>
        </w:rPr>
      </w:pPr>
    </w:p>
    <w:p w14:paraId="6B2FCDA2" w14:textId="77777777" w:rsidR="00382DDD" w:rsidRPr="006B05AE" w:rsidRDefault="00382DDD" w:rsidP="00490A12">
      <w:pPr>
        <w:adjustRightInd w:val="0"/>
        <w:snapToGrid w:val="0"/>
        <w:spacing w:line="360" w:lineRule="auto"/>
        <w:jc w:val="both"/>
        <w:rPr>
          <w:rFonts w:ascii="Book Antiqua" w:hAnsi="Book Antiqua"/>
        </w:rPr>
      </w:pPr>
      <w:r w:rsidRPr="006B05AE">
        <w:rPr>
          <w:rFonts w:ascii="Book Antiqua" w:hAnsi="Book Antiqua"/>
          <w:b/>
        </w:rPr>
        <w:lastRenderedPageBreak/>
        <w:t xml:space="preserve">Open-Access: </w:t>
      </w:r>
      <w:r w:rsidRPr="006B05A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B05AE">
          <w:rPr>
            <w:rStyle w:val="Hyperlink"/>
            <w:rFonts w:ascii="Book Antiqua" w:hAnsi="Book Antiqua"/>
            <w:color w:val="auto"/>
            <w:u w:val="none"/>
          </w:rPr>
          <w:t>http://creativecommons.org/licenses/by-nc/4.0/</w:t>
        </w:r>
      </w:hyperlink>
    </w:p>
    <w:p w14:paraId="0BB87BE4" w14:textId="2B0A74C1" w:rsidR="0085244A" w:rsidRPr="006B05AE" w:rsidRDefault="0085244A" w:rsidP="00490A12">
      <w:pPr>
        <w:spacing w:line="360" w:lineRule="auto"/>
        <w:jc w:val="both"/>
        <w:rPr>
          <w:rFonts w:ascii="Book Antiqua" w:hAnsi="Book Antiqua" w:cs="Calibri"/>
        </w:rPr>
      </w:pPr>
    </w:p>
    <w:p w14:paraId="4B2DD592" w14:textId="071FD6F0" w:rsidR="00382DDD" w:rsidRPr="006B05AE" w:rsidRDefault="00382DDD" w:rsidP="00490A12">
      <w:pPr>
        <w:spacing w:line="360" w:lineRule="auto"/>
        <w:jc w:val="both"/>
        <w:rPr>
          <w:rFonts w:ascii="Book Antiqua" w:eastAsia="SimSun" w:hAnsi="Book Antiqua" w:cs="SimSun"/>
        </w:rPr>
      </w:pPr>
      <w:r w:rsidRPr="006B05AE">
        <w:rPr>
          <w:rFonts w:ascii="Book Antiqua" w:eastAsia="SimSun" w:hAnsi="Book Antiqua" w:cs="SimSun"/>
          <w:b/>
        </w:rPr>
        <w:t>Manuscript source:</w:t>
      </w:r>
      <w:r w:rsidRPr="006B05AE">
        <w:rPr>
          <w:rFonts w:ascii="Book Antiqua" w:eastAsia="SimSun" w:hAnsi="Book Antiqua" w:cs="SimSun"/>
        </w:rPr>
        <w:t> Unsolicited manuscript</w:t>
      </w:r>
    </w:p>
    <w:p w14:paraId="6B85593A" w14:textId="77777777" w:rsidR="00382DDD" w:rsidRPr="006B05AE" w:rsidRDefault="00382DDD" w:rsidP="00490A12">
      <w:pPr>
        <w:spacing w:line="360" w:lineRule="auto"/>
        <w:jc w:val="both"/>
        <w:rPr>
          <w:rFonts w:ascii="Book Antiqua" w:hAnsi="Book Antiqua" w:cs="Calibri"/>
        </w:rPr>
      </w:pPr>
    </w:p>
    <w:p w14:paraId="4BAAB20B" w14:textId="52562CF1" w:rsidR="00F71628" w:rsidRPr="006B05AE" w:rsidRDefault="003B3644" w:rsidP="00490A12">
      <w:pPr>
        <w:spacing w:line="360" w:lineRule="auto"/>
        <w:jc w:val="both"/>
        <w:rPr>
          <w:rFonts w:ascii="Book Antiqua" w:hAnsi="Book Antiqua"/>
          <w:b/>
        </w:rPr>
      </w:pPr>
      <w:r w:rsidRPr="006B05AE">
        <w:rPr>
          <w:rFonts w:ascii="Book Antiqua" w:hAnsi="Book Antiqua"/>
          <w:b/>
        </w:rPr>
        <w:t xml:space="preserve">Corresponding author: </w:t>
      </w:r>
      <w:r w:rsidR="00F71628" w:rsidRPr="006B05AE">
        <w:rPr>
          <w:rFonts w:ascii="Book Antiqua" w:hAnsi="Book Antiqua"/>
          <w:b/>
        </w:rPr>
        <w:t xml:space="preserve">Louis J </w:t>
      </w:r>
      <w:proofErr w:type="spellStart"/>
      <w:r w:rsidR="00F71628" w:rsidRPr="006B05AE">
        <w:rPr>
          <w:rFonts w:ascii="Book Antiqua" w:hAnsi="Book Antiqua"/>
          <w:b/>
        </w:rPr>
        <w:t>Koizia</w:t>
      </w:r>
      <w:proofErr w:type="spellEnd"/>
      <w:r w:rsidR="00F71628" w:rsidRPr="006B05AE">
        <w:rPr>
          <w:rFonts w:ascii="Book Antiqua" w:hAnsi="Book Antiqua"/>
          <w:b/>
        </w:rPr>
        <w:t xml:space="preserve">, MRCP, Doctor, </w:t>
      </w:r>
      <w:r w:rsidR="00F71628" w:rsidRPr="006B05AE">
        <w:rPr>
          <w:rFonts w:ascii="Book Antiqua" w:hAnsi="Book Antiqua"/>
        </w:rPr>
        <w:t xml:space="preserve">Geriatric Medicine, Imperial College NHS Trust, </w:t>
      </w:r>
      <w:proofErr w:type="spellStart"/>
      <w:r w:rsidR="00F71628" w:rsidRPr="006B05AE">
        <w:rPr>
          <w:rFonts w:ascii="Book Antiqua" w:hAnsi="Book Antiqua"/>
        </w:rPr>
        <w:t>Praed</w:t>
      </w:r>
      <w:proofErr w:type="spellEnd"/>
      <w:r w:rsidR="00F71628" w:rsidRPr="006B05AE">
        <w:rPr>
          <w:rFonts w:ascii="Book Antiqua" w:hAnsi="Book Antiqua"/>
        </w:rPr>
        <w:t xml:space="preserve"> Street, Paddington, London W2 1NY, United Kingdom. l.koizia@nhs.net</w:t>
      </w:r>
    </w:p>
    <w:p w14:paraId="505BF118" w14:textId="202A445A" w:rsidR="0085244A" w:rsidRPr="006B05AE" w:rsidRDefault="0085244A" w:rsidP="00490A12">
      <w:pPr>
        <w:spacing w:line="360" w:lineRule="auto"/>
        <w:jc w:val="both"/>
        <w:rPr>
          <w:rFonts w:ascii="Book Antiqua" w:hAnsi="Book Antiqua" w:cs="Calibri"/>
        </w:rPr>
      </w:pPr>
      <w:r w:rsidRPr="006B05AE">
        <w:rPr>
          <w:rFonts w:ascii="Book Antiqua" w:hAnsi="Book Antiqua" w:cs="Calibri"/>
          <w:b/>
        </w:rPr>
        <w:t xml:space="preserve">Telephone: </w:t>
      </w:r>
      <w:r w:rsidR="00F71628" w:rsidRPr="006B05AE">
        <w:rPr>
          <w:rFonts w:ascii="Book Antiqua" w:hAnsi="Book Antiqua" w:cs="Calibri"/>
        </w:rPr>
        <w:t>+</w:t>
      </w:r>
      <w:r w:rsidR="00302506" w:rsidRPr="006B05AE">
        <w:rPr>
          <w:rFonts w:ascii="Book Antiqua" w:hAnsi="Book Antiqua" w:cs="Calibri"/>
        </w:rPr>
        <w:t>44</w:t>
      </w:r>
      <w:r w:rsidR="00F71628" w:rsidRPr="006B05AE">
        <w:rPr>
          <w:rFonts w:ascii="Book Antiqua" w:hAnsi="Book Antiqua" w:cs="Calibri"/>
        </w:rPr>
        <w:t>-</w:t>
      </w:r>
      <w:r w:rsidR="00302506" w:rsidRPr="006B05AE">
        <w:rPr>
          <w:rFonts w:ascii="Book Antiqua" w:hAnsi="Book Antiqua" w:cs="Calibri"/>
        </w:rPr>
        <w:t>20</w:t>
      </w:r>
      <w:r w:rsidR="00F71628" w:rsidRPr="006B05AE">
        <w:rPr>
          <w:rFonts w:ascii="Book Antiqua" w:hAnsi="Book Antiqua" w:cs="Calibri"/>
        </w:rPr>
        <w:t>-</w:t>
      </w:r>
      <w:r w:rsidR="00302506" w:rsidRPr="006B05AE">
        <w:rPr>
          <w:rFonts w:ascii="Book Antiqua" w:hAnsi="Book Antiqua" w:cs="Calibri"/>
        </w:rPr>
        <w:t>33121077</w:t>
      </w:r>
    </w:p>
    <w:p w14:paraId="1610A9C9" w14:textId="420D2705" w:rsidR="00302506" w:rsidRPr="006B05AE" w:rsidRDefault="0085244A" w:rsidP="00490A12">
      <w:pPr>
        <w:spacing w:line="360" w:lineRule="auto"/>
        <w:jc w:val="both"/>
        <w:rPr>
          <w:rFonts w:ascii="Book Antiqua" w:hAnsi="Book Antiqua" w:cs="Calibri"/>
          <w:b/>
        </w:rPr>
      </w:pPr>
      <w:r w:rsidRPr="006B05AE">
        <w:rPr>
          <w:rFonts w:ascii="Book Antiqua" w:hAnsi="Book Antiqua" w:cs="Calibri"/>
          <w:b/>
        </w:rPr>
        <w:t>Fax:</w:t>
      </w:r>
      <w:r w:rsidR="00302506" w:rsidRPr="006B05AE">
        <w:rPr>
          <w:rFonts w:ascii="Book Antiqua" w:hAnsi="Book Antiqua" w:cs="Calibri"/>
          <w:b/>
        </w:rPr>
        <w:t xml:space="preserve"> </w:t>
      </w:r>
      <w:r w:rsidR="00F71628" w:rsidRPr="006B05AE">
        <w:rPr>
          <w:rFonts w:ascii="Book Antiqua" w:hAnsi="Book Antiqua" w:cs="Calibri"/>
        </w:rPr>
        <w:t>+</w:t>
      </w:r>
      <w:r w:rsidR="00302506" w:rsidRPr="006B05AE">
        <w:rPr>
          <w:rFonts w:ascii="Book Antiqua" w:hAnsi="Book Antiqua" w:cs="Calibri"/>
        </w:rPr>
        <w:t>44</w:t>
      </w:r>
      <w:r w:rsidR="00F71628" w:rsidRPr="006B05AE">
        <w:rPr>
          <w:rFonts w:ascii="Book Antiqua" w:hAnsi="Book Antiqua" w:cs="Calibri"/>
        </w:rPr>
        <w:t>-</w:t>
      </w:r>
      <w:r w:rsidR="00302506" w:rsidRPr="006B05AE">
        <w:rPr>
          <w:rFonts w:ascii="Book Antiqua" w:hAnsi="Book Antiqua" w:cs="Calibri"/>
        </w:rPr>
        <w:t>20</w:t>
      </w:r>
      <w:r w:rsidR="00F71628" w:rsidRPr="006B05AE">
        <w:rPr>
          <w:rFonts w:ascii="Book Antiqua" w:hAnsi="Book Antiqua" w:cs="Calibri"/>
        </w:rPr>
        <w:t>-</w:t>
      </w:r>
      <w:r w:rsidR="00302506" w:rsidRPr="006B05AE">
        <w:rPr>
          <w:rFonts w:ascii="Book Antiqua" w:hAnsi="Book Antiqua" w:cs="Calibri"/>
        </w:rPr>
        <w:t>33121541 </w:t>
      </w:r>
    </w:p>
    <w:p w14:paraId="2A5B6E51" w14:textId="77777777" w:rsidR="00302506" w:rsidRPr="006B05AE" w:rsidRDefault="00302506" w:rsidP="00490A12">
      <w:pPr>
        <w:spacing w:line="360" w:lineRule="auto"/>
        <w:jc w:val="both"/>
        <w:rPr>
          <w:rFonts w:ascii="Book Antiqua" w:hAnsi="Book Antiqua" w:cs="Calibri"/>
          <w:b/>
        </w:rPr>
      </w:pPr>
    </w:p>
    <w:p w14:paraId="25D1D8D0" w14:textId="6075F6E3" w:rsidR="00382DDD" w:rsidRPr="006B05AE" w:rsidRDefault="00382DDD" w:rsidP="00490A12">
      <w:pPr>
        <w:spacing w:line="360" w:lineRule="auto"/>
        <w:jc w:val="both"/>
        <w:rPr>
          <w:rFonts w:ascii="Book Antiqua" w:hAnsi="Book Antiqua"/>
          <w:b/>
        </w:rPr>
      </w:pPr>
      <w:r w:rsidRPr="006B05AE">
        <w:rPr>
          <w:rFonts w:ascii="Book Antiqua" w:hAnsi="Book Antiqua"/>
          <w:b/>
        </w:rPr>
        <w:t>Received:</w:t>
      </w:r>
      <w:r w:rsidR="00490A12" w:rsidRPr="006B05AE">
        <w:rPr>
          <w:rFonts w:ascii="Book Antiqua" w:hAnsi="Book Antiqua"/>
          <w:b/>
        </w:rPr>
        <w:t xml:space="preserve"> </w:t>
      </w:r>
      <w:r w:rsidR="00490A12" w:rsidRPr="006B05AE">
        <w:rPr>
          <w:rFonts w:ascii="Book Antiqua" w:hAnsi="Book Antiqua"/>
        </w:rPr>
        <w:t>February 3, 2019</w:t>
      </w:r>
      <w:r w:rsidR="006B05AE">
        <w:rPr>
          <w:rFonts w:ascii="Book Antiqua" w:hAnsi="Book Antiqua"/>
        </w:rPr>
        <w:t xml:space="preserve"> </w:t>
      </w:r>
      <w:r w:rsidR="00490A12" w:rsidRPr="006B05AE">
        <w:rPr>
          <w:rFonts w:ascii="Book Antiqua" w:hAnsi="Book Antiqua"/>
        </w:rPr>
        <w:t xml:space="preserve"> </w:t>
      </w:r>
    </w:p>
    <w:p w14:paraId="7E77645F" w14:textId="4D328F4D" w:rsidR="00382DDD" w:rsidRPr="006B05AE" w:rsidRDefault="00382DDD" w:rsidP="00490A12">
      <w:pPr>
        <w:spacing w:line="360" w:lineRule="auto"/>
        <w:jc w:val="both"/>
        <w:rPr>
          <w:rFonts w:ascii="Book Antiqua" w:hAnsi="Book Antiqua"/>
          <w:b/>
        </w:rPr>
      </w:pPr>
      <w:r w:rsidRPr="006B05AE">
        <w:rPr>
          <w:rFonts w:ascii="Book Antiqua" w:hAnsi="Book Antiqua"/>
          <w:b/>
        </w:rPr>
        <w:t>Peer-review started:</w:t>
      </w:r>
      <w:r w:rsidR="00490A12" w:rsidRPr="006B05AE">
        <w:rPr>
          <w:rFonts w:ascii="Book Antiqua" w:hAnsi="Book Antiqua"/>
        </w:rPr>
        <w:t xml:space="preserve"> February 11, 2019</w:t>
      </w:r>
      <w:r w:rsidR="006B05AE">
        <w:rPr>
          <w:rFonts w:ascii="Book Antiqua" w:hAnsi="Book Antiqua"/>
        </w:rPr>
        <w:t xml:space="preserve"> </w:t>
      </w:r>
      <w:r w:rsidR="00490A12" w:rsidRPr="006B05AE">
        <w:rPr>
          <w:rFonts w:ascii="Book Antiqua" w:hAnsi="Book Antiqua"/>
        </w:rPr>
        <w:t xml:space="preserve"> </w:t>
      </w:r>
    </w:p>
    <w:p w14:paraId="45529549" w14:textId="335B3719" w:rsidR="00382DDD" w:rsidRPr="006B05AE" w:rsidRDefault="00382DDD" w:rsidP="00490A12">
      <w:pPr>
        <w:spacing w:line="360" w:lineRule="auto"/>
        <w:jc w:val="both"/>
        <w:rPr>
          <w:rFonts w:ascii="Book Antiqua" w:hAnsi="Book Antiqua"/>
          <w:b/>
        </w:rPr>
      </w:pPr>
      <w:r w:rsidRPr="006B05AE">
        <w:rPr>
          <w:rFonts w:ascii="Book Antiqua" w:hAnsi="Book Antiqua"/>
          <w:b/>
        </w:rPr>
        <w:t>First decision:</w:t>
      </w:r>
      <w:r w:rsidR="00490A12" w:rsidRPr="006B05AE">
        <w:rPr>
          <w:rFonts w:ascii="Book Antiqua" w:hAnsi="Book Antiqua"/>
        </w:rPr>
        <w:t xml:space="preserve"> April 15, 2019</w:t>
      </w:r>
      <w:r w:rsidR="006B05AE">
        <w:rPr>
          <w:rFonts w:ascii="Book Antiqua" w:hAnsi="Book Antiqua"/>
        </w:rPr>
        <w:t xml:space="preserve"> </w:t>
      </w:r>
      <w:r w:rsidR="00490A12" w:rsidRPr="006B05AE">
        <w:rPr>
          <w:rFonts w:ascii="Book Antiqua" w:hAnsi="Book Antiqua"/>
        </w:rPr>
        <w:t xml:space="preserve"> </w:t>
      </w:r>
    </w:p>
    <w:p w14:paraId="0C35E644" w14:textId="79857092" w:rsidR="00382DDD" w:rsidRPr="006B05AE" w:rsidRDefault="00382DDD" w:rsidP="00490A12">
      <w:pPr>
        <w:spacing w:line="360" w:lineRule="auto"/>
        <w:jc w:val="both"/>
        <w:rPr>
          <w:rFonts w:ascii="Book Antiqua" w:hAnsi="Book Antiqua"/>
          <w:b/>
        </w:rPr>
      </w:pPr>
      <w:r w:rsidRPr="006B05AE">
        <w:rPr>
          <w:rFonts w:ascii="Book Antiqua" w:hAnsi="Book Antiqua"/>
          <w:b/>
        </w:rPr>
        <w:t>Revised:</w:t>
      </w:r>
      <w:r w:rsidR="006B05AE">
        <w:rPr>
          <w:rFonts w:ascii="Book Antiqua" w:hAnsi="Book Antiqua"/>
          <w:b/>
        </w:rPr>
        <w:t xml:space="preserve"> </w:t>
      </w:r>
      <w:r w:rsidR="00490A12" w:rsidRPr="006B05AE">
        <w:rPr>
          <w:rFonts w:ascii="Book Antiqua" w:hAnsi="Book Antiqua"/>
        </w:rPr>
        <w:t>May 10, 2019</w:t>
      </w:r>
      <w:r w:rsidR="006B05AE">
        <w:rPr>
          <w:rFonts w:ascii="Book Antiqua" w:hAnsi="Book Antiqua"/>
        </w:rPr>
        <w:t xml:space="preserve"> </w:t>
      </w:r>
      <w:r w:rsidR="00490A12" w:rsidRPr="006B05AE">
        <w:rPr>
          <w:rFonts w:ascii="Book Antiqua" w:hAnsi="Book Antiqua"/>
        </w:rPr>
        <w:t xml:space="preserve"> </w:t>
      </w:r>
    </w:p>
    <w:p w14:paraId="0ACF82E4" w14:textId="6AFDDB8D" w:rsidR="00382DDD" w:rsidRPr="0040513C" w:rsidRDefault="00382DDD" w:rsidP="00490A12">
      <w:pPr>
        <w:spacing w:line="360" w:lineRule="auto"/>
        <w:jc w:val="both"/>
        <w:rPr>
          <w:rFonts w:ascii="Book Antiqua" w:hAnsi="Book Antiqua"/>
          <w:b/>
        </w:rPr>
      </w:pPr>
      <w:r w:rsidRPr="006B05AE">
        <w:rPr>
          <w:rFonts w:ascii="Book Antiqua" w:hAnsi="Book Antiqua"/>
          <w:b/>
        </w:rPr>
        <w:t>Accepted:</w:t>
      </w:r>
      <w:r w:rsidR="006B05AE">
        <w:rPr>
          <w:rFonts w:ascii="Book Antiqua" w:hAnsi="Book Antiqua"/>
          <w:b/>
        </w:rPr>
        <w:t xml:space="preserve"> </w:t>
      </w:r>
      <w:r w:rsidR="0040513C" w:rsidRPr="008A7A00">
        <w:rPr>
          <w:rFonts w:ascii="Book Antiqua" w:hAnsi="Book Antiqua"/>
          <w:bCs/>
        </w:rPr>
        <w:t>May 21, 2019</w:t>
      </w:r>
    </w:p>
    <w:p w14:paraId="55DD238B" w14:textId="2BEED0F0" w:rsidR="00382DDD" w:rsidRPr="006B05AE" w:rsidRDefault="00382DDD" w:rsidP="00490A12">
      <w:pPr>
        <w:spacing w:line="360" w:lineRule="auto"/>
        <w:jc w:val="both"/>
        <w:rPr>
          <w:rFonts w:ascii="Book Antiqua" w:hAnsi="Book Antiqua"/>
        </w:rPr>
      </w:pPr>
      <w:r w:rsidRPr="006B05AE">
        <w:rPr>
          <w:rFonts w:ascii="Book Antiqua" w:hAnsi="Book Antiqua"/>
          <w:b/>
        </w:rPr>
        <w:t>Article in press:</w:t>
      </w:r>
      <w:r w:rsidR="006B05AE">
        <w:rPr>
          <w:rFonts w:ascii="Book Antiqua" w:hAnsi="Book Antiqua"/>
        </w:rPr>
        <w:t xml:space="preserve">  </w:t>
      </w:r>
    </w:p>
    <w:p w14:paraId="1FA9669C" w14:textId="77777777" w:rsidR="00382DDD" w:rsidRPr="006B05AE" w:rsidRDefault="00382DDD" w:rsidP="00490A12">
      <w:pPr>
        <w:spacing w:line="360" w:lineRule="auto"/>
        <w:jc w:val="both"/>
        <w:rPr>
          <w:rFonts w:ascii="Book Antiqua" w:hAnsi="Book Antiqua"/>
          <w:b/>
        </w:rPr>
      </w:pPr>
      <w:r w:rsidRPr="006B05AE">
        <w:rPr>
          <w:rFonts w:ascii="Book Antiqua" w:hAnsi="Book Antiqua"/>
          <w:b/>
        </w:rPr>
        <w:t xml:space="preserve">Published online: </w:t>
      </w:r>
    </w:p>
    <w:p w14:paraId="0CB23B53" w14:textId="77777777" w:rsidR="00490A12" w:rsidRPr="006B05AE" w:rsidRDefault="00490A12" w:rsidP="00490A12">
      <w:pPr>
        <w:spacing w:line="360" w:lineRule="auto"/>
        <w:jc w:val="both"/>
        <w:rPr>
          <w:rFonts w:ascii="Book Antiqua" w:hAnsi="Book Antiqua" w:cs="Calibri"/>
          <w:bCs/>
          <w:iCs/>
        </w:rPr>
      </w:pPr>
      <w:r w:rsidRPr="006B05AE">
        <w:rPr>
          <w:rFonts w:ascii="Book Antiqua" w:hAnsi="Book Antiqua" w:cs="Calibri"/>
          <w:bCs/>
          <w:iCs/>
        </w:rPr>
        <w:br w:type="page"/>
      </w:r>
    </w:p>
    <w:p w14:paraId="6B0D2CD5" w14:textId="7203892B" w:rsidR="00E342B4" w:rsidRPr="006B05AE" w:rsidRDefault="00E342B4" w:rsidP="00490A12">
      <w:pPr>
        <w:spacing w:line="360" w:lineRule="auto"/>
        <w:jc w:val="both"/>
        <w:rPr>
          <w:rFonts w:ascii="Book Antiqua" w:hAnsi="Book Antiqua" w:cs="Calibri"/>
          <w:b/>
          <w:bCs/>
        </w:rPr>
      </w:pPr>
      <w:r w:rsidRPr="006B05AE">
        <w:rPr>
          <w:rFonts w:ascii="Book Antiqua" w:hAnsi="Book Antiqua" w:cs="Calibri"/>
          <w:b/>
          <w:bCs/>
        </w:rPr>
        <w:lastRenderedPageBreak/>
        <w:t>Abstract</w:t>
      </w:r>
    </w:p>
    <w:p w14:paraId="737DE6E7" w14:textId="39BF9A99" w:rsidR="00E342B4" w:rsidRPr="006B05AE" w:rsidRDefault="006C47D6" w:rsidP="00490A12">
      <w:pPr>
        <w:spacing w:line="360" w:lineRule="auto"/>
        <w:jc w:val="both"/>
        <w:rPr>
          <w:rFonts w:ascii="Book Antiqua" w:hAnsi="Book Antiqua" w:cs="Calibri"/>
        </w:rPr>
      </w:pPr>
      <w:r w:rsidRPr="006B05AE">
        <w:rPr>
          <w:rFonts w:ascii="Book Antiqua" w:hAnsi="Book Antiqua" w:cs="Calibri"/>
          <w:bCs/>
        </w:rPr>
        <w:t>A quarter of</w:t>
      </w:r>
      <w:r w:rsidR="00E342B4" w:rsidRPr="006B05AE">
        <w:rPr>
          <w:rFonts w:ascii="Book Antiqua" w:hAnsi="Book Antiqua" w:cs="Calibri"/>
          <w:bCs/>
        </w:rPr>
        <w:t xml:space="preserve"> patients admitted with</w:t>
      </w:r>
      <w:r w:rsidRPr="006B05AE">
        <w:rPr>
          <w:rFonts w:ascii="Book Antiqua" w:hAnsi="Book Antiqua" w:cs="Calibri"/>
          <w:bCs/>
        </w:rPr>
        <w:t xml:space="preserve"> a</w:t>
      </w:r>
      <w:r w:rsidR="00E342B4" w:rsidRPr="006B05AE">
        <w:rPr>
          <w:rFonts w:ascii="Book Antiqua" w:hAnsi="Book Antiqua" w:cs="Calibri"/>
          <w:bCs/>
        </w:rPr>
        <w:t xml:space="preserve"> </w:t>
      </w:r>
      <w:r w:rsidR="008C3914" w:rsidRPr="006B05AE">
        <w:rPr>
          <w:rFonts w:ascii="Book Antiqua" w:hAnsi="Book Antiqua" w:cs="Calibri"/>
          <w:bCs/>
        </w:rPr>
        <w:t xml:space="preserve">proximal femoral fracture </w:t>
      </w:r>
      <w:r w:rsidR="00E342B4" w:rsidRPr="006B05AE">
        <w:rPr>
          <w:rFonts w:ascii="Book Antiqua" w:hAnsi="Book Antiqua" w:cs="Calibri"/>
          <w:bCs/>
        </w:rPr>
        <w:t>suffer from an</w:t>
      </w:r>
      <w:r w:rsidRPr="006B05AE">
        <w:rPr>
          <w:rFonts w:ascii="Book Antiqua" w:hAnsi="Book Antiqua" w:cs="Calibri"/>
          <w:bCs/>
        </w:rPr>
        <w:t xml:space="preserve"> acute</w:t>
      </w:r>
      <w:r w:rsidR="00E342B4" w:rsidRPr="006B05AE">
        <w:rPr>
          <w:rFonts w:ascii="Book Antiqua" w:hAnsi="Book Antiqua" w:cs="Calibri"/>
          <w:bCs/>
        </w:rPr>
        <w:t xml:space="preserve"> episode of deli</w:t>
      </w:r>
      <w:r w:rsidR="00CA2D72" w:rsidRPr="006B05AE">
        <w:rPr>
          <w:rFonts w:ascii="Book Antiqua" w:hAnsi="Book Antiqua" w:cs="Calibri"/>
          <w:bCs/>
        </w:rPr>
        <w:t>rium during their hospital stay. Y</w:t>
      </w:r>
      <w:r w:rsidR="00E342B4" w:rsidRPr="006B05AE">
        <w:rPr>
          <w:rFonts w:ascii="Book Antiqua" w:hAnsi="Book Antiqua" w:cs="Calibri"/>
          <w:bCs/>
        </w:rPr>
        <w:t xml:space="preserve">et it is often unrecognised, poorly managed, and rarely discussed by doctors. Delirium is important not only to the affected individuals and their families, but also socioeconomically to the broader community. Delirium increases mortality and morbidity, leads to lasting cognitive and functional decline, and increases both length of stay and dependence on discharge. </w:t>
      </w:r>
      <w:r w:rsidR="00E342B4" w:rsidRPr="006B05AE">
        <w:rPr>
          <w:rFonts w:ascii="Book Antiqua" w:hAnsi="Book Antiqua" w:cs="Calibri"/>
        </w:rPr>
        <w:t>Delirium should be routinely and openly discussed by all members of the clinical team, including surgeons when gaining consent. Failing to do so may expose surgeons to claims of negligence. Here we present a concise review of the literature and discuss the epidemiology, causative factors, potential consequences and preventative strategies in the perioperative period.</w:t>
      </w:r>
    </w:p>
    <w:p w14:paraId="4010321D" w14:textId="77777777" w:rsidR="00E342B4" w:rsidRPr="006B05AE" w:rsidRDefault="00E342B4" w:rsidP="00490A12">
      <w:pPr>
        <w:spacing w:line="360" w:lineRule="auto"/>
        <w:jc w:val="both"/>
        <w:rPr>
          <w:rFonts w:ascii="Book Antiqua" w:hAnsi="Book Antiqua" w:cs="Calibri"/>
          <w:b/>
          <w:bCs/>
        </w:rPr>
      </w:pPr>
    </w:p>
    <w:p w14:paraId="3717F2F8" w14:textId="34D929A5" w:rsidR="00D23057" w:rsidRPr="006B05AE" w:rsidRDefault="00D23057" w:rsidP="00490A12">
      <w:pPr>
        <w:spacing w:line="360" w:lineRule="auto"/>
        <w:jc w:val="both"/>
        <w:rPr>
          <w:rFonts w:ascii="Book Antiqua" w:hAnsi="Book Antiqua" w:cs="Calibri"/>
          <w:b/>
          <w:bCs/>
        </w:rPr>
      </w:pPr>
      <w:r w:rsidRPr="006B05AE">
        <w:rPr>
          <w:rFonts w:ascii="Book Antiqua" w:hAnsi="Book Antiqua" w:cs="Calibri"/>
          <w:b/>
          <w:bCs/>
        </w:rPr>
        <w:t>Key words:</w:t>
      </w:r>
      <w:r w:rsidR="006B05AE">
        <w:rPr>
          <w:rFonts w:ascii="Book Antiqua" w:hAnsi="Book Antiqua" w:cs="Calibri"/>
          <w:bCs/>
        </w:rPr>
        <w:t xml:space="preserve"> </w:t>
      </w:r>
      <w:r w:rsidRPr="006B05AE">
        <w:rPr>
          <w:rFonts w:ascii="Book Antiqua" w:hAnsi="Book Antiqua" w:cs="Calibri"/>
          <w:bCs/>
        </w:rPr>
        <w:t>Delirium</w:t>
      </w:r>
      <w:r w:rsidR="00490A12" w:rsidRPr="006B05AE">
        <w:rPr>
          <w:rFonts w:ascii="Book Antiqua" w:hAnsi="Book Antiqua" w:cs="Calibri"/>
          <w:bCs/>
        </w:rPr>
        <w:t>;</w:t>
      </w:r>
      <w:r w:rsidRPr="006B05AE">
        <w:rPr>
          <w:rFonts w:ascii="Book Antiqua" w:hAnsi="Book Antiqua" w:cs="Calibri"/>
          <w:bCs/>
        </w:rPr>
        <w:t xml:space="preserve"> </w:t>
      </w:r>
      <w:r w:rsidR="00490A12" w:rsidRPr="006B05AE">
        <w:rPr>
          <w:rFonts w:ascii="Book Antiqua" w:hAnsi="Book Antiqua" w:cs="Calibri"/>
          <w:bCs/>
        </w:rPr>
        <w:t xml:space="preserve">Proximal </w:t>
      </w:r>
      <w:r w:rsidRPr="006B05AE">
        <w:rPr>
          <w:rFonts w:ascii="Book Antiqua" w:hAnsi="Book Antiqua" w:cs="Calibri"/>
          <w:bCs/>
        </w:rPr>
        <w:t>femoral fractures</w:t>
      </w:r>
      <w:r w:rsidR="00490A12" w:rsidRPr="006B05AE">
        <w:rPr>
          <w:rFonts w:ascii="Book Antiqua" w:hAnsi="Book Antiqua" w:cs="Calibri"/>
          <w:bCs/>
        </w:rPr>
        <w:t>;</w:t>
      </w:r>
      <w:r w:rsidRPr="006B05AE">
        <w:rPr>
          <w:rFonts w:ascii="Book Antiqua" w:hAnsi="Book Antiqua" w:cs="Calibri"/>
          <w:bCs/>
        </w:rPr>
        <w:t xml:space="preserve"> Consent</w:t>
      </w:r>
      <w:r w:rsidR="00490A12" w:rsidRPr="006B05AE">
        <w:rPr>
          <w:rFonts w:ascii="Book Antiqua" w:hAnsi="Book Antiqua" w:cs="Calibri"/>
          <w:bCs/>
        </w:rPr>
        <w:t>;</w:t>
      </w:r>
      <w:r w:rsidRPr="006B05AE">
        <w:rPr>
          <w:rFonts w:ascii="Book Antiqua" w:hAnsi="Book Antiqua" w:cs="Calibri"/>
          <w:bCs/>
        </w:rPr>
        <w:t xml:space="preserve"> Hip surgery</w:t>
      </w:r>
      <w:r w:rsidR="00490A12" w:rsidRPr="006B05AE">
        <w:rPr>
          <w:rFonts w:ascii="Book Antiqua" w:hAnsi="Book Antiqua" w:cs="Calibri"/>
          <w:bCs/>
        </w:rPr>
        <w:t>;</w:t>
      </w:r>
      <w:r w:rsidRPr="006B05AE">
        <w:rPr>
          <w:rFonts w:ascii="Book Antiqua" w:hAnsi="Book Antiqua" w:cs="Calibri"/>
          <w:bCs/>
        </w:rPr>
        <w:t xml:space="preserve"> Montgomery</w:t>
      </w:r>
      <w:r w:rsidR="00490A12" w:rsidRPr="006B05AE">
        <w:rPr>
          <w:rFonts w:ascii="Book Antiqua" w:hAnsi="Book Antiqua" w:cs="Calibri"/>
          <w:bCs/>
        </w:rPr>
        <w:t xml:space="preserve">; </w:t>
      </w:r>
      <w:r w:rsidRPr="006B05AE">
        <w:rPr>
          <w:rFonts w:ascii="Book Antiqua" w:hAnsi="Book Antiqua" w:cs="Calibri"/>
          <w:bCs/>
        </w:rPr>
        <w:t>Medicolegal</w:t>
      </w:r>
    </w:p>
    <w:p w14:paraId="485F68AA" w14:textId="116D0F5D" w:rsidR="00E342B4" w:rsidRPr="006B05AE" w:rsidRDefault="00E342B4" w:rsidP="00490A12">
      <w:pPr>
        <w:spacing w:line="360" w:lineRule="auto"/>
        <w:jc w:val="both"/>
        <w:rPr>
          <w:rFonts w:ascii="Book Antiqua" w:eastAsiaTheme="minorEastAsia" w:hAnsi="Book Antiqua" w:cs="Calibri"/>
          <w:b/>
          <w:bCs/>
          <w:lang w:eastAsia="zh-CN"/>
        </w:rPr>
      </w:pPr>
    </w:p>
    <w:p w14:paraId="0BF6D591" w14:textId="77777777" w:rsidR="00490A12" w:rsidRPr="006B05AE" w:rsidRDefault="00490A12" w:rsidP="00490A12">
      <w:pPr>
        <w:spacing w:line="360" w:lineRule="auto"/>
        <w:jc w:val="both"/>
        <w:rPr>
          <w:rFonts w:ascii="Book Antiqua" w:hAnsi="Book Antiqua" w:cs="Arial"/>
        </w:rPr>
      </w:pPr>
      <w:r w:rsidRPr="006B05AE">
        <w:rPr>
          <w:rFonts w:ascii="Book Antiqua" w:hAnsi="Book Antiqua"/>
          <w:b/>
        </w:rPr>
        <w:t xml:space="preserve">© </w:t>
      </w:r>
      <w:r w:rsidRPr="006B05AE">
        <w:rPr>
          <w:rFonts w:ascii="Book Antiqua" w:hAnsi="Book Antiqua" w:cs="Arial"/>
          <w:b/>
        </w:rPr>
        <w:t>The Author(s) 2019.</w:t>
      </w:r>
      <w:r w:rsidRPr="006B05AE">
        <w:rPr>
          <w:rFonts w:ascii="Book Antiqua" w:hAnsi="Book Antiqua" w:cs="Arial"/>
        </w:rPr>
        <w:t xml:space="preserve"> Published by </w:t>
      </w:r>
      <w:proofErr w:type="spellStart"/>
      <w:r w:rsidRPr="006B05AE">
        <w:rPr>
          <w:rFonts w:ascii="Book Antiqua" w:hAnsi="Book Antiqua" w:cs="Arial"/>
        </w:rPr>
        <w:t>Baishideng</w:t>
      </w:r>
      <w:proofErr w:type="spellEnd"/>
      <w:r w:rsidRPr="006B05AE">
        <w:rPr>
          <w:rFonts w:ascii="Book Antiqua" w:hAnsi="Book Antiqua" w:cs="Arial"/>
        </w:rPr>
        <w:t xml:space="preserve"> Publishing Group Inc. All rights reserved.</w:t>
      </w:r>
    </w:p>
    <w:p w14:paraId="1FF31D28" w14:textId="77777777" w:rsidR="00490A12" w:rsidRPr="006B05AE" w:rsidRDefault="00490A12" w:rsidP="00490A12">
      <w:pPr>
        <w:spacing w:line="360" w:lineRule="auto"/>
        <w:jc w:val="both"/>
        <w:rPr>
          <w:rFonts w:ascii="Book Antiqua" w:eastAsiaTheme="minorEastAsia" w:hAnsi="Book Antiqua" w:cs="Calibri"/>
          <w:b/>
          <w:bCs/>
          <w:lang w:eastAsia="zh-CN"/>
        </w:rPr>
      </w:pPr>
    </w:p>
    <w:p w14:paraId="5C2E8F7C" w14:textId="71D71FF1" w:rsidR="002552C7" w:rsidRPr="006B05AE" w:rsidRDefault="0085244A" w:rsidP="00490A12">
      <w:pPr>
        <w:spacing w:line="360" w:lineRule="auto"/>
        <w:jc w:val="both"/>
        <w:rPr>
          <w:rFonts w:ascii="Book Antiqua" w:eastAsia="Arial Unicode MS" w:hAnsi="Book Antiqua" w:cs="Calibri"/>
          <w:b/>
        </w:rPr>
      </w:pPr>
      <w:r w:rsidRPr="006B05AE">
        <w:rPr>
          <w:rFonts w:ascii="Book Antiqua" w:eastAsia="Arial Unicode MS" w:hAnsi="Book Antiqua" w:cs="Calibri"/>
          <w:b/>
        </w:rPr>
        <w:t>C</w:t>
      </w:r>
      <w:r w:rsidR="00D23057" w:rsidRPr="006B05AE">
        <w:rPr>
          <w:rFonts w:ascii="Book Antiqua" w:eastAsia="Arial Unicode MS" w:hAnsi="Book Antiqua" w:cs="Calibri"/>
          <w:b/>
        </w:rPr>
        <w:t xml:space="preserve">ore tip: </w:t>
      </w:r>
      <w:r w:rsidR="002D3EA8" w:rsidRPr="006B05AE">
        <w:rPr>
          <w:rFonts w:ascii="Book Antiqua" w:hAnsi="Book Antiqua" w:cs="Calibri"/>
        </w:rPr>
        <w:t xml:space="preserve">Delirium is defined as a clinical syndrome characterised by disturbed consciousness, cognitive function or perception, which has an acute onset and fluctuating course. </w:t>
      </w:r>
      <w:r w:rsidR="002552C7" w:rsidRPr="006B05AE">
        <w:rPr>
          <w:rFonts w:ascii="Book Antiqua" w:hAnsi="Book Antiqua" w:cs="Calibri"/>
          <w:bCs/>
        </w:rPr>
        <w:t xml:space="preserve">Delirium is common amongst patients admitted following </w:t>
      </w:r>
      <w:r w:rsidR="008C3914" w:rsidRPr="006B05AE">
        <w:rPr>
          <w:rFonts w:ascii="Book Antiqua" w:hAnsi="Book Antiqua" w:cs="Calibri"/>
          <w:bCs/>
        </w:rPr>
        <w:t xml:space="preserve">proximal femoral </w:t>
      </w:r>
      <w:r w:rsidR="002552C7" w:rsidRPr="006B05AE">
        <w:rPr>
          <w:rFonts w:ascii="Book Antiqua" w:hAnsi="Book Antiqua" w:cs="Calibri"/>
          <w:bCs/>
        </w:rPr>
        <w:t xml:space="preserve">fracture </w:t>
      </w:r>
      <w:r w:rsidR="00C62BA2" w:rsidRPr="006B05AE">
        <w:rPr>
          <w:rFonts w:ascii="Book Antiqua" w:hAnsi="Book Antiqua" w:cs="Calibri"/>
          <w:bCs/>
        </w:rPr>
        <w:t>but is frequently unrecognised and</w:t>
      </w:r>
      <w:r w:rsidR="002552C7" w:rsidRPr="006B05AE">
        <w:rPr>
          <w:rFonts w:ascii="Book Antiqua" w:hAnsi="Book Antiqua" w:cs="Calibri"/>
          <w:bCs/>
        </w:rPr>
        <w:t xml:space="preserve"> </w:t>
      </w:r>
      <w:r w:rsidR="00C62BA2" w:rsidRPr="006B05AE">
        <w:rPr>
          <w:rFonts w:ascii="Book Antiqua" w:hAnsi="Book Antiqua" w:cs="Calibri"/>
          <w:bCs/>
        </w:rPr>
        <w:t xml:space="preserve">mismanaged. Delirium can dramatically affect an individual’s stay in hospital. </w:t>
      </w:r>
      <w:r w:rsidR="002552C7" w:rsidRPr="006B05AE">
        <w:rPr>
          <w:rFonts w:ascii="Book Antiqua" w:hAnsi="Book Antiqua" w:cs="Calibri"/>
          <w:bCs/>
        </w:rPr>
        <w:t xml:space="preserve">Delirium increases mortality and morbidity, leads to lasting cognitive and functional decline, and increases both length of stay and dependence on discharge. </w:t>
      </w:r>
      <w:r w:rsidR="002552C7" w:rsidRPr="006B05AE">
        <w:rPr>
          <w:rFonts w:ascii="Book Antiqua" w:hAnsi="Book Antiqua" w:cs="Calibri"/>
        </w:rPr>
        <w:t>Delirium should be routinely and openly discussed by all members of the clinical team, including surgeons</w:t>
      </w:r>
      <w:r w:rsidR="004A522E" w:rsidRPr="006B05AE">
        <w:rPr>
          <w:rFonts w:ascii="Book Antiqua" w:hAnsi="Book Antiqua" w:cs="Calibri"/>
        </w:rPr>
        <w:t>, physicians,</w:t>
      </w:r>
      <w:r w:rsidR="002D3EA8" w:rsidRPr="006B05AE">
        <w:rPr>
          <w:rFonts w:ascii="Book Antiqua" w:hAnsi="Book Antiqua" w:cs="Calibri"/>
        </w:rPr>
        <w:t xml:space="preserve"> anaesthetists,</w:t>
      </w:r>
      <w:r w:rsidR="004A522E" w:rsidRPr="006B05AE">
        <w:rPr>
          <w:rFonts w:ascii="Book Antiqua" w:hAnsi="Book Antiqua" w:cs="Calibri"/>
        </w:rPr>
        <w:t xml:space="preserve"> nurses and therapists</w:t>
      </w:r>
      <w:r w:rsidR="002552C7" w:rsidRPr="006B05AE">
        <w:rPr>
          <w:rFonts w:ascii="Book Antiqua" w:hAnsi="Book Antiqua" w:cs="Calibri"/>
        </w:rPr>
        <w:t xml:space="preserve">. </w:t>
      </w:r>
      <w:r w:rsidR="004A522E" w:rsidRPr="006B05AE">
        <w:rPr>
          <w:rFonts w:ascii="Book Antiqua" w:hAnsi="Book Antiqua" w:cs="Calibri"/>
        </w:rPr>
        <w:t>Simple strategies can be adopted to try and reduce the risk of delirium occurring and trying to manage delirium once it occurs.</w:t>
      </w:r>
      <w:r w:rsidR="006B05AE">
        <w:rPr>
          <w:rFonts w:ascii="Book Antiqua" w:hAnsi="Book Antiqua" w:cs="Calibri"/>
        </w:rPr>
        <w:t xml:space="preserve"> </w:t>
      </w:r>
    </w:p>
    <w:p w14:paraId="60E6BE6B" w14:textId="77777777" w:rsidR="00490A12" w:rsidRPr="006B05AE" w:rsidRDefault="00490A12" w:rsidP="00490A12">
      <w:pPr>
        <w:spacing w:line="360" w:lineRule="auto"/>
        <w:jc w:val="both"/>
        <w:rPr>
          <w:rFonts w:ascii="Book Antiqua" w:eastAsiaTheme="minorEastAsia" w:hAnsi="Book Antiqua" w:cs="Calibri"/>
          <w:b/>
          <w:bCs/>
          <w:lang w:eastAsia="zh-CN"/>
        </w:rPr>
      </w:pPr>
    </w:p>
    <w:p w14:paraId="5B10EA2A" w14:textId="67B1B6CE" w:rsidR="00490A12" w:rsidRPr="006B05AE" w:rsidRDefault="00490A12" w:rsidP="00490A12">
      <w:pPr>
        <w:spacing w:line="360" w:lineRule="auto"/>
        <w:jc w:val="both"/>
        <w:rPr>
          <w:rFonts w:ascii="Book Antiqua" w:hAnsi="Book Antiqua" w:cs="Calibri"/>
          <w:bCs/>
        </w:rPr>
      </w:pPr>
      <w:proofErr w:type="spellStart"/>
      <w:r w:rsidRPr="006B05AE">
        <w:rPr>
          <w:rFonts w:ascii="Book Antiqua" w:hAnsi="Book Antiqua" w:cs="Calibri"/>
        </w:rPr>
        <w:lastRenderedPageBreak/>
        <w:t>Koizia</w:t>
      </w:r>
      <w:proofErr w:type="spellEnd"/>
      <w:r w:rsidRPr="006B05AE">
        <w:rPr>
          <w:rFonts w:ascii="Book Antiqua" w:hAnsi="Book Antiqua" w:cs="Calibri"/>
        </w:rPr>
        <w:t xml:space="preserve"> LJ</w:t>
      </w:r>
      <w:r w:rsidRPr="006B05AE">
        <w:rPr>
          <w:rFonts w:ascii="Book Antiqua" w:eastAsia="SimSun" w:hAnsi="Book Antiqua" w:cs="SimSun"/>
          <w:lang w:eastAsia="zh-CN"/>
        </w:rPr>
        <w:t xml:space="preserve">, </w:t>
      </w:r>
      <w:r w:rsidRPr="006B05AE">
        <w:rPr>
          <w:rFonts w:ascii="Book Antiqua" w:hAnsi="Book Antiqua" w:cs="Calibri"/>
        </w:rPr>
        <w:t>Wilson F,</w:t>
      </w:r>
      <w:r w:rsidRPr="006B05AE">
        <w:rPr>
          <w:rFonts w:ascii="Book Antiqua" w:eastAsiaTheme="minorEastAsia" w:hAnsi="Book Antiqua" w:cs="Calibri"/>
          <w:lang w:eastAsia="zh-CN"/>
        </w:rPr>
        <w:t xml:space="preserve"> </w:t>
      </w:r>
      <w:r w:rsidRPr="006B05AE">
        <w:rPr>
          <w:rFonts w:ascii="Book Antiqua" w:hAnsi="Book Antiqua" w:cs="Calibri"/>
        </w:rPr>
        <w:t>Reilly P,</w:t>
      </w:r>
      <w:r w:rsidRPr="006B05AE">
        <w:rPr>
          <w:rFonts w:ascii="Book Antiqua" w:eastAsiaTheme="minorEastAsia" w:hAnsi="Book Antiqua" w:cs="Calibri"/>
          <w:lang w:eastAsia="zh-CN"/>
        </w:rPr>
        <w:t xml:space="preserve"> </w:t>
      </w:r>
      <w:proofErr w:type="spellStart"/>
      <w:r w:rsidRPr="006B05AE">
        <w:rPr>
          <w:rFonts w:ascii="Book Antiqua" w:hAnsi="Book Antiqua" w:cs="Calibri"/>
        </w:rPr>
        <w:t>Fertleman</w:t>
      </w:r>
      <w:proofErr w:type="spellEnd"/>
      <w:r w:rsidRPr="006B05AE">
        <w:rPr>
          <w:rFonts w:ascii="Book Antiqua" w:hAnsi="Book Antiqua" w:cs="Calibri"/>
        </w:rPr>
        <w:t xml:space="preserve"> MB.</w:t>
      </w:r>
      <w:r w:rsidRPr="006B05AE">
        <w:rPr>
          <w:rFonts w:ascii="Book Antiqua" w:hAnsi="Book Antiqua" w:cs="Calibri"/>
          <w:bCs/>
        </w:rPr>
        <w:t xml:space="preserve"> Delirium after emergency hip surgery – common and serious, but rarely consented for. </w:t>
      </w:r>
      <w:r w:rsidRPr="006B05AE">
        <w:rPr>
          <w:rFonts w:ascii="Book Antiqua" w:hAnsi="Book Antiqua"/>
          <w:i/>
          <w:iCs/>
        </w:rPr>
        <w:t xml:space="preserve">World J </w:t>
      </w:r>
      <w:proofErr w:type="spellStart"/>
      <w:r w:rsidRPr="006B05AE">
        <w:rPr>
          <w:rFonts w:ascii="Book Antiqua" w:hAnsi="Book Antiqua"/>
          <w:i/>
          <w:iCs/>
        </w:rPr>
        <w:t>Orthop</w:t>
      </w:r>
      <w:proofErr w:type="spellEnd"/>
      <w:r w:rsidRPr="006B05AE">
        <w:rPr>
          <w:rFonts w:ascii="Book Antiqua" w:hAnsi="Book Antiqua"/>
          <w:i/>
          <w:iCs/>
        </w:rPr>
        <w:t xml:space="preserve"> </w:t>
      </w:r>
      <w:r w:rsidRPr="006B05AE">
        <w:rPr>
          <w:rFonts w:ascii="Book Antiqua" w:hAnsi="Book Antiqua"/>
          <w:iCs/>
        </w:rPr>
        <w:t>2019; In press</w:t>
      </w:r>
    </w:p>
    <w:p w14:paraId="55DFC9DE" w14:textId="77777777" w:rsidR="00490A12" w:rsidRPr="006B05AE" w:rsidRDefault="00490A12" w:rsidP="00490A12">
      <w:pPr>
        <w:spacing w:line="360" w:lineRule="auto"/>
        <w:jc w:val="both"/>
        <w:rPr>
          <w:rFonts w:ascii="Book Antiqua" w:hAnsi="Book Antiqua" w:cs="Calibri"/>
        </w:rPr>
      </w:pPr>
      <w:r w:rsidRPr="006B05AE">
        <w:rPr>
          <w:rFonts w:ascii="Book Antiqua" w:hAnsi="Book Antiqua" w:cs="Calibri"/>
        </w:rPr>
        <w:br w:type="page"/>
      </w:r>
    </w:p>
    <w:p w14:paraId="703DE208" w14:textId="78D31BD6" w:rsidR="00E342B4" w:rsidRPr="006B05AE" w:rsidRDefault="00490A12" w:rsidP="00490A12">
      <w:pPr>
        <w:spacing w:line="360" w:lineRule="auto"/>
        <w:jc w:val="both"/>
        <w:rPr>
          <w:rFonts w:ascii="Book Antiqua" w:hAnsi="Book Antiqua" w:cs="Calibri"/>
          <w:b/>
          <w:bCs/>
        </w:rPr>
      </w:pPr>
      <w:r w:rsidRPr="006B05AE">
        <w:rPr>
          <w:rFonts w:ascii="Book Antiqua" w:hAnsi="Book Antiqua" w:cs="Calibri"/>
          <w:b/>
          <w:bCs/>
        </w:rPr>
        <w:lastRenderedPageBreak/>
        <w:t xml:space="preserve">INTRODUCTION </w:t>
      </w:r>
    </w:p>
    <w:p w14:paraId="11154EFC" w14:textId="00E746A1" w:rsidR="00E342B4" w:rsidRPr="006B05AE" w:rsidRDefault="00E342B4" w:rsidP="00490A12">
      <w:pPr>
        <w:spacing w:line="360" w:lineRule="auto"/>
        <w:jc w:val="both"/>
        <w:rPr>
          <w:rFonts w:ascii="Book Antiqua" w:hAnsi="Book Antiqua" w:cs="Calibri"/>
        </w:rPr>
      </w:pPr>
      <w:r w:rsidRPr="006B05AE">
        <w:rPr>
          <w:rFonts w:ascii="Book Antiqua" w:hAnsi="Book Antiqua" w:cs="Calibri"/>
        </w:rPr>
        <w:t xml:space="preserve">The care and management of patients with </w:t>
      </w:r>
      <w:r w:rsidR="00033053" w:rsidRPr="006B05AE">
        <w:rPr>
          <w:rFonts w:ascii="Book Antiqua" w:hAnsi="Book Antiqua" w:cs="Calibri"/>
        </w:rPr>
        <w:t>femoral neck fracture</w:t>
      </w:r>
      <w:r w:rsidR="004561BC" w:rsidRPr="006B05AE">
        <w:rPr>
          <w:rFonts w:ascii="Book Antiqua" w:hAnsi="Book Antiqua" w:cs="Calibri"/>
        </w:rPr>
        <w:t>s</w:t>
      </w:r>
      <w:r w:rsidR="006B2D98" w:rsidRPr="006B05AE">
        <w:rPr>
          <w:rFonts w:ascii="Book Antiqua" w:hAnsi="Book Antiqua" w:cs="Calibri"/>
        </w:rPr>
        <w:t xml:space="preserve"> </w:t>
      </w:r>
      <w:r w:rsidR="00B60F03" w:rsidRPr="006B05AE">
        <w:rPr>
          <w:rFonts w:ascii="Book Antiqua" w:hAnsi="Book Antiqua" w:cs="Calibri"/>
        </w:rPr>
        <w:t>have</w:t>
      </w:r>
      <w:r w:rsidRPr="006B05AE">
        <w:rPr>
          <w:rFonts w:ascii="Book Antiqua" w:hAnsi="Book Antiqua" w:cs="Calibri"/>
        </w:rPr>
        <w:t xml:space="preserve"> been the focus of growing interest over the past twenty years</w:t>
      </w:r>
      <w:r w:rsidRPr="009B6DA9">
        <w:rPr>
          <w:rFonts w:ascii="Book Antiqua" w:hAnsi="Book Antiqua" w:cs="Calibri"/>
          <w:vertAlign w:val="superscript"/>
        </w:rPr>
        <w:fldChar w:fldCharType="begin" w:fldLock="1"/>
      </w:r>
      <w:r w:rsidR="00941369" w:rsidRPr="009B6DA9">
        <w:rPr>
          <w:rFonts w:ascii="Book Antiqua" w:hAnsi="Book Antiqua" w:cs="Calibri"/>
          <w:vertAlign w:val="superscript"/>
        </w:rPr>
        <w:instrText>ADDIN CSL_CITATION {"citationItems":[{"id":"ITEM-1","itemData":{"id":"ITEM-1","issued":{"date-parts":[["2007"]]},"title":"British Orthopaedic Association THE CARE OF PATIENTS WITH FRAGILITY FRACTURE","type":"article-journal"},"uris":["http://www.mendeley.com/documents/?uuid=395baa00-3948-3f84-8c16-5c65e0a06dbc"]}],"mendeley":{"formattedCitation":"[1]","plainTextFormattedCitation":"[1]","previouslyFormattedCitation":"(1)"},"properties":{"noteIndex":0},"schema":"https://github.com/citation-style-language/schema/raw/master/csl-citation.json"}</w:instrText>
      </w:r>
      <w:r w:rsidRPr="009B6DA9">
        <w:rPr>
          <w:rFonts w:ascii="Book Antiqua" w:hAnsi="Book Antiqua" w:cs="Calibri"/>
          <w:vertAlign w:val="superscript"/>
        </w:rPr>
        <w:fldChar w:fldCharType="separate"/>
      </w:r>
      <w:r w:rsidR="00941369" w:rsidRPr="009B6DA9">
        <w:rPr>
          <w:rFonts w:ascii="Book Antiqua" w:hAnsi="Book Antiqua" w:cs="Calibri"/>
          <w:noProof/>
          <w:vertAlign w:val="superscript"/>
        </w:rPr>
        <w:t>[1]</w:t>
      </w:r>
      <w:r w:rsidRPr="009B6DA9">
        <w:rPr>
          <w:rFonts w:ascii="Book Antiqua" w:hAnsi="Book Antiqua" w:cs="Calibri"/>
          <w:vertAlign w:val="superscript"/>
        </w:rPr>
        <w:fldChar w:fldCharType="end"/>
      </w:r>
      <w:r w:rsidRPr="006B05AE">
        <w:rPr>
          <w:rFonts w:ascii="Book Antiqua" w:hAnsi="Book Antiqua" w:cs="Calibri"/>
        </w:rPr>
        <w:t xml:space="preserve">. </w:t>
      </w:r>
      <w:r w:rsidR="00F6716C" w:rsidRPr="006B05AE">
        <w:rPr>
          <w:rFonts w:ascii="Book Antiqua" w:hAnsi="Book Antiqua" w:cs="Calibri"/>
        </w:rPr>
        <w:t xml:space="preserve">Early </w:t>
      </w:r>
      <w:r w:rsidR="00B60F03" w:rsidRPr="006B05AE">
        <w:rPr>
          <w:rFonts w:ascii="Book Antiqua" w:hAnsi="Book Antiqua" w:cs="Calibri"/>
        </w:rPr>
        <w:t>intensive geriatric input</w:t>
      </w:r>
      <w:r w:rsidR="00785F62" w:rsidRPr="006B05AE">
        <w:rPr>
          <w:rFonts w:ascii="Book Antiqua" w:hAnsi="Book Antiqua" w:cs="Calibri"/>
        </w:rPr>
        <w:t xml:space="preserve"> following hip fractures</w:t>
      </w:r>
      <w:r w:rsidR="00F6716C" w:rsidRPr="006B05AE">
        <w:rPr>
          <w:rFonts w:ascii="Book Antiqua" w:hAnsi="Book Antiqua" w:cs="Calibri"/>
        </w:rPr>
        <w:t xml:space="preserve"> has been shown to reduce mortality and medical complication</w:t>
      </w:r>
      <w:r w:rsidR="00F6716C" w:rsidRPr="009B6DA9">
        <w:rPr>
          <w:rFonts w:ascii="Book Antiqua" w:hAnsi="Book Antiqua" w:cs="Calibri"/>
          <w:vertAlign w:val="superscript"/>
        </w:rPr>
        <w:fldChar w:fldCharType="begin" w:fldLock="1"/>
      </w:r>
      <w:r w:rsidR="00941369" w:rsidRPr="009B6DA9">
        <w:rPr>
          <w:rFonts w:ascii="Book Antiqua" w:hAnsi="Book Antiqua" w:cs="Calibri"/>
          <w:vertAlign w:val="superscript"/>
        </w:rPr>
        <w:instrText>ADDIN CSL_CITATION {"citationItems":[{"id":"ITEM-1","itemData":{"DOI":"10.1111/j.1532-5415.2005.53466.x","ISSN":"0002-8614","PMID":"16137275","abstract":"OBJECTIVES To evaluate whether an early multidisciplinary geriatric intervention in elderly patients with hip fracture reduced length of stay, morbidity, and mortality and improved functional evolution. DESIGN Randomized, controlled intervention trial. SETTING Orthopedic ward in a university hospital. PARTICIPANTS Three hundred nineteen patients aged 65 and older hospitalized for hip fracture surgery. INTERVENTION Participants were randomly assigned to a daily multidisciplinary geriatric intervention (n=155) or usual care (n=164) during hospitalization in the acute phase of hip fracture. MEASUREMENTS Primary endpoints were in-hospital length of stay and incidence of death or major medical complications. Secondary endpoints were the rate of recovery of previous activities of daily living and ambulation ability at 3, 6, and 12 months. RESULTS Median length of stay was 16 days in the geriatric intervention group and 18 days in the usual care group (P=.06). Patients assigned to the geriatric intervention showed a lower in-hospital mortality (0.6% vs 5.8%, P=.03) and major medical complications rate (45.2% vs 61.7%, P=.003). After adjustment for confounding variables, geriatric intervention was associated with a 45% lower probability of death or major complications (95% confidence interval=7-68%). More patients in the geriatric intervention group achieved a partial recovery at 3 months (57% vs 44%, P=.03), but there were no differences between the groups at 6 and 12 months. CONCLUSION Early multidisciplinary daily geriatric care reduces in-hospital mortality and medical complications in elderly patients with hip fracture, but there is not a significant effect on length of hospital stay or long-term functional recovery.","author":[{"dropping-particle":"","family":"Vidán","given":"Maite","non-dropping-particle":"","parse-names":false,"suffix":""},{"dropping-particle":"","family":"Serra","given":"José A","non-dropping-particle":"","parse-names":false,"suffix":""},{"dropping-particle":"","family":"Moreno","given":"Concepción","non-dropping-particle":"","parse-names":false,"suffix":""},{"dropping-particle":"","family":"Riquelme","given":"Gerardo","non-dropping-particle":"","parse-names":false,"suffix":""},{"dropping-particle":"","family":"Ortiz","given":"Javier","non-dropping-particle":"","parse-names":false,"suffix":""}],"container-title":"Journal of the American Geriatrics Society","id":"ITEM-1","issue":"9","issued":{"date-parts":[["2005","9"]]},"page":"1476-82","title":"Efficacy of a comprehensive geriatric intervention in older patients hospitalized for hip fracture: a randomized, controlled trial.","type":"article-journal","volume":"53"},"uris":["http://www.mendeley.com/documents/?uuid=41c1c824-f524-466c-ae4d-1ba4ffa31d44"]}],"mendeley":{"formattedCitation":"[2]","plainTextFormattedCitation":"[2]","previouslyFormattedCitation":"(2)"},"properties":{"noteIndex":0},"schema":"https://github.com/citation-style-language/schema/raw/master/csl-citation.json"}</w:instrText>
      </w:r>
      <w:r w:rsidR="00F6716C" w:rsidRPr="009B6DA9">
        <w:rPr>
          <w:rFonts w:ascii="Book Antiqua" w:hAnsi="Book Antiqua" w:cs="Calibri"/>
          <w:vertAlign w:val="superscript"/>
        </w:rPr>
        <w:fldChar w:fldCharType="separate"/>
      </w:r>
      <w:r w:rsidR="00941369" w:rsidRPr="009B6DA9">
        <w:rPr>
          <w:rFonts w:ascii="Book Antiqua" w:hAnsi="Book Antiqua" w:cs="Calibri"/>
          <w:noProof/>
          <w:vertAlign w:val="superscript"/>
        </w:rPr>
        <w:t>[2]</w:t>
      </w:r>
      <w:r w:rsidR="00F6716C" w:rsidRPr="009B6DA9">
        <w:rPr>
          <w:rFonts w:ascii="Book Antiqua" w:hAnsi="Book Antiqua" w:cs="Calibri"/>
          <w:vertAlign w:val="superscript"/>
        </w:rPr>
        <w:fldChar w:fldCharType="end"/>
      </w:r>
      <w:r w:rsidR="00F6716C" w:rsidRPr="006B05AE">
        <w:rPr>
          <w:rFonts w:ascii="Book Antiqua" w:hAnsi="Book Antiqua" w:cs="Calibri"/>
        </w:rPr>
        <w:t>.</w:t>
      </w:r>
      <w:r w:rsidR="006B05AE">
        <w:rPr>
          <w:rFonts w:ascii="Book Antiqua" w:hAnsi="Book Antiqua" w:cs="Calibri"/>
        </w:rPr>
        <w:t xml:space="preserve"> </w:t>
      </w:r>
      <w:r w:rsidR="00B60F03" w:rsidRPr="006B05AE">
        <w:rPr>
          <w:rFonts w:ascii="Book Antiqua" w:hAnsi="Book Antiqua" w:cs="Calibri"/>
        </w:rPr>
        <w:t>Similarly, multidisciplinary, collaborative models of c</w:t>
      </w:r>
      <w:r w:rsidR="00DF1D9A" w:rsidRPr="006B05AE">
        <w:rPr>
          <w:rFonts w:ascii="Book Antiqua" w:hAnsi="Book Antiqua" w:cs="Calibri"/>
        </w:rPr>
        <w:t>are have been shown to decrease</w:t>
      </w:r>
      <w:r w:rsidR="00B60F03" w:rsidRPr="006B05AE">
        <w:rPr>
          <w:rFonts w:ascii="Book Antiqua" w:hAnsi="Book Antiqua" w:cs="Calibri"/>
        </w:rPr>
        <w:t xml:space="preserve"> the incidence of postoperative complications and </w:t>
      </w:r>
      <w:r w:rsidR="00F400E5" w:rsidRPr="006B05AE">
        <w:rPr>
          <w:rFonts w:ascii="Book Antiqua" w:hAnsi="Book Antiqua" w:cs="Calibri"/>
        </w:rPr>
        <w:t>readmission rates</w:t>
      </w:r>
      <w:r w:rsidR="00F400E5" w:rsidRPr="009B6DA9">
        <w:rPr>
          <w:rFonts w:ascii="Book Antiqua" w:hAnsi="Book Antiqua" w:cs="Calibri"/>
          <w:vertAlign w:val="superscript"/>
        </w:rPr>
        <w:fldChar w:fldCharType="begin" w:fldLock="1"/>
      </w:r>
      <w:r w:rsidR="00941369" w:rsidRPr="009B6DA9">
        <w:rPr>
          <w:rFonts w:ascii="Book Antiqua" w:hAnsi="Book Antiqua" w:cs="Calibri"/>
          <w:vertAlign w:val="superscript"/>
        </w:rPr>
        <w:instrText>ADDIN CSL_CITATION {"citationItems":[{"id":"ITEM-1","itemData":{"DOI":"10.1097/BOT.0b013e3182242678","ISSN":"1531-2291","PMID":"21885997","abstract":"OBJECTIVES The purpose of the study is to evaluate the influence of a multidisciplinary model of care on the incidence of postoperative complications after a hip fracture. DESIGN Retrospective cohort series. SETTING Level I trauma center. PATIENTS/PARTICIPANTS Three hundred six patients with pertrochanteric femur fracture (OTA classification: 31-B1, 31-B2, 31-B3, 31-A1, 31-A2, 31-B3, 32-A1, and 32-A2). INTERVENTION A multidisciplinary, collaborative model of perioperative care: the Medical Orthopaedic Trauma Service (MOTS). MAIN OUTCOME MEASURES Incidence of in-patient complications, length of in-patient hospitalization, readmission rate after hospital discharge, and postdischarge mortality at 90 days and 1 year. RESULTS Although there was no change in length of hospitalization, there was a significantly decreased overall incidence of in-patient complications and a decreased incidences of new-onset urinary tract infection and arrhythmias in the MOTS cohort. These differences persisted after controlling for age, comorbidity, gender, ethnicity, type of fracture, and number of days from admission to surgery with a logistic regression model. Subgroup analysis of patients with an American Society of Anesthesiologists physical status classification of 1 or 2 revealed a significantly decreased 90 day readmission rate with the MOTS model, but this did not persist in a regression model (P = 0.07). CONCLUSIONS A multidisciplinary, collaborative model of care for patients with hip fractures decreases the incidence of postoperative in-patient complications and may influence hospital readmission rates. LEVEL OF EVIDENCE Therapeutic Level III. See Instructions for Authors for a complete description of levels of evidence.","author":[{"dropping-particle":"","family":"Dy","given":"Christopher J","non-dropping-particle":"","parse-names":false,"suffix":""},{"dropping-particle":"","family":"Dossous","given":"Paul-Michel","non-dropping-particle":"","parse-names":false,"suffix":""},{"dropping-particle":"V","family":"Ton","given":"Quang","non-dropping-particle":"","parse-names":false,"suffix":""},{"dropping-particle":"","family":"Hollenberg","given":"James P","non-dropping-particle":"","parse-names":false,"suffix":""},{"dropping-particle":"","family":"Lorich","given":"Dean G","non-dropping-particle":"","parse-names":false,"suffix":""},{"dropping-particle":"","family":"Lane","given":"Joseph M","non-dropping-particle":"","parse-names":false,"suffix":""}],"container-title":"Journal of orthopaedic trauma","id":"ITEM-1","issue":"6","issued":{"date-parts":[["2012","6"]]},"page":"379-83","title":"The medical orthopaedic trauma service: an innovative multidisciplinary team model that decreases in-hospital complications in patients with hip fractures.","type":"article-journal","volume":"26"},"uris":["http://www.mendeley.com/documents/?uuid=e5e2e1d3-2e2a-4f3f-8c84-22d155da851e"]}],"mendeley":{"formattedCitation":"[3]","plainTextFormattedCitation":"[3]","previouslyFormattedCitation":"(3)"},"properties":{"noteIndex":0},"schema":"https://github.com/citation-style-language/schema/raw/master/csl-citation.json"}</w:instrText>
      </w:r>
      <w:r w:rsidR="00F400E5" w:rsidRPr="009B6DA9">
        <w:rPr>
          <w:rFonts w:ascii="Book Antiqua" w:hAnsi="Book Antiqua" w:cs="Calibri"/>
          <w:vertAlign w:val="superscript"/>
        </w:rPr>
        <w:fldChar w:fldCharType="separate"/>
      </w:r>
      <w:r w:rsidR="00941369" w:rsidRPr="009B6DA9">
        <w:rPr>
          <w:rFonts w:ascii="Book Antiqua" w:hAnsi="Book Antiqua" w:cs="Calibri"/>
          <w:noProof/>
          <w:vertAlign w:val="superscript"/>
        </w:rPr>
        <w:t>[3]</w:t>
      </w:r>
      <w:r w:rsidR="00F400E5" w:rsidRPr="009B6DA9">
        <w:rPr>
          <w:rFonts w:ascii="Book Antiqua" w:hAnsi="Book Antiqua" w:cs="Calibri"/>
          <w:vertAlign w:val="superscript"/>
        </w:rPr>
        <w:fldChar w:fldCharType="end"/>
      </w:r>
      <w:r w:rsidR="00F400E5" w:rsidRPr="006B05AE">
        <w:rPr>
          <w:rFonts w:ascii="Book Antiqua" w:hAnsi="Book Antiqua" w:cs="Calibri"/>
        </w:rPr>
        <w:t>. Multidisciplinary care involving orthopaedic surgeons, geriatricians, therapists and discharge co-ordinators, allow regular discussion of patients and planning for discharge. A</w:t>
      </w:r>
      <w:r w:rsidRPr="006B05AE">
        <w:rPr>
          <w:rFonts w:ascii="Book Antiqua" w:hAnsi="Book Antiqua" w:cs="Calibri"/>
        </w:rPr>
        <w:t>greed standards of care</w:t>
      </w:r>
      <w:r w:rsidR="00F400E5" w:rsidRPr="006B05AE">
        <w:rPr>
          <w:rFonts w:ascii="Book Antiqua" w:hAnsi="Book Antiqua" w:cs="Calibri"/>
        </w:rPr>
        <w:t xml:space="preserve"> now exist</w:t>
      </w:r>
      <w:r w:rsidRPr="006B05AE">
        <w:rPr>
          <w:rFonts w:ascii="Book Antiqua" w:hAnsi="Book Antiqua" w:cs="Calibri"/>
        </w:rPr>
        <w:t xml:space="preserve"> jointly written by geriatricians, orthopaedic surgeons and anaesthetists, a nationwide data collection system keeping track of management and outcomes (the National Hip Fracture Database) and a payment system that rewards trusts adhering to best practice care</w:t>
      </w:r>
      <w:r w:rsidRPr="009B6DA9">
        <w:rPr>
          <w:rFonts w:ascii="Book Antiqua" w:hAnsi="Book Antiqua" w:cs="Calibri"/>
          <w:vertAlign w:val="superscript"/>
        </w:rPr>
        <w:fldChar w:fldCharType="begin" w:fldLock="1"/>
      </w:r>
      <w:r w:rsidR="00941369" w:rsidRPr="009B6DA9">
        <w:rPr>
          <w:rFonts w:ascii="Book Antiqua" w:hAnsi="Book Antiqua" w:cs="Calibri"/>
          <w:vertAlign w:val="superscript"/>
        </w:rPr>
        <w:instrText>ADDIN CSL_CITATION {"citationItems":[{"id":"ITEM-1","itemData":{"abstract":"www.ndorms.ox.ac.uk NHFD data collection webtool and performance tables are provided by Crown Informatics www.crowninformatics.com Falls and Fragility Fracture Audit Programme The NHFD is commissioned by the Healthcare Quality Improvement Partnership (HQIP) and managed by the Clinical Effectiveness and Evaluation Unit (CEEU) of the Royal College of Physicians (RCP) as part of the Falls and Fragility Fracture Audit Programme (FFFAP) alongside the Fracture Liaison Service Database (FLS-DB) and Falls Prevention Audit. FFFAP aims to improve the delivery of care for patients having falls or sustaining fractures through effective measurement against standards and feedback to providers. Healthcare Quality Improvement Partnership The Healthcare Quality Improvement Partnership (HQIP) is led by a consortium of the Academy of Medical Royal Colleges, the Royal College of Nursing and National Voices. Its aim is to promote quality improvement, and in particular to increase the impact that clinical audit has on healthcare quality in England and Wales. HQIP hosts the contract to manage and develop the National Clinical Audit and Patient Outcomes Programme (NCAPOP). Its purpose is to engage clinicians across England and Wales in systematic evaluation of their clinical practice against standards and to support and encourage improvement in the quality of treatment and care. The programme comprises more than 30 clinical audits that cover care provided to people with a wide range of medical, surgical and mental health conditions.","id":"ITEM-1","issued":{"date-parts":[["0"]]},"title":"National Hip Fracture Database (NHFD) annual report 2017 National Hip Fracture Database annual report 2017","type":"article-journal"},"uris":["http://www.mendeley.com/documents/?uuid=fbafb581-fd87-3931-b82d-6ffa1f01d93f"]}],"mendeley":{"formattedCitation":"[4]","plainTextFormattedCitation":"[4]","previouslyFormattedCitation":"(4)"},"properties":{"noteIndex":0},"schema":"https://github.com/citation-style-language/schema/raw/master/csl-citation.json"}</w:instrText>
      </w:r>
      <w:r w:rsidRPr="009B6DA9">
        <w:rPr>
          <w:rFonts w:ascii="Book Antiqua" w:hAnsi="Book Antiqua" w:cs="Calibri"/>
          <w:vertAlign w:val="superscript"/>
        </w:rPr>
        <w:fldChar w:fldCharType="separate"/>
      </w:r>
      <w:r w:rsidR="00941369" w:rsidRPr="009B6DA9">
        <w:rPr>
          <w:rFonts w:ascii="Book Antiqua" w:hAnsi="Book Antiqua" w:cs="Calibri"/>
          <w:noProof/>
          <w:vertAlign w:val="superscript"/>
        </w:rPr>
        <w:t>[4]</w:t>
      </w:r>
      <w:r w:rsidRPr="009B6DA9">
        <w:rPr>
          <w:rFonts w:ascii="Book Antiqua" w:hAnsi="Book Antiqua" w:cs="Calibri"/>
          <w:vertAlign w:val="superscript"/>
        </w:rPr>
        <w:fldChar w:fldCharType="end"/>
      </w:r>
      <w:r w:rsidRPr="006B05AE">
        <w:rPr>
          <w:rFonts w:ascii="Book Antiqua" w:hAnsi="Book Antiqua" w:cs="Calibri"/>
        </w:rPr>
        <w:t>. There is an evidence base to guide practice and also scores that may predict poor outcomes</w:t>
      </w:r>
      <w:r w:rsidRPr="009B6DA9">
        <w:rPr>
          <w:rFonts w:ascii="Book Antiqua" w:hAnsi="Book Antiqua" w:cs="Calibri"/>
          <w:vertAlign w:val="superscript"/>
        </w:rPr>
        <w:fldChar w:fldCharType="begin" w:fldLock="1"/>
      </w:r>
      <w:r w:rsidR="00941369" w:rsidRPr="009B6DA9">
        <w:rPr>
          <w:rFonts w:ascii="Book Antiqua" w:hAnsi="Book Antiqua" w:cs="Calibri"/>
          <w:vertAlign w:val="superscript"/>
        </w:rPr>
        <w:instrText>ADDIN CSL_CITATION {"citationItems":[{"id":"ITEM-1","itemData":{"id":"ITEM-1","issued":{"date-parts":[["2007"]]},"title":"British Orthopaedic Association THE CARE OF PATIENTS WITH FRAGILITY FRACTURE","type":"article-journal"},"uris":["http://www.mendeley.com/documents/?uuid=395baa00-3948-3f84-8c16-5c65e0a06dbc"]}],"mendeley":{"formattedCitation":"[1]","plainTextFormattedCitation":"[1]","previouslyFormattedCitation":"(1)"},"properties":{"noteIndex":0},"schema":"https://github.com/citation-style-language/schema/raw/master/csl-citation.json"}</w:instrText>
      </w:r>
      <w:r w:rsidRPr="009B6DA9">
        <w:rPr>
          <w:rFonts w:ascii="Book Antiqua" w:hAnsi="Book Antiqua" w:cs="Calibri"/>
          <w:vertAlign w:val="superscript"/>
        </w:rPr>
        <w:fldChar w:fldCharType="separate"/>
      </w:r>
      <w:r w:rsidR="00941369" w:rsidRPr="009B6DA9">
        <w:rPr>
          <w:rFonts w:ascii="Book Antiqua" w:hAnsi="Book Antiqua" w:cs="Calibri"/>
          <w:noProof/>
          <w:vertAlign w:val="superscript"/>
        </w:rPr>
        <w:t>[1</w:t>
      </w:r>
      <w:r w:rsidR="009B6DA9" w:rsidRPr="009B6DA9">
        <w:rPr>
          <w:rFonts w:ascii="Book Antiqua" w:hAnsi="Book Antiqua" w:cs="Calibri"/>
          <w:noProof/>
          <w:vertAlign w:val="superscript"/>
        </w:rPr>
        <w:t>,5</w:t>
      </w:r>
      <w:r w:rsidR="00941369" w:rsidRPr="009B6DA9">
        <w:rPr>
          <w:rFonts w:ascii="Book Antiqua" w:hAnsi="Book Antiqua" w:cs="Calibri"/>
          <w:noProof/>
          <w:vertAlign w:val="superscript"/>
        </w:rPr>
        <w:t>]</w:t>
      </w:r>
      <w:r w:rsidRPr="009B6DA9">
        <w:rPr>
          <w:rFonts w:ascii="Book Antiqua" w:hAnsi="Book Antiqua" w:cs="Calibri"/>
          <w:vertAlign w:val="superscript"/>
        </w:rPr>
        <w:fldChar w:fldCharType="end"/>
      </w:r>
      <w:r w:rsidRPr="006B05AE">
        <w:rPr>
          <w:rFonts w:ascii="Book Antiqua" w:hAnsi="Book Antiqua" w:cs="Calibri"/>
        </w:rPr>
        <w:t>.</w:t>
      </w:r>
    </w:p>
    <w:p w14:paraId="52401B20" w14:textId="19FDD6E0" w:rsidR="00E342B4" w:rsidRPr="006B05AE" w:rsidRDefault="00E342B4" w:rsidP="009B6DA9">
      <w:pPr>
        <w:spacing w:line="360" w:lineRule="auto"/>
        <w:ind w:firstLineChars="100" w:firstLine="240"/>
        <w:jc w:val="both"/>
        <w:rPr>
          <w:rFonts w:ascii="Book Antiqua" w:hAnsi="Book Antiqua" w:cs="Calibri"/>
        </w:rPr>
      </w:pPr>
      <w:r w:rsidRPr="006B05AE">
        <w:rPr>
          <w:rFonts w:ascii="Book Antiqua" w:hAnsi="Book Antiqua" w:cs="Calibri"/>
        </w:rPr>
        <w:t>One predictor of poor outcome is post-operative delirium, which can affect a large proportion of patients post operatively, yet is rarely mentioned to patients or families when the treatment and recovery from</w:t>
      </w:r>
      <w:r w:rsidR="008C3914" w:rsidRPr="006B05AE">
        <w:rPr>
          <w:rFonts w:ascii="Book Antiqua" w:hAnsi="Book Antiqua" w:cs="Calibri"/>
        </w:rPr>
        <w:t xml:space="preserve"> a </w:t>
      </w:r>
      <w:r w:rsidR="008C3914" w:rsidRPr="006B05AE">
        <w:rPr>
          <w:rFonts w:ascii="Book Antiqua" w:hAnsi="Book Antiqua" w:cs="Calibri"/>
          <w:bCs/>
        </w:rPr>
        <w:t>proximal femoral fracture</w:t>
      </w:r>
      <w:r w:rsidR="008C3914" w:rsidRPr="006B05AE">
        <w:rPr>
          <w:rFonts w:ascii="Book Antiqua" w:hAnsi="Book Antiqua" w:cs="Calibri"/>
        </w:rPr>
        <w:t xml:space="preserve"> </w:t>
      </w:r>
      <w:r w:rsidRPr="006B05AE">
        <w:rPr>
          <w:rFonts w:ascii="Book Antiqua" w:hAnsi="Book Antiqua" w:cs="Calibri"/>
        </w:rPr>
        <w:t>is discussed</w:t>
      </w:r>
      <w:r w:rsidRPr="009B6DA9">
        <w:rPr>
          <w:rFonts w:ascii="Book Antiqua" w:hAnsi="Book Antiqua" w:cs="Calibri"/>
          <w:vertAlign w:val="superscript"/>
        </w:rPr>
        <w:fldChar w:fldCharType="begin" w:fldLock="1"/>
      </w:r>
      <w:r w:rsidR="00941369" w:rsidRPr="009B6DA9">
        <w:rPr>
          <w:rFonts w:ascii="Book Antiqua" w:hAnsi="Book Antiqua" w:cs="Calibri"/>
          <w:vertAlign w:val="superscript"/>
        </w:rPr>
        <w:instrText>ADDIN CSL_CITATION {"citationItems":[{"id":"ITEM-1","itemData":{"DOI":"10.1046/j.1532-5415.2001.49108.x","ISBN":"0002-8614","ISSN":"00028614","PMID":"11380742","abstract":"OBJECTIVES: Delirium (or acute confusional state) affects 35% to 65% of patients after hip-fracture repair, and has been independently associated with poor functional recovery. We performed a randomized trial in an orthopedic surgery service at an academic hospital to determine whether proactive geriatrics consultation can reduce delirium after hip fracture. DESIGN: Prospective, randomized, blinded. SETTING: Inpatient academic tertiary medical center. PARTICIPANTS: 126 consenting patients 65 and older (mean age 79 +/- 8 years, 79% women) admitted emergently for surgical repair of hip fracture. MEASUREMENTS: Detailed assessment through interviews with patients and designated proxies and review of medical records was performed at enrollment to ascertain prefracture status. Subjects were then randomized to proactive geriatrics consultation, which began preoperatively or within 24 hours of surgery, or \"usual care.\" A geriatrician made daily visits for the duration of the hospitalization and made targeted recommendations based on a structured protocol. To ascertain study outcomes, all subjects underwent daily, blinded interviews for the duration of their hospitalization, including the Mini-Mental State Examination (MMSE), the Delirium Symptom Interview (DSI), and the Memorial Delirium Assessment Scale (MDAS). Delirium was diagnosed using the Confusion Assessment Method (CAM) algorithm. RESULTS: The 62 patients randomized to geriatrics consultation were not significantly different (P&gt;.1) from the 64 usual-care patients in terms of age, gender, prefracture dementia, comorbidity, type of hip fracture, or type of surgical repair. Sixty-one percent of geriatrics consultation patients were seen preoperatively and all were seen within 24 hours postoperatively. A mean of 10 recommendations were made throughout the duration of the hospitalization, with 77% adherence by the orthopedics team. Delirium occurred in 20 /62 (32%) intervention patients, versus 32 / 64 (50%) usual-care patients (P =.04), representing a relative risk of 0.64 (95% confidence interval (CI) = 0.37-0.98) for the consultation group. One case of delirium was prevented for every 5.6 patients in the geriatrics consultation group. There was an even greater reduction in cases of severe delirium, occurring in 7/ 60 (12%) of intervention patients and 18 / 62 (29%) of usual-care patients, with a relative risk of 0.40 (95% CI = 0.18-0.89). Despite this reduction in delirium, length of stay did not signific…","author":[{"dropping-particle":"","family":"Marcantonio","given":"Edward R.","non-dropping-particle":"","parse-names":false,"suffix":""},{"dropping-particle":"","family":"Flacker","given":"Jonathan M.","non-dropping-particle":"","parse-names":false,"suffix":""},{"dropping-particle":"","family":"John Wright","given":"R.","non-dropping-particle":"","parse-names":false,"suffix":""},{"dropping-particle":"","family":"Resnick","given":"Neil M.","non-dropping-particle":"","parse-names":false,"suffix":""}],"container-title":"Journal of the American Geriatrics Society","id":"ITEM-1","issue":"5","issued":{"date-parts":[["2001"]]},"page":"516-522","title":"Reducing delirium after hip fracture: A randomized trial","type":"article-journal","volume":"49"},"uris":["http://www.mendeley.com/documents/?uuid=8091e402-a694-412c-91e4-9a485da9c39c"]}],"mendeley":{"formattedCitation":"[6]","plainTextFormattedCitation":"[6]","previouslyFormattedCitation":"(6)"},"properties":{"noteIndex":0},"schema":"https://github.com/citation-style-language/schema/raw/master/csl-citation.json"}</w:instrText>
      </w:r>
      <w:r w:rsidRPr="009B6DA9">
        <w:rPr>
          <w:rFonts w:ascii="Book Antiqua" w:hAnsi="Book Antiqua" w:cs="Calibri"/>
          <w:vertAlign w:val="superscript"/>
        </w:rPr>
        <w:fldChar w:fldCharType="separate"/>
      </w:r>
      <w:r w:rsidR="00941369" w:rsidRPr="009B6DA9">
        <w:rPr>
          <w:rFonts w:ascii="Book Antiqua" w:hAnsi="Book Antiqua" w:cs="Calibri"/>
          <w:noProof/>
          <w:vertAlign w:val="superscript"/>
        </w:rPr>
        <w:t>[6]</w:t>
      </w:r>
      <w:r w:rsidRPr="009B6DA9">
        <w:rPr>
          <w:rFonts w:ascii="Book Antiqua" w:hAnsi="Book Antiqua" w:cs="Calibri"/>
          <w:vertAlign w:val="superscript"/>
        </w:rPr>
        <w:fldChar w:fldCharType="end"/>
      </w:r>
      <w:r w:rsidRPr="006B05AE">
        <w:rPr>
          <w:rFonts w:ascii="Book Antiqua" w:hAnsi="Book Antiqua" w:cs="Calibri"/>
        </w:rPr>
        <w:t>. Delirium is defined as a “clinical syndrome characterised by disturbed consciousness, cognitive function or perception, which has an acute onset and fluctuating course”</w:t>
      </w:r>
      <w:r w:rsidRPr="009B6DA9">
        <w:rPr>
          <w:rFonts w:ascii="Book Antiqua" w:hAnsi="Book Antiqua" w:cs="Calibri"/>
          <w:vertAlign w:val="superscript"/>
        </w:rPr>
        <w:fldChar w:fldCharType="begin" w:fldLock="1"/>
      </w:r>
      <w:r w:rsidR="00941369" w:rsidRPr="009B6DA9">
        <w:rPr>
          <w:rFonts w:ascii="Book Antiqua" w:hAnsi="Book Antiqua" w:cs="Calibri"/>
          <w:vertAlign w:val="superscript"/>
        </w:rPr>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Commissioners and providers have a responsibility to promote an environmentally sustainable health and care system and should assess and reduce the environmental impact of implementing NICE recommendations wherever possible. Delirium: prevention, diagnosis and management (CG103)","author":[{"dropping-particle":"","family":"National Collaborting Centre for Acute and Chronic Conditions","given":"","non-dropping-particle":"","parse-names":false,"suffix":""}],"container-title":"Nice clinical guideline","id":"ITEM-1","issue":"July","issued":{"date-parts":[["2010"]]},"page":"1-33","title":"Delirium : pre prev vention , diagnosis and management","type":"article-journal"},"uris":["http://www.mendeley.com/documents/?uuid=72e695b9-268f-4cdc-afb4-b303532a83fe"]}],"mendeley":{"formattedCitation":"[7]","plainTextFormattedCitation":"[7]","previouslyFormattedCitation":"(7)"},"properties":{"noteIndex":0},"schema":"https://github.com/citation-style-language/schema/raw/master/csl-citation.json"}</w:instrText>
      </w:r>
      <w:r w:rsidRPr="009B6DA9">
        <w:rPr>
          <w:rFonts w:ascii="Book Antiqua" w:hAnsi="Book Antiqua" w:cs="Calibri"/>
          <w:vertAlign w:val="superscript"/>
        </w:rPr>
        <w:fldChar w:fldCharType="separate"/>
      </w:r>
      <w:r w:rsidR="00941369" w:rsidRPr="009B6DA9">
        <w:rPr>
          <w:rFonts w:ascii="Book Antiqua" w:hAnsi="Book Antiqua" w:cs="Calibri"/>
          <w:noProof/>
          <w:vertAlign w:val="superscript"/>
        </w:rPr>
        <w:t>[7]</w:t>
      </w:r>
      <w:r w:rsidRPr="009B6DA9">
        <w:rPr>
          <w:rFonts w:ascii="Book Antiqua" w:hAnsi="Book Antiqua" w:cs="Calibri"/>
          <w:vertAlign w:val="superscript"/>
        </w:rPr>
        <w:fldChar w:fldCharType="end"/>
      </w:r>
      <w:r w:rsidRPr="006B05AE">
        <w:rPr>
          <w:rFonts w:ascii="Book Antiqua" w:hAnsi="Book Antiqua" w:cs="Calibri"/>
        </w:rPr>
        <w:t xml:space="preserve">. </w:t>
      </w:r>
    </w:p>
    <w:p w14:paraId="1BF94E87" w14:textId="77777777" w:rsidR="00E342B4" w:rsidRPr="006B05AE" w:rsidRDefault="00E342B4" w:rsidP="00490A12">
      <w:pPr>
        <w:spacing w:line="360" w:lineRule="auto"/>
        <w:jc w:val="both"/>
        <w:rPr>
          <w:rFonts w:ascii="Book Antiqua" w:hAnsi="Book Antiqua" w:cs="Calibri"/>
        </w:rPr>
      </w:pPr>
    </w:p>
    <w:p w14:paraId="10B9C2A3" w14:textId="04CF3545" w:rsidR="00E342B4" w:rsidRPr="006B05AE" w:rsidRDefault="009B6DA9" w:rsidP="00490A12">
      <w:pPr>
        <w:spacing w:line="360" w:lineRule="auto"/>
        <w:jc w:val="both"/>
        <w:rPr>
          <w:rFonts w:ascii="Book Antiqua" w:hAnsi="Book Antiqua" w:cs="Calibri"/>
          <w:b/>
          <w:bCs/>
        </w:rPr>
      </w:pPr>
      <w:r w:rsidRPr="006B05AE">
        <w:rPr>
          <w:rFonts w:ascii="Book Antiqua" w:hAnsi="Book Antiqua" w:cs="Calibri"/>
          <w:b/>
          <w:bCs/>
        </w:rPr>
        <w:t>INCIDENCE AMONGST OLDER ADULTS</w:t>
      </w:r>
    </w:p>
    <w:p w14:paraId="416C9DB0" w14:textId="7AFF4510" w:rsidR="007C7EAE" w:rsidRPr="006B05AE" w:rsidRDefault="00E342B4" w:rsidP="00490A12">
      <w:pPr>
        <w:spacing w:line="360" w:lineRule="auto"/>
        <w:jc w:val="both"/>
        <w:rPr>
          <w:rFonts w:ascii="Book Antiqua" w:hAnsi="Book Antiqua" w:cs="Calibri"/>
        </w:rPr>
      </w:pPr>
      <w:r w:rsidRPr="006B05AE">
        <w:rPr>
          <w:rFonts w:ascii="Book Antiqua" w:hAnsi="Book Antiqua" w:cs="Calibri"/>
        </w:rPr>
        <w:t>Many studies have looked at delirium rates amongst older adult inpatients, and estimates of prevalence vary from 29</w:t>
      </w:r>
      <w:r w:rsidR="001503D6">
        <w:rPr>
          <w:rFonts w:ascii="Book Antiqua" w:hAnsi="Book Antiqua" w:cs="Calibri"/>
        </w:rPr>
        <w:t>%</w:t>
      </w:r>
      <w:r w:rsidRPr="006B05AE">
        <w:rPr>
          <w:rFonts w:ascii="Book Antiqua" w:hAnsi="Book Antiqua" w:cs="Calibri"/>
        </w:rPr>
        <w:t>64% amongst medical wards, with patients being admitted for a number of reasons and not primarily delirium</w:t>
      </w:r>
      <w:r w:rsidRPr="001503D6">
        <w:rPr>
          <w:rFonts w:ascii="Book Antiqua" w:hAnsi="Book Antiqua" w:cs="Calibri"/>
          <w:vertAlign w:val="superscript"/>
        </w:rPr>
        <w:fldChar w:fldCharType="begin" w:fldLock="1"/>
      </w:r>
      <w:r w:rsidR="00941369" w:rsidRPr="001503D6">
        <w:rPr>
          <w:rFonts w:ascii="Book Antiqua" w:hAnsi="Book Antiqua" w:cs="Calibri"/>
          <w:vertAlign w:val="superscript"/>
        </w:rPr>
        <w:instrText>ADDIN CSL_CITATION {"citationItems":[{"id":"ITEM-1","itemData":{"DOI":"10.1016/S0140-6736(13)60688-1","ISBN":"0140-6736","ISSN":"1474547X","PMID":"23992774","abstract":"Delirium is an acute disorder of attention and cognition in elderly people (ie, those aged 65 years or older) that is common, serious, costly, under-recognised, and often fatal. A formal cognitive assessment and history of acute onset of symptoms are necessary for diagnosis. In view of the complex multifactorial causes of delirium, multicomponent non-pharmacological risk factor approaches are the most effective strategy for prevention. No convincing evidence shows that pharmacological prevention or treatment is effective. Drug reduction for sedation and analgesia and non pharmacological approaches are recommended. Delirium offers opportunities to elucidate brain pathophysiology - it serves both as a marker of brain vulnerability with decreased reserve and as a potential mechanism for permanent cognitive damage. As a potent indicator of patients safety, delirium provides a target for system-wide process improvements. Public health priorities include improvements in coding, reimbursement from insurers, and research funding, and widespread education for clinicians and the public about the importance of delirium.","author":[{"dropping-particle":"","family":"Inouye","given":"Sharon K.","non-dropping-particle":"","parse-names":false,"suffix":""},{"dropping-particle":"","family":"Westendorp","given":"Rudi G.J.","non-dropping-particle":"","parse-names":false,"suffix":""},{"dropping-particle":"","family":"Saczynski","given":"Jane S.","non-dropping-particle":"","parse-names":false,"suffix":""}],"container-title":"The Lancet","id":"ITEM-1","issue":"9920","issued":{"date-parts":[["2014"]]},"page":"911-922","publisher":"Elsevier Ltd","title":"Delirium in elderly people","type":"article-journal","volume":"383"},"uris":["http://www.mendeley.com/documents/?uuid=f1b7c487-463f-46fc-aa09-0b58119b703a"]}],"mendeley":{"formattedCitation":"[8]","plainTextFormattedCitation":"[8]","previouslyFormattedCitation":"(8)"},"properties":{"noteIndex":0},"schema":"https://github.com/citation-style-language/schema/raw/master/csl-citation.json"}</w:instrText>
      </w:r>
      <w:r w:rsidRPr="001503D6">
        <w:rPr>
          <w:rFonts w:ascii="Book Antiqua" w:hAnsi="Book Antiqua" w:cs="Calibri"/>
          <w:vertAlign w:val="superscript"/>
        </w:rPr>
        <w:fldChar w:fldCharType="separate"/>
      </w:r>
      <w:r w:rsidR="00941369" w:rsidRPr="001503D6">
        <w:rPr>
          <w:rFonts w:ascii="Book Antiqua" w:hAnsi="Book Antiqua" w:cs="Calibri"/>
          <w:noProof/>
          <w:vertAlign w:val="superscript"/>
        </w:rPr>
        <w:t>[8</w:t>
      </w:r>
      <w:r w:rsidR="001503D6" w:rsidRPr="001503D6">
        <w:rPr>
          <w:rFonts w:ascii="Book Antiqua" w:hAnsi="Book Antiqua" w:cs="Calibri"/>
          <w:noProof/>
          <w:vertAlign w:val="superscript"/>
        </w:rPr>
        <w:t>-10</w:t>
      </w:r>
      <w:r w:rsidR="00941369" w:rsidRPr="001503D6">
        <w:rPr>
          <w:rFonts w:ascii="Book Antiqua" w:hAnsi="Book Antiqua" w:cs="Calibri"/>
          <w:noProof/>
          <w:vertAlign w:val="superscript"/>
        </w:rPr>
        <w:t>]</w:t>
      </w:r>
      <w:r w:rsidRPr="001503D6">
        <w:rPr>
          <w:rFonts w:ascii="Book Antiqua" w:hAnsi="Book Antiqua" w:cs="Calibri"/>
          <w:vertAlign w:val="superscript"/>
        </w:rPr>
        <w:fldChar w:fldCharType="end"/>
      </w:r>
      <w:r w:rsidRPr="006B05AE">
        <w:rPr>
          <w:rFonts w:ascii="Book Antiqua" w:hAnsi="Book Antiqua" w:cs="Calibri"/>
        </w:rPr>
        <w:t>. The variance is thought to be due to heterogeneous or poorly defined diagnostic criteria used in different clinical trials, often leading to under diagnosis. Surgical patients are no different, with studies of post-operative cardiac bypass patients detecting it in up to 52% of subjects</w:t>
      </w:r>
      <w:r w:rsidRPr="009312A1">
        <w:rPr>
          <w:rFonts w:ascii="Book Antiqua" w:hAnsi="Book Antiqua" w:cs="Calibri"/>
          <w:vertAlign w:val="superscript"/>
        </w:rPr>
        <w:fldChar w:fldCharType="begin" w:fldLock="1"/>
      </w:r>
      <w:r w:rsidR="00941369" w:rsidRPr="009312A1">
        <w:rPr>
          <w:rFonts w:ascii="Book Antiqua" w:hAnsi="Book Antiqua" w:cs="Calibri"/>
          <w:vertAlign w:val="superscript"/>
        </w:rPr>
        <w:instrText>ADDIN CSL_CITATION {"citationItems":[{"id":"ITEM-1","itemData":{"DOI":"10.1016/j.ejcnurse.2010.09.001","ISBN":"1873-1953 (Electronic)\\r1474-5151 (Linking)","ISSN":"14745151","PMID":"20870463","abstract":"Background: Delirium or acute confusion is a temporary mental disorder that occurs frequently among hospitalized elderly patients, but also in younger patients a delirium can develop. Patients who undergo cardiac surgery have an increased risk of developing delirium that is associated with many negative consequences. Therefore, prevention of delirium is essential. Despite the high incidence of delirium, a paucity of data on risk factors for delirium exists. Aim: The aim of this study was to summarize the available information concerning these risk factors. Methods: A literature research was performed using the PubMed, Cinahl, and Cochrane Library databases and was limited to the last 10 years. Results: Our review revealed 27 risk factors; 12 predisposing and 15 precipitating factors for delirium after cardiac surgery. The most established predisposing risk factors were atrial fibrillation, cognitive impairment, depression, history of stroke, older age, and peripheral vascular disease. The most established precipitating risk factor was a red blood cell transfusion. An abnormal albumin level was reported as the most established precipitating risk factor among blood values tested. A low cardiac output and the use of an Intra Aortic Balloon Pump or inotropic medication seem to be the most relevant risk factors associated with a postoperative delirium. Conclusion: A multifactorial risk model should be applied to identify patients at an increased risk of developing delirium following elective cardiac surgery. In these patients, if possible, preventative interventions can be taken and early recognition of delirium can be realized. This could potentially decrease the incidence of delirium and negative consequences caused by a postoperative delirium. © 2010 European Society of Cardiology.","author":[{"dropping-particle":"","family":"Koster","given":"Sandra","non-dropping-particle":"","parse-names":false,"suffix":""},{"dropping-particle":"","family":"Hensens","given":"Ab G.","non-dropping-particle":"","parse-names":false,"suffix":""},{"dropping-particle":"","family":"Schuurmans","given":"Marieke J.","non-dropping-particle":"","parse-names":false,"suffix":""},{"dropping-particle":"","family":"Palen","given":"Job","non-dropping-particle":"van der","parse-names":false,"suffix":""}],"container-title":"European Journal of Cardiovascular Nursing","id":"ITEM-1","issue":"4","issued":{"date-parts":[["2011"]]},"page":"197-204","title":"Risk factors of delirium after cardiac surgery. A systematic review","type":"article-journal","volume":"10"},"uris":["http://www.mendeley.com/documents/?uuid=a8773513-27bf-4798-b6cd-e4f8871c3eb1"]}],"mendeley":{"formattedCitation":"[11]","plainTextFormattedCitation":"[11]","previouslyFormattedCitation":"(11)"},"properties":{"noteIndex":0},"schema":"https://github.com/citation-style-language/schema/raw/master/csl-citation.json"}</w:instrText>
      </w:r>
      <w:r w:rsidRPr="009312A1">
        <w:rPr>
          <w:rFonts w:ascii="Book Antiqua" w:hAnsi="Book Antiqua" w:cs="Calibri"/>
          <w:vertAlign w:val="superscript"/>
        </w:rPr>
        <w:fldChar w:fldCharType="separate"/>
      </w:r>
      <w:r w:rsidR="00941369" w:rsidRPr="009312A1">
        <w:rPr>
          <w:rFonts w:ascii="Book Antiqua" w:hAnsi="Book Antiqua" w:cs="Calibri"/>
          <w:noProof/>
          <w:vertAlign w:val="superscript"/>
        </w:rPr>
        <w:t>[11]</w:t>
      </w:r>
      <w:r w:rsidRPr="009312A1">
        <w:rPr>
          <w:rFonts w:ascii="Book Antiqua" w:hAnsi="Book Antiqua" w:cs="Calibri"/>
          <w:vertAlign w:val="superscript"/>
        </w:rPr>
        <w:fldChar w:fldCharType="end"/>
      </w:r>
      <w:r w:rsidRPr="006B05AE">
        <w:rPr>
          <w:rFonts w:ascii="Book Antiqua" w:hAnsi="Book Antiqua" w:cs="Calibri"/>
        </w:rPr>
        <w:t>. A meta-analysis looking at incidence of delirium post hip fracture in elderly patients found an accumulated incidence of 24%</w:t>
      </w:r>
      <w:r w:rsidR="00242F1E" w:rsidRPr="001503D6">
        <w:rPr>
          <w:rFonts w:ascii="Book Antiqua" w:hAnsi="Book Antiqua" w:cs="Calibri"/>
          <w:vertAlign w:val="superscript"/>
        </w:rPr>
        <w:fldChar w:fldCharType="begin" w:fldLock="1"/>
      </w:r>
      <w:r w:rsidR="00941369" w:rsidRPr="001503D6">
        <w:rPr>
          <w:rFonts w:ascii="Book Antiqua" w:hAnsi="Book Antiqua" w:cs="Calibri"/>
          <w:vertAlign w:val="superscript"/>
        </w:rPr>
        <w:instrText>ADDIN CSL_CITATION {"citationItems":[{"id":"ITEM-1","itemData":{"DOI":"10.1007/s40520-016-0541-6","ISBN":"4052001605","ISSN":"17208319","PMID":"26873816","abstract":"BACKGROUND No formal systematic review or meta-analysis was performed up to now to summarize the risk factors of delirium after hip surgery. AIMS The present study aimed to quantitatively and comprehensively conclude the risk factors of delirium after hip surgery in elderly patients. METHODS A search was applied to CNKI, Embase, Medline, and Cochrane central database (all up to August 2015). All studies assessing the risk factors of delirium after hip surgery in elderly patients without language restriction were reviewed, and qualities of included studies were assessed using the Newcastle-Ottawa Scale. Data were pooled and a meta-analysis was completed. RESULTS A total of 24 studies were selected, which altogether included 5364 patients with hip fracture. One thousand and ninety of them were cases of delirium occurred after surgery, suggesting the accumulated incidence of 24.0 %. Results of meta-analyses showed that elderly patients with preoperative cognitive impairment [odds ratio (OR) 3.21, 95 % confidence interval (CI) 2.26-4.56), advanced age (standardized mean difference 0.50, 95 % CI 0.33-0.67), living in an institution (OR 2.94; 95 % CI 1.65-5.23), heart failure (OR 2.46; 95 % CI 1.72-3.53), total hip arthroplasty (OR 2.21; 95 % CI 1.16-4.22), multiple comorbidities (OR 1.37; 95 % CI 1.12-1.68) and morphine usage (OR 3.01; 95 % CI 1.30-6.94) were more likely to sustain delirium after hip surgery. Females were less likely to develop delirium after hip surgery (OR 0.83; 95 % CI 0.70-0.98). CONCLUSIONS Related prophylaxis strategies should be implemented in elderly patients involved with above-mentioned risk factors to prevent delirium after hip surgery.","author":[{"dropping-particle":"","family":"Yang","given":"Yanjiang","non-dropping-particle":"","parse-names":false,"suffix":""},{"dropping-particle":"","family":"Zhao","given":"Xin","non-dropping-particle":"","parse-names":false,"suffix":""},{"dropping-particle":"","family":"Dong","given":"Tianhua","non-dropping-particle":"","parse-names":false,"suffix":""},{"dropping-particle":"","family":"Yang","given":"Zongyou","non-dropping-particle":"","parse-names":false,"suffix":""},{"dropping-particle":"","family":"Zhang","given":"Qi","non-dropping-particle":"","parse-names":false,"suffix":""},{"dropping-particle":"","family":"Zhang","given":"Yingze","non-dropping-particle":"","parse-names":false,"suffix":""}],"container-title":"Aging Clinical and Experimental Research","id":"ITEM-1","issue":"2","issued":{"date-parts":[["2017"]]},"page":"115-126","publisher":"Springer International Publishing","title":"Risk factors for postoperative delirium following hip fracture repair in elderly patients: a systematic review and meta-analysis","type":"article-journal","volume":"29"},"uris":["http://www.mendeley.com/documents/?uuid=77a482d1-29eb-4e64-b4ad-3fa9410d46fc"]}],"mendeley":{"formattedCitation":"[12]","plainTextFormattedCitation":"[12]","previouslyFormattedCitation":"(12)"},"properties":{"noteIndex":0},"schema":"https://github.com/citation-style-language/schema/raw/master/csl-citation.json"}</w:instrText>
      </w:r>
      <w:r w:rsidR="00242F1E" w:rsidRPr="001503D6">
        <w:rPr>
          <w:rFonts w:ascii="Book Antiqua" w:hAnsi="Book Antiqua" w:cs="Calibri"/>
          <w:vertAlign w:val="superscript"/>
        </w:rPr>
        <w:fldChar w:fldCharType="separate"/>
      </w:r>
      <w:r w:rsidR="00941369" w:rsidRPr="001503D6">
        <w:rPr>
          <w:rFonts w:ascii="Book Antiqua" w:hAnsi="Book Antiqua" w:cs="Calibri"/>
          <w:noProof/>
          <w:vertAlign w:val="superscript"/>
        </w:rPr>
        <w:t>[12]</w:t>
      </w:r>
      <w:r w:rsidR="00242F1E" w:rsidRPr="001503D6">
        <w:rPr>
          <w:rFonts w:ascii="Book Antiqua" w:hAnsi="Book Antiqua" w:cs="Calibri"/>
          <w:vertAlign w:val="superscript"/>
        </w:rPr>
        <w:fldChar w:fldCharType="end"/>
      </w:r>
      <w:r w:rsidR="00242F1E" w:rsidRPr="006B05AE">
        <w:rPr>
          <w:rFonts w:ascii="Book Antiqua" w:hAnsi="Book Antiqua" w:cs="Calibri"/>
        </w:rPr>
        <w:t>.</w:t>
      </w:r>
      <w:r w:rsidR="006B05AE">
        <w:rPr>
          <w:rFonts w:ascii="Book Antiqua" w:hAnsi="Book Antiqua" w:cs="Calibri"/>
        </w:rPr>
        <w:t xml:space="preserve"> </w:t>
      </w:r>
    </w:p>
    <w:p w14:paraId="7C5E3A78" w14:textId="2BC3786B" w:rsidR="00E342B4" w:rsidRPr="006B05AE" w:rsidRDefault="00E342B4" w:rsidP="001503D6">
      <w:pPr>
        <w:spacing w:line="360" w:lineRule="auto"/>
        <w:ind w:firstLineChars="100" w:firstLine="240"/>
        <w:jc w:val="both"/>
        <w:rPr>
          <w:rFonts w:ascii="Book Antiqua" w:hAnsi="Book Antiqua" w:cs="Calibri"/>
        </w:rPr>
      </w:pPr>
      <w:r w:rsidRPr="006B05AE">
        <w:rPr>
          <w:rFonts w:ascii="Book Antiqua" w:hAnsi="Book Antiqua" w:cs="Calibri"/>
        </w:rPr>
        <w:t xml:space="preserve">There are many triggers for developing delirium, including infection, myocardial and cerebral ischaemia, electrolyte abnormalities, commencement of new medications, </w:t>
      </w:r>
      <w:r w:rsidRPr="006B05AE">
        <w:rPr>
          <w:rFonts w:ascii="Book Antiqua" w:hAnsi="Book Antiqua" w:cs="Calibri"/>
        </w:rPr>
        <w:lastRenderedPageBreak/>
        <w:t>withdrawal from alcohol or drugs (such as benzodiazepines), pain, constipation and urinary retention</w:t>
      </w:r>
      <w:r w:rsidR="006E4F45" w:rsidRPr="001503D6">
        <w:rPr>
          <w:rFonts w:ascii="Book Antiqua" w:hAnsi="Book Antiqua" w:cs="Calibri"/>
          <w:vertAlign w:val="superscript"/>
        </w:rPr>
        <w:fldChar w:fldCharType="begin" w:fldLock="1"/>
      </w:r>
      <w:r w:rsidR="00941369" w:rsidRPr="001503D6">
        <w:rPr>
          <w:rFonts w:ascii="Book Antiqua" w:hAnsi="Book Antiqua" w:cs="Calibri"/>
          <w:vertAlign w:val="superscript"/>
        </w:rPr>
        <w:instrText>ADDIN CSL_CITATION {"citationItems":[{"id":"ITEM-1","itemData":{"DOI":"10.1093/ageing/afu022","ISSN":"1468-2834","PMID":"24610863","abstract":"BACKGROUND delirium affects up to 40% of older hospitalised patients, but there has been no systematic review focussing on risk factors for incident delirium in older medical inpatients. We aimed to synthesise data on risk factors for incident delirium and where possible conduct meta-analysis of these. METHODS PubMed and Web of Science databases were searched (January 1987-August 2013). Studies were quality rated using the Newcastle-Ottawa Scale. We used the Mantel-Haenszel and inverse variance method to estimate the pooled odds ratio (OR) or mean difference for individual risk factors. RESULTS eleven articles met inclusion criteria and were included for review. Total study population 2338 (411 patients with delirium/1927 controls). The commonest factors significantly associated with delirium were dementia, older age, co-morbid illness, severity of medical illness, infection, 'high-risk' medication use, diminished activities of daily living, immobility, sensory impairment, urinary catheterisation, urea and electrolyte imbalance and malnutrition. In pooled analyses, dementia (OR 6.62; 95% CI (confidence interval) 4.30, 10.19), illness severity (APACHE II) (MD (mean difference) 3.91; 95% CI 2.22, 5.59), visual impairment (OR 1.89; 95% CI 1.03, 3.47), urinary catheterisation (OR 3.16; 95% CI 1.26, 7.92), low albumin level (MD -3.14; 95% CI -5.99, -0.29) and length of hospital stay (OR 4.85; 95% CI 2.20, 7.50) were statistically significantly associated with delirium. CONCLUSION we identified risk factors consistently associated with incident delirium following admission. These factors help to highlight older acute medical inpatients at risk of developing delirium during their hospital stay.","author":[{"dropping-particle":"","family":"Ahmed","given":"Suman","non-dropping-particle":"","parse-names":false,"suffix":""},{"dropping-particle":"","family":"Leurent","given":"Baptiste","non-dropping-particle":"","parse-names":false,"suffix":""},{"dropping-particle":"","family":"Sampson","given":"Elizabeth L","non-dropping-particle":"","parse-names":false,"suffix":""}],"container-title":"Age and ageing","id":"ITEM-1","issue":"3","issued":{"date-parts":[["2014","5"]]},"page":"326-33","title":"Risk factors for incident delirium among older people in acute hospital medical units: a systematic review and meta-analysis.","type":"article-journal","volume":"43"},"uris":["http://www.mendeley.com/documents/?uuid=c58009dd-7bfd-408e-b07a-1a64d3f8af52"]}],"mendeley":{"formattedCitation":"[13]","plainTextFormattedCitation":"[13]","previouslyFormattedCitation":"(13)"},"properties":{"noteIndex":0},"schema":"https://github.com/citation-style-language/schema/raw/master/csl-citation.json"}</w:instrText>
      </w:r>
      <w:r w:rsidR="006E4F45" w:rsidRPr="001503D6">
        <w:rPr>
          <w:rFonts w:ascii="Book Antiqua" w:hAnsi="Book Antiqua" w:cs="Calibri"/>
          <w:vertAlign w:val="superscript"/>
        </w:rPr>
        <w:fldChar w:fldCharType="separate"/>
      </w:r>
      <w:r w:rsidR="00941369" w:rsidRPr="001503D6">
        <w:rPr>
          <w:rFonts w:ascii="Book Antiqua" w:hAnsi="Book Antiqua" w:cs="Calibri"/>
          <w:noProof/>
          <w:vertAlign w:val="superscript"/>
        </w:rPr>
        <w:t>[13]</w:t>
      </w:r>
      <w:r w:rsidR="006E4F45" w:rsidRPr="001503D6">
        <w:rPr>
          <w:rFonts w:ascii="Book Antiqua" w:hAnsi="Book Antiqua" w:cs="Calibri"/>
          <w:vertAlign w:val="superscript"/>
        </w:rPr>
        <w:fldChar w:fldCharType="end"/>
      </w:r>
      <w:r w:rsidRPr="006B05AE">
        <w:rPr>
          <w:rFonts w:ascii="Book Antiqua" w:hAnsi="Book Antiqua" w:cs="Calibri"/>
        </w:rPr>
        <w:t>. Certain patient characteristics also predispose to developing delirium</w:t>
      </w:r>
      <w:r w:rsidR="00FC1FE1" w:rsidRPr="006B05AE">
        <w:rPr>
          <w:rFonts w:ascii="Book Antiqua" w:hAnsi="Book Antiqua" w:cs="Calibri"/>
        </w:rPr>
        <w:t>;</w:t>
      </w:r>
      <w:r w:rsidRPr="006B05AE">
        <w:rPr>
          <w:rFonts w:ascii="Book Antiqua" w:hAnsi="Book Antiqua" w:cs="Calibri"/>
        </w:rPr>
        <w:t xml:space="preserve"> </w:t>
      </w:r>
      <w:r w:rsidR="00FC1FE1" w:rsidRPr="006B05AE">
        <w:rPr>
          <w:rFonts w:ascii="Book Antiqua" w:hAnsi="Book Antiqua" w:cs="Calibri"/>
        </w:rPr>
        <w:t>t</w:t>
      </w:r>
      <w:r w:rsidRPr="006B05AE">
        <w:rPr>
          <w:rFonts w:ascii="Book Antiqua" w:hAnsi="Book Antiqua" w:cs="Calibri"/>
        </w:rPr>
        <w:t>hese include advanced age, pre-existing cognitive impairment, sensory impairment (from visual and hearing loss), poly-pharmacy, and medical co-morbidities</w:t>
      </w:r>
      <w:r w:rsidR="00FC1FE1" w:rsidRPr="001503D6">
        <w:rPr>
          <w:rFonts w:ascii="Book Antiqua" w:hAnsi="Book Antiqua" w:cs="Calibri"/>
          <w:vertAlign w:val="superscript"/>
        </w:rPr>
        <w:fldChar w:fldCharType="begin" w:fldLock="1"/>
      </w:r>
      <w:r w:rsidR="00941369" w:rsidRPr="001503D6">
        <w:rPr>
          <w:rFonts w:ascii="Book Antiqua" w:hAnsi="Book Antiqua" w:cs="Calibri"/>
          <w:vertAlign w:val="superscript"/>
        </w:rPr>
        <w:instrText>ADDIN CSL_CITATION {"citationItems":[{"id":"ITEM-1","itemData":{"ISSN":"0125-2208","PMID":"21721434","abstract":"BACKGROUND Delirium in older patients is common and leads to poor clinical outcomes. It is, however, preventable if its risk factors are identified and modified accordingly. OBJECTIVE To determine risk factors associated with delirium in hospitalized older patients admitted to general medical wards at Siriraj Hospital. MATERIAL AND METHOD A prospective observational study was conducted at general medical wards, Siriraj Hospital. All consecutive patients aged 70 years or older admitted during study period were assessed and followed until discharge. A diagnosis of delirium was made if patients developed symptoms which fulfilled DSM IV criteria. Information regarding demographic data, co-morbid illnesses, preexisting cognitive status and functional status was collected at admission. Factorf associated with delirium were analyzed using logistic regression models. RESULTS Risk factors associated with developing delirium identified from univariate analysis were female gender, age more than 80 years-old, having 4 or more co-morbidities, azothemia, hyponatremia, presence of infection, severe illness, preexisting dementia, depression, and impaired basic activities of daily living. After adjusted in multivariate analysis; factors those remained statistically significant were preexisting dementia (OR = 5.52, 95% CI = 2.51-12.14), severe illness (OR = 5.18, 95% CI = 2.10-12.76) presence of infection (OR = 2.54, 95% CI = 1.15-5.61) and azothemia (OR = 2.55, 95% CI = 1.205.40). CONCLUSION Pre-existing dementia and illness severity were strongly associated with developing delirium in older patients in the present study, which is concordant with previous studies. Other factors such as presence of infection and azothemia are modifiable factors that could potentially be important targets, along with other factors identified in the present study, for implementing intervention in order to prevent delirium in this population.","author":[{"dropping-particle":"","family":"Srinonprasert","given":"Varalak","non-dropping-particle":"","parse-names":false,"suffix":""},{"dropping-particle":"","family":"Pakdeewongse","given":"Sorapop","non-dropping-particle":"","parse-names":false,"suffix":""},{"dropping-particle":"","family":"Assanasen","given":"Jintana","non-dropping-particle":"","parse-names":false,"suffix":""},{"dropping-particle":"","family":"Eiamjinnasuwat","given":"Waricha","non-dropping-particle":"","parse-names":false,"suffix":""},{"dropping-particle":"","family":"Sirisuwat","given":"Achara","non-dropping-particle":"","parse-names":false,"suffix":""},{"dropping-particle":"","family":"Limmathuroskul","given":"Duangsawang","non-dropping-particle":"","parse-names":false,"suffix":""},{"dropping-particle":"","family":"Praditsuwan","given":"Rungnirand","non-dropping-particle":"","parse-names":false,"suffix":""}],"container-title":"Journal of the Medical Association of Thailand = Chotmaihet thangphaet","id":"ITEM-1","issued":{"date-parts":[["2011","2"]]},"page":"S99-104","title":"Risk factors for developing delirium in older patients admitted to general medical wards.","type":"article-journal","volume":"94 Suppl 1"},"uris":["http://www.mendeley.com/documents/?uuid=7643c5a8-54d0-4724-9172-56e4361e1afd"]}],"mendeley":{"formattedCitation":"[14]","plainTextFormattedCitation":"[14]","previouslyFormattedCitation":"(14)"},"properties":{"noteIndex":0},"schema":"https://github.com/citation-style-language/schema/raw/master/csl-citation.json"}</w:instrText>
      </w:r>
      <w:r w:rsidR="00FC1FE1" w:rsidRPr="001503D6">
        <w:rPr>
          <w:rFonts w:ascii="Book Antiqua" w:hAnsi="Book Antiqua" w:cs="Calibri"/>
          <w:vertAlign w:val="superscript"/>
        </w:rPr>
        <w:fldChar w:fldCharType="separate"/>
      </w:r>
      <w:r w:rsidR="00941369" w:rsidRPr="001503D6">
        <w:rPr>
          <w:rFonts w:ascii="Book Antiqua" w:hAnsi="Book Antiqua" w:cs="Calibri"/>
          <w:noProof/>
          <w:vertAlign w:val="superscript"/>
        </w:rPr>
        <w:t>[14]</w:t>
      </w:r>
      <w:r w:rsidR="00FC1FE1" w:rsidRPr="001503D6">
        <w:rPr>
          <w:rFonts w:ascii="Book Antiqua" w:hAnsi="Book Antiqua" w:cs="Calibri"/>
          <w:vertAlign w:val="superscript"/>
        </w:rPr>
        <w:fldChar w:fldCharType="end"/>
      </w:r>
      <w:r w:rsidRPr="006B05AE">
        <w:rPr>
          <w:rFonts w:ascii="Book Antiqua" w:hAnsi="Book Antiqua" w:cs="Calibri"/>
        </w:rPr>
        <w:t>. Specifically related to hip fractures, the mechanism of injury, the fracture, the operation and anaesthetic can all increase the risk of developing delirium</w:t>
      </w:r>
      <w:r w:rsidR="00FC1FE1" w:rsidRPr="001503D6">
        <w:rPr>
          <w:rFonts w:ascii="Book Antiqua" w:hAnsi="Book Antiqua" w:cs="Calibri"/>
          <w:vertAlign w:val="superscript"/>
        </w:rPr>
        <w:fldChar w:fldCharType="begin" w:fldLock="1"/>
      </w:r>
      <w:r w:rsidR="00941369" w:rsidRPr="001503D6">
        <w:rPr>
          <w:rFonts w:ascii="Book Antiqua" w:hAnsi="Book Antiqua" w:cs="Calibri"/>
          <w:vertAlign w:val="superscript"/>
        </w:rPr>
        <w:instrText>ADDIN CSL_CITATION {"citationItems":[{"id":"ITEM-1","itemData":{"DOI":"10.3233/JAD-2010-101086","ISSN":"1875-8908","PMID":"20858956","abstract":"Post-operative cognitive complications such as delirium have been consistently associated with poor short and long term outcomes, and the role of anesthesia, particularly the role of general versus regional anesthesia, remains unclear. The objective of this systematic review with meta-analysis was to compare the influence of general, regional, or a combination of anesthesia on the development of Post-Operative Cognitive Dysfunction (POCD) and Post-Operative Delirium (POD). Standard bibliographic databases were searched and complimented by hand searching of original and review article references. Included studies were randomized controlled trials comparing general to regional (spinal, epidural, or intravenous block) or a combination of these in a cohort who were pre-operatively cognitively normal and had an average age exceeding fifty. Where POD was the principle outcome, studies must have employed the DSM or ICD criteria. Where POCD was the principal outcome, this was defined as any objective cognitive impairment. Twenty one studies were considered suitable for inclusion. There was no effect of anesthesia type on the odds ratio of developing POD (0.88, 0.51-1.51 with 95% confidence) however general anesthesia was marginally non-significantly associated with POCD (odds ratio of 1.34, 0.93-1.95 with 95% confidence). There was no evidence of publication bias. In conclusion, it appears that general anesthesia, compared to others, may increase the risk of developing POCD; however this has not been shown for POD. Possible reasons for this finding have been explored. This data would advocate for the use of regional anesthesia wherever possible especially in people otherwise vulnerable to developing cognitive symptoms.","author":[{"dropping-particle":"","family":"Mason","given":"Sam Ewan","non-dropping-particle":"","parse-names":false,"suffix":""},{"dropping-particle":"","family":"Noel-Storr","given":"Anna","non-dropping-particle":"","parse-names":false,"suffix":""},{"dropping-particle":"","family":"Ritchie","given":"Craig William","non-dropping-particle":"","parse-names":false,"suffix":""}],"container-title":"Journal of Alzheimer's disease : JAD","id":"ITEM-1","issued":{"date-parts":[["2010"]]},"page":"67-79","title":"The impact of general and regional anesthesia on the incidence of post-operative cognitive dysfunction and post-operative delirium: a systematic review with meta-analysis.","type":"article-journal","volume":"22 Suppl 3"},"uris":["http://www.mendeley.com/documents/?uuid=d506e489-4d77-4028-b008-5a8c9babeb40"]}],"mendeley":{"formattedCitation":"[15]","plainTextFormattedCitation":"[15]","previouslyFormattedCitation":"(15)"},"properties":{"noteIndex":0},"schema":"https://github.com/citation-style-language/schema/raw/master/csl-citation.json"}</w:instrText>
      </w:r>
      <w:r w:rsidR="00FC1FE1" w:rsidRPr="001503D6">
        <w:rPr>
          <w:rFonts w:ascii="Book Antiqua" w:hAnsi="Book Antiqua" w:cs="Calibri"/>
          <w:vertAlign w:val="superscript"/>
        </w:rPr>
        <w:fldChar w:fldCharType="separate"/>
      </w:r>
      <w:r w:rsidR="00941369" w:rsidRPr="001503D6">
        <w:rPr>
          <w:rFonts w:ascii="Book Antiqua" w:hAnsi="Book Antiqua" w:cs="Calibri"/>
          <w:noProof/>
          <w:vertAlign w:val="superscript"/>
        </w:rPr>
        <w:t>[</w:t>
      </w:r>
      <w:r w:rsidR="001503D6" w:rsidRPr="001503D6">
        <w:rPr>
          <w:rFonts w:ascii="Book Antiqua" w:hAnsi="Book Antiqua" w:cs="Calibri"/>
          <w:noProof/>
          <w:vertAlign w:val="superscript"/>
        </w:rPr>
        <w:t>12,</w:t>
      </w:r>
      <w:r w:rsidR="00941369" w:rsidRPr="001503D6">
        <w:rPr>
          <w:rFonts w:ascii="Book Antiqua" w:hAnsi="Book Antiqua" w:cs="Calibri"/>
          <w:noProof/>
          <w:vertAlign w:val="superscript"/>
        </w:rPr>
        <w:t>15</w:t>
      </w:r>
      <w:r w:rsidR="001503D6" w:rsidRPr="001503D6">
        <w:rPr>
          <w:rFonts w:ascii="Book Antiqua" w:hAnsi="Book Antiqua" w:cs="Calibri"/>
          <w:noProof/>
          <w:vertAlign w:val="superscript"/>
        </w:rPr>
        <w:t>,16</w:t>
      </w:r>
      <w:r w:rsidR="00941369" w:rsidRPr="001503D6">
        <w:rPr>
          <w:rFonts w:ascii="Book Antiqua" w:hAnsi="Book Antiqua" w:cs="Calibri"/>
          <w:noProof/>
          <w:vertAlign w:val="superscript"/>
        </w:rPr>
        <w:t>]</w:t>
      </w:r>
      <w:r w:rsidR="00FC1FE1" w:rsidRPr="001503D6">
        <w:rPr>
          <w:rFonts w:ascii="Book Antiqua" w:hAnsi="Book Antiqua" w:cs="Calibri"/>
          <w:vertAlign w:val="superscript"/>
        </w:rPr>
        <w:fldChar w:fldCharType="end"/>
      </w:r>
      <w:r w:rsidRPr="006B05AE">
        <w:rPr>
          <w:rFonts w:ascii="Book Antiqua" w:hAnsi="Book Antiqua" w:cs="Calibri"/>
        </w:rPr>
        <w:t xml:space="preserve">. </w:t>
      </w:r>
    </w:p>
    <w:p w14:paraId="0C0056E9" w14:textId="77777777" w:rsidR="00E342B4" w:rsidRPr="006B05AE" w:rsidRDefault="00E342B4" w:rsidP="00490A12">
      <w:pPr>
        <w:spacing w:line="360" w:lineRule="auto"/>
        <w:jc w:val="both"/>
        <w:rPr>
          <w:rFonts w:ascii="Book Antiqua" w:hAnsi="Book Antiqua" w:cs="Calibri"/>
          <w:b/>
        </w:rPr>
      </w:pPr>
    </w:p>
    <w:p w14:paraId="63E3B3CD" w14:textId="06083A85" w:rsidR="00E342B4" w:rsidRPr="001503D6" w:rsidRDefault="001503D6" w:rsidP="00490A12">
      <w:pPr>
        <w:spacing w:line="360" w:lineRule="auto"/>
        <w:jc w:val="both"/>
        <w:rPr>
          <w:rFonts w:ascii="Book Antiqua" w:hAnsi="Book Antiqua" w:cs="Calibri"/>
          <w:b/>
        </w:rPr>
      </w:pPr>
      <w:r w:rsidRPr="006B05AE">
        <w:rPr>
          <w:rFonts w:ascii="Book Antiqua" w:hAnsi="Book Antiqua" w:cs="Calibri"/>
          <w:b/>
        </w:rPr>
        <w:t>DIAGNOSING DELIRIUM – CRITERIA AND PATHOPHYSIOLOGY</w:t>
      </w:r>
    </w:p>
    <w:p w14:paraId="3175A96C" w14:textId="690B4445" w:rsidR="00E342B4" w:rsidRPr="006B05AE" w:rsidRDefault="00E342B4" w:rsidP="00490A12">
      <w:pPr>
        <w:spacing w:line="360" w:lineRule="auto"/>
        <w:jc w:val="both"/>
        <w:rPr>
          <w:rFonts w:ascii="Book Antiqua" w:hAnsi="Book Antiqua" w:cs="Calibri"/>
        </w:rPr>
      </w:pPr>
      <w:r w:rsidRPr="006B05AE">
        <w:rPr>
          <w:rFonts w:ascii="Book Antiqua" w:hAnsi="Book Antiqua" w:cs="Calibri"/>
        </w:rPr>
        <w:t>In clinical trials the incidence of diagnosed delirium varies widely, even when the diagnosis is being actively sought as an outcome measure, implying that in the everyday ward-based setting diagnosis may be even more elusive</w:t>
      </w:r>
      <w:r w:rsidRPr="00B1443C">
        <w:rPr>
          <w:rFonts w:ascii="Book Antiqua" w:hAnsi="Book Antiqua" w:cs="Calibri"/>
          <w:vertAlign w:val="superscript"/>
        </w:rPr>
        <w:fldChar w:fldCharType="begin" w:fldLock="1"/>
      </w:r>
      <w:r w:rsidR="00941369" w:rsidRPr="00B1443C">
        <w:rPr>
          <w:rFonts w:ascii="Book Antiqua" w:hAnsi="Book Antiqua" w:cs="Calibri"/>
          <w:vertAlign w:val="superscript"/>
        </w:rPr>
        <w:instrText>ADDIN CSL_CITATION {"citationItems":[{"id":"ITEM-1","itemData":{"DOI":"10.1017/S104161020600425X","ISBN":"1041-6102 (Print)\\r1041-6102 (Linking)","ISSN":"10416102","PMID":"16973101","abstract":"BACKGROUND: The aim of this study was to perform a systematic review and meta-analysis of the literature regarding the incidence of delirium following orthopedic surgery.\\n\\nMETHODS: Relevant papers were sourced from online databases and gray literature. Included studies used a validated diagnostic method to measure the incidence of delirium in a prospective sample of adult/elderly orthopedic patients. Data were subject to meta-analysis after stratification by type of surgery (elective v. emergency) and inclusion/exclusion of pre-existing cognitive impairment. A funnel plot assessed for publication bias.\\n\\nRESULTS: 26 publications reported an incidence of postoperative delirium of 4-53.3% in hip fracture samples and 3.6-28.3% in elective samples. Significant heterogeneity was evident, and this persisted despite stratification. Hip fracture was associated with a higher risk of delirium than elective surgery both when the cognitively impaired were included in the sample (random effects pooled estimate = 21.7% [95% CI = 14.6-28.8] vs. 12.1% [95% CI = 9.6-14.6]), and when the cognitively impaired were excluded (random effects pooled estimate = 25% [95% CI = 15.7-34.7] vs. 8.8% [95% CI = 4.1-13.6]). The funnel plot showed a deficit of small studies showing low risk and large studies showing high risk. In eight hip fracture studies, the proportion of delirium cases with a preoperative onset ranged from 34 to 92%.\\n\\nCONCLUSIONS: Delirium occurs more commonly with hip fracture than elective surgery, and frequently has a preoperative onset when associated with trauma. Recommendations are made with the aim of standardizing future research in order to further explore and reduce the heterogeneity and possible publication bias observed.","author":[{"dropping-particle":"","family":"Bruce","given":"Angela J.","non-dropping-particle":"","parse-names":false,"suffix":""},{"dropping-particle":"","family":"Ritchie","given":"Craig W.","non-dropping-particle":"","parse-names":false,"suffix":""},{"dropping-particle":"","family":"Blizard","given":"Robert","non-dropping-particle":"","parse-names":false,"suffix":""},{"dropping-particle":"","family":"Lai","given":"Rosalind","non-dropping-particle":"","parse-names":false,"suffix":""},{"dropping-particle":"","family":"Raven","given":"Peter","non-dropping-particle":"","parse-names":false,"suffix":""}],"container-title":"International Psychogeriatrics","id":"ITEM-1","issue":"2","issued":{"date-parts":[["2007"]]},"page":"197-214","title":"The incidence of delirium associated with orthopedic surgery: A meta-analytic review","type":"article-journal","volume":"19"},"uris":["http://www.mendeley.com/documents/?uuid=78f60934-2a94-4987-b83a-b8e7f188cbce"]}],"mendeley":{"formattedCitation":"[17]","plainTextFormattedCitation":"[17]","previouslyFormattedCitation":"(17)"},"properties":{"noteIndex":0},"schema":"https://github.com/citation-style-language/schema/raw/master/csl-citation.json"}</w:instrText>
      </w:r>
      <w:r w:rsidRPr="00B1443C">
        <w:rPr>
          <w:rFonts w:ascii="Book Antiqua" w:hAnsi="Book Antiqua" w:cs="Calibri"/>
          <w:vertAlign w:val="superscript"/>
        </w:rPr>
        <w:fldChar w:fldCharType="separate"/>
      </w:r>
      <w:r w:rsidR="00941369" w:rsidRPr="00B1443C">
        <w:rPr>
          <w:rFonts w:ascii="Book Antiqua" w:hAnsi="Book Antiqua" w:cs="Calibri"/>
          <w:noProof/>
          <w:vertAlign w:val="superscript"/>
        </w:rPr>
        <w:t>[17]</w:t>
      </w:r>
      <w:r w:rsidRPr="00B1443C">
        <w:rPr>
          <w:rFonts w:ascii="Book Antiqua" w:hAnsi="Book Antiqua" w:cs="Calibri"/>
          <w:vertAlign w:val="superscript"/>
        </w:rPr>
        <w:fldChar w:fldCharType="end"/>
      </w:r>
      <w:r w:rsidRPr="006B05AE">
        <w:rPr>
          <w:rFonts w:ascii="Book Antiqua" w:hAnsi="Book Antiqua" w:cs="Calibri"/>
        </w:rPr>
        <w:t>. Most healthcare professionals would recognise that the agitated, aggressive patient keeping the ward awake at night is unwell, but how many accurately diagnose hyperactive delirium? The sleepy patient, “just not herself”, refusing therapy and staying in bed may have</w:t>
      </w:r>
      <w:r w:rsidR="006B05AE">
        <w:rPr>
          <w:rFonts w:ascii="Book Antiqua" w:hAnsi="Book Antiqua" w:cs="Calibri"/>
        </w:rPr>
        <w:t xml:space="preserve"> </w:t>
      </w:r>
      <w:r w:rsidRPr="006B05AE">
        <w:rPr>
          <w:rFonts w:ascii="Book Antiqua" w:hAnsi="Book Antiqua" w:cs="Calibri"/>
        </w:rPr>
        <w:t>hypoactive delirium, but this is less likely to be diagnosed and treated appropriately</w:t>
      </w:r>
      <w:r w:rsidRPr="00B1443C">
        <w:rPr>
          <w:rFonts w:ascii="Book Antiqua" w:hAnsi="Book Antiqua" w:cs="Calibri"/>
          <w:vertAlign w:val="superscript"/>
        </w:rPr>
        <w:fldChar w:fldCharType="begin" w:fldLock="1"/>
      </w:r>
      <w:r w:rsidR="00941369" w:rsidRPr="00B1443C">
        <w:rPr>
          <w:rFonts w:ascii="Book Antiqua" w:hAnsi="Book Antiqua" w:cs="Calibri"/>
          <w:vertAlign w:val="superscript"/>
        </w:rPr>
        <w:instrText>ADDIN CSL_CITATION {"citationItems":[{"id":"ITEM-1","itemData":{"DOI":"10.1136/bmj.j2047","ISBN":"1756-1833 (Electronic) 0959-535X (Linking)","ISSN":"17561833","PMID":"28546253","abstract":"#### What you need to know\n\nHypoactive delirium tends to capture less clinical attention than hyperactive delirium. Like all delirium, it can occur in a variety of patients and settings and will consequently be encountered by many groups of doctors. It can be more difficult to recognise, and is associated with worse outcomes, than hyperactive delirium. This article outlines when to suspect, assess, and appropriately manage patients with hypoactive delirium.\n\nHypoactive delirium is dominated by symptoms of drowsiness and inactivity, whereas hyperactive delirium is characterised by restlessness and agitation (see infographic).1 Some people experience a mix of these subtypes.2 All forms of delirium are a syndrome characterised by acute changes from baseline in a patient’s ability to maintain attention and awareness, accompanied by other disturbances in cognition that develop over a short period of time (hours to days) and tend to fluctuate in severity over the course of a day (see box 1).3 It can arise as a physiological consequence of a medical condition, substance withdrawal or intoxication state, exposure to toxins, or a combination of these.\n\n#### Box 1: DSM 5 classification of delirium and techniques for diagnosis3\n\nIn order for a patient to be diagnosed with delirium they must display all of the following:\n\n1.  Disturbance in attention (reduced ability to direct, focus, sustain, and shift attention) and awareness (reduced orientation to the environment).","author":[{"dropping-particle":"","family":"Hosker","given":"Christian","non-dropping-particle":"","parse-names":false,"suffix":""},{"dropping-particle":"","family":"Ward","given":"David","non-dropping-particle":"","parse-names":false,"suffix":""}],"container-title":"BMJ (Online)","id":"ITEM-1","issue":"October 2016","issued":{"date-parts":[["2017"]]},"page":"1-5","title":"Hypoactive delirium","type":"article-journal","volume":"357"},"uris":["http://www.mendeley.com/documents/?uuid=f962f0e8-632b-45ef-9b80-062e515bffb0"]}],"mendeley":{"formattedCitation":"[18]","plainTextFormattedCitation":"[18]","previouslyFormattedCitation":"(18)"},"properties":{"noteIndex":0},"schema":"https://github.com/citation-style-language/schema/raw/master/csl-citation.json"}</w:instrText>
      </w:r>
      <w:r w:rsidRPr="00B1443C">
        <w:rPr>
          <w:rFonts w:ascii="Book Antiqua" w:hAnsi="Book Antiqua" w:cs="Calibri"/>
          <w:vertAlign w:val="superscript"/>
        </w:rPr>
        <w:fldChar w:fldCharType="separate"/>
      </w:r>
      <w:r w:rsidR="00941369" w:rsidRPr="00B1443C">
        <w:rPr>
          <w:rFonts w:ascii="Book Antiqua" w:hAnsi="Book Antiqua" w:cs="Calibri"/>
          <w:noProof/>
          <w:vertAlign w:val="superscript"/>
        </w:rPr>
        <w:t>[18]</w:t>
      </w:r>
      <w:r w:rsidRPr="00B1443C">
        <w:rPr>
          <w:rFonts w:ascii="Book Antiqua" w:hAnsi="Book Antiqua" w:cs="Calibri"/>
          <w:vertAlign w:val="superscript"/>
        </w:rPr>
        <w:fldChar w:fldCharType="end"/>
      </w:r>
      <w:r w:rsidRPr="006B05AE">
        <w:rPr>
          <w:rFonts w:ascii="Book Antiqua" w:hAnsi="Book Antiqua" w:cs="Calibri"/>
        </w:rPr>
        <w:t xml:space="preserve">. </w:t>
      </w:r>
    </w:p>
    <w:p w14:paraId="0D2CEB2F" w14:textId="1A08D042" w:rsidR="00DB7199" w:rsidRPr="006B05AE" w:rsidRDefault="00CA7F09" w:rsidP="00B1443C">
      <w:pPr>
        <w:spacing w:line="360" w:lineRule="auto"/>
        <w:ind w:firstLineChars="100" w:firstLine="240"/>
        <w:jc w:val="both"/>
        <w:rPr>
          <w:rFonts w:ascii="Book Antiqua" w:hAnsi="Book Antiqua" w:cs="Calibri"/>
        </w:rPr>
      </w:pPr>
      <w:r w:rsidRPr="006B05AE">
        <w:rPr>
          <w:rFonts w:ascii="Book Antiqua" w:hAnsi="Book Antiqua" w:cs="Calibri"/>
        </w:rPr>
        <w:t>The Confusion Assessm</w:t>
      </w:r>
      <w:r w:rsidR="00523D0C" w:rsidRPr="006B05AE">
        <w:rPr>
          <w:rFonts w:ascii="Book Antiqua" w:hAnsi="Book Antiqua" w:cs="Calibri"/>
        </w:rPr>
        <w:t xml:space="preserve">ent Method (CAM) is a quick, </w:t>
      </w:r>
      <w:r w:rsidRPr="006B05AE">
        <w:rPr>
          <w:rFonts w:ascii="Book Antiqua" w:hAnsi="Book Antiqua" w:cs="Calibri"/>
        </w:rPr>
        <w:t>accurate</w:t>
      </w:r>
      <w:r w:rsidR="00523D0C" w:rsidRPr="006B05AE">
        <w:rPr>
          <w:rFonts w:ascii="Book Antiqua" w:hAnsi="Book Antiqua" w:cs="Calibri"/>
        </w:rPr>
        <w:t xml:space="preserve"> and frequently used</w:t>
      </w:r>
      <w:r w:rsidRPr="006B05AE">
        <w:rPr>
          <w:rFonts w:ascii="Book Antiqua" w:hAnsi="Book Antiqua" w:cs="Calibri"/>
        </w:rPr>
        <w:t xml:space="preserve"> tool to recognise and diagnose delirium</w:t>
      </w:r>
      <w:r w:rsidRPr="00B1443C">
        <w:rPr>
          <w:rFonts w:ascii="Book Antiqua" w:hAnsi="Book Antiqua" w:cs="Calibri"/>
          <w:vertAlign w:val="superscript"/>
        </w:rPr>
        <w:fldChar w:fldCharType="begin" w:fldLock="1"/>
      </w:r>
      <w:r w:rsidR="00941369" w:rsidRPr="00B1443C">
        <w:rPr>
          <w:rFonts w:ascii="Book Antiqua" w:hAnsi="Book Antiqua" w:cs="Calibri"/>
          <w:vertAlign w:val="superscript"/>
        </w:rPr>
        <w:instrText>ADDIN CSL_CITATION {"citationItems":[{"id":"ITEM-1","itemData":{"abstract":"Approximately 15 - 60 % of elderly patients experience a delirium prior to or during a hospitalization but the diagnosis is missed in up to 70% of cases. Delirium is associated with poor outcomes such as prolonged hospitalization, functional decline, and increased use of chemical and physical restraints. Delirium increases the risk of nursing home admission. Individuals at high risk for delirium should be assessed daily using a standardized tool to facilitate prompt identification and management. Risk factors for delirium include older age, prior cognitive impairment, presence of infection, severe illness or multiple co-morbidities, dehydration, psychotropic medication use, alcoholism, vision impairment and fractures. BEST","author":[{"dropping-particle":"","family":"Waszynski","given":"C.M","non-dropping-particle":"","parse-names":false,"suffix":""}],"container-title":"The Hartford Institute for Geriatric Nursing","id":"ITEM-1","issue":"13","issued":{"date-parts":[["2001"]]},"page":"1-2","title":"Confusion Assessment Method ( CAM ) The Confusion Assessment Method Instrument :","type":"article-journal","volume":"13"},"uris":["http://www.mendeley.com/documents/?uuid=3a964053-6e33-4d5a-a8e1-5a1479da56c8"]}],"mendeley":{"formattedCitation":"[19]","plainTextFormattedCitation":"[19]","previouslyFormattedCitation":"(19)"},"properties":{"noteIndex":0},"schema":"https://github.com/citation-style-language/schema/raw/master/csl-citation.json"}</w:instrText>
      </w:r>
      <w:r w:rsidRPr="00B1443C">
        <w:rPr>
          <w:rFonts w:ascii="Book Antiqua" w:hAnsi="Book Antiqua" w:cs="Calibri"/>
          <w:vertAlign w:val="superscript"/>
        </w:rPr>
        <w:fldChar w:fldCharType="separate"/>
      </w:r>
      <w:r w:rsidR="00941369" w:rsidRPr="00B1443C">
        <w:rPr>
          <w:rFonts w:ascii="Book Antiqua" w:hAnsi="Book Antiqua" w:cs="Calibri"/>
          <w:noProof/>
          <w:vertAlign w:val="superscript"/>
        </w:rPr>
        <w:t>[19]</w:t>
      </w:r>
      <w:r w:rsidRPr="00B1443C">
        <w:rPr>
          <w:rFonts w:ascii="Book Antiqua" w:hAnsi="Book Antiqua" w:cs="Calibri"/>
          <w:vertAlign w:val="superscript"/>
        </w:rPr>
        <w:fldChar w:fldCharType="end"/>
      </w:r>
      <w:r w:rsidRPr="006B05AE">
        <w:rPr>
          <w:rFonts w:ascii="Book Antiqua" w:hAnsi="Book Antiqua" w:cs="Calibri"/>
        </w:rPr>
        <w:t xml:space="preserve">. It can be incorporated into routine assessment of patients and has been </w:t>
      </w:r>
      <w:r w:rsidR="009C5C7E" w:rsidRPr="006B05AE">
        <w:rPr>
          <w:rFonts w:ascii="Book Antiqua" w:hAnsi="Book Antiqua" w:cs="Calibri"/>
        </w:rPr>
        <w:t>shown to have high sensitivity, specificity and interrater reliability</w:t>
      </w:r>
      <w:r w:rsidR="009C5C7E" w:rsidRPr="00B1443C">
        <w:rPr>
          <w:rFonts w:ascii="Book Antiqua" w:hAnsi="Book Antiqua" w:cs="Calibri"/>
          <w:vertAlign w:val="superscript"/>
        </w:rPr>
        <w:fldChar w:fldCharType="begin" w:fldLock="1"/>
      </w:r>
      <w:r w:rsidR="00941369" w:rsidRPr="00B1443C">
        <w:rPr>
          <w:rFonts w:ascii="Book Antiqua" w:hAnsi="Book Antiqua" w:cs="Calibri"/>
          <w:vertAlign w:val="superscript"/>
        </w:rPr>
        <w:instrText>ADDIN CSL_CITATION {"citationItems":[{"id":"ITEM-1","itemData":{"DOI":"10.7326/0003-4819-113-12-941","ISBN":"0003-4819","ISSN":"00034819","PMID":"2240918","abstract":"OBJECTIVE: To develop and validate a new standardized confusion assessment method (CAM) that enables nonpsychiatric clinicians to detect delirium quickly in high-risk settings.\\n\\nDESIGN: Prospective validation study.\\n\\nSETTING: Conducted in general medicine wards and in an outpatient geriatric assessment center at Yale University (site 1) and in general medicine wards at the University of Chicago (site 2).\\n\\nPATIENTS: The study included 56 subjects, ranging in age from 65 to 98 years. At site 1, 10 patients with and 20 without delirium participated; at site 2, 16 patients with and 10 without delirium participated.\\n\\nMEASUREMENTS AND MAIN RESULTS: An expert panel developed the CAM through a consensus building process. The CAM instrument, which can be completed in less than 5 minutes, consists of nine operationalized criteria from the Diagnostic and Statistical Manual of Mental Disorders (DSM-III-R). An a priori hypothesis was established for the diagnostic value of four criteria: acute onset and fluctuating course, inattention, disorganized thinking, and altered level of consciousness. The CAM algorithm for diagnosis of delirium required the presence of both the first and the second criteria and of either the third or the fourth criterion. At both sites, the diagnoses made by the CAM were concurrently validated against the diagnoses made by psychiatrists. At sites 1 and 2 values for sensitivity were 100% and 94%, respectively; values for specificity were 95% and 90%; values for positive predictive accuracy were 91% and 94%; and values for negative predictive accuracy were 100% and 90%. The CAM algorithm had the highest predictive accuracy for all possible combinations of the nine features of delirium. The CAM was shown to have convergent agreement with four other mental status tests, including the Mini-Mental State Examination. The interobserver reliability of the CAM was high (kappa = 0.81 - 1.0).\\n\\nCONCLUSIONS: The CAM is sensitive, specific, reliable, and easy to use for identification of delirium.","author":[{"dropping-particle":"","family":"Inouye","given":"S. K.","non-dropping-particle":"","parse-names":false,"suffix":""},{"dropping-particle":"","family":"Dyck","given":"C. H.","non-dropping-particle":"Van","parse-names":false,"suffix":""},{"dropping-particle":"","family":"Alessi","given":"C. A.","non-dropping-particle":"","parse-names":false,"suffix":""},{"dropping-particle":"","family":"Balkin","given":"S.","non-dropping-particle":"","parse-names":false,"suffix":""},{"dropping-particle":"","family":"Siegal","given":"A. P.","non-dropping-particle":"","parse-names":false,"suffix":""},{"dropping-particle":"","family":"Horwitz","given":"R. I.","non-dropping-particle":"","parse-names":false,"suffix":""}],"container-title":"Annals of Internal Medicine","id":"ITEM-1","issue":"12","issued":{"date-parts":[["1990"]]},"page":"941-948","title":"Clarifying confusion: The confusion assessment method: A new method for detection of delirium","type":"article-journal","volume":"113"},"uris":["http://www.mendeley.com/documents/?uuid=1d2012fd-072b-41d0-bb81-c8b8ed945879"]}],"mendeley":{"formattedCitation":"[20]","plainTextFormattedCitation":"[20]","previouslyFormattedCitation":"(20)"},"properties":{"noteIndex":0},"schema":"https://github.com/citation-style-language/schema/raw/master/csl-citation.json"}</w:instrText>
      </w:r>
      <w:r w:rsidR="009C5C7E" w:rsidRPr="00B1443C">
        <w:rPr>
          <w:rFonts w:ascii="Book Antiqua" w:hAnsi="Book Antiqua" w:cs="Calibri"/>
          <w:vertAlign w:val="superscript"/>
        </w:rPr>
        <w:fldChar w:fldCharType="separate"/>
      </w:r>
      <w:r w:rsidR="00941369" w:rsidRPr="00B1443C">
        <w:rPr>
          <w:rFonts w:ascii="Book Antiqua" w:hAnsi="Book Antiqua" w:cs="Calibri"/>
          <w:noProof/>
          <w:vertAlign w:val="superscript"/>
        </w:rPr>
        <w:t>[20]</w:t>
      </w:r>
      <w:r w:rsidR="009C5C7E" w:rsidRPr="00B1443C">
        <w:rPr>
          <w:rFonts w:ascii="Book Antiqua" w:hAnsi="Book Antiqua" w:cs="Calibri"/>
          <w:vertAlign w:val="superscript"/>
        </w:rPr>
        <w:fldChar w:fldCharType="end"/>
      </w:r>
      <w:r w:rsidR="009C5C7E" w:rsidRPr="006B05AE">
        <w:rPr>
          <w:rFonts w:ascii="Book Antiqua" w:hAnsi="Book Antiqua" w:cs="Calibri"/>
        </w:rPr>
        <w:t xml:space="preserve">. </w:t>
      </w:r>
      <w:r w:rsidR="00DB7199" w:rsidRPr="006B05AE">
        <w:rPr>
          <w:rFonts w:ascii="Book Antiqua" w:hAnsi="Book Antiqua" w:cs="Calibri"/>
          <w:shd w:val="clear" w:color="auto" w:fill="FFFFFF"/>
        </w:rPr>
        <w:t>The CAM algorithm is based on</w:t>
      </w:r>
      <w:r w:rsidR="00523D0C" w:rsidRPr="006B05AE">
        <w:rPr>
          <w:rFonts w:ascii="Book Antiqua" w:hAnsi="Book Antiqua" w:cs="Calibri"/>
          <w:shd w:val="clear" w:color="auto" w:fill="FFFFFF"/>
        </w:rPr>
        <w:t xml:space="preserve">: </w:t>
      </w:r>
      <w:r w:rsidR="00B1443C">
        <w:rPr>
          <w:rFonts w:ascii="Book Antiqua" w:hAnsi="Book Antiqua" w:cs="Calibri"/>
          <w:shd w:val="clear" w:color="auto" w:fill="FFFFFF"/>
        </w:rPr>
        <w:t>(</w:t>
      </w:r>
      <w:r w:rsidR="00523D0C" w:rsidRPr="006B05AE">
        <w:rPr>
          <w:rFonts w:ascii="Book Antiqua" w:hAnsi="Book Antiqua" w:cs="Calibri"/>
          <w:shd w:val="clear" w:color="auto" w:fill="FFFFFF"/>
        </w:rPr>
        <w:t xml:space="preserve">1) </w:t>
      </w:r>
      <w:r w:rsidR="00DB7199" w:rsidRPr="006B05AE">
        <w:rPr>
          <w:rFonts w:ascii="Book Antiqua" w:hAnsi="Book Antiqua" w:cs="Calibri"/>
          <w:shd w:val="clear" w:color="auto" w:fill="FFFFFF"/>
        </w:rPr>
        <w:t>acute onset and fluctuating cours</w:t>
      </w:r>
      <w:r w:rsidR="00523D0C" w:rsidRPr="006B05AE">
        <w:rPr>
          <w:rFonts w:ascii="Book Antiqua" w:hAnsi="Book Antiqua" w:cs="Calibri"/>
          <w:shd w:val="clear" w:color="auto" w:fill="FFFFFF"/>
        </w:rPr>
        <w:t>e</w:t>
      </w:r>
      <w:r w:rsidR="00B1443C">
        <w:rPr>
          <w:rFonts w:ascii="Book Antiqua" w:hAnsi="Book Antiqua" w:cs="Calibri"/>
          <w:shd w:val="clear" w:color="auto" w:fill="FFFFFF"/>
        </w:rPr>
        <w:t>;</w:t>
      </w:r>
      <w:r w:rsidR="00523D0C" w:rsidRPr="006B05AE">
        <w:rPr>
          <w:rFonts w:ascii="Book Antiqua" w:hAnsi="Book Antiqua" w:cs="Calibri"/>
          <w:shd w:val="clear" w:color="auto" w:fill="FFFFFF"/>
        </w:rPr>
        <w:t xml:space="preserve"> </w:t>
      </w:r>
      <w:r w:rsidR="00B1443C">
        <w:rPr>
          <w:rFonts w:ascii="Book Antiqua" w:hAnsi="Book Antiqua" w:cs="Calibri"/>
          <w:shd w:val="clear" w:color="auto" w:fill="FFFFFF"/>
        </w:rPr>
        <w:t>(</w:t>
      </w:r>
      <w:r w:rsidR="00523D0C" w:rsidRPr="006B05AE">
        <w:rPr>
          <w:rFonts w:ascii="Book Antiqua" w:hAnsi="Book Antiqua" w:cs="Calibri"/>
          <w:shd w:val="clear" w:color="auto" w:fill="FFFFFF"/>
        </w:rPr>
        <w:t>2) inattention</w:t>
      </w:r>
      <w:r w:rsidR="00B1443C">
        <w:rPr>
          <w:rFonts w:ascii="Book Antiqua" w:hAnsi="Book Antiqua" w:cs="Calibri"/>
          <w:shd w:val="clear" w:color="auto" w:fill="FFFFFF"/>
        </w:rPr>
        <w:t>;</w:t>
      </w:r>
      <w:r w:rsidR="00523D0C" w:rsidRPr="006B05AE">
        <w:rPr>
          <w:rFonts w:ascii="Book Antiqua" w:hAnsi="Book Antiqua" w:cs="Calibri"/>
          <w:shd w:val="clear" w:color="auto" w:fill="FFFFFF"/>
        </w:rPr>
        <w:t xml:space="preserve"> </w:t>
      </w:r>
      <w:r w:rsidR="00B1443C">
        <w:rPr>
          <w:rFonts w:ascii="Book Antiqua" w:hAnsi="Book Antiqua" w:cs="Calibri"/>
          <w:shd w:val="clear" w:color="auto" w:fill="FFFFFF"/>
        </w:rPr>
        <w:t>(</w:t>
      </w:r>
      <w:r w:rsidR="00523D0C" w:rsidRPr="006B05AE">
        <w:rPr>
          <w:rFonts w:ascii="Book Antiqua" w:hAnsi="Book Antiqua" w:cs="Calibri"/>
          <w:shd w:val="clear" w:color="auto" w:fill="FFFFFF"/>
        </w:rPr>
        <w:t>3) disorganis</w:t>
      </w:r>
      <w:r w:rsidR="00DB7199" w:rsidRPr="006B05AE">
        <w:rPr>
          <w:rFonts w:ascii="Book Antiqua" w:hAnsi="Book Antiqua" w:cs="Calibri"/>
          <w:shd w:val="clear" w:color="auto" w:fill="FFFFFF"/>
        </w:rPr>
        <w:t>ed th</w:t>
      </w:r>
      <w:r w:rsidR="00DF1D9A" w:rsidRPr="006B05AE">
        <w:rPr>
          <w:rFonts w:ascii="Book Antiqua" w:hAnsi="Book Antiqua" w:cs="Calibri"/>
          <w:shd w:val="clear" w:color="auto" w:fill="FFFFFF"/>
        </w:rPr>
        <w:t>inking</w:t>
      </w:r>
      <w:r w:rsidR="00B1443C">
        <w:rPr>
          <w:rFonts w:ascii="Book Antiqua" w:hAnsi="Book Antiqua" w:cs="Calibri"/>
          <w:shd w:val="clear" w:color="auto" w:fill="FFFFFF"/>
        </w:rPr>
        <w:t>;</w:t>
      </w:r>
      <w:r w:rsidR="00DF1D9A" w:rsidRPr="006B05AE">
        <w:rPr>
          <w:rFonts w:ascii="Book Antiqua" w:hAnsi="Book Antiqua" w:cs="Calibri"/>
          <w:shd w:val="clear" w:color="auto" w:fill="FFFFFF"/>
        </w:rPr>
        <w:t xml:space="preserve"> and </w:t>
      </w:r>
      <w:r w:rsidR="00B1443C">
        <w:rPr>
          <w:rFonts w:ascii="Book Antiqua" w:hAnsi="Book Antiqua" w:cs="Calibri"/>
          <w:shd w:val="clear" w:color="auto" w:fill="FFFFFF"/>
        </w:rPr>
        <w:t>(</w:t>
      </w:r>
      <w:r w:rsidR="00DF1D9A" w:rsidRPr="006B05AE">
        <w:rPr>
          <w:rFonts w:ascii="Book Antiqua" w:hAnsi="Book Antiqua" w:cs="Calibri"/>
          <w:shd w:val="clear" w:color="auto" w:fill="FFFFFF"/>
        </w:rPr>
        <w:t xml:space="preserve">4) altered </w:t>
      </w:r>
      <w:r w:rsidR="00DB7199" w:rsidRPr="006B05AE">
        <w:rPr>
          <w:rFonts w:ascii="Book Antiqua" w:hAnsi="Book Antiqua" w:cs="Calibri"/>
          <w:shd w:val="clear" w:color="auto" w:fill="FFFFFF"/>
        </w:rPr>
        <w:t>consciousness</w:t>
      </w:r>
      <w:r w:rsidR="00523D0C" w:rsidRPr="00B1443C">
        <w:rPr>
          <w:rFonts w:ascii="Book Antiqua" w:hAnsi="Book Antiqua" w:cs="Calibri"/>
          <w:shd w:val="clear" w:color="auto" w:fill="FFFFFF"/>
          <w:vertAlign w:val="superscript"/>
        </w:rPr>
        <w:fldChar w:fldCharType="begin" w:fldLock="1"/>
      </w:r>
      <w:r w:rsidR="00941369" w:rsidRPr="00B1443C">
        <w:rPr>
          <w:rFonts w:ascii="Book Antiqua" w:hAnsi="Book Antiqua" w:cs="Calibri"/>
          <w:shd w:val="clear" w:color="auto" w:fill="FFFFFF"/>
          <w:vertAlign w:val="superscript"/>
        </w:rPr>
        <w:instrText>ADDIN CSL_CITATION {"citationItems":[{"id":"ITEM-1","itemData":{"DOI":"10.1111/j.1532-5415.2008.01674.x","ISSN":"1532-5415","PMID":"18384586","abstract":"OBJECTIVES To examine the psychometric properties, adaptations, translations, and applications of the Confusion Assessment Method (CAM), a widely used instrument and diagnostic algorithm for identification of delirium. DESIGN Systematic literature review. SETTING Not applicable. MEASUREMENTS Electronic searches of PubMED, EMBASE, PsychINFO, CINAHL, Ageline, and Google Scholar, augmented by reviews of reference listings, were conducted to identify original English-language articles using the CAM from January 1, 1991, to December 31, 2006. Two reviewers independently abstracted key information from each article. PARTICIPANTS Not applicable. RESULTS Of 239 original articles, 10 (4%) were categorized as validation studies, 16 (7%) as adaptations, 12 (5%) as translations, and 222 (93%) as applications. Validation studies evaluated performance of the CAM against a reference standard. Results were combined across seven high-quality studies (N=1,071), demonstrating an overall sensitivity of 94% (95% confidence interval (CI)=91-97%) and specificity of 89% (95% CI=85-94%). The CAM has been adapted for use in the intensive care unit, emergency, and institutional settings and for scoring severity and subsyndromal delirium. The CAM has been translated into 10 languages where published articles are available. In application studies, CAM-rated delirium is most commonly used as a risk factor or outcome but also as an intervention or reference standard. CONCLUSION The CAM has helped to improve identification of delirium in clinical and research settings. To optimize performance, the CAM should be scored based on observations made during formal cognitive testing, and training is recommended. Future action is needed to optimize use of the CAM and to improve the recognition and management of delirium.","author":[{"dropping-particle":"","family":"Wei","given":"Leslie A","non-dropping-particle":"","parse-names":false,"suffix":""},{"dropping-particle":"","family":"Fearing","given":"Michael A","non-dropping-particle":"","parse-names":false,"suffix":""},{"dropping-particle":"","family":"Sternberg","given":"Eliezer J","non-dropping-particle":"","parse-names":false,"suffix":""},{"dropping-particle":"","family":"Inouye","given":"Sharon K","non-dropping-particle":"","parse-names":false,"suffix":""}],"container-title":"Journal of the American Geriatrics Society","id":"ITEM-1","issue":"5","issued":{"date-parts":[["2008","5"]]},"page":"823-30","title":"The Confusion Assessment Method: a systematic review of current usage.","type":"article-journal","volume":"56"},"uris":["http://www.mendeley.com/documents/?uuid=f590f0ac-7f35-4445-acc3-40ee9fd5ffd3"]}],"mendeley":{"formattedCitation":"[21]","plainTextFormattedCitation":"[21]","previouslyFormattedCitation":"(21)"},"properties":{"noteIndex":0},"schema":"https://github.com/citation-style-language/schema/raw/master/csl-citation.json"}</w:instrText>
      </w:r>
      <w:r w:rsidR="00523D0C" w:rsidRPr="00B1443C">
        <w:rPr>
          <w:rFonts w:ascii="Book Antiqua" w:hAnsi="Book Antiqua" w:cs="Calibri"/>
          <w:shd w:val="clear" w:color="auto" w:fill="FFFFFF"/>
          <w:vertAlign w:val="superscript"/>
        </w:rPr>
        <w:fldChar w:fldCharType="separate"/>
      </w:r>
      <w:r w:rsidR="00941369" w:rsidRPr="00B1443C">
        <w:rPr>
          <w:rFonts w:ascii="Book Antiqua" w:hAnsi="Book Antiqua" w:cs="Calibri"/>
          <w:noProof/>
          <w:shd w:val="clear" w:color="auto" w:fill="FFFFFF"/>
          <w:vertAlign w:val="superscript"/>
        </w:rPr>
        <w:t>[21]</w:t>
      </w:r>
      <w:r w:rsidR="00523D0C" w:rsidRPr="00B1443C">
        <w:rPr>
          <w:rFonts w:ascii="Book Antiqua" w:hAnsi="Book Antiqua" w:cs="Calibri"/>
          <w:shd w:val="clear" w:color="auto" w:fill="FFFFFF"/>
          <w:vertAlign w:val="superscript"/>
        </w:rPr>
        <w:fldChar w:fldCharType="end"/>
      </w:r>
      <w:r w:rsidR="00DB7199" w:rsidRPr="006B05AE">
        <w:rPr>
          <w:rFonts w:ascii="Book Antiqua" w:hAnsi="Book Antiqua" w:cs="Calibri"/>
          <w:shd w:val="clear" w:color="auto" w:fill="FFFFFF"/>
        </w:rPr>
        <w:t>. A diagnosis of delirium require</w:t>
      </w:r>
      <w:r w:rsidR="00523D0C" w:rsidRPr="006B05AE">
        <w:rPr>
          <w:rFonts w:ascii="Book Antiqua" w:hAnsi="Book Antiqua" w:cs="Calibri"/>
          <w:shd w:val="clear" w:color="auto" w:fill="FFFFFF"/>
        </w:rPr>
        <w:t>s the presence of features 1, 2</w:t>
      </w:r>
      <w:r w:rsidR="00DB7199" w:rsidRPr="006B05AE">
        <w:rPr>
          <w:rFonts w:ascii="Book Antiqua" w:hAnsi="Book Antiqua" w:cs="Calibri"/>
          <w:shd w:val="clear" w:color="auto" w:fill="FFFFFF"/>
        </w:rPr>
        <w:t xml:space="preserve"> and either 3 or 4</w:t>
      </w:r>
      <w:r w:rsidR="00B1443C">
        <w:rPr>
          <w:rFonts w:ascii="Book Antiqua" w:hAnsi="Book Antiqua" w:cs="Calibri"/>
          <w:shd w:val="clear" w:color="auto" w:fill="FFFFFF"/>
        </w:rPr>
        <w:t xml:space="preserve"> (Table 1)</w:t>
      </w:r>
      <w:r w:rsidR="00DB7199" w:rsidRPr="006B05AE">
        <w:rPr>
          <w:rFonts w:ascii="Book Antiqua" w:hAnsi="Book Antiqua" w:cs="Calibri"/>
          <w:shd w:val="clear" w:color="auto" w:fill="FFFFFF"/>
        </w:rPr>
        <w:t>.</w:t>
      </w:r>
    </w:p>
    <w:p w14:paraId="350FAB70" w14:textId="25EE6BDA" w:rsidR="00E342B4" w:rsidRPr="006B05AE" w:rsidRDefault="00E342B4" w:rsidP="00033BF4">
      <w:pPr>
        <w:spacing w:line="360" w:lineRule="auto"/>
        <w:ind w:firstLineChars="100" w:firstLine="240"/>
        <w:jc w:val="both"/>
        <w:rPr>
          <w:rFonts w:ascii="Book Antiqua" w:hAnsi="Book Antiqua" w:cs="Calibri"/>
          <w:b/>
          <w:bCs/>
        </w:rPr>
      </w:pPr>
      <w:r w:rsidRPr="006B05AE">
        <w:rPr>
          <w:rFonts w:ascii="Book Antiqua" w:hAnsi="Book Antiqua" w:cs="Calibri"/>
        </w:rPr>
        <w:t>Hyperactive and hypoactive subtypes are broadly defined according to psychomotor activity, with clinical features varying accordingly, but mixed delirium, with features of both, also exist</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{"citationItems":[{"id":"ITEM-1","itemData":{"DOI":"10.1038/nrneurol.2009.24.Delirium","ISBN":"1759-4766","ISSN":"1759-4758","PMID":"19347026","abstract":"Delirium is a common and serious acute neuropsychiatric syndrome with core features of inattention and global cognitive dysfunction. The etiologies of delirium are diverse and multifactorial and often reflect the pathophysiological consequences of an acute medical illness, medical complication or drug intoxication. Delirium can have a widely variable presentation, and is often missed and underdiagnosed as a result. At present, the diagnosis of delirium is clinically based and depends on the presence or absence of certain features. Management strategies for delirium are focused on prevention and symptom management. This article reviews current clinical practice in delirium in elderly individuals, including the diagnosis, treatment, outcomes and economic impact of this syndrome. Areas of future research are also discussed.","author":[{"dropping-particle":"","family":"Fong","given":"Tamara G.","non-dropping-particle":"","parse-names":false,"suffix":""},{"dropping-particle":"","family":"Tulebaev","given":"Samir R.","non-dropping-particle":"","parse-names":false,"suffix":""},{"dropping-particle":"","family":"Inouye","given":"Sharon K.","non-dropping-particle":"","parse-names":false,"suffix":""},{"dropping-particle":"","family":"Manuscript","given":"Author","non-dropping-particle":"","parse-names":false,"suffix":""}],"container-title":"Nature Reviews Neurology","id":"ITEM-1","issue":"4","issued":{"date-parts":[["2011"]]},"page":"210-220","title":"Delirium in elderly adults : diagnosis , prevention and treatment","type":"article-journal","volume":"5"},"uris":["http://www.mendeley.com/documents/?uuid=b858e349-5ef1-4025-91e0-2234200c5665"]}],"mendeley":{"formattedCitation":"[22]","plainTextFormattedCitation":"[22]","previouslyFormattedCitation":"(22)"},"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[22]</w:t>
      </w:r>
      <w:r w:rsidRPr="00033BF4">
        <w:rPr>
          <w:rFonts w:ascii="Book Antiqua" w:hAnsi="Book Antiqua" w:cs="Calibri"/>
          <w:vertAlign w:val="superscript"/>
        </w:rPr>
        <w:fldChar w:fldCharType="end"/>
      </w:r>
      <w:r w:rsidRPr="006B05AE">
        <w:rPr>
          <w:rFonts w:ascii="Book Antiqua" w:hAnsi="Book Antiqua" w:cs="Calibri"/>
        </w:rPr>
        <w:t>. The pathophysiology of delirium is not fully understood, and of the many theories none explain the variation in presentation and severity. Current theories centre on deranged neurotransmission and signalling pathways, as well as neuroinflammation and glial activation, which appear to be pivotal in the post-operative period</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{"citationItems":[{"id":"ITEM-1","itemData":{"DOI":"10.1038/nrneurol.2009.24.Delirium","ISBN":"1759-4766","ISSN":"1759-4758","PMID":"19347026","abstract":"Delirium is a common and serious acute neuropsychiatric syndrome with core features of inattention and global cognitive dysfunction. The etiologies of delirium are diverse and multifactorial and often reflect the pathophysiological consequences of an acute medical illness, medical complication or drug intoxication. Delirium can have a widely variable presentation, and is often missed and underdiagnosed as a result. At present, the diagnosis of delirium is clinically based and depends on the presence or absence of certain features. Management strategies for delirium are focused on prevention and symptom management. This article reviews current clinical practice in delirium in elderly individuals, including the diagnosis, treatment, outcomes and economic impact of this syndrome. Areas of future research are also discussed.","author":[{"dropping-particle":"","family":"Fong","given":"Tamara G.","non-dropping-particle":"","parse-names":false,"suffix":""},{"dropping-particle":"","family":"Tulebaev","given":"Samir R.","non-dropping-particle":"","parse-names":false,"suffix":""},{"dropping-particle":"","family":"Inouye","given":"Sharon K.","non-dropping-particle":"","parse-names":false,"suffix":""},{"dropping-particle":"","family":"Manuscript","given":"Author","non-dropping-particle":"","parse-names":false,"suffix":""}],"container-title":"Nature Reviews Neurology","id":"ITEM-1","issue":"4","issued":{"date-parts":[["2011"]]},"page":"210-220","title":"Delirium in elderly adults : diagnosis , prevention and treatment","type":"article-journal","volume":"5"},"uris":["http://www.mendeley.com/documents/?uuid=b858e349-5ef1-4025-91e0-2234200c5665"]}],"mendeley":{"formattedCitation":"[22]","plainTextFormattedCitation":"[22]","previouslyFormattedCitation":"(22)"},"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[22]</w:t>
      </w:r>
      <w:r w:rsidRPr="00033BF4">
        <w:rPr>
          <w:rFonts w:ascii="Book Antiqua" w:hAnsi="Book Antiqua" w:cs="Calibri"/>
          <w:vertAlign w:val="superscript"/>
        </w:rPr>
        <w:fldChar w:fldCharType="end"/>
      </w:r>
      <w:r w:rsidRPr="006B05AE">
        <w:rPr>
          <w:rFonts w:ascii="Book Antiqua" w:hAnsi="Book Antiqua" w:cs="Calibri"/>
        </w:rPr>
        <w:t xml:space="preserve">. </w:t>
      </w:r>
    </w:p>
    <w:p w14:paraId="279A6AF4" w14:textId="77777777" w:rsidR="00E50D75" w:rsidRPr="006B05AE" w:rsidRDefault="00E50D75" w:rsidP="00490A12">
      <w:pPr>
        <w:spacing w:line="360" w:lineRule="auto"/>
        <w:jc w:val="both"/>
        <w:rPr>
          <w:rFonts w:ascii="Book Antiqua" w:hAnsi="Book Antiqua" w:cs="Calibri"/>
          <w:b/>
          <w:bCs/>
        </w:rPr>
      </w:pPr>
    </w:p>
    <w:p w14:paraId="7DFAF71F" w14:textId="1CE87387" w:rsidR="00E342B4" w:rsidRPr="00033BF4" w:rsidRDefault="00033BF4" w:rsidP="00490A12">
      <w:pPr>
        <w:spacing w:line="360" w:lineRule="auto"/>
        <w:jc w:val="both"/>
        <w:rPr>
          <w:rFonts w:ascii="Book Antiqua" w:hAnsi="Book Antiqua" w:cs="Calibri"/>
          <w:b/>
          <w:bCs/>
        </w:rPr>
      </w:pPr>
      <w:r w:rsidRPr="006B05AE">
        <w:rPr>
          <w:rFonts w:ascii="Book Antiqua" w:hAnsi="Book Antiqua" w:cs="Calibri"/>
          <w:b/>
          <w:bCs/>
        </w:rPr>
        <w:lastRenderedPageBreak/>
        <w:t>CONSEQUENCES OF DELIRIUM ARE AS SERIOUS AS INFECTION OR THROMBOEMBOLIC EVENTS</w:t>
      </w:r>
    </w:p>
    <w:p w14:paraId="1FE76915" w14:textId="77777777" w:rsidR="00E342B4" w:rsidRPr="006B05AE" w:rsidRDefault="00E342B4" w:rsidP="00490A12">
      <w:pPr>
        <w:spacing w:line="360" w:lineRule="auto"/>
        <w:jc w:val="both"/>
        <w:rPr>
          <w:rFonts w:ascii="Book Antiqua" w:hAnsi="Book Antiqua" w:cs="Calibri"/>
        </w:rPr>
      </w:pPr>
      <w:r w:rsidRPr="006B05AE">
        <w:rPr>
          <w:rFonts w:ascii="Book Antiqua" w:hAnsi="Book Antiqua" w:cs="Calibri"/>
        </w:rPr>
        <w:t xml:space="preserve">Does confusion matter in the context of breaking a hip and having a major operation, and is it important enough to mention during the consent process? Are the consequences of deep wound infection, thromboembolic events and bleeding more severe, necessitating their inclusion on consent forms over delirium? </w:t>
      </w:r>
    </w:p>
    <w:p w14:paraId="0A27767B" w14:textId="7C2998B3" w:rsidR="00E342B4" w:rsidRPr="006B05AE" w:rsidRDefault="00E342B4" w:rsidP="00033BF4">
      <w:pPr>
        <w:spacing w:line="360" w:lineRule="auto"/>
        <w:ind w:firstLineChars="100" w:firstLine="240"/>
        <w:jc w:val="both"/>
        <w:rPr>
          <w:rFonts w:ascii="Book Antiqua" w:hAnsi="Book Antiqua" w:cs="Calibri"/>
        </w:rPr>
      </w:pPr>
      <w:r w:rsidRPr="006B05AE">
        <w:rPr>
          <w:rFonts w:ascii="Book Antiqua" w:hAnsi="Book Antiqua" w:cs="Calibri"/>
        </w:rPr>
        <w:t xml:space="preserve">Whilst it is true that a large pulmonary embolus </w:t>
      </w:r>
      <w:r w:rsidR="002671A4" w:rsidRPr="006B05AE">
        <w:rPr>
          <w:rFonts w:ascii="Book Antiqua" w:hAnsi="Book Antiqua" w:cs="Calibri"/>
        </w:rPr>
        <w:t>(PE)</w:t>
      </w:r>
      <w:r w:rsidR="002671A4">
        <w:rPr>
          <w:rFonts w:ascii="Book Antiqua" w:hAnsi="Book Antiqua" w:cs="Calibri"/>
        </w:rPr>
        <w:t xml:space="preserve"> </w:t>
      </w:r>
      <w:r w:rsidRPr="006B05AE">
        <w:rPr>
          <w:rFonts w:ascii="Book Antiqua" w:hAnsi="Book Antiqua" w:cs="Calibri"/>
        </w:rPr>
        <w:t>can be fatal, and revision surgery to replace an infected implant can be catastrophic for functional recovery and is associate with poorer outcomes, there is evidence that delirium also has a major and long-lasting effect</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{"citationItems":[{"id":"ITEM-1","itemData":{"DOI":"10.1080/17453674.2017.1301009","ISSN":"17453682","PMID":"28271919","abstract":"Background and purpose - Hemiarthroplasty is the most common treatment in elderly patients with displaced femoral neck fracture. Prosthetic joint infection (PJI) is a feared complication. The infection rate varies in the literature, and there are limited descriptive data available. We investigated the characteristics and outcome of PJI following hemiarthroplasty over a 15-year period. Patients and methods - Patients with PJI were identified among 519 patients treated with hemiarthroplasty for a femoral neck fracture at Oslo University Hospital between 1998 and 2012. We used prospectively registered data from previous studies, and recorded additional data from the patients' charts when needed. Results - Of the 519 patients, we identified 37 patients (6%) with early PJI. 20 of these 37 patients became free of infection. Soft tissue debridement and retention of implant was performed in 35 patients, 15 of whom became free of infection with an intact arthroplasty. The 1-year mortality rate was 15/37. We found an association between 1-year mortality and treatment failure (p = 0.001). Staphylococcus aureus and polymicrobial infection were the most common microbiological findings, each accounting for 14 of the 37 infections. Enterococcus spp. was found in 9 infections, 8 of which were polymicrobial. There was an association between polymicrobial infection and treatment failure, and between polymicrobial infection and 1-year mortality. Interpretation - PJI following hemiarthroplasty due to femoral neck fracture is a devastating complication in the elderly. We found a high rate of polymicrobial PJIs frequently including Enterococcus spp, which is different from what is common in PJI after elective total hip arthroplasty.","author":[{"dropping-particle":"","family":"Guren","given":"Ellen","non-dropping-particle":"","parse-names":false,"suffix":""},{"dropping-particle":"","family":"Figved","given":"Wender","non-dropping-particle":"","parse-names":false,"suffix":""},{"dropping-particle":"","family":"Frihagen","given":"Frede","non-dropping-particle":"","parse-names":false,"suffix":""},{"dropping-particle":"","family":"Watne","given":"Leiv Otto","non-dropping-particle":"","parse-names":false,"suffix":""},{"dropping-particle":"","family":"Westberg","given":"Marianne","non-dropping-particle":"","parse-names":false,"suffix":""}],"container-title":"Acta Orthopaedica","id":"ITEM-1","issue":"4","issued":{"date-parts":[["2017"]]},"page":"383-389","title":"Prosthetic joint infection—a devastating complication of hemiarthroplasty for hip fracture","type":"article-journal","volume":"88"},"uris":["http://www.mendeley.com/documents/?uuid=9dea2027-3f2d-4790-a656-64e009451f63"]}],"mendeley":{"formattedCitation":"[23]","plainTextFormattedCitation":"[23]","previouslyFormattedCitation":"(23)"},"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[23]</w:t>
      </w:r>
      <w:r w:rsidRPr="00033BF4">
        <w:rPr>
          <w:rFonts w:ascii="Book Antiqua" w:hAnsi="Book Antiqua" w:cs="Calibri"/>
          <w:vertAlign w:val="superscript"/>
        </w:rPr>
        <w:fldChar w:fldCharType="end"/>
      </w:r>
      <w:r w:rsidRPr="006B05AE">
        <w:rPr>
          <w:rFonts w:ascii="Book Antiqua" w:hAnsi="Book Antiqua" w:cs="Calibri"/>
        </w:rPr>
        <w:t>. Suffering from an episode of delirium has an impact on length of stay, post discharge institutionalisation and mortality</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{"citationItems":[{"id":"ITEM-1","itemData":{"DOI":"10.1097/sla.0b013e31818e4776","ISSN":"0003-4932","abstract":"The purpose of this study was to describe the natural history, identify risk factors, and determine outcomes for the development of postoperative delirium in the elderly.\nPostoperative delirium is a common and deleterious complication in geriatric patients.\nSubjects older than 50 years scheduled for an operation requiring a postoperative intensive care unit admission were recruited. After preoperative informed written consent, enrolled subjects had baseline cognitive and functional assessments. Postoperatively, subjects were assessed daily for delirium using the confusion assessment method-intensive care unit. Patients were also followed for outcomes.\nDuring the study period, 144 patients were enrolled before major abdominal (40%), thoracic (53%), or vascular (7%) operations. The overall incidence of delirium was 44% (64/144). The average time to onset of delirium was 2.1 ± 0.9 days and the mean duration of delirium was 4.0 ± 5.1 days. Several preoperative variables were associated with an increased risk of delirium including older age (P &lt; 0.001), hypoalbuminemia (P &lt; 0.001), impaired functional status (P &lt; 0.001), pre-existing dementia (P &lt; 0.001), and pre-existing comorbidities (P &lt; 0.001). In a multivariable logistic regression model, pre-existing dementia remains the strongest risk factor for the development of postoperative delirium. Worse outcomes, including increased length of stay (P &lt; 0.001), postdischarge institutionalization (P &lt; 0.001), and 6 month mortality (P = 0.001), occurred in subjects who developed delirium.\nIn the current study, delirium occurred in 44% of elderly patients after a major operation. Pre-existing cognitive dysfunction was the strongest predictor of the development of postoperative delirium. Outcomes, including an increased rate of 6 month mortality, were worse in patients who developed postoperative delirium.","author":[{"dropping-particle":"","family":"Robinson","given":"Thomas N.","non-dropping-particle":"","parse-names":false,"suffix":""},{"dropping-particle":"","family":"Raeburn","given":"Christopher D.","non-dropping-particle":"","parse-names":false,"suffix":""},{"dropping-particle":"V.","family":"Tran","given":"Zung","non-dropping-particle":"","parse-names":false,"suffix":""},{"dropping-particle":"","family":"Angles","given":"Erik M.","non-dropping-particle":"","parse-names":false,"suffix":""},{"dropping-particle":"","family":"Brenner","given":"Lisa A.","non-dropping-particle":"","parse-names":false,"suffix":""},{"dropping-particle":"","family":"Moss","given":"Marc","non-dropping-particle":"","parse-names":false,"suffix":""}],"container-title":"Annals of Surgery","id":"ITEM-1","issue":"1","issued":{"date-parts":[["2009","1","1"]]},"page":"173-178","publisher":"Annals of Surgery","title":"Postoperative Delirium in the Elderly: Risk Factors and Outcomes","type":"article-journal","volume":"249"},"uris":["http://www.mendeley.com/documents/?uuid=f7b85401-ce76-395b-988a-95cfd1ed2ca4"]}],"mendeley":{"formattedCitation":"[24]","plainTextFormattedCitation":"[24]","previouslyFormattedCitation":"(24)"},"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[24]</w:t>
      </w:r>
      <w:r w:rsidRPr="00033BF4">
        <w:rPr>
          <w:rFonts w:ascii="Book Antiqua" w:hAnsi="Book Antiqua" w:cs="Calibri"/>
          <w:vertAlign w:val="superscript"/>
        </w:rPr>
        <w:fldChar w:fldCharType="end"/>
      </w:r>
      <w:r w:rsidRPr="006B05AE">
        <w:rPr>
          <w:rFonts w:ascii="Book Antiqua" w:hAnsi="Book Antiqua" w:cs="Calibri"/>
        </w:rPr>
        <w:t>. Patients require greater input from nursing staff on the ward, both to provide personal care and to ensure safety. They are less able to work with physiotherapists leading to longer periods of therapy being required and cost of admission</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{"citationItems":[{"id":"ITEM-1","itemData":{"DOI":"10.1111/j.1532-5415.2005.53305.x","ISSN":"00028614","author":[{"dropping-particle":"","family":"Marcantonio","given":"Edward R.","non-dropping-particle":"","parse-names":false,"suffix":""},{"dropping-particle":"","family":"Kiely","given":"Dan K.","non-dropping-particle":"","parse-names":false,"suffix":""},{"dropping-particle":"","family":"Simon","given":"Samuel E.","non-dropping-particle":"","parse-names":false,"suffix":""},{"dropping-particle":"","family":"John Orav","given":"E.","non-dropping-particle":"","parse-names":false,"suffix":""},{"dropping-particle":"","family":"Jones","given":"Richard N.","non-dropping-particle":"","parse-names":false,"suffix":""},{"dropping-particle":"","family":"Murphy","given":"Katharine M.","non-dropping-particle":"","parse-names":false,"suffix":""},{"dropping-particle":"","family":"Bergmann","given":"Margaret A.","non-dropping-particle":"","parse-names":false,"suffix":""}],"container-title":"Journal of the American Geriatrics Society","id":"ITEM-1","issue":"6","issued":{"date-parts":[["2005","6","1"]]},"page":"963-969","publisher":"Wiley/Blackwell (10.1111)","title":"Outcomes of Older People Admitted to Postacute Facilities with Delirium","type":"article-journal","volume":"53"},"uris":["http://www.mendeley.com/documents/?uuid=0b91493b-ff87-39bf-b420-ba82e5ea92a2"]}],"mendeley":{"formattedCitation":"[25]","plainTextFormattedCitation":"[25]","previouslyFormattedCitation":"(25)"},"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[25]</w:t>
      </w:r>
      <w:r w:rsidRPr="00033BF4">
        <w:rPr>
          <w:rFonts w:ascii="Book Antiqua" w:hAnsi="Book Antiqua" w:cs="Calibri"/>
          <w:vertAlign w:val="superscript"/>
        </w:rPr>
        <w:fldChar w:fldCharType="end"/>
      </w:r>
      <w:r w:rsidRPr="006B05AE">
        <w:rPr>
          <w:rFonts w:ascii="Book Antiqua" w:hAnsi="Book Antiqua" w:cs="Calibri"/>
        </w:rPr>
        <w:t>. A substantial proportion of those who eventually return home will require extra assistance, both formally from social services and also informal</w:t>
      </w:r>
      <w:r w:rsidR="00D512DE" w:rsidRPr="006B05AE">
        <w:rPr>
          <w:rFonts w:ascii="Book Antiqua" w:hAnsi="Book Antiqua" w:cs="Calibri"/>
        </w:rPr>
        <w:t>ly</w:t>
      </w:r>
      <w:r w:rsidRPr="006B05AE">
        <w:rPr>
          <w:rFonts w:ascii="Book Antiqua" w:hAnsi="Book Antiqua" w:cs="Calibri"/>
        </w:rPr>
        <w:t xml:space="preserve"> from family and friends</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{"citationItems":[{"id":"ITEM-1","itemData":{"DOI":"10.1111/j.1532-5415.2010.02762.x","ISSN":"1532-5415","PMID":"20345866","abstract":"OBJECTIVES To determine whether patients who developed delirium after cardiac surgery were at risk of functional decline. DESIGN Prospective cohort study. SETTING Two academic hospitals and a Veterans Affairs Medical Center. PARTICIPANTS One hundred ninety patients aged 60 and older undergoing elective or urgent cardiac surgery. MEASUREMENTS Delirium was assessed daily and was diagnosed according to the Confusion Assessment Method. Before surgery and 1 and 12 months postoperatively, patients were assessed for function using the instrumental activities of daily living (IADL) scale. Functional decline was defined as a decrease in ability to perform one IADL at follow-up. RESULTS Delirium occurred in 43.1% (n=82) of the patients (mean age 73.7+/-6.7). Functional decline occurred in 36.3% (n=65/179) at 1 month and in 14.6% (n=26/178) at 12 months. Delirium was associated with greater risk of functional decline at 1 month (relative risk (RR)=1.9, 95% confidence interval (CI)=1.3-2.8) and tended toward greater risk at 12 months (RR=1.9, 95% CI=0.9-3.8). After adjustment for age, cognition, comorbidity, and baseline function, delirium remained significantly associated with functional decline at 1 month (adjusted RR=1.8, 95% CI=1.2-2.6) but not at 12 months (adjusted RR=1.5, 95% CI=0.6-3.3). CONCLUSION Delirium was independently associated with functional decline at 1 month and had a trend toward association at 12 months. These findings provide justification for intervention trials to evaluate whether delirium prevention or treatment strategies might improve postoperative functional recovery.","author":[{"dropping-particle":"","family":"Rudolph","given":"James L","non-dropping-particle":"","parse-names":false,"suffix":""},{"dropping-particle":"","family":"Inouye","given":"Sharon K","non-dropping-particle":"","parse-names":false,"suffix":""},{"dropping-particle":"","family":"Jones","given":"Richard N","non-dropping-particle":"","parse-names":false,"suffix":""},{"dropping-particle":"","family":"Yang","given":"Frances M","non-dropping-particle":"","parse-names":false,"suffix":""},{"dropping-particle":"","family":"Fong","given":"Tamara G","non-dropping-particle":"","parse-names":false,"suffix":""},{"dropping-particle":"","family":"Levkoff","given":"Sue E","non-dropping-particle":"","parse-names":false,"suffix":""},{"dropping-particle":"","family":"Marcantonio","given":"Edward R","non-dropping-particle":"","parse-names":false,"suffix":""}],"container-title":"Journal of the American Geriatrics Society","id":"ITEM-1","issue":"4","issued":{"date-parts":[["2010","4"]]},"page":"643-9","publisher":"NIH Public Access","title":"Delirium: an independent predictor of functional decline after cardiac surgery.","type":"article-journal","volume":"58"},"uris":["http://www.mendeley.com/documents/?uuid=d8c39c53-a033-3cf8-bd56-5d0609093a90"]}],"mendeley":{"formattedCitation":"[26]","plainTextFormattedCitation":"[26]","previouslyFormattedCitation":"(26)"},"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[26]</w:t>
      </w:r>
      <w:r w:rsidRPr="00033BF4">
        <w:rPr>
          <w:rFonts w:ascii="Book Antiqua" w:hAnsi="Book Antiqua" w:cs="Calibri"/>
          <w:vertAlign w:val="superscript"/>
        </w:rPr>
        <w:fldChar w:fldCharType="end"/>
      </w:r>
      <w:r w:rsidRPr="006B05AE">
        <w:rPr>
          <w:rFonts w:ascii="Book Antiqua" w:hAnsi="Book Antiqua" w:cs="Calibri"/>
        </w:rPr>
        <w:t xml:space="preserve">. Delirium is an independent marker for increased 12 </w:t>
      </w:r>
      <w:proofErr w:type="spellStart"/>
      <w:r w:rsidRPr="006B05AE">
        <w:rPr>
          <w:rFonts w:ascii="Book Antiqua" w:hAnsi="Book Antiqua" w:cs="Calibri"/>
        </w:rPr>
        <w:t>mo</w:t>
      </w:r>
      <w:proofErr w:type="spellEnd"/>
      <w:r w:rsidRPr="006B05AE">
        <w:rPr>
          <w:rFonts w:ascii="Book Antiqua" w:hAnsi="Book Antiqua" w:cs="Calibri"/>
        </w:rPr>
        <w:t xml:space="preserve"> mortality following a hospital admission, with the effect more marked for patients without pre-existing dementia</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{"citationItems":[{"id":"ITEM-1","itemData":{"ISSN":"0003-9926","PMID":"11863480","abstract":"BACKGROUND Delirium has not been found to be a significant predictor of postdischarge mortality, but previous research has methodologic limitations including small sample sizes and inadequate control of confounding. This study aimed to determine the independent effects of presence of delirium, type of delirium (incident vs prevalent), and severity of delirium symptoms on 12-month mortality among older medical inpatients. METHODS A prospective, observational study of 2 cohorts of medical inpatients was conducted with patients 65 years or older: 243 patients had prevalent or incident delirium, and 118 controls had no delirium. Baseline measures included presence of delirium and/or dementia, severity of delirium symptoms, physical function, comorbidity, and physiological and clinical severity of illness. Mortality during the 12 months after enrollment was analyzed with the Cox proportional hazards model with adjustment for covariates. RESULTS The unadjusted hazard ratio of delirium with mortality was 3.44 (95% confidence interval, 2.05-5.75); the adjusted hazard ratio was 2.11 (95% confidence interval, 1.18-3.77). The effect of delirium was sustained over the entire 12-month period after adjustment for covariates and was stronger among patients without dementia. Among patients with dementia, there was a weak, nonsignificant effect of delirium on survival. After adjustment for covariates, mortality did not differ between patients with incident and prevalent delirium, but among patients with delirium without dementia, greater severity of delirium symptoms was associated with higher mortality. CONCLUSIONS Delirium is an independent marker for increased mortality among older medical inpatients during the 12 months after hospital admission. It is a particularly important prognostic marker among patients without dementia.","author":[{"dropping-particle":"","family":"McCusker","given":"Jane","non-dropping-particle":"","parse-names":false,"suffix":""},{"dropping-particle":"","family":"Cole","given":"Martin","non-dropping-particle":"","parse-names":false,"suffix":""},{"dropping-particle":"","family":"Abrahamowicz","given":"Michal","non-dropping-particle":"","parse-names":false,"suffix":""},{"dropping-particle":"","family":"Primeau","given":"Francois","non-dropping-particle":"","parse-names":false,"suffix":""},{"dropping-particle":"","family":"Belzile","given":"Eric","non-dropping-particle":"","parse-names":false,"suffix":""}],"container-title":"Archives of internal medicine","id":"ITEM-1","issue":"4","issued":{"date-parts":[["2002","2","25"]]},"page":"457-63","title":"Delirium predicts 12-month mortality.","type":"article-journal","volume":"162"},"uris":["http://www.mendeley.com/documents/?uuid=5232254c-f983-34b7-ae35-b2272daaab4b"]}],"mendeley":{"formattedCitation":"[27]","plainTextFormattedCitation":"[27]","previouslyFormattedCitation":"(27)"},"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[27]</w:t>
      </w:r>
      <w:r w:rsidRPr="00033BF4">
        <w:rPr>
          <w:rFonts w:ascii="Book Antiqua" w:hAnsi="Book Antiqua" w:cs="Calibri"/>
          <w:vertAlign w:val="superscript"/>
        </w:rPr>
        <w:fldChar w:fldCharType="end"/>
      </w:r>
      <w:r w:rsidRPr="006B05AE">
        <w:rPr>
          <w:rFonts w:ascii="Book Antiqua" w:hAnsi="Book Antiqua" w:cs="Calibri"/>
        </w:rPr>
        <w:t xml:space="preserve">. </w:t>
      </w:r>
    </w:p>
    <w:p w14:paraId="374350B1" w14:textId="5E22A1BE" w:rsidR="00E342B4" w:rsidRPr="006B05AE" w:rsidRDefault="00E342B4" w:rsidP="00033BF4">
      <w:pPr>
        <w:spacing w:line="360" w:lineRule="auto"/>
        <w:ind w:firstLineChars="100" w:firstLine="240"/>
        <w:jc w:val="both"/>
        <w:rPr>
          <w:rFonts w:ascii="Book Antiqua" w:hAnsi="Book Antiqua" w:cs="Calibri"/>
        </w:rPr>
      </w:pPr>
      <w:r w:rsidRPr="006B05AE">
        <w:rPr>
          <w:rFonts w:ascii="Book Antiqua" w:hAnsi="Book Antiqua" w:cs="Calibri"/>
        </w:rPr>
        <w:t>As well as a change in dependency and social circumstances, quality of life can be directly affected by the psychological impact of delirium itself, both during the actual episode and also in the longer term</w:t>
      </w:r>
      <w:r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{"citationItems":[{"id":"ITEM-1","itemData":{"DOI":"10.1176/appi.psy.43.3.183","ISSN":"0033-3182","PMID":"12075033","abstract":"We conducted a systematic examination of the experience of delirium in a sample of 154 hospitalized patients with cancer. Patients all met DSM-IV criteria for delirium and were rated with the Memorial Delirium Assessment Scale as a measure of delirium severity, phenomenology, and resolution. Of the 154 patients assessed, 101 had complete resolution of their delirium and were administered the Delirium Experience Questionnaire (DEQ-a face-valid measure that assesses delirium recall and distress related to the delirium episode). Spouse/caregivers and primary nurses were also administered the DEQ to assess distress related to caring for a delirious patient. Fifty-four (53.5%) patients recalled their delirium experience. Logistic-regression analysis demonstrated that short-term memory impairment (odds ratio [OR] = 38.4), delirium severity (OR = 11.3), and the presence of perceptual disturbances (OR = 6.9) were significant predictors of delirium recall. Mean delirium-related distress levels (on a 0-4 numerical rating scale of the DEQ) were 3.2 for patients who recalled delirium, 3.75 for spouses/caregivers, and 3.09 for nurses. Logistic-regression analysis demonstrated that the presence of delusions (OR = 7.9) was the most significant predictor of patient distress. Patients with \"hypoactive\" delirium were just as distressed as patients with \"hyperactive\" delirium. Karnofsky Performance Status (OR = 9.1) was the most significant predictor of spouse/caregiver distress. Delirium severity (OR =5.2) and the presence of perceptual disturbances (OR =3.6) were the most significant predictors of nurse distress. In conclusion, a majority of patients with delirium recall their delirium as highly distressing. Delirium is also a highly distressing experience for spouses/caregivers and nurses who are caring for delirious patients. Prompt recognition and treatment of delirium is critically important to reduce suffering and distress.","author":[{"dropping-particle":"","family":"Breitbart","given":"William","non-dropping-particle":"","parse-names":false,"suffix":""},{"dropping-particle":"","family":"Gibson","given":"Christopher","non-dropping-particle":"","parse-names":false,"suffix":""},{"dropping-particle":"","family":"Tremblay","given":"Annie","non-dropping-particle":"","parse-names":false,"suffix":""}],"container-title":"Psychosomatics","id":"ITEM-1","issue":"3","issued":{"date-parts":[["2002","5","1"]]},"page":"183-94","publisher":"Elsevier","title":"The delirium experience: delirium recall and delirium-related distress in hospitalized patients with cancer, their spouses/caregivers, and their nurses.","type":"article-journal","volume":"43"},"uris":["http://www.mendeley.com/documents/?uuid=1c3cf228-17c0-3788-b6e8-10dae3d5946b"]}],"mendeley":{"formattedCitation":"[28]","plainTextFormattedCitation":"[28]","previouslyFormattedCitation":"(28)"},"properties":{"noteIndex":0},"schema":"https://github.com/citation-style-language/schema/raw/master/csl-citation.json"}</w:instrText>
      </w:r>
      <w:r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[28]</w:t>
      </w:r>
      <w:r w:rsidRPr="00033BF4">
        <w:rPr>
          <w:rFonts w:ascii="Book Antiqua" w:hAnsi="Book Antiqua" w:cs="Calibri"/>
          <w:vertAlign w:val="superscript"/>
        </w:rPr>
        <w:fldChar w:fldCharType="end"/>
      </w:r>
      <w:r w:rsidRPr="006B05AE">
        <w:rPr>
          <w:rFonts w:ascii="Book Antiqua" w:hAnsi="Book Antiqua" w:cs="Calibri"/>
        </w:rPr>
        <w:t xml:space="preserve">. </w:t>
      </w:r>
      <w:r w:rsidR="00A327BF" w:rsidRPr="006B05AE">
        <w:rPr>
          <w:rFonts w:ascii="Book Antiqua" w:hAnsi="Book Antiqua" w:cs="Calibri"/>
        </w:rPr>
        <w:t xml:space="preserve">A study looking at cancer patients suffering delirium identified that </w:t>
      </w:r>
      <w:r w:rsidR="008845FF" w:rsidRPr="006B05AE">
        <w:rPr>
          <w:rFonts w:ascii="Book Antiqua" w:hAnsi="Book Antiqua" w:cs="Calibri"/>
        </w:rPr>
        <w:t>patients recall</w:t>
      </w:r>
      <w:r w:rsidR="00A327BF" w:rsidRPr="006B05AE">
        <w:rPr>
          <w:rFonts w:ascii="Book Antiqua" w:hAnsi="Book Antiqua" w:cs="Calibri"/>
        </w:rPr>
        <w:t>ed</w:t>
      </w:r>
      <w:r w:rsidR="008845FF" w:rsidRPr="006B05AE">
        <w:rPr>
          <w:rFonts w:ascii="Book Antiqua" w:hAnsi="Book Antiqua" w:cs="Calibri"/>
        </w:rPr>
        <w:t xml:space="preserve"> their episodes of delirium, and expr</w:t>
      </w:r>
      <w:r w:rsidR="001665E1" w:rsidRPr="006B05AE">
        <w:rPr>
          <w:rFonts w:ascii="Book Antiqua" w:hAnsi="Book Antiqua" w:cs="Calibri"/>
        </w:rPr>
        <w:t>ess</w:t>
      </w:r>
      <w:r w:rsidR="00A327BF" w:rsidRPr="006B05AE">
        <w:rPr>
          <w:rFonts w:ascii="Book Antiqua" w:hAnsi="Book Antiqua" w:cs="Calibri"/>
        </w:rPr>
        <w:t>ed</w:t>
      </w:r>
      <w:r w:rsidR="001665E1" w:rsidRPr="006B05AE">
        <w:rPr>
          <w:rFonts w:ascii="Book Antiqua" w:hAnsi="Book Antiqua" w:cs="Calibri"/>
        </w:rPr>
        <w:t xml:space="preserve"> distress as a result</w:t>
      </w:r>
      <w:r w:rsidR="008845FF"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{"citationItems":[{"id":"ITEM-1","itemData":{"DOI":"10.1002/cncr.24215","ISBN":"0008-543X (Print)\\n0008-543X (Linking)","ISSN":"0008543X","PMID":"19241420","abstract":"BACKGROUND: : Delirium has been the most frequent neuropsychiatric complication in patients with advanced cancer. This exploratory study aimed to determine the proportion of patients who were able to recall their experience of delirium and the level of distress experienced by patients, family caregivers, and healthcare professionals. METHODS: : Patients with advanced cancer who had completely recovered from an acute delirium episode, had Memorial Delirium Assessment Scale score &lt;13, and had a family caregiver present during the delirium were studied. Patients were given the Delirium Experience Questionnaire. Patients' and family caregivers' demographics, and the frequency and distress associated with different delirium symptoms were also collected. Bedside nurses and palliative care specialists reported the frequency of recalled delirium symptoms and their distress score. RESULTS: : A total of 99 patient/family caregiver dyads participated in the study. The main identified causes for delirium were opioids, infection, brain metastases, hypercalcemia, and dehydration. There were 73 patients (74%) who remembered the episode of being delirious, with 59 of 73 patients (81%) reporting the experience as distressing (median distress level of 3). The median overall delirium distress score was higher in family caregivers (median, 3; 25%-75% quartile, 2-4) than in patients (median, 2; 25%-75% quartile, 0-3) (P = .0004). Bedside nurses and palliative care specialists expressed low median overall delirium distress scores (median, 0; 25%-75% quartile 0-1). CONCLUSIONS: : The majority of patients with advanced cancer recalled their experience of delirium, causing moderate to severe distress in both patients and family caregivers. Appropriate interventions to reduce this distress are needed. Cancer 2009. (c) 2009 American Cancer Society.","author":[{"dropping-particle":"","family":"Bruera","given":"Eduardo","non-dropping-particle":"","parse-names":false,"suffix":""},{"dropping-particle":"","family":"Bush","given":"Shirley H.","non-dropping-particle":"","parse-names":false,"suffix":""},{"dropping-particle":"","family":"Willey","given":"Jie","non-dropping-particle":"","parse-names":false,"suffix":""},{"dropping-particle":"","family":"Paraskevopoulos","given":"Timotheos","non-dropping-particle":"","parse-names":false,"suffix":""},{"dropping-particle":"","family":"Li","given":"Zhijun","non-dropping-particle":"","parse-names":false,"suffix":""},{"dropping-particle":"","family":"Palmer","given":"J. Lynn","non-dropping-particle":"","parse-names":false,"suffix":""},{"dropping-particle":"","family":"Cohen","given":"Marlene Z.","non-dropping-particle":"","parse-names":false,"suffix":""},{"dropping-particle":"","family":"Sivesind","given":"Debra","non-dropping-particle":"","parse-names":false,"suffix":""},{"dropping-particle":"","family":"Elsayem","given":"Ahmed","non-dropping-particle":"","parse-names":false,"suffix":""}],"container-title":"Cancer","id":"ITEM-1","issue":"9","issued":{"date-parts":[["2009"]]},"page":"2004-2012","title":"Impact of delirium and recall on the level of distress in patients with advanced cancer and their family caregivers","type":"article-journal","volume":"115"},"uris":["http://www.mendeley.com/documents/?uuid=cad4d908-b2fa-489e-ba88-967dcaeb2881"]}],"mendeley":{"formattedCitation":"[29]","plainTextFormattedCitation":"[29]","previouslyFormattedCitation":"(29)"},"properties":{"noteIndex":0},"schema":"https://github.com/citation-style-language/schema/raw/master/csl-citation.json"}</w:instrText>
      </w:r>
      <w:r w:rsidR="008845FF"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[29]</w:t>
      </w:r>
      <w:r w:rsidR="008845FF" w:rsidRPr="00033BF4">
        <w:rPr>
          <w:rFonts w:ascii="Book Antiqua" w:hAnsi="Book Antiqua" w:cs="Calibri"/>
          <w:vertAlign w:val="superscript"/>
        </w:rPr>
        <w:fldChar w:fldCharType="end"/>
      </w:r>
      <w:r w:rsidR="008845FF" w:rsidRPr="006B05AE">
        <w:rPr>
          <w:rFonts w:ascii="Book Antiqua" w:hAnsi="Book Antiqua" w:cs="Calibri"/>
        </w:rPr>
        <w:t>. Patients commonly describe concerns with day-night orientation, communication difficulties and delusional thoughts</w:t>
      </w:r>
      <w:r w:rsidR="008845FF"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{"citationItems":[{"id":"ITEM-1","itemData":{"DOI":"10.1002/gps.3900","ISBN":"1099-1166; 0885-6230","ISSN":"08856230","PMID":"23112139","abstract":"BACKGROUND: Delirium is a common clinical syndrome with significant associated mortality, morbidity and financial cost. Less is understood about the experience of delirium for the patient, their family and staff involved in their care.\\n\\nOBJECTIVE: This synthesis draws on qualitative and quantitative literature examining different populations (patients, relatives and staff) in different clinical settings (intensive care units, surgery and hospice care) to provide a clinical summary of the delirium experience from the perspective of patients, relatives and staff.\\n\\nDESIGN: A literature search was conducted in Ovid, MEDLINE, Embase, PsychINFO, British Nursing Index and Archive and PubMed between 1980 and 2011 using the terms 'delirium' combined with 'distress', 'recall', 'anxiety', 'depression', 'PTSD', 'experience' and 'patient education'. Articles were restricted to English language only.\\n\\nRESULTS: Evidence suggests that some patients recall delirium and that recollections are generally distressing. Distress may be greater in relatives witnessing delirium and is also reported in professional staff. This distress may result in longer-term psychological sequelae. Remedial action, such as explanatory information to patients and their families, may reduce distress and psychological morbidity.\\n\\nCONCLUSIONS: A better understanding of the experience and psychological consequences of delirium will inform the development of appropriate methods of providing support and information to those at risk of delirium and their families or carers.","author":[{"dropping-particle":"","family":"Partridge","given":"Judith S L","non-dropping-particle":"","parse-names":false,"suffix":""},{"dropping-particle":"","family":"Martin","given":"Finbarr C.","non-dropping-particle":"","parse-names":false,"suffix":""},{"dropping-particle":"","family":"Harari","given":"Danielle","non-dropping-particle":"","parse-names":false,"suffix":""},{"dropping-particle":"","family":"Dhesi","given":"Jugdeep K.","non-dropping-particle":"","parse-names":false,"suffix":""}],"container-title":"International Journal of Geriatric Psychiatry","id":"ITEM-1","issue":"8","issued":{"date-parts":[["2013"]]},"page":"804-812","title":"The delirium experience: What is the effect on patients, relatives and staff and what can be done to modify this?","type":"article-journal","volume":"28"},"uris":["http://www.mendeley.com/documents/?uuid=4b97e668-22c6-48c5-9ed1-9159110551e6"]}],"mendeley":{"formattedCitation":"[30]","plainTextFormattedCitation":"[30]","previouslyFormattedCitation":"(30)"},"properties":{"noteIndex":0},"schema":"https://github.com/citation-style-language/schema/raw/master/csl-citation.json"}</w:instrText>
      </w:r>
      <w:r w:rsidR="008845FF"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[30]</w:t>
      </w:r>
      <w:r w:rsidR="008845FF" w:rsidRPr="00033BF4">
        <w:rPr>
          <w:rFonts w:ascii="Book Antiqua" w:hAnsi="Book Antiqua" w:cs="Calibri"/>
          <w:vertAlign w:val="superscript"/>
        </w:rPr>
        <w:fldChar w:fldCharType="end"/>
      </w:r>
      <w:r w:rsidR="008845FF" w:rsidRPr="006B05AE">
        <w:rPr>
          <w:rFonts w:ascii="Book Antiqua" w:hAnsi="Book Antiqua" w:cs="Calibri"/>
        </w:rPr>
        <w:t xml:space="preserve">. </w:t>
      </w:r>
      <w:r w:rsidR="002E6D3D" w:rsidRPr="006B05AE">
        <w:rPr>
          <w:rFonts w:ascii="Book Antiqua" w:hAnsi="Book Antiqua" w:cs="Calibri"/>
        </w:rPr>
        <w:t xml:space="preserve">The longer lasting psychological impact of </w:t>
      </w:r>
      <w:r w:rsidR="009C5630" w:rsidRPr="006B05AE">
        <w:rPr>
          <w:rFonts w:ascii="Book Antiqua" w:hAnsi="Book Antiqua" w:cs="Calibri"/>
        </w:rPr>
        <w:t>delirium, is not only experienced by patient</w:t>
      </w:r>
      <w:r w:rsidR="004658DE" w:rsidRPr="006B05AE">
        <w:rPr>
          <w:rFonts w:ascii="Book Antiqua" w:hAnsi="Book Antiqua" w:cs="Calibri"/>
        </w:rPr>
        <w:t>s</w:t>
      </w:r>
      <w:r w:rsidR="009C5630" w:rsidRPr="006B05AE">
        <w:rPr>
          <w:rFonts w:ascii="Book Antiqua" w:hAnsi="Book Antiqua" w:cs="Calibri"/>
        </w:rPr>
        <w:t xml:space="preserve"> but members o</w:t>
      </w:r>
      <w:r w:rsidR="001665E1" w:rsidRPr="006B05AE">
        <w:rPr>
          <w:rFonts w:ascii="Book Antiqua" w:hAnsi="Book Antiqua" w:cs="Calibri"/>
        </w:rPr>
        <w:t>f staff and patient relatives; c</w:t>
      </w:r>
      <w:r w:rsidR="009C5630" w:rsidRPr="006B05AE">
        <w:rPr>
          <w:rFonts w:ascii="Book Antiqua" w:hAnsi="Book Antiqua" w:cs="Calibri"/>
        </w:rPr>
        <w:t>aregiver distress as a result of delirium has been identified as being even higher than patient distress</w:t>
      </w:r>
      <w:r w:rsidR="009C5630"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{"citationItems":[{"id":"ITEM-1","itemData":{"DOI":"10.1176/appi.psy.43.3.183","ISSN":"0033-3182","PMID":"12075033","abstract":"We conducted a systematic examination of the experience of delirium in a sample of 154 hospitalized patients with cancer. Patients all met DSM-IV criteria for delirium and were rated with the Memorial Delirium Assessment Scale as a measure of delirium severity, phenomenology, and resolution. Of the 154 patients assessed, 101 had complete resolution of their delirium and were administered the Delirium Experience Questionnaire (DEQ-a face-valid measure that assesses delirium recall and distress related to the delirium episode). Spouse/caregivers and primary nurses were also administered the DEQ to assess distress related to caring for a delirious patient. Fifty-four (53.5%) patients recalled their delirium experience. Logistic-regression analysis demonstrated that short-term memory impairment (odds ratio [OR] = 38.4), delirium severity (OR = 11.3), and the presence of perceptual disturbances (OR = 6.9) were significant predictors of delirium recall. Mean delirium-related distress levels (on a 0-4 numerical rating scale of the DEQ) were 3.2 for patients who recalled delirium, 3.75 for spouses/caregivers, and 3.09 for nurses. Logistic-regression analysis demonstrated that the presence of delusions (OR = 7.9) was the most significant predictor of patient distress. Patients with \"hypoactive\" delirium were just as distressed as patients with \"hyperactive\" delirium. Karnofsky Performance Status (OR = 9.1) was the most significant predictor of spouse/caregiver distress. Delirium severity (OR =5.2) and the presence of perceptual disturbances (OR =3.6) were the most significant predictors of nurse distress. In conclusion, a majority of patients with delirium recall their delirium as highly distressing. Delirium is also a highly distressing experience for spouses/caregivers and nurses who are caring for delirious patients. Prompt recognition and treatment of delirium is critically important to reduce suffering and distress.","author":[{"dropping-particle":"","family":"Breitbart","given":"William","non-dropping-particle":"","parse-names":false,"suffix":""},{"dropping-particle":"","family":"Gibson","given":"Christopher","non-dropping-particle":"","parse-names":false,"suffix":""},{"dropping-particle":"","family":"Tremblay","given":"Annie","non-dropping-particle":"","parse-names":false,"suffix":""}],"container-title":"Psychosomatics","id":"ITEM-1","issue":"3","issued":{"date-parts":[["2002","5","1"]]},"page":"183-94","publisher":"Elsevier","title":"The delirium experience: delirium recall and delirium-related distress in hospitalized patients with cancer, their spouses/caregivers, and their nurses.","type":"article-journal","volume":"43"},"uris":["http://www.mendeley.com/documents/?uuid=1c3cf228-17c0-3788-b6e8-10dae3d5946b"]}],"mendeley":{"formattedCitation":"[28]","plainTextFormattedCitation":"[28]","previouslyFormattedCitation":"(28)"},"properties":{"noteIndex":0},"schema":"https://github.com/citation-style-language/schema/raw/master/csl-citation.json"}</w:instrText>
      </w:r>
      <w:r w:rsidR="009C5630"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[28]</w:t>
      </w:r>
      <w:r w:rsidR="009C5630" w:rsidRPr="00033BF4">
        <w:rPr>
          <w:rFonts w:ascii="Book Antiqua" w:hAnsi="Book Antiqua" w:cs="Calibri"/>
          <w:vertAlign w:val="superscript"/>
        </w:rPr>
        <w:fldChar w:fldCharType="end"/>
      </w:r>
      <w:r w:rsidR="009C5630" w:rsidRPr="006B05AE">
        <w:rPr>
          <w:rFonts w:ascii="Book Antiqua" w:hAnsi="Book Antiqua" w:cs="Calibri"/>
        </w:rPr>
        <w:t xml:space="preserve">. </w:t>
      </w:r>
    </w:p>
    <w:p w14:paraId="14BDFB72" w14:textId="77777777" w:rsidR="00E342B4" w:rsidRPr="006B05AE" w:rsidRDefault="00E342B4" w:rsidP="00490A12">
      <w:pPr>
        <w:spacing w:line="360" w:lineRule="auto"/>
        <w:jc w:val="both"/>
        <w:rPr>
          <w:rFonts w:ascii="Book Antiqua" w:hAnsi="Book Antiqua" w:cs="Calibri"/>
          <w:b/>
          <w:bCs/>
        </w:rPr>
      </w:pPr>
    </w:p>
    <w:p w14:paraId="322C6BDD" w14:textId="1D82399E" w:rsidR="00E342B4" w:rsidRPr="006B05AE" w:rsidRDefault="00033BF4" w:rsidP="00490A12">
      <w:pPr>
        <w:spacing w:line="360" w:lineRule="auto"/>
        <w:jc w:val="both"/>
        <w:rPr>
          <w:rFonts w:ascii="Book Antiqua" w:hAnsi="Book Antiqua" w:cs="Calibri"/>
          <w:b/>
        </w:rPr>
      </w:pPr>
      <w:r w:rsidRPr="006B05AE">
        <w:rPr>
          <w:rFonts w:ascii="Book Antiqua" w:hAnsi="Book Antiqua" w:cs="Calibri"/>
          <w:b/>
        </w:rPr>
        <w:t>MANAGEMENT STRATEGIES FOR DELIRIUM</w:t>
      </w:r>
    </w:p>
    <w:p w14:paraId="6D32BD0C" w14:textId="4D2E20A0" w:rsidR="00E342B4" w:rsidRPr="006B05AE" w:rsidRDefault="004658DE" w:rsidP="00490A12">
      <w:pPr>
        <w:spacing w:line="360" w:lineRule="auto"/>
        <w:jc w:val="both"/>
        <w:rPr>
          <w:rFonts w:ascii="Book Antiqua" w:hAnsi="Book Antiqua" w:cs="Calibri"/>
        </w:rPr>
      </w:pPr>
      <w:r w:rsidRPr="006B05AE">
        <w:rPr>
          <w:rFonts w:ascii="Book Antiqua" w:hAnsi="Book Antiqua" w:cs="Calibri"/>
        </w:rPr>
        <w:lastRenderedPageBreak/>
        <w:t>Once delirium has developed</w:t>
      </w:r>
      <w:r w:rsidR="00B61A2D" w:rsidRPr="006B05AE">
        <w:rPr>
          <w:rFonts w:ascii="Book Antiqua" w:hAnsi="Book Antiqua" w:cs="Calibri"/>
        </w:rPr>
        <w:t xml:space="preserve"> there is limited evidence that medications such as benzodiazepines or neuroleptics are beneficial and they are associated with severe side effects, particularly in the elderly population</w:t>
      </w:r>
      <w:r w:rsidR="00B61A2D"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{"citationItems":[{"id":"ITEM-1","itemData":{"DOI":"10.1111/j.1532-5415.2011.03675.x","ISBN":"1532-5415 (Electronic)\\r0002-8614 (Linking)","ISSN":"00028614","PMID":"22091572","abstract":"OBJECTIVES: To examine evidence of the efficacy of antipsychotics in the treatment of delirium in older hospitalized adults.\\n\\nDESIGN: Systematic literature review.\\n\\nSETTING: Hospital.\\n\\nPARTICIPANTS: Older adults with delirium.\\n\\nMEASUREMENTS: The MEDLINE (January 1980-December 2010) and Cochrane Databases were searched using the keywords \"delirium\" and \"antipsychotics.\" References of review articles were reviewed to identify additional studies. Study selection criteria included prospective design, more than 10 participants (in treatment arms), mean age 60 and older, standardized criteria for diagnosing delirium, and validated delirium rating scales for reporting outcomes.\\n\\nRESULTS: Thirteen articles met selection criteria: six single-agent and seven comparison studies. Of these, eight (62%) had fewer than 25 participants in treatment arms, 10 (77%) recruited participants from psychiatry referrals, and eight (62%) did not clearly describe their screening methods. All single-agent studies were open-label studies. Of the comparison studies, five (71%) used randomization, but only one of these (a placebo-controlled study) used adequate allocation concealment methods, and only one other study (comparing two antipsychotics) described a double-blind method in detail. In the only placebo-controlled study (which was stopped early), no statistically significant differences in mean delirium severity scores were found at individual time points (Days 2, 3, 4, 7, 10). The other 12 studies reported improvements in delirium severity or resolution of delirium based on cutoff scores of the scales, but it is not clear from any of these studies what the natural course of delirium would have been without use of antipsychotics.\\n\\nCONCLUSION: Because of severe methodological limitations, the studies in this review do not support the use of antipsychotics in the treatment of delirium in older hospitalized adults. Additional well-designed randomized placebo-controlled trials are needed.","author":[{"dropping-particle":"","family":"Flaherty","given":"Joseph H.","non-dropping-particle":"","parse-names":false,"suffix":""},{"dropping-particle":"","family":"Gonzales","given":"Jeffrey P.","non-dropping-particle":"","parse-names":false,"suffix":""},{"dropping-particle":"","family":"Dong","given":"Birong","non-dropping-particle":"","parse-names":false,"suffix":""}],"container-title":"Journal of the American Geriatrics Society","id":"ITEM-1","issue":"SUPPL. 2","issued":{"date-parts":[["2011"]]},"page":"269-276","title":"Antipsychotics in the treatment of delirium in older hospitalized adults: A systematic review","type":"article-journal","volume":"59"},"uris":["http://www.mendeley.com/documents/?uuid=10b8a510-f6d4-4e28-931c-6a266e7351fc"]}],"mendeley":{"formattedCitation":"[31]","plainTextFormattedCitation":"[31]","previouslyFormattedCitation":"(31)"},"properties":{"noteIndex":0},"schema":"https://github.com/citation-style-language/schema/raw/master/csl-citation.json"}</w:instrText>
      </w:r>
      <w:r w:rsidR="00B61A2D"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[31]</w:t>
      </w:r>
      <w:r w:rsidR="00B61A2D" w:rsidRPr="00033BF4">
        <w:rPr>
          <w:rFonts w:ascii="Book Antiqua" w:hAnsi="Book Antiqua" w:cs="Calibri"/>
          <w:vertAlign w:val="superscript"/>
        </w:rPr>
        <w:fldChar w:fldCharType="end"/>
      </w:r>
      <w:r w:rsidR="00B61A2D" w:rsidRPr="006B05AE">
        <w:rPr>
          <w:rFonts w:ascii="Book Antiqua" w:hAnsi="Book Antiqua" w:cs="Calibri"/>
        </w:rPr>
        <w:t xml:space="preserve">. </w:t>
      </w:r>
      <w:r w:rsidR="005400FB" w:rsidRPr="006B05AE">
        <w:rPr>
          <w:rFonts w:ascii="Book Antiqua" w:hAnsi="Book Antiqua" w:cs="Calibri"/>
        </w:rPr>
        <w:t>The main stay of pharmacological measures is to treat causative factors, such as using antibiotics to treat an underlying infection</w:t>
      </w:r>
      <w:r w:rsidR="00E342B4"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{"citationItems":[{"id":"ITEM-1","itemData":{"DOI":"10.1038/nrneurol.2009.24.Delirium","ISBN":"1759-4766","ISSN":"1759-4758","PMID":"19347026","abstract":"Delirium is a common and serious acute neuropsychiatric syndrome with core features of inattention and global cognitive dysfunction. The etiologies of delirium are diverse and multifactorial and often reflect the pathophysiological consequences of an acute medical illness, medical complication or drug intoxication. Delirium can have a widely variable presentation, and is often missed and underdiagnosed as a result. At present, the diagnosis of delirium is clinically based and depends on the presence or absence of certain features. Management strategies for delirium are focused on prevention and symptom management. This article reviews current clinical practice in delirium in elderly individuals, including the diagnosis, treatment, outcomes and economic impact of this syndrome. Areas of future research are also discussed.","author":[{"dropping-particle":"","family":"Fong","given":"Tamara G.","non-dropping-particle":"","parse-names":false,"suffix":""},{"dropping-particle":"","family":"Tulebaev","given":"Samir R.","non-dropping-particle":"","parse-names":false,"suffix":""},{"dropping-particle":"","family":"Inouye","given":"Sharon K.","non-dropping-particle":"","parse-names":false,"suffix":""},{"dropping-particle":"","family":"Manuscript","given":"Author","non-dropping-particle":"","parse-names":false,"suffix":""}],"container-title":"Nature Reviews Neurology","id":"ITEM-1","issue":"4","issued":{"date-parts":[["2011"]]},"page":"210-220","title":"Delirium in elderly adults : diagnosis , prevention and treatment","type":"article-journal","volume":"5"},"uris":["http://www.mendeley.com/documents/?uuid=b858e349-5ef1-4025-91e0-2234200c5665"]}],"mendeley":{"formattedCitation":"[22]","plainTextFormattedCitation":"[22]","previouslyFormattedCitation":"(22)"},"properties":{"noteIndex":0},"schema":"https://github.com/citation-style-language/schema/raw/master/csl-citation.json"}</w:instrText>
      </w:r>
      <w:r w:rsidR="00E342B4"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[22]</w:t>
      </w:r>
      <w:r w:rsidR="00E342B4" w:rsidRPr="00033BF4">
        <w:rPr>
          <w:rFonts w:ascii="Book Antiqua" w:hAnsi="Book Antiqua" w:cs="Calibri"/>
          <w:vertAlign w:val="superscript"/>
        </w:rPr>
        <w:fldChar w:fldCharType="end"/>
      </w:r>
      <w:r w:rsidR="00E342B4" w:rsidRPr="006B05AE">
        <w:rPr>
          <w:rFonts w:ascii="Book Antiqua" w:hAnsi="Book Antiqua" w:cs="Calibri"/>
        </w:rPr>
        <w:t>. Proactive geriatric consultation can reduce episodes of delirium by 40% in patients with</w:t>
      </w:r>
      <w:r w:rsidR="008C3914" w:rsidRPr="006B05AE">
        <w:rPr>
          <w:rFonts w:ascii="Book Antiqua" w:hAnsi="Book Antiqua" w:cs="Calibri"/>
        </w:rPr>
        <w:t xml:space="preserve"> </w:t>
      </w:r>
      <w:r w:rsidR="008C3914" w:rsidRPr="006B05AE">
        <w:rPr>
          <w:rFonts w:ascii="Book Antiqua" w:hAnsi="Book Antiqua" w:cs="Calibri"/>
          <w:bCs/>
        </w:rPr>
        <w:t>proximal femoral fractures</w:t>
      </w:r>
      <w:r w:rsidR="00E342B4"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{"citationItems":[{"id":"ITEM-1","itemData":{"DOI":"10.1046/j.1532-5415.2001.49108.x","ISBN":"0002-8614","ISSN":"00028614","PMID":"11380742","abstract":"OBJECTIVES: Delirium (or acute confusional state) affects 35% to 65% of patients after hip-fracture repair, and has been independently associated with poor functional recovery. We performed a randomized trial in an orthopedic surgery service at an academic hospital to determine whether proactive geriatrics consultation can reduce delirium after hip fracture. DESIGN: Prospective, randomized, blinded. SETTING: Inpatient academic tertiary medical center. PARTICIPANTS: 126 consenting patients 65 and older (mean age 79 +/- 8 years, 79% women) admitted emergently for surgical repair of hip fracture. MEASUREMENTS: Detailed assessment through interviews with patients and designated proxies and review of medical records was performed at enrollment to ascertain prefracture status. Subjects were then randomized to proactive geriatrics consultation, which began preoperatively or within 24 hours of surgery, or \"usual care.\" A geriatrician made daily visits for the duration of the hospitalization and made targeted recommendations based on a structured protocol. To ascertain study outcomes, all subjects underwent daily, blinded interviews for the duration of their hospitalization, including the Mini-Mental State Examination (MMSE), the Delirium Symptom Interview (DSI), and the Memorial Delirium Assessment Scale (MDAS). Delirium was diagnosed using the Confusion Assessment Method (CAM) algorithm. RESULTS: The 62 patients randomized to geriatrics consultation were not significantly different (P&gt;.1) from the 64 usual-care patients in terms of age, gender, prefracture dementia, comorbidity, type of hip fracture, or type of surgical repair. Sixty-one percent of geriatrics consultation patients were seen preoperatively and all were seen within 24 hours postoperatively. A mean of 10 recommendations were made throughout the duration of the hospitalization, with 77% adherence by the orthopedics team. Delirium occurred in 20 /62 (32%) intervention patients, versus 32 / 64 (50%) usual-care patients (P =.04), representing a relative risk of 0.64 (95% confidence interval (CI) = 0.37-0.98) for the consultation group. One case of delirium was prevented for every 5.6 patients in the geriatrics consultation group. There was an even greater reduction in cases of severe delirium, occurring in 7/ 60 (12%) of intervention patients and 18 / 62 (29%) of usual-care patients, with a relative risk of 0.40 (95% CI = 0.18-0.89). Despite this reduction in delirium, length of stay did not signific…","author":[{"dropping-particle":"","family":"Marcantonio","given":"Edward R.","non-dropping-particle":"","parse-names":false,"suffix":""},{"dropping-particle":"","family":"Flacker","given":"Jonathan M.","non-dropping-particle":"","parse-names":false,"suffix":""},{"dropping-particle":"","family":"John Wright","given":"R.","non-dropping-particle":"","parse-names":false,"suffix":""},{"dropping-particle":"","family":"Resnick","given":"Neil M.","non-dropping-particle":"","parse-names":false,"suffix":""}],"container-title":"Journal of the American Geriatrics Society","id":"ITEM-1","issue":"5","issued":{"date-parts":[["2001"]]},"page":"516-522","title":"Reducing delirium after hip fracture: A randomized trial","type":"article-journal","volume":"49"},"uris":["http://www.mendeley.com/documents/?uuid=8091e402-a694-412c-91e4-9a485da9c39c"]}],"mendeley":{"formattedCitation":"[6]","plainTextFormattedCitation":"[6]","previouslyFormattedCitation":"(6)"},"properties":{"noteIndex":0},"schema":"https://github.com/citation-style-language/schema/raw/master/csl-citation.json"}</w:instrText>
      </w:r>
      <w:r w:rsidR="00E342B4"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[6]</w:t>
      </w:r>
      <w:r w:rsidR="00E342B4" w:rsidRPr="00033BF4">
        <w:rPr>
          <w:rFonts w:ascii="Book Antiqua" w:hAnsi="Book Antiqua" w:cs="Calibri"/>
          <w:vertAlign w:val="superscript"/>
        </w:rPr>
        <w:fldChar w:fldCharType="end"/>
      </w:r>
      <w:r w:rsidR="00E342B4" w:rsidRPr="006B05AE">
        <w:rPr>
          <w:rFonts w:ascii="Book Antiqua" w:hAnsi="Book Antiqua" w:cs="Calibri"/>
        </w:rPr>
        <w:t>. The Hospital Elder Life Program reduced the number and duration of episodes by using delirium prevention strategies (such as maintaining orientation, reducing sensory deficits, ensuring adequate nutrition and hydration) to improve the overall hospital experience</w:t>
      </w:r>
      <w:r w:rsidR="00E342B4"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{"citationItems":[{"id":"ITEM-1","itemData":{"DOI":"10.1111/j.1532-5415.2000.tb03885.x","ISSN":"00028614","author":[{"dropping-particle":"","family":"Reuben","given":"David B.","non-dropping-particle":"","parse-names":false,"suffix":""},{"dropping-particle":"","family":"Inouye","given":"Sharon K.","non-dropping-particle":"","parse-names":false,"suffix":""},{"dropping-particle":"","family":"Bogardus","given":"Sidney T.","non-dropping-particle":"","parse-names":false,"suffix":""},{"dropping-particle":"","family":"Baker","given":"Dorothy I.","non-dropping-particle":"","parse-names":false,"suffix":""},{"dropping-particle":"","family":"Leo-Summers","given":"Linda","non-dropping-particle":"","parse-names":false,"suffix":""},{"dropping-particle":"","family":"Cooney","given":"Leo M.","non-dropping-particle":"","parse-names":false,"suffix":""}],"container-title":"Journal of the American Geriatrics Society","id":"ITEM-1","issue":"12","issued":{"date-parts":[["2000","12","1"]]},"page":"1697-1706","publisher":"Wiley/Blackwell (10.1111)","title":"MODELS OF GERIATRICS PRACTICE; The Hospital Elder Life Program: A Model of Care to Prevent Cognitive and Functional Decline in Older Hospitalized Patients","type":"article-journal","volume":"48"},"uris":["http://www.mendeley.com/documents/?uuid=d25b2730-daae-36d1-9bf1-6e067260558d"]}],"mendeley":{"formattedCitation":"[32]","plainTextFormattedCitation":"[32]","previouslyFormattedCitation":"(32)"},"properties":{"noteIndex":0},"schema":"https://github.com/citation-style-language/schema/raw/master/csl-citation.json"}</w:instrText>
      </w:r>
      <w:r w:rsidR="00E342B4"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[32]</w:t>
      </w:r>
      <w:r w:rsidR="00E342B4" w:rsidRPr="00033BF4">
        <w:rPr>
          <w:rFonts w:ascii="Book Antiqua" w:hAnsi="Book Antiqua" w:cs="Calibri"/>
          <w:vertAlign w:val="superscript"/>
        </w:rPr>
        <w:fldChar w:fldCharType="end"/>
      </w:r>
      <w:r w:rsidR="00E342B4" w:rsidRPr="006B05AE">
        <w:rPr>
          <w:rFonts w:ascii="Book Antiqua" w:hAnsi="Book Antiqua" w:cs="Calibri"/>
        </w:rPr>
        <w:t xml:space="preserve">. </w:t>
      </w:r>
    </w:p>
    <w:p w14:paraId="54BA2332" w14:textId="7DA681E6" w:rsidR="00BC7AE2" w:rsidRPr="006B05AE" w:rsidRDefault="005400FB" w:rsidP="00033BF4">
      <w:pPr>
        <w:spacing w:line="360" w:lineRule="auto"/>
        <w:ind w:firstLineChars="100" w:firstLine="240"/>
        <w:jc w:val="both"/>
        <w:rPr>
          <w:rFonts w:ascii="Book Antiqua" w:hAnsi="Book Antiqua" w:cs="Calibri"/>
        </w:rPr>
      </w:pPr>
      <w:r w:rsidRPr="006B05AE">
        <w:rPr>
          <w:rFonts w:ascii="Book Antiqua" w:hAnsi="Book Antiqua" w:cs="Calibri"/>
        </w:rPr>
        <w:t xml:space="preserve">The best management strategy for delirium is prevention in the first place. Early orthogeriatric input as part of a multidisciplinary team has been found to </w:t>
      </w:r>
      <w:r w:rsidR="0045501D" w:rsidRPr="006B05AE">
        <w:rPr>
          <w:rFonts w:ascii="Book Antiqua" w:hAnsi="Book Antiqua" w:cs="Calibri"/>
        </w:rPr>
        <w:t>prevent delirium</w:t>
      </w:r>
      <w:r w:rsidR="0045501D" w:rsidRPr="00033BF4">
        <w:rPr>
          <w:rFonts w:ascii="Book Antiqua" w:hAnsi="Book Antiqua" w:cs="Calibri"/>
          <w:vertAlign w:val="superscript"/>
        </w:rPr>
        <w:fldChar w:fldCharType="begin" w:fldLock="1"/>
      </w:r>
      <w:r w:rsidR="00941369" w:rsidRPr="00033BF4">
        <w:rPr>
          <w:rFonts w:ascii="Book Antiqua" w:hAnsi="Book Antiqua" w:cs="Calibri"/>
          <w:vertAlign w:val="superscript"/>
        </w:rPr>
        <w:instrText>ADDIN CSL_CITATION {"citationItems":[{"id":"ITEM-1","itemData":{"DOI":"10.1111/jgs.14846","ISSN":"15325415","PMID":"28407199","abstract":"OBJECTIVES: To assess the efficacy of comprehensive geriatric assessment (CGA) in prevention of delirium after hip fracture. DESIGN: Systematic review and metaanalysis. SETTING: Ward based models on geriatrics wards and visiting team based models on orthopaedics wards were included. PARTICIPANTS: Four trials (three European, one U.S.; 973 participants) were identified. Two assessed ward-based, and two assessed team-based interventions. MEASUREMENTS: MEDLINE, EMBASE, CINAHL and PsycINFO databases; Clinicaltrials.gov; and the Central Register of Controlled Trials were searched. Reference lists from full-text articles were reviewed. Incidence of delirium was the primary outcome. Length of stay, delirium sever-ity, institutionalization, long-term cognition and mortality were predefined secondary outcomes. Duration of delirium was included as a post hoc outcome. RESULTS: There was a significant reduction in delirium overall (relative risk (RR) = 0.81, 95% confidence interval (CI) = 0.69–0.94) in the intervention group. Post hoc sub-group analysis found this effect to be preserved in the team-based intervention group (RR = 0.77, 95% CI = 0.61–0.98) but not the ward-based group. No signifi-cant effect was observed on any secondary outcome. CONCLUSION: There was a reduction in the incidence of delirium after hip fracture with CGA. This is in keeping with results of non-randomized controlled trials and trials in other populations. Team-based interventions appeared superior in contrast to the Ellis CGA paper, but it is likely that heterogeneity in interventions and population studied affected this. J Am Geriatr Soc 65:1559–1565, 2017.","author":[{"dropping-particle":"","family":"Shields","given":"Lynn","non-dropping-particle":"","parse-names":false,"suffix":""},{"dropping-particle":"","family":"Henderson","given":"Victoria","non-dropping-particle":"","parse-names":false,"suffix":""},{"dropping-particle":"","family":"Caslake","given":"Robert","non-dropping-particle":"","parse-names":false,"suffix":""}],"container-title":"Journal of the American Geriatrics Society","id":"ITEM-1","issue":"7","issued":{"date-parts":[["2017"]]},"page":"1559-1565","title":"Comprehensive Geriatric Assessment for Prevention of Delirium After Hip Fracture: A Systematic Review of Randomized Controlled Trials","type":"article-journal","volume":"65"},"uris":["http://www.mendeley.com/documents/?uuid=c11756f9-7bc2-4c29-8ddb-e5fb3ddd51a5"]}],"mendeley":{"formattedCitation":"[33]","plainTextFormattedCitation":"[33]","previouslyFormattedCitation":"(33)"},"properties":{"noteIndex":0},"schema":"https://github.com/citation-style-language/schema/raw/master/csl-citation.json"}</w:instrText>
      </w:r>
      <w:r w:rsidR="0045501D" w:rsidRPr="00033BF4">
        <w:rPr>
          <w:rFonts w:ascii="Book Antiqua" w:hAnsi="Book Antiqua" w:cs="Calibri"/>
          <w:vertAlign w:val="superscript"/>
        </w:rPr>
        <w:fldChar w:fldCharType="separate"/>
      </w:r>
      <w:r w:rsidR="00941369" w:rsidRPr="00033BF4">
        <w:rPr>
          <w:rFonts w:ascii="Book Antiqua" w:hAnsi="Book Antiqua" w:cs="Calibri"/>
          <w:noProof/>
          <w:vertAlign w:val="superscript"/>
        </w:rPr>
        <w:t>[33]</w:t>
      </w:r>
      <w:r w:rsidR="0045501D" w:rsidRPr="00033BF4">
        <w:rPr>
          <w:rFonts w:ascii="Book Antiqua" w:hAnsi="Book Antiqua" w:cs="Calibri"/>
          <w:vertAlign w:val="superscript"/>
        </w:rPr>
        <w:fldChar w:fldCharType="end"/>
      </w:r>
      <w:r w:rsidR="0045501D" w:rsidRPr="006B05AE">
        <w:rPr>
          <w:rFonts w:ascii="Book Antiqua" w:hAnsi="Book Antiqua" w:cs="Calibri"/>
        </w:rPr>
        <w:t xml:space="preserve">. The comprehensive geriatric assessment focuses on eliminated unnecessary medication, early identification and treatment of complications and mobilisation. </w:t>
      </w:r>
    </w:p>
    <w:p w14:paraId="094BDF33" w14:textId="345A4C1A" w:rsidR="00DE5765" w:rsidRPr="006B05AE" w:rsidRDefault="00DE5765" w:rsidP="00033BF4">
      <w:pPr>
        <w:spacing w:line="360" w:lineRule="auto"/>
        <w:ind w:firstLineChars="100" w:firstLine="240"/>
        <w:jc w:val="both"/>
        <w:rPr>
          <w:rFonts w:ascii="Book Antiqua" w:hAnsi="Book Antiqua" w:cs="Calibri"/>
        </w:rPr>
      </w:pPr>
      <w:r w:rsidRPr="006B05AE">
        <w:rPr>
          <w:rFonts w:ascii="Book Antiqua" w:hAnsi="Book Antiqua" w:cs="Calibri"/>
        </w:rPr>
        <w:t>Specifically, in patients with femoral neck fractures, adequate pain management and analge</w:t>
      </w:r>
      <w:r w:rsidR="00535AC7" w:rsidRPr="006B05AE">
        <w:rPr>
          <w:rFonts w:ascii="Book Antiqua" w:hAnsi="Book Antiqua" w:cs="Calibri"/>
        </w:rPr>
        <w:t>sics ha</w:t>
      </w:r>
      <w:r w:rsidR="00D4509D">
        <w:rPr>
          <w:rFonts w:ascii="Book Antiqua" w:hAnsi="Book Antiqua" w:cs="Calibri"/>
        </w:rPr>
        <w:t>ve</w:t>
      </w:r>
      <w:r w:rsidR="00535AC7" w:rsidRPr="006B05AE">
        <w:rPr>
          <w:rFonts w:ascii="Book Antiqua" w:hAnsi="Book Antiqua" w:cs="Calibri"/>
        </w:rPr>
        <w:t xml:space="preserve"> effect on delirium. </w:t>
      </w:r>
      <w:r w:rsidR="007C618C" w:rsidRPr="006B05AE">
        <w:rPr>
          <w:rFonts w:ascii="Book Antiqua" w:hAnsi="Book Antiqua" w:cs="Calibri"/>
        </w:rPr>
        <w:t xml:space="preserve">Yang </w:t>
      </w:r>
      <w:r w:rsidR="007C618C" w:rsidRPr="00033BF4">
        <w:rPr>
          <w:rFonts w:ascii="Book Antiqua" w:hAnsi="Book Antiqua" w:cs="Calibri"/>
          <w:i/>
        </w:rPr>
        <w:t xml:space="preserve">et </w:t>
      </w:r>
      <w:r w:rsidR="00033BF4" w:rsidRPr="00033BF4">
        <w:rPr>
          <w:rFonts w:ascii="Book Antiqua" w:hAnsi="Book Antiqua" w:cs="Calibri"/>
          <w:i/>
        </w:rPr>
        <w:t>al</w:t>
      </w:r>
      <w:r w:rsidR="00033BF4" w:rsidRPr="00033BF4">
        <w:rPr>
          <w:rFonts w:ascii="Book Antiqua" w:hAnsi="Book Antiqua" w:cs="Calibri"/>
          <w:spacing w:val="2"/>
          <w:shd w:val="clear" w:color="auto" w:fill="FCFCFC"/>
          <w:vertAlign w:val="superscript"/>
        </w:rPr>
        <w:fldChar w:fldCharType="begin" w:fldLock="1"/>
      </w:r>
      <w:r w:rsidR="00033BF4" w:rsidRPr="00033BF4">
        <w:rPr>
          <w:rFonts w:ascii="Book Antiqua" w:hAnsi="Book Antiqua" w:cs="Calibri"/>
          <w:spacing w:val="2"/>
          <w:shd w:val="clear" w:color="auto" w:fill="FCFCFC"/>
          <w:vertAlign w:val="superscript"/>
        </w:rPr>
        <w:instrText>ADDIN CSL_CITATION {"citationItems":[{"id":"ITEM-1","itemData":{"DOI":"10.1007/s40520-016-0541-6","ISBN":"4052001605","ISSN":"17208319","PMID":"26873816","abstract":"BACKGROUND No formal systematic review or meta-analysis was performed up to now to summarize the risk factors of delirium after hip surgery. AIMS The present study aimed to quantitatively and comprehensively conclude the risk factors of delirium after hip surgery in elderly patients. METHODS A search was applied to CNKI, Embase, Medline, and Cochrane central database (all up to August 2015). All studies assessing the risk factors of delirium after hip surgery in elderly patients without language restriction were reviewed, and qualities of included studies were assessed using the Newcastle-Ottawa Scale. Data were pooled and a meta-analysis was completed. RESULTS A total of 24 studies were selected, which altogether included 5364 patients with hip fracture. One thousand and ninety of them were cases of delirium occurred after surgery, suggesting the accumulated incidence of 24.0 %. Results of meta-analyses showed that elderly patients with preoperative cognitive impairment [odds ratio (OR) 3.21, 95 % confidence interval (CI) 2.26-4.56), advanced age (standardized mean difference 0.50, 95 % CI 0.33-0.67), living in an institution (OR 2.94; 95 % CI 1.65-5.23), heart failure (OR 2.46; 95 % CI 1.72-3.53), total hip arthroplasty (OR 2.21; 95 % CI 1.16-4.22), multiple comorbidities (OR 1.37; 95 % CI 1.12-1.68) and morphine usage (OR 3.01; 95 % CI 1.30-6.94) were more likely to sustain delirium after hip surgery. Females were less likely to develop delirium after hip surgery (OR 0.83; 95 % CI 0.70-0.98). CONCLUSIONS Related prophylaxis strategies should be implemented in elderly patients involved with above-mentioned risk factors to prevent delirium after hip surgery.","author":[{"dropping-particle":"","family":"Yang","given":"Yanjiang","non-dropping-particle":"","parse-names":false,"suffix":""},{"dropping-particle":"","family":"Zhao","given":"Xin","non-dropping-particle":"","parse-names":false,"suffix":""},{"dropping-particle":"","family":"Dong","given":"Tianhua","non-dropping-particle":"","parse-names":false,"suffix":""},{"dropping-particle":"","family":"Yang","given":"Zongyou","non-dropping-particle":"","parse-names":false,"suffix":""},{"dropping-particle":"","family":"Zhang","given":"Qi","non-dropping-particle":"","parse-names":false,"suffix":""},{"dropping-particle":"","family":"Zhang","given":"Yingze","non-dropping-particle":"","parse-names":false,"suffix":""}],"container-title":"Aging Clinical and Experimental Research","id":"ITEM-1","issue":"2","issued":{"date-parts":[["2017"]]},"page":"115-126","publisher":"Springer International Publishing","title":"Risk factors for postoperative delirium following hip fracture repair in elderly patients: a systematic review and meta-analysis","type":"article-journal","volume":"29"},"uris":["http://www.mendeley.com/documents/?uuid=77a482d1-29eb-4e64-b4ad-3fa9410d46fc"]}],"mendeley":{"formattedCitation":"[12]","plainTextFormattedCitation":"[12]","previouslyFormattedCitation":"(12)"},"properties":{"noteIndex":0},"schema":"https://github.com/citation-style-language/schema/raw/master/csl-citation.json"}</w:instrText>
      </w:r>
      <w:r w:rsidR="00033BF4" w:rsidRPr="00033BF4">
        <w:rPr>
          <w:rFonts w:ascii="Book Antiqua" w:hAnsi="Book Antiqua" w:cs="Calibri"/>
          <w:spacing w:val="2"/>
          <w:shd w:val="clear" w:color="auto" w:fill="FCFCFC"/>
          <w:vertAlign w:val="superscript"/>
        </w:rPr>
        <w:fldChar w:fldCharType="separate"/>
      </w:r>
      <w:r w:rsidR="00033BF4" w:rsidRPr="00033BF4">
        <w:rPr>
          <w:rFonts w:ascii="Book Antiqua" w:hAnsi="Book Antiqua" w:cs="Calibri"/>
          <w:noProof/>
          <w:spacing w:val="2"/>
          <w:shd w:val="clear" w:color="auto" w:fill="FCFCFC"/>
          <w:vertAlign w:val="superscript"/>
        </w:rPr>
        <w:t>[12]</w:t>
      </w:r>
      <w:r w:rsidR="00033BF4" w:rsidRPr="00033BF4">
        <w:rPr>
          <w:rFonts w:ascii="Book Antiqua" w:hAnsi="Book Antiqua" w:cs="Calibri"/>
          <w:spacing w:val="2"/>
          <w:shd w:val="clear" w:color="auto" w:fill="FCFCFC"/>
          <w:vertAlign w:val="superscript"/>
        </w:rPr>
        <w:fldChar w:fldCharType="end"/>
      </w:r>
      <w:r w:rsidR="007C618C" w:rsidRPr="006B05AE">
        <w:rPr>
          <w:rFonts w:ascii="Book Antiqua" w:hAnsi="Book Antiqua" w:cs="Calibri"/>
        </w:rPr>
        <w:t xml:space="preserve"> identified </w:t>
      </w:r>
      <w:r w:rsidR="007C618C" w:rsidRPr="006B05AE">
        <w:rPr>
          <w:rFonts w:ascii="Book Antiqua" w:hAnsi="Book Antiqua" w:cs="Calibri"/>
          <w:spacing w:val="2"/>
          <w:shd w:val="clear" w:color="auto" w:fill="FCFCFC"/>
        </w:rPr>
        <w:t xml:space="preserve">patients </w:t>
      </w:r>
      <w:r w:rsidR="00DF1D9A" w:rsidRPr="006B05AE">
        <w:rPr>
          <w:rFonts w:ascii="Book Antiqua" w:hAnsi="Book Antiqua" w:cs="Calibri"/>
          <w:spacing w:val="2"/>
          <w:shd w:val="clear" w:color="auto" w:fill="FCFCFC"/>
        </w:rPr>
        <w:t>receiving morphine were three</w:t>
      </w:r>
      <w:r w:rsidR="007C618C" w:rsidRPr="006B05AE">
        <w:rPr>
          <w:rFonts w:ascii="Book Antiqua" w:hAnsi="Book Antiqua" w:cs="Calibri"/>
          <w:spacing w:val="2"/>
          <w:shd w:val="clear" w:color="auto" w:fill="FCFCFC"/>
        </w:rPr>
        <w:t xml:space="preserve"> times more at risk of developing delirium after hip fracture surgery than nonusers.</w:t>
      </w:r>
      <w:r w:rsidR="00242F1E" w:rsidRPr="006B05AE">
        <w:rPr>
          <w:rFonts w:ascii="Book Antiqua" w:hAnsi="Book Antiqua" w:cs="Calibri"/>
          <w:spacing w:val="2"/>
          <w:shd w:val="clear" w:color="auto" w:fill="FCFCFC"/>
        </w:rPr>
        <w:t xml:space="preserve"> </w:t>
      </w:r>
      <w:r w:rsidRPr="006B05AE">
        <w:rPr>
          <w:rFonts w:ascii="Book Antiqua" w:hAnsi="Book Antiqua" w:cs="Calibri"/>
        </w:rPr>
        <w:t xml:space="preserve">Despite it being important to rationalise and ensure safe prescribing in our population group to prevent delirium, </w:t>
      </w:r>
      <w:r w:rsidRPr="006B05AE">
        <w:rPr>
          <w:rFonts w:ascii="Book Antiqua" w:hAnsi="Book Antiqua" w:cs="Calibri"/>
          <w:shd w:val="clear" w:color="auto" w:fill="FFFFFF"/>
        </w:rPr>
        <w:t>undertreated pain and inadequate analgesia appear to be risk factors for developing delirium in frail older adults</w:t>
      </w:r>
      <w:r w:rsidRPr="00E540A2">
        <w:rPr>
          <w:rFonts w:ascii="Book Antiqua" w:hAnsi="Book Antiqua" w:cs="Calibri"/>
          <w:shd w:val="clear" w:color="auto" w:fill="FFFFFF"/>
          <w:vertAlign w:val="superscript"/>
        </w:rPr>
        <w:fldChar w:fldCharType="begin" w:fldLock="1"/>
      </w:r>
      <w:r w:rsidR="00941369" w:rsidRPr="00E540A2">
        <w:rPr>
          <w:rFonts w:ascii="Book Antiqua" w:hAnsi="Book Antiqua" w:cs="Calibri"/>
          <w:shd w:val="clear" w:color="auto" w:fill="FFFFFF"/>
          <w:vertAlign w:val="superscript"/>
        </w:rPr>
        <w:instrText>ADDIN CSL_CITATION {"citationItems":[{"id":"ITEM-1","itemData":{"ISSN":"1079-5006","PMID":"12560416","abstract":"BACKGROUND Delirium and pain are common following hip fracture. Untreated pain has been shown to increase the risk of delirium in older adults undergoing elective surgery. This study was performed to examine the relationship among pain, analgesics, and other factors on delirium in hip fracture patients. METHODS We conducted a prospective cohort study at four New York hospitals that enrolled 541 patients with hip fracture and without delirium. Delirium was identified prospectively by patient interview supplemented by medical record review. Multiple logistic regression was used to identify risk factors. RESULTS Eighty-seven of 541 patients (16%) became delirious. Among all subjects, risk factors for delirium were cognitive impairment (relative risk, or RR, 3.6; 95% confidence interval, or CI, 1.8-7.2), abnormal blood pressure (RR 2.3, 95% CI 1.2-4.7), and heart failure (RR 2.9, 95% CI 1.6-5.3). Patients who received less than 10 mg of parenteral morphine sulfate equivalents per day were more likely to develop delirium than patients who received more analgesia (RR 5.4, 95% CI 2.4-12.3). Patients who received meperidine were at increased risk of developing delirium as compared with patients who received other opioid analgesics (RR 2.4, 95% CI 1.3-4.5). In cognitively intact patients, severe pain significantly increased the risk of delirium (RR 9.0, 95% CI 1.8-45.2). CONCLUSIONS Using admission data, clinicians can identify patients at high risk for delirium following hip fracture. Avoiding opioids or using very low doses of opioids increased the risk of delirium. Cognitively intact patients with undertreated pain were nine times more likely to develop delirium than patients whose pain was adequately treated. Undertreated pain and inadequate analgesia appear to be risk factors for delirium in frail older adults.","author":[{"dropping-particle":"","family":"Morrison","given":"R Sean","non-dropping-particle":"","parse-names":false,"suffix":""},{"dropping-particle":"","family":"Magaziner","given":"Jay","non-dropping-particle":"","parse-names":false,"suffix":""},{"dropping-particle":"","family":"Gilbert","given":"Marvin","non-dropping-particle":"","parse-names":false,"suffix":""},{"dropping-particle":"","family":"Koval","given":"Kenneth J","non-dropping-particle":"","parse-names":false,"suffix":""},{"dropping-particle":"","family":"McLaughlin","given":"Mary Ann","non-dropping-particle":"","parse-names":false,"suffix":""},{"dropping-particle":"","family":"Orosz","given":"Gretchen","non-dropping-particle":"","parse-names":false,"suffix":""},{"dropping-particle":"","family":"Strauss","given":"Elton","non-dropping-particle":"","parse-names":false,"suffix":""},{"dropping-particle":"","family":"Siu","given":"Albert L","non-dropping-particle":"","parse-names":false,"suffix":""}],"container-title":"The journals of gerontology. Series A, Biological sciences and medical sciences","id":"ITEM-1","issue":"1","issued":{"date-parts":[["2003","1"]]},"page":"76-81","title":"Relationship between pain and opioid analgesics on the development of delirium following hip fracture.","type":"article-journal","volume":"58"},"uris":["http://www.mendeley.com/documents/?uuid=04ad673b-41ae-4d0a-9907-7358b553ba7c"]}],"mendeley":{"formattedCitation":"[34]","plainTextFormattedCitation":"[34]","previouslyFormattedCitation":"(34)"},"properties":{"noteIndex":0},"schema":"https://github.com/citation-style-language/schema/raw/master/csl-citation.json"}</w:instrText>
      </w:r>
      <w:r w:rsidRPr="00E540A2">
        <w:rPr>
          <w:rFonts w:ascii="Book Antiqua" w:hAnsi="Book Antiqua" w:cs="Calibri"/>
          <w:shd w:val="clear" w:color="auto" w:fill="FFFFFF"/>
          <w:vertAlign w:val="superscript"/>
        </w:rPr>
        <w:fldChar w:fldCharType="separate"/>
      </w:r>
      <w:r w:rsidR="00941369" w:rsidRPr="00E540A2">
        <w:rPr>
          <w:rFonts w:ascii="Book Antiqua" w:hAnsi="Book Antiqua" w:cs="Calibri"/>
          <w:noProof/>
          <w:shd w:val="clear" w:color="auto" w:fill="FFFFFF"/>
          <w:vertAlign w:val="superscript"/>
        </w:rPr>
        <w:t>[34</w:t>
      </w:r>
      <w:r w:rsidR="00E540A2" w:rsidRPr="00E540A2">
        <w:rPr>
          <w:rFonts w:ascii="Book Antiqua" w:hAnsi="Book Antiqua" w:cs="Calibri"/>
          <w:noProof/>
          <w:shd w:val="clear" w:color="auto" w:fill="FFFFFF"/>
          <w:vertAlign w:val="superscript"/>
        </w:rPr>
        <w:t>,35</w:t>
      </w:r>
      <w:r w:rsidR="00941369" w:rsidRPr="00E540A2">
        <w:rPr>
          <w:rFonts w:ascii="Book Antiqua" w:hAnsi="Book Antiqua" w:cs="Calibri"/>
          <w:noProof/>
          <w:shd w:val="clear" w:color="auto" w:fill="FFFFFF"/>
          <w:vertAlign w:val="superscript"/>
        </w:rPr>
        <w:t>]</w:t>
      </w:r>
      <w:r w:rsidRPr="00E540A2">
        <w:rPr>
          <w:rFonts w:ascii="Book Antiqua" w:hAnsi="Book Antiqua" w:cs="Calibri"/>
          <w:shd w:val="clear" w:color="auto" w:fill="FFFFFF"/>
          <w:vertAlign w:val="superscript"/>
        </w:rPr>
        <w:fldChar w:fldCharType="end"/>
      </w:r>
      <w:r w:rsidRPr="006B05AE">
        <w:rPr>
          <w:rFonts w:ascii="Book Antiqua" w:hAnsi="Book Antiqua" w:cs="Calibri"/>
          <w:shd w:val="clear" w:color="auto" w:fill="FFFFFF"/>
        </w:rPr>
        <w:t xml:space="preserve">. </w:t>
      </w:r>
      <w:r w:rsidR="00535AC7" w:rsidRPr="006B05AE">
        <w:rPr>
          <w:rFonts w:ascii="Book Antiqua" w:hAnsi="Book Antiqua" w:cs="Calibri"/>
          <w:shd w:val="clear" w:color="auto" w:fill="FFFFFF"/>
        </w:rPr>
        <w:t xml:space="preserve">The analgesic, pain and delirium association remain inconsistent. </w:t>
      </w:r>
      <w:r w:rsidRPr="006B05AE">
        <w:rPr>
          <w:rFonts w:ascii="Book Antiqua" w:hAnsi="Book Antiqua" w:cs="Calibri"/>
          <w:shd w:val="clear" w:color="auto" w:fill="FFFFFF"/>
        </w:rPr>
        <w:t xml:space="preserve">Therefore, a fine balance with regular review of patients is imperative. </w:t>
      </w:r>
    </w:p>
    <w:p w14:paraId="2540835C" w14:textId="0428AD1A" w:rsidR="00E342B4" w:rsidRPr="006B05AE" w:rsidRDefault="00DB2D5F" w:rsidP="00E540A2">
      <w:pPr>
        <w:spacing w:line="360" w:lineRule="auto"/>
        <w:ind w:firstLineChars="100" w:firstLine="240"/>
        <w:jc w:val="both"/>
        <w:rPr>
          <w:rFonts w:ascii="Book Antiqua" w:hAnsi="Book Antiqua" w:cs="Calibri"/>
        </w:rPr>
      </w:pPr>
      <w:r w:rsidRPr="006B05AE">
        <w:rPr>
          <w:rFonts w:ascii="Book Antiqua" w:hAnsi="Book Antiqua" w:cs="Calibri"/>
        </w:rPr>
        <w:t>Prophylactic pharmacological therapies have been trialled, but show</w:t>
      </w:r>
      <w:r w:rsidR="00524EED" w:rsidRPr="006B05AE">
        <w:rPr>
          <w:rFonts w:ascii="Book Antiqua" w:hAnsi="Book Antiqua" w:cs="Calibri"/>
        </w:rPr>
        <w:t>ed</w:t>
      </w:r>
      <w:r w:rsidRPr="006B05AE">
        <w:rPr>
          <w:rFonts w:ascii="Book Antiqua" w:hAnsi="Book Antiqua" w:cs="Calibri"/>
        </w:rPr>
        <w:t xml:space="preserve"> no efficacy in reducing the incidence of delirium</w:t>
      </w:r>
      <w:r w:rsidRPr="00E540A2">
        <w:rPr>
          <w:rFonts w:ascii="Book Antiqua" w:hAnsi="Book Antiqua" w:cs="Calibri"/>
          <w:vertAlign w:val="superscript"/>
        </w:rPr>
        <w:fldChar w:fldCharType="begin" w:fldLock="1"/>
      </w:r>
      <w:r w:rsidR="00941369" w:rsidRPr="00E540A2">
        <w:rPr>
          <w:rFonts w:ascii="Book Antiqua" w:hAnsi="Book Antiqua" w:cs="Calibri"/>
          <w:vertAlign w:val="superscript"/>
        </w:rPr>
        <w:instrText>ADDIN CSL_CITATION {"citationItems":[{"id":"ITEM-1","itemData":{"DOI":"10.1111/j.1532-5415.2005.53503.x","ISBN":"0002-8614 (Print)\\n0002-8614 (Linking)","ISSN":"00028614","PMID":"16181163","abstract":"OBJECTIVES: To study the effectiveness of haloperidol prophylaxis on incidence, severity, and duration of postoperative delirium in elderly hip-surgery patients at risk for delirium. DESIGN: Randomized, double-blind, placebo-controlled trial. SETTING: Large medical school-affiliated general hospital in Alkmaar, The Netherlands. PARTICIPANTS: A total of 430 hip-surgery patients aged 70 and older at risk for postoperative delirium. INTERVENTION: Haloperidol 1.5 mg/d or placebo was started preoperatively and continued for up to 3 days postoperatively. Proactive geriatric consultation was provided for all randomized patients. MEASUREMENTS: The primary outcome was the incidence of postoperative delirium (Diagnostic and Statistical Manual of Mental Disorders, Fourth Edition, and Confusion Assessment Method criteria). Secondary outcomes were the severity of delirium (Delirium Rating Scale, revised version-98 (DRS-R-98)), the duration of delirium, and the length of hospital stay. RESULTS: The overall incidence of postoperative delirium was 15.8%. The percentage of patients with postoperative delirium in the haloperidol and placebo treatment condition was 15.1% and 16.5%, respectively (relative risk=0.91, 95% confidence interval (CI)=0.6-1.3); the mean highest DRS-R-98 score+/-standard deviation was 14.4+/-3.4 and 18.4+/-4.3, respectively (mean difference 4.0, 95% CI=2.0-5.8; P&lt;.001); delirium duration was 5.4 versus 11.8 days, respectively (mean difference 6.4 days, 95% CI=4.0-8.0; P&lt;.001); and the mean number of days in the hospital was 17.1+/-11.1 and 22.6+/-16.7, respectively (mean difference 5.5 days, 95% CI=1.4-2.3; P&lt;.001). No haloperidol-related side effects were noted. CONCLUSION: Low-dose haloperidol prophylactic treatment demonstrated no efficacy in reducing the incidence of postoperative delirium. It did have a positive effect on the severity and duration of delirium. Moreover, haloperidol reduced the number of days patients stayed in the hospital, and the therapy was well tolerated.","author":[{"dropping-particle":"","family":"Kalisvaart","given":"Kees J.","non-dropping-particle":"","parse-names":false,"suffix":""},{"dropping-particle":"","family":"Jonghe","given":"Jos F M","non-dropping-particle":"De","parse-names":false,"suffix":""},{"dropping-particle":"","family":"Bogaards","given":"Marja J.","non-dropping-particle":"","parse-names":false,"suffix":""},{"dropping-particle":"","family":"Vreeswijk","given":"Ralph","non-dropping-particle":"","parse-names":false,"suffix":""},{"dropping-particle":"","family":"Egberts","given":"Toine C G","non-dropping-particle":"","parse-names":false,"suffix":""},{"dropping-particle":"","family":"Burger","given":"Bart J.","non-dropping-particle":"","parse-names":false,"suffix":""},{"dropping-particle":"","family":"Eikelenboom","given":"Piet","non-dropping-particle":"","parse-names":false,"suffix":""},{"dropping-particle":"","family":"Gool","given":"Willem A.","non-dropping-particle":"Van","parse-names":false,"suffix":""}],"container-title":"Journal of the American Geriatrics Society","id":"ITEM-1","issue":"10","issued":{"date-parts":[["2005"]]},"page":"1658-1666","title":"Haloperidol prophylaxis for elderly hip-surgery patients at risk for delirium: A randomized placebo-controlled study","type":"article-journal","volume":"53"},"uris":["http://www.mendeley.com/documents/?uuid=49c01e09-45aa-4b4f-be56-8900e6fa0958"]}],"mendeley":{"formattedCitation":"[36]","plainTextFormattedCitation":"[36]","previouslyFormattedCitation":"(36)"},"properties":{"noteIndex":0},"schema":"https://github.com/citation-style-language/schema/raw/master/csl-citation.json"}</w:instrText>
      </w:r>
      <w:r w:rsidRPr="00E540A2">
        <w:rPr>
          <w:rFonts w:ascii="Book Antiqua" w:hAnsi="Book Antiqua" w:cs="Calibri"/>
          <w:vertAlign w:val="superscript"/>
        </w:rPr>
        <w:fldChar w:fldCharType="separate"/>
      </w:r>
      <w:r w:rsidR="00941369" w:rsidRPr="00E540A2">
        <w:rPr>
          <w:rFonts w:ascii="Book Antiqua" w:hAnsi="Book Antiqua" w:cs="Calibri"/>
          <w:noProof/>
          <w:vertAlign w:val="superscript"/>
        </w:rPr>
        <w:t>[36]</w:t>
      </w:r>
      <w:r w:rsidRPr="00E540A2">
        <w:rPr>
          <w:rFonts w:ascii="Book Antiqua" w:hAnsi="Book Antiqua" w:cs="Calibri"/>
          <w:vertAlign w:val="superscript"/>
        </w:rPr>
        <w:fldChar w:fldCharType="end"/>
      </w:r>
      <w:r w:rsidRPr="006B05AE">
        <w:rPr>
          <w:rFonts w:ascii="Book Antiqua" w:hAnsi="Book Antiqua" w:cs="Calibri"/>
        </w:rPr>
        <w:t xml:space="preserve">. </w:t>
      </w:r>
      <w:r w:rsidR="007C7EAE" w:rsidRPr="006B05AE">
        <w:rPr>
          <w:rFonts w:ascii="Book Antiqua" w:hAnsi="Book Antiqua" w:cs="Calibri"/>
        </w:rPr>
        <w:t>One important element for</w:t>
      </w:r>
      <w:r w:rsidR="00E342B4" w:rsidRPr="006B05AE">
        <w:rPr>
          <w:rFonts w:ascii="Book Antiqua" w:hAnsi="Book Antiqua" w:cs="Calibri"/>
        </w:rPr>
        <w:t xml:space="preserve"> </w:t>
      </w:r>
      <w:r w:rsidR="00001A9F" w:rsidRPr="006B05AE">
        <w:rPr>
          <w:rFonts w:ascii="Book Antiqua" w:hAnsi="Book Antiqua" w:cs="Calibri"/>
        </w:rPr>
        <w:t xml:space="preserve">the </w:t>
      </w:r>
      <w:r w:rsidR="0045501D" w:rsidRPr="006B05AE">
        <w:rPr>
          <w:rFonts w:ascii="Book Antiqua" w:hAnsi="Book Antiqua" w:cs="Calibri"/>
        </w:rPr>
        <w:t>prevention</w:t>
      </w:r>
      <w:r w:rsidR="007C7EAE" w:rsidRPr="006B05AE">
        <w:rPr>
          <w:rFonts w:ascii="Book Antiqua" w:hAnsi="Book Antiqua" w:cs="Calibri"/>
        </w:rPr>
        <w:t xml:space="preserve"> of delirium</w:t>
      </w:r>
      <w:r w:rsidR="00001A9F" w:rsidRPr="006B05AE">
        <w:rPr>
          <w:rFonts w:ascii="Book Antiqua" w:hAnsi="Book Antiqua" w:cs="Calibri"/>
        </w:rPr>
        <w:t>,</w:t>
      </w:r>
      <w:r w:rsidR="007C7EAE" w:rsidRPr="006B05AE">
        <w:rPr>
          <w:rFonts w:ascii="Book Antiqua" w:hAnsi="Book Antiqua" w:cs="Calibri"/>
        </w:rPr>
        <w:t xml:space="preserve"> is</w:t>
      </w:r>
      <w:r w:rsidR="00E342B4" w:rsidRPr="006B05AE">
        <w:rPr>
          <w:rFonts w:ascii="Book Antiqua" w:hAnsi="Book Antiqua" w:cs="Calibri"/>
        </w:rPr>
        <w:t xml:space="preserve"> education of </w:t>
      </w:r>
      <w:r w:rsidR="007C7EAE" w:rsidRPr="006B05AE">
        <w:rPr>
          <w:rFonts w:ascii="Book Antiqua" w:hAnsi="Book Antiqua" w:cs="Calibri"/>
        </w:rPr>
        <w:t xml:space="preserve">the </w:t>
      </w:r>
      <w:r w:rsidR="00E342B4" w:rsidRPr="006B05AE">
        <w:rPr>
          <w:rFonts w:ascii="Book Antiqua" w:hAnsi="Book Antiqua" w:cs="Calibri"/>
        </w:rPr>
        <w:t>medical staff. An education program can lead to an increase in detection of delirium as more cases are recognised, yet a d</w:t>
      </w:r>
      <w:r w:rsidR="0045501D" w:rsidRPr="006B05AE">
        <w:rPr>
          <w:rFonts w:ascii="Book Antiqua" w:hAnsi="Book Antiqua" w:cs="Calibri"/>
        </w:rPr>
        <w:t>ecrease in point prevalence (</w:t>
      </w:r>
      <w:r w:rsidR="00E342B4" w:rsidRPr="006B05AE">
        <w:rPr>
          <w:rFonts w:ascii="Book Antiqua" w:hAnsi="Book Antiqua" w:cs="Calibri"/>
        </w:rPr>
        <w:t>19.5% to 9.8%)</w:t>
      </w:r>
      <w:r w:rsidR="0045501D" w:rsidRPr="006B05AE">
        <w:rPr>
          <w:rFonts w:ascii="Book Antiqua" w:hAnsi="Book Antiqua" w:cs="Calibri"/>
        </w:rPr>
        <w:t xml:space="preserve"> due to a more proactive approach</w:t>
      </w:r>
      <w:r w:rsidR="00001A9F" w:rsidRPr="00E540A2">
        <w:rPr>
          <w:rFonts w:ascii="Book Antiqua" w:hAnsi="Book Antiqua" w:cs="Calibri"/>
          <w:vertAlign w:val="superscript"/>
        </w:rPr>
        <w:fldChar w:fldCharType="begin" w:fldLock="1"/>
      </w:r>
      <w:r w:rsidR="00941369" w:rsidRPr="00E540A2">
        <w:rPr>
          <w:rFonts w:ascii="Book Antiqua" w:hAnsi="Book Antiqua" w:cs="Calibri"/>
          <w:vertAlign w:val="superscript"/>
        </w:rPr>
        <w:instrText>ADDIN CSL_CITATION {"citationItems":[{"id":"ITEM-1","itemData":{"DOI":"10.1093/ageing/afi031","ISSN":"0002-0729","author":[{"dropping-particle":"","family":"Tabet","given":"N.","non-dropping-particle":"","parse-names":false,"suffix":""},{"dropping-particle":"","family":"Hudson","given":"Sheila","non-dropping-particle":"","parse-names":false,"suffix":""},{"dropping-particle":"","family":"Sweeney","given":"Vanessa","non-dropping-particle":"","parse-names":false,"suffix":""},{"dropping-particle":"","family":"Sauer","given":"Justin","non-dropping-particle":"","parse-names":false,"suffix":""},{"dropping-particle":"","family":"Bryant","given":"Catherine","non-dropping-particle":"","parse-names":false,"suffix":""},{"dropping-particle":"","family":"Macdonald","given":"Alistair","non-dropping-particle":"","parse-names":false,"suffix":""},{"dropping-particle":"","family":"Howard","given":"Robert","non-dropping-particle":"","parse-names":false,"suffix":""}],"container-title":"Age and Ageing","id":"ITEM-1","issue":"2","issued":{"date-parts":[["2005","1","11"]]},"page":"152-156","publisher":"Oxford University Press","title":"An educational intervention can prevent delirium on acute medical wards","type":"article-journal","volume":"34"},"uris":["http://www.mendeley.com/documents/?uuid=15926f08-524f-3408-be3a-c89e846e1637"]}],"mendeley":{"formattedCitation":"[37]","plainTextFormattedCitation":"[37]","previouslyFormattedCitation":"(37)"},"properties":{"noteIndex":0},"schema":"https://github.com/citation-style-language/schema/raw/master/csl-citation.json"}</w:instrText>
      </w:r>
      <w:r w:rsidR="00001A9F" w:rsidRPr="00E540A2">
        <w:rPr>
          <w:rFonts w:ascii="Book Antiqua" w:hAnsi="Book Antiqua" w:cs="Calibri"/>
          <w:vertAlign w:val="superscript"/>
        </w:rPr>
        <w:fldChar w:fldCharType="separate"/>
      </w:r>
      <w:r w:rsidR="00941369" w:rsidRPr="00E540A2">
        <w:rPr>
          <w:rFonts w:ascii="Book Antiqua" w:hAnsi="Book Antiqua" w:cs="Calibri"/>
          <w:noProof/>
          <w:vertAlign w:val="superscript"/>
        </w:rPr>
        <w:t>[37]</w:t>
      </w:r>
      <w:r w:rsidR="00001A9F" w:rsidRPr="00E540A2">
        <w:rPr>
          <w:rFonts w:ascii="Book Antiqua" w:hAnsi="Book Antiqua" w:cs="Calibri"/>
          <w:vertAlign w:val="superscript"/>
        </w:rPr>
        <w:fldChar w:fldCharType="end"/>
      </w:r>
      <w:r w:rsidR="00001A9F" w:rsidRPr="006B05AE">
        <w:rPr>
          <w:rFonts w:ascii="Book Antiqua" w:hAnsi="Book Antiqua" w:cs="Calibri"/>
        </w:rPr>
        <w:t>.</w:t>
      </w:r>
      <w:r w:rsidR="007C7EAE" w:rsidRPr="006B05AE">
        <w:rPr>
          <w:rFonts w:ascii="Book Antiqua" w:hAnsi="Book Antiqua" w:cs="Calibri"/>
        </w:rPr>
        <w:t xml:space="preserve"> </w:t>
      </w:r>
      <w:r w:rsidR="00E342B4" w:rsidRPr="006B05AE">
        <w:rPr>
          <w:rFonts w:ascii="Book Antiqua" w:hAnsi="Book Antiqua" w:cs="Calibri"/>
        </w:rPr>
        <w:t>Multidisciplinary teaching programs are also essential, as other members of the team</w:t>
      </w:r>
      <w:r w:rsidR="00632FD2" w:rsidRPr="006B05AE">
        <w:rPr>
          <w:rFonts w:ascii="Book Antiqua" w:hAnsi="Book Antiqua" w:cs="Calibri"/>
        </w:rPr>
        <w:t xml:space="preserve"> who</w:t>
      </w:r>
      <w:r w:rsidR="00E342B4" w:rsidRPr="006B05AE">
        <w:rPr>
          <w:rFonts w:ascii="Book Antiqua" w:hAnsi="Book Antiqua" w:cs="Calibri"/>
        </w:rPr>
        <w:t xml:space="preserve"> spend a proportionally large amount of time with patients, play an important role in implementing management and prevention strategies. </w:t>
      </w:r>
    </w:p>
    <w:p w14:paraId="02882E38" w14:textId="77777777" w:rsidR="0045501D" w:rsidRPr="006B05AE" w:rsidRDefault="0045501D" w:rsidP="00490A12">
      <w:pPr>
        <w:spacing w:line="360" w:lineRule="auto"/>
        <w:jc w:val="both"/>
        <w:rPr>
          <w:rFonts w:ascii="Book Antiqua" w:hAnsi="Book Antiqua" w:cs="Calibri"/>
          <w:b/>
          <w:bCs/>
        </w:rPr>
      </w:pPr>
    </w:p>
    <w:p w14:paraId="6A9DB46C" w14:textId="2ABA9938" w:rsidR="00E342B4" w:rsidRPr="006B05AE" w:rsidRDefault="00E540A2" w:rsidP="00490A12">
      <w:pPr>
        <w:spacing w:line="360" w:lineRule="auto"/>
        <w:jc w:val="both"/>
        <w:rPr>
          <w:rFonts w:ascii="Book Antiqua" w:hAnsi="Book Antiqua" w:cs="Calibri"/>
          <w:b/>
          <w:bCs/>
        </w:rPr>
      </w:pPr>
      <w:r w:rsidRPr="006B05AE">
        <w:rPr>
          <w:rFonts w:ascii="Book Antiqua" w:hAnsi="Book Antiqua" w:cs="Calibri"/>
          <w:b/>
          <w:bCs/>
        </w:rPr>
        <w:lastRenderedPageBreak/>
        <w:t>CONSENT PROCESS</w:t>
      </w:r>
    </w:p>
    <w:p w14:paraId="3F1F7085" w14:textId="2D25E4EE" w:rsidR="00E342B4" w:rsidRPr="006B05AE" w:rsidRDefault="00E342B4" w:rsidP="00490A12">
      <w:pPr>
        <w:spacing w:line="360" w:lineRule="auto"/>
        <w:jc w:val="both"/>
        <w:rPr>
          <w:rFonts w:ascii="Book Antiqua" w:hAnsi="Book Antiqua" w:cs="Calibri"/>
        </w:rPr>
      </w:pPr>
      <w:r w:rsidRPr="006B05AE">
        <w:rPr>
          <w:rFonts w:ascii="Book Antiqua" w:hAnsi="Book Antiqua" w:cs="Calibri"/>
        </w:rPr>
        <w:t>Patient autonomy is one of the four pillars of modern medical ethics and stemming from this is the right of the patient to determine whether they wish to undergo any medical intervention. In order to give consent for surgery, patients must be presented with sufficient information about the proposed procedure and the treatment options, to be able to determine the pros and cons of either giving or refusing their permission</w:t>
      </w:r>
      <w:r w:rsidRPr="00297EFD">
        <w:rPr>
          <w:rFonts w:ascii="Book Antiqua" w:hAnsi="Book Antiqua" w:cs="Calibri"/>
          <w:vertAlign w:val="superscript"/>
        </w:rPr>
        <w:fldChar w:fldCharType="begin" w:fldLock="1"/>
      </w:r>
      <w:r w:rsidR="00941369" w:rsidRPr="00297EFD">
        <w:rPr>
          <w:rFonts w:ascii="Book Antiqua" w:hAnsi="Book Antiqua" w:cs="Calibri"/>
          <w:vertAlign w:val="superscript"/>
        </w:rPr>
        <w:instrText>ADDIN CSL_CITATION {"citationItems":[{"id":"ITEM-1","itemData":{"DOI":"978-0-901458-31-5","ISBN":"978-0-901458-31-5","abstract":"This guidance sets out the principles on which good clinical decisions should be based. It provides a framework for good practice that covers the various situations that doctors may face in the course of their work. The guidance concentrates on decision-making in the context of investigations or treatment; but the principles apply more widely, including decisions on taking part in research, and decisions at the end of life. More detailed advice on these matters will be provided in separate guidance.","author":[{"dropping-particle":"","family":"General Medical Council","given":"","non-dropping-particle":"","parse-names":false,"suffix":""}],"id":"ITEM-1","issued":{"date-parts":[["2008"]]},"page":"1- 64","title":"Consent: patients and doctors making decisions together","type":"article-journal"},"uris":["http://www.mendeley.com/documents/?uuid=77b7159d-8c98-440d-8a8c-b5e02943fffe"]}],"mendeley":{"formattedCitation":"[38]","plainTextFormattedCitation":"[38]","previouslyFormattedCitation":"(38)"},"properties":{"noteIndex":0},"schema":"https://github.com/citation-style-language/schema/raw/master/csl-citation.json"}</w:instrText>
      </w:r>
      <w:r w:rsidRPr="00297EFD">
        <w:rPr>
          <w:rFonts w:ascii="Book Antiqua" w:hAnsi="Book Antiqua" w:cs="Calibri"/>
          <w:vertAlign w:val="superscript"/>
        </w:rPr>
        <w:fldChar w:fldCharType="separate"/>
      </w:r>
      <w:r w:rsidR="00941369" w:rsidRPr="00297EFD">
        <w:rPr>
          <w:rFonts w:ascii="Book Antiqua" w:hAnsi="Book Antiqua" w:cs="Calibri"/>
          <w:noProof/>
          <w:vertAlign w:val="superscript"/>
        </w:rPr>
        <w:t>[38]</w:t>
      </w:r>
      <w:r w:rsidRPr="00297EFD">
        <w:rPr>
          <w:rFonts w:ascii="Book Antiqua" w:hAnsi="Book Antiqua" w:cs="Calibri"/>
          <w:vertAlign w:val="superscript"/>
        </w:rPr>
        <w:fldChar w:fldCharType="end"/>
      </w:r>
      <w:r w:rsidRPr="006B05AE">
        <w:rPr>
          <w:rFonts w:ascii="Book Antiqua" w:hAnsi="Book Antiqua" w:cs="Calibri"/>
        </w:rPr>
        <w:t>. The Courts have long-held that the potential complications which should be mentioned are both the common and the rare but serious</w:t>
      </w:r>
      <w:r w:rsidRPr="00297EFD">
        <w:rPr>
          <w:rFonts w:ascii="Book Antiqua" w:hAnsi="Book Antiqua" w:cs="Calibri"/>
          <w:vertAlign w:val="superscript"/>
        </w:rPr>
        <w:fldChar w:fldCharType="begin" w:fldLock="1"/>
      </w:r>
      <w:r w:rsidR="00941369" w:rsidRPr="00297EFD">
        <w:rPr>
          <w:rFonts w:ascii="Book Antiqua" w:hAnsi="Book Antiqua" w:cs="Calibri"/>
          <w:vertAlign w:val="superscript"/>
        </w:rPr>
        <w:instrText>ADDIN CSL_CITATION {"citationItems":[{"id":"ITEM-1","itemData":{"author":[{"dropping-particle":"","family":"UKHL","given":"","non-dropping-particle":"","parse-names":false,"suffix":""}],"id":"ITEM-1","issued":{"date-parts":[["2004"]]},"title":"Judgments - Chester (Respondent) v. Afshar (Appellant)","type":"report"},"uris":["http://www.mendeley.com/documents/?uuid=dc7f844a-3a72-4982-b68c-1bbac07aea5e"]}],"mendeley":{"formattedCitation":"[39]","plainTextFormattedCitation":"[39]","previouslyFormattedCitation":"(39)"},"properties":{"noteIndex":0},"schema":"https://github.com/citation-style-language/schema/raw/master/csl-citation.json"}</w:instrText>
      </w:r>
      <w:r w:rsidRPr="00297EFD">
        <w:rPr>
          <w:rFonts w:ascii="Book Antiqua" w:hAnsi="Book Antiqua" w:cs="Calibri"/>
          <w:vertAlign w:val="superscript"/>
        </w:rPr>
        <w:fldChar w:fldCharType="separate"/>
      </w:r>
      <w:r w:rsidR="00941369" w:rsidRPr="00297EFD">
        <w:rPr>
          <w:rFonts w:ascii="Book Antiqua" w:hAnsi="Book Antiqua" w:cs="Calibri"/>
          <w:noProof/>
          <w:vertAlign w:val="superscript"/>
        </w:rPr>
        <w:t>[39]</w:t>
      </w:r>
      <w:r w:rsidRPr="00297EFD">
        <w:rPr>
          <w:rFonts w:ascii="Book Antiqua" w:hAnsi="Book Antiqua" w:cs="Calibri"/>
          <w:vertAlign w:val="superscript"/>
        </w:rPr>
        <w:fldChar w:fldCharType="end"/>
      </w:r>
      <w:r w:rsidRPr="006B05AE">
        <w:rPr>
          <w:rFonts w:ascii="Book Antiqua" w:hAnsi="Book Antiqua" w:cs="Calibri"/>
        </w:rPr>
        <w:t xml:space="preserve">. In hip fracture the emphasis is slightly different, as the surgery is </w:t>
      </w:r>
      <w:r w:rsidR="00632FD2" w:rsidRPr="006B05AE">
        <w:rPr>
          <w:rFonts w:ascii="Book Antiqua" w:hAnsi="Book Antiqua" w:cs="Calibri"/>
        </w:rPr>
        <w:t xml:space="preserve">fundamentally </w:t>
      </w:r>
      <w:r w:rsidRPr="006B05AE">
        <w:rPr>
          <w:rFonts w:ascii="Book Antiqua" w:hAnsi="Book Antiqua" w:cs="Calibri"/>
        </w:rPr>
        <w:t>essential, and outcomes worsen as surgery is delayed</w:t>
      </w:r>
      <w:r w:rsidR="00524EED" w:rsidRPr="00297EFD">
        <w:rPr>
          <w:rFonts w:ascii="Book Antiqua" w:hAnsi="Book Antiqua" w:cs="Calibri"/>
          <w:vertAlign w:val="superscript"/>
        </w:rPr>
        <w:fldChar w:fldCharType="begin" w:fldLock="1"/>
      </w:r>
      <w:r w:rsidR="00941369" w:rsidRPr="00297EFD">
        <w:rPr>
          <w:rFonts w:ascii="Book Antiqua" w:hAnsi="Book Antiqua" w:cs="Calibri"/>
          <w:vertAlign w:val="superscript"/>
        </w:rPr>
        <w:instrText>ADDIN CSL_CITATION {"citationItems":[{"id":"ITEM-1","itemData":{"DOI":"10.3928/01477447-20140124-25","ISSN":"1938-2367","PMID":"24679208","abstract":"Mortality after hip fracture is a major problem in the Western world, but its mechanisms remain uncertain. This study assessed the 2-year mortality rate after hip fracture in elderly patients by including hospital factors (eg, intervention type, surgical delay), underlying health conditions, and, for a subset, lifestyle factors (eg, body mass index, smoking, alcohol). A total of 828 patients (183 men) 70 to 99 years old experiencing a hip fracture in 2009 in the province of Varese were included in the study. The risk factors for death were assessed through Kaplan-Meier analysis and Cox proportional hazards analysis. Hip fracture incidence per 1000 persons was higher in women (8.4 vs 3.7 in men) and in elderly patients (12.4 for 85-99 years vs 4.4 for 70-84 years). The mortality rate after 1, 6, 12, and 24 months was 4.7%, 16%, 20.7%, and 30.4%, respectively. For the province of Varese, sex (hazard ratio, 0.39 for women), age group (hazard ratio, 2.2 for 85-99 years), and Charlson Comorbidity Index score (hazard ratio, 2.06 for score greater than 1) were found to be statistically significant. The 2-year mortality rate in hip fractures is associated with sex, age, and comorbidities. Male sex, age older than 85 years, and Charlson Comorbidity Index score greater than 1 are associated with a higher risk. Surgical delay was significant in the Kaplan-Meier survival time analysis but not in the Cox hazard analysis, suggesting that early surgery reduces risk in patients with numerous comorbidities.","author":[{"dropping-particle":"","family":"Meessen","given":"Jennifer M T A","non-dropping-particle":"","parse-names":false,"suffix":""},{"dropping-particle":"","family":"Pisani","given":"Salvatore","non-dropping-particle":"","parse-names":false,"suffix":""},{"dropping-particle":"","family":"Gambino","given":"Maria L","non-dropping-particle":"","parse-names":false,"suffix":""},{"dropping-particle":"","family":"Bonarrigo","given":"Domenico","non-dropping-particle":"","parse-names":false,"suffix":""},{"dropping-particle":"","family":"Schoor","given":"Natasja M","non-dropping-particle":"van","parse-names":false,"suffix":""},{"dropping-particle":"","family":"Fozzato","given":"Stefania","non-dropping-particle":"","parse-names":false,"suffix":""},{"dropping-particle":"","family":"Cherubino","given":"Paolo","non-dropping-particle":"","parse-names":false,"suffix":""},{"dropping-particle":"","family":"Surace","given":"Michele F","non-dropping-particle":"","parse-names":false,"suffix":""}],"container-title":"Orthopedics","id":"ITEM-1","issue":"2","issued":{"date-parts":[["2014","2"]]},"page":"e194-200","title":"Assessment of mortality risk in elderly patients after proximal femoral fracture.","type":"article-journal","volume":"37"},"uris":["http://www.mendeley.com/documents/?uuid=c25e0805-cf01-4df4-a911-97d0ad81951e"]}],"mendeley":{"formattedCitation":"[40]","plainTextFormattedCitation":"[40]","previouslyFormattedCitation":"(40)"},"properties":{"noteIndex":0},"schema":"https://github.com/citation-style-language/schema/raw/master/csl-citation.json"}</w:instrText>
      </w:r>
      <w:r w:rsidR="00524EED" w:rsidRPr="00297EFD">
        <w:rPr>
          <w:rFonts w:ascii="Book Antiqua" w:hAnsi="Book Antiqua" w:cs="Calibri"/>
          <w:vertAlign w:val="superscript"/>
        </w:rPr>
        <w:fldChar w:fldCharType="separate"/>
      </w:r>
      <w:r w:rsidR="00941369" w:rsidRPr="00297EFD">
        <w:rPr>
          <w:rFonts w:ascii="Book Antiqua" w:hAnsi="Book Antiqua" w:cs="Calibri"/>
          <w:noProof/>
          <w:vertAlign w:val="superscript"/>
        </w:rPr>
        <w:t>[40]</w:t>
      </w:r>
      <w:r w:rsidR="00524EED" w:rsidRPr="00297EFD">
        <w:rPr>
          <w:rFonts w:ascii="Book Antiqua" w:hAnsi="Book Antiqua" w:cs="Calibri"/>
          <w:vertAlign w:val="superscript"/>
        </w:rPr>
        <w:fldChar w:fldCharType="end"/>
      </w:r>
      <w:r w:rsidRPr="006B05AE">
        <w:rPr>
          <w:rFonts w:ascii="Book Antiqua" w:hAnsi="Book Antiqua" w:cs="Calibri"/>
        </w:rPr>
        <w:t xml:space="preserve">. However, the premise that both common and serious complications should be mentioned still holds true. </w:t>
      </w:r>
    </w:p>
    <w:p w14:paraId="29DC3EC4" w14:textId="22F9AFFC" w:rsidR="00E342B4" w:rsidRPr="006B05AE" w:rsidRDefault="00E342B4" w:rsidP="00297EFD">
      <w:pPr>
        <w:spacing w:line="360" w:lineRule="auto"/>
        <w:ind w:firstLineChars="100" w:firstLine="240"/>
        <w:jc w:val="both"/>
        <w:rPr>
          <w:rFonts w:ascii="Book Antiqua" w:hAnsi="Book Antiqua" w:cs="Calibri"/>
        </w:rPr>
      </w:pPr>
      <w:r w:rsidRPr="006B05AE">
        <w:rPr>
          <w:rFonts w:ascii="Book Antiqua" w:hAnsi="Book Antiqua" w:cs="Calibri"/>
        </w:rPr>
        <w:t>Traditionally patients giving their consent sign a consent form as part of this process, but the varying standards of the quality of information provided to the patient are well documented</w:t>
      </w:r>
      <w:r w:rsidRPr="00297EFD">
        <w:rPr>
          <w:rFonts w:ascii="Book Antiqua" w:hAnsi="Book Antiqua" w:cs="Calibri"/>
          <w:vertAlign w:val="superscript"/>
        </w:rPr>
        <w:fldChar w:fldCharType="begin" w:fldLock="1"/>
      </w:r>
      <w:r w:rsidR="00941369" w:rsidRPr="00297EFD">
        <w:rPr>
          <w:rFonts w:ascii="Book Antiqua" w:hAnsi="Book Antiqua" w:cs="Calibri"/>
          <w:vertAlign w:val="superscript"/>
        </w:rPr>
        <w:instrText>ADDIN CSL_CITATION {"citationItems":[{"id":"ITEM-1","itemData":{"DOI":"10.1308/147870804353","ISBN":"0035-8843","ISSN":"00358843","PMID":"15333168","abstract":"AIM: To investigate whether the guidelines set out by the UK Department of Health on informed consent are being followed nationally in orthopaedic surgery.\\n\\nMETHODS: A postal questionnaire of UK orthopaedic consultants was undertaken asking about consenting procedures for an elective and a trauma situation.\\n\\nRESULTS: In 53 of 110 cases, the most junior member of the team takes consent, and patients are not being warned about specific complications and risks associated with surgery.\\n\\nCONCLUSIONS: The guidelines issued by the Department of Health are not being adhered to, and the consenting doctor needs to be aware of the medical and legal responsibilities in taking informed consent.","author":[{"dropping-particle":"","family":"Singh","given":"Sameer","non-dropping-particle":"","parse-names":false,"suffix":""},{"dropping-particle":"","family":"Mayahi","given":"Rez","non-dropping-particle":"","parse-names":false,"suffix":""}],"container-title":"Annals of the Royal College of Surgeons of England","id":"ITEM-1","issue":"5","issued":{"date-parts":[["2004"]]},"page":"339-341","title":"Consent in orthopaedic surgery","type":"article-journal","volume":"86"},"uris":["http://www.mendeley.com/documents/?uuid=fe0dc76b-4195-4b07-914f-ca133bc50e9a"]}],"mendeley":{"formattedCitation":"[41]","plainTextFormattedCitation":"[41]","previouslyFormattedCitation":"(41)"},"properties":{"noteIndex":0},"schema":"https://github.com/citation-style-language/schema/raw/master/csl-citation.json"}</w:instrText>
      </w:r>
      <w:r w:rsidRPr="00297EFD">
        <w:rPr>
          <w:rFonts w:ascii="Book Antiqua" w:hAnsi="Book Antiqua" w:cs="Calibri"/>
          <w:vertAlign w:val="superscript"/>
        </w:rPr>
        <w:fldChar w:fldCharType="separate"/>
      </w:r>
      <w:r w:rsidR="00941369" w:rsidRPr="00297EFD">
        <w:rPr>
          <w:rFonts w:ascii="Book Antiqua" w:hAnsi="Book Antiqua" w:cs="Calibri"/>
          <w:noProof/>
          <w:vertAlign w:val="superscript"/>
        </w:rPr>
        <w:t>[41]</w:t>
      </w:r>
      <w:r w:rsidRPr="00297EFD">
        <w:rPr>
          <w:rFonts w:ascii="Book Antiqua" w:hAnsi="Book Antiqua" w:cs="Calibri"/>
          <w:vertAlign w:val="superscript"/>
        </w:rPr>
        <w:fldChar w:fldCharType="end"/>
      </w:r>
      <w:r w:rsidRPr="006B05AE">
        <w:rPr>
          <w:rFonts w:ascii="Book Antiqua" w:hAnsi="Book Antiqua" w:cs="Calibri"/>
        </w:rPr>
        <w:t>. A review of 100 consent forms of patients undergoing surgery for hip fracture, looked at the quality of documentation of patient and procedure details, as well as which potential complications were mentioned</w:t>
      </w:r>
      <w:r w:rsidRPr="00297EFD">
        <w:rPr>
          <w:rFonts w:ascii="Book Antiqua" w:hAnsi="Book Antiqua" w:cs="Calibri"/>
          <w:vertAlign w:val="superscript"/>
        </w:rPr>
        <w:fldChar w:fldCharType="begin" w:fldLock="1"/>
      </w:r>
      <w:r w:rsidR="00941369" w:rsidRPr="00297EFD">
        <w:rPr>
          <w:rFonts w:ascii="Book Antiqua" w:hAnsi="Book Antiqua" w:cs="Calibri"/>
          <w:vertAlign w:val="superscript"/>
        </w:rPr>
        <w:instrText>ADDIN CSL_CITATION {"citationItems":[{"id":"ITEM-1","itemData":{"DOI":"10.1136/jme.2010.039644","ISBN":"0306-6800","ISSN":"03066800","PMID":"21084353","abstract":"OJECTIVES: Low energy hip fractures are one of the greatest causes of morbidity and mortality in orthopaedics. This study aims to evaluate written consent forms with respect to basic standards as set out in the Good Practice in Consent Initiative. In particular the stated risks and benefits of each procedure were assessed.","author":[{"dropping-particle":"","family":"Rahman","given":"Luthfur","non-dropping-particle":"","parse-names":false,"suffix":""},{"dropping-particle":"","family":"Clamp","given":"Jonathan","non-dropping-particle":"","parse-names":false,"suffix":""},{"dropping-particle":"","family":"Hutchinson","given":"James","non-dropping-particle":"","parse-names":false,"suffix":""}],"container-title":"Journal of Medical Ethics","id":"ITEM-1","issue":"3","issued":{"date-parts":[["2011"]]},"page":"187-189","title":"Is consent for hip fracture surgery for older people adequate? The case for pre-printed consent forms","type":"article-journal","volume":"37"},"uris":["http://www.mendeley.com/documents/?uuid=573b3d83-1e10-4422-aba5-faaf41700482"]}],"mendeley":{"formattedCitation":"[42]","plainTextFormattedCitation":"[42]","previouslyFormattedCitation":"(42)"},"properties":{"noteIndex":0},"schema":"https://github.com/citation-style-language/schema/raw/master/csl-citation.json"}</w:instrText>
      </w:r>
      <w:r w:rsidRPr="00297EFD">
        <w:rPr>
          <w:rFonts w:ascii="Book Antiqua" w:hAnsi="Book Antiqua" w:cs="Calibri"/>
          <w:vertAlign w:val="superscript"/>
        </w:rPr>
        <w:fldChar w:fldCharType="separate"/>
      </w:r>
      <w:r w:rsidR="00941369" w:rsidRPr="00297EFD">
        <w:rPr>
          <w:rFonts w:ascii="Book Antiqua" w:hAnsi="Book Antiqua" w:cs="Calibri"/>
          <w:noProof/>
          <w:vertAlign w:val="superscript"/>
        </w:rPr>
        <w:t>[42]</w:t>
      </w:r>
      <w:r w:rsidRPr="00297EFD">
        <w:rPr>
          <w:rFonts w:ascii="Book Antiqua" w:hAnsi="Book Antiqua" w:cs="Calibri"/>
          <w:vertAlign w:val="superscript"/>
        </w:rPr>
        <w:fldChar w:fldCharType="end"/>
      </w:r>
      <w:r w:rsidRPr="006B05AE">
        <w:rPr>
          <w:rFonts w:ascii="Book Antiqua" w:hAnsi="Book Antiqua" w:cs="Calibri"/>
        </w:rPr>
        <w:t xml:space="preserve">. The number of complications mentioned ranged from four to eleven, with infection, thromboembolic complications, and bleeding most commonly included. In total 30 different complications were stated, with not a single mention of </w:t>
      </w:r>
      <w:r w:rsidR="00D8513D" w:rsidRPr="006B05AE">
        <w:rPr>
          <w:rFonts w:ascii="Book Antiqua" w:hAnsi="Book Antiqua" w:cs="Calibri"/>
        </w:rPr>
        <w:t>post-operative confusion or delirium.</w:t>
      </w:r>
      <w:r w:rsidRPr="006B05AE">
        <w:rPr>
          <w:rFonts w:ascii="Book Antiqua" w:hAnsi="Book Antiqua" w:cs="Calibri"/>
        </w:rPr>
        <w:t xml:space="preserve"> Rates of PE and deep wound infection are far lower than delirium, at under</w:t>
      </w:r>
      <w:r w:rsidR="0060713E" w:rsidRPr="006B05AE">
        <w:rPr>
          <w:rFonts w:ascii="Book Antiqua" w:hAnsi="Book Antiqua" w:cs="Calibri"/>
        </w:rPr>
        <w:t xml:space="preserve"> 7%</w:t>
      </w:r>
      <w:r w:rsidRPr="006B05AE">
        <w:rPr>
          <w:rFonts w:ascii="Book Antiqua" w:hAnsi="Book Antiqua" w:cs="Calibri"/>
        </w:rPr>
        <w:t xml:space="preserve"> and 3.6% respectively, but these complications are almost always mentioned</w:t>
      </w:r>
      <w:r w:rsidR="0060713E" w:rsidRPr="002671A4">
        <w:rPr>
          <w:rFonts w:ascii="Book Antiqua" w:hAnsi="Book Antiqua" w:cs="Calibri"/>
          <w:vertAlign w:val="superscript"/>
        </w:rPr>
        <w:fldChar w:fldCharType="begin" w:fldLock="1"/>
      </w:r>
      <w:r w:rsidR="00941369" w:rsidRPr="002671A4">
        <w:rPr>
          <w:rFonts w:ascii="Book Antiqua" w:hAnsi="Book Antiqua" w:cs="Calibri"/>
          <w:vertAlign w:val="superscript"/>
        </w:rPr>
        <w:instrText>ADDIN CSL_CITATION {"citationItems":[{"id":"ITEM-1","itemData":{"DOI":"10.1111/j.1525-1497.2005.0219.x","ISSN":"08848734","PMID":"16307627","abstract":"OBJECTIVES: To determine evidence-based best practices for elderly hip fracture patients from the time of hospital admission to 6 months postfracture. DATA SOURCES: MEDLINE, Cochrane Library, CINAHL, Embase, PEDro, Ageline, NARIC, and CIRRIE databases were searched for potentially eligible articles published between 1985 and 2004. REVIEW METHODS: Two independent reviewers determined studies appropriate for inclusion using standardized selection criteria, extracted data, evaluated internal validity, and then rated studies according to levels of evidence. Only Level 1 or 2 evidence was included in our summary of clinical recommendations. RESULTS: Spinal anesthesia, pressure-relieving mattresses, perioperative antibiotics, and deep vein thromboses prophylaxes had consistent evidence of benefit. Routine preoperative traction was not associated with any benefits and should be abandoned. Types of surgical management, postoperative wound drainage, and even \"multidisciplinary\" care, lacked sufficient evidence to determine either benefit or harm. There was little evidence to either determine best subacute rehabilitation practices or to direct ongoing medical issues (e.g., nutrition). Studies conducted during the subacute recovery period were heterogeneous in terms of treatment settings, interventions, and outcomes studied and had no clear evidence for best treatment practices. CONCLUSIONS: The evidence for perioperative practices is relatively robust and evidence-based perioperative treatment guidelines can be easily established. Conversely, more evidence is required to better guide the care of elderly patients with hip fracture during the subacute recovery period and convalescence","author":[{"dropping-particle":"","family":"Beaupre","given":"Lauren A","non-dropping-particle":"","parse-names":false,"suffix":""},{"dropping-particle":"","family":"Jones","given":"C Allyson","non-dropping-particle":"","parse-names":false,"suffix":""},{"dropping-particle":"","family":"Saunders","given":"L Duncan","non-dropping-particle":"","parse-names":false,"suffix":""},{"dropping-particle":"","family":"Johnston","given":"D William C","non-dropping-particle":"","parse-names":false,"suffix":""},{"dropping-particle":"","family":"Frcs","given":"C","non-dropping-particle":"","parse-names":false,"suffix":""},{"dropping-particle":"","family":"Buckingham","given":"Jeanette","non-dropping-particle":"","parse-names":false,"suffix":""},{"dropping-particle":"","family":"Majumdar","given":"Sumit R","non-dropping-particle":"","parse-names":false,"suffix":""}],"container-title":"J Gen Intern Med","id":"ITEM-1","issue":"11","issued":{"date-parts":[["2005"]]},"page":"1019-1025","title":"Best practices for elderly hip fracture patients: A systematic overview of the evidence","type":"article-journal","volume":"20"},"uris":["http://www.mendeley.com/documents/?uuid=c773458b-54e5-46b7-aa91-029cbfc54179"]}],"mendeley":{"formattedCitation":"[43]","plainTextFormattedCitation":"[43]","previouslyFormattedCitation":"(43)"},"properties":{"noteIndex":0},"schema":"https://github.com/citation-style-language/schema/raw/master/csl-citation.json"}</w:instrText>
      </w:r>
      <w:r w:rsidR="0060713E" w:rsidRPr="002671A4">
        <w:rPr>
          <w:rFonts w:ascii="Book Antiqua" w:hAnsi="Book Antiqua" w:cs="Calibri"/>
          <w:vertAlign w:val="superscript"/>
        </w:rPr>
        <w:fldChar w:fldCharType="separate"/>
      </w:r>
      <w:r w:rsidR="00941369" w:rsidRPr="002671A4">
        <w:rPr>
          <w:rFonts w:ascii="Book Antiqua" w:hAnsi="Book Antiqua" w:cs="Calibri"/>
          <w:noProof/>
          <w:vertAlign w:val="superscript"/>
        </w:rPr>
        <w:t>[43</w:t>
      </w:r>
      <w:r w:rsidR="002671A4" w:rsidRPr="002671A4">
        <w:rPr>
          <w:rFonts w:ascii="Book Antiqua" w:hAnsi="Book Antiqua" w:cs="Calibri"/>
          <w:noProof/>
          <w:vertAlign w:val="superscript"/>
        </w:rPr>
        <w:t>-45</w:t>
      </w:r>
      <w:r w:rsidR="00941369" w:rsidRPr="002671A4">
        <w:rPr>
          <w:rFonts w:ascii="Book Antiqua" w:hAnsi="Book Antiqua" w:cs="Calibri"/>
          <w:noProof/>
          <w:vertAlign w:val="superscript"/>
        </w:rPr>
        <w:t>]</w:t>
      </w:r>
      <w:r w:rsidR="0060713E" w:rsidRPr="002671A4">
        <w:rPr>
          <w:rFonts w:ascii="Book Antiqua" w:hAnsi="Book Antiqua" w:cs="Calibri"/>
          <w:vertAlign w:val="superscript"/>
        </w:rPr>
        <w:fldChar w:fldCharType="end"/>
      </w:r>
      <w:r w:rsidRPr="006B05AE">
        <w:rPr>
          <w:rFonts w:ascii="Book Antiqua" w:hAnsi="Book Antiqua" w:cs="Calibri"/>
        </w:rPr>
        <w:t>.</w:t>
      </w:r>
    </w:p>
    <w:p w14:paraId="72A5B32E" w14:textId="5A7AB51F" w:rsidR="00E342B4" w:rsidRPr="006B05AE" w:rsidRDefault="00E342B4" w:rsidP="002671A4">
      <w:pPr>
        <w:spacing w:line="360" w:lineRule="auto"/>
        <w:ind w:firstLineChars="100" w:firstLine="240"/>
        <w:jc w:val="both"/>
        <w:rPr>
          <w:rFonts w:ascii="Book Antiqua" w:hAnsi="Book Antiqua" w:cs="Calibri"/>
        </w:rPr>
      </w:pPr>
      <w:r w:rsidRPr="006B05AE">
        <w:rPr>
          <w:rFonts w:ascii="Book Antiqua" w:hAnsi="Book Antiqua" w:cs="Calibri"/>
        </w:rPr>
        <w:t>Since 2008, the British Orthopaedic Association has endorsed the use of standardised, pre-printed consent forms for common operations, in order to improve the information given to patients prior to consent</w:t>
      </w:r>
      <w:r w:rsidRPr="002671A4">
        <w:rPr>
          <w:rFonts w:ascii="Book Antiqua" w:hAnsi="Book Antiqua" w:cs="Calibri"/>
          <w:vertAlign w:val="superscript"/>
        </w:rPr>
        <w:fldChar w:fldCharType="begin" w:fldLock="1"/>
      </w:r>
      <w:r w:rsidR="00941369" w:rsidRPr="002671A4">
        <w:rPr>
          <w:rFonts w:ascii="Book Antiqua" w:hAnsi="Book Antiqua" w:cs="Calibri"/>
          <w:vertAlign w:val="superscript"/>
        </w:rPr>
        <w:instrText>ADDIN CSL_CITATION {"citationItems":[{"id":"ITEM-1","itemData":{"DOI":"10.1302/0301-620X.90B4.20497","ISSN":"2044-5377","PMID":"18378912","abstract":"The British Orthopaedic Association has endorsed a website, www.orthoconsent.com, allowing surgeons free access to a bank of pre-written consent forms. These are designed to improve the level of information received by the patient and lessen the risk of successful litigation against surgeons and Health Trusts.","author":[{"dropping-particle":"","family":"Atrey","given":"A.","non-dropping-particle":"","parse-names":false,"suffix":""},{"dropping-particle":"","family":"Leslie","given":"I.","non-dropping-particle":"","parse-names":false,"suffix":""},{"dropping-particle":"","family":"Carvell","given":"J.","non-dropping-particle":"","parse-names":false,"suffix":""},{"dropping-particle":"","family":"Gupte","given":"C.","non-dropping-particle":"","parse-names":false,"suffix":""},{"dropping-particle":"","family":"Shepperd","given":"J. A. N.","non-dropping-particle":"","parse-names":false,"suffix":""},{"dropping-particle":"","family":"Powell","given":"J.","non-dropping-particle":"","parse-names":false,"suffix":""},{"dropping-particle":"","family":"Gibb","given":"P. A.","non-dropping-particle":"","parse-names":false,"suffix":""},{"dropping-particle":"","family":"British Orthopaedic Association","given":"","non-dropping-particle":"","parse-names":false,"suffix":""}],"container-title":"The Journal of bone and joint surgery. British volume","id":"ITEM-1","issue":"4","issued":{"date-parts":[["2008","4","1"]]},"page":"422-3","publisher":"The British Editorial Society of Bone and Joint Surgery","title":"Standardised consent forms on the website of the British Orthopaedic Association.","type":"article-journal","volume":"90"},"uris":["http://www.mendeley.com/documents/?uuid=de8ac202-5970-324b-a759-c87b298c4551"]}],"mendeley":{"formattedCitation":"[46]","plainTextFormattedCitation":"[46]","previouslyFormattedCitation":"(46)"},"properties":{"noteIndex":0},"schema":"https://github.com/citation-style-language/schema/raw/master/csl-citation.json"}</w:instrText>
      </w:r>
      <w:r w:rsidRPr="002671A4">
        <w:rPr>
          <w:rFonts w:ascii="Book Antiqua" w:hAnsi="Book Antiqua" w:cs="Calibri"/>
          <w:vertAlign w:val="superscript"/>
        </w:rPr>
        <w:fldChar w:fldCharType="separate"/>
      </w:r>
      <w:r w:rsidR="00941369" w:rsidRPr="002671A4">
        <w:rPr>
          <w:rFonts w:ascii="Book Antiqua" w:hAnsi="Book Antiqua" w:cs="Calibri"/>
          <w:noProof/>
          <w:vertAlign w:val="superscript"/>
        </w:rPr>
        <w:t>[46]</w:t>
      </w:r>
      <w:r w:rsidRPr="002671A4">
        <w:rPr>
          <w:rFonts w:ascii="Book Antiqua" w:hAnsi="Book Antiqua" w:cs="Calibri"/>
          <w:vertAlign w:val="superscript"/>
        </w:rPr>
        <w:fldChar w:fldCharType="end"/>
      </w:r>
      <w:r w:rsidRPr="006B05AE">
        <w:rPr>
          <w:rFonts w:ascii="Book Antiqua" w:hAnsi="Book Antiqua" w:cs="Calibri"/>
        </w:rPr>
        <w:t>. This was initially designed to reduce litigation and induce a standard amongst surgeons</w:t>
      </w:r>
      <w:r w:rsidRPr="002671A4">
        <w:rPr>
          <w:rFonts w:ascii="Book Antiqua" w:hAnsi="Book Antiqua" w:cs="Calibri"/>
          <w:vertAlign w:val="superscript"/>
        </w:rPr>
        <w:fldChar w:fldCharType="begin" w:fldLock="1"/>
      </w:r>
      <w:r w:rsidR="00941369" w:rsidRPr="002671A4">
        <w:rPr>
          <w:rFonts w:ascii="Book Antiqua" w:hAnsi="Book Antiqua" w:cs="Calibri"/>
          <w:vertAlign w:val="superscript"/>
        </w:rPr>
        <w:instrText>ADDIN CSL_CITATION {"citationItems":[{"id":"ITEM-1","itemData":{"DOI":"10.1302/0301-620X.90B4.20497","ISSN":"2044-5377","PMID":"18378912","abstract":"The British Orthopaedic Association has endorsed a website, www.orthoconsent.com, allowing surgeons free access to a bank of pre-written consent forms. These are designed to improve the level of information received by the patient and lessen the risk of successful litigation against surgeons and Health Trusts.","author":[{"dropping-particle":"","family":"Atrey","given":"A.","non-dropping-particle":"","parse-names":false,"suffix":""},{"dropping-particle":"","family":"Leslie","given":"I.","non-dropping-particle":"","parse-names":false,"suffix":""},{"dropping-particle":"","family":"Carvell","given":"J.","non-dropping-particle":"","parse-names":false,"suffix":""},{"dropping-particle":"","family":"Gupte","given":"C.","non-dropping-particle":"","parse-names":false,"suffix":""},{"dropping-particle":"","family":"Shepperd","given":"J. A. N.","non-dropping-particle":"","parse-names":false,"suffix":""},{"dropping-particle":"","family":"Powell","given":"J.","non-dropping-particle":"","parse-names":false,"suffix":""},{"dropping-particle":"","family":"Gibb","given":"P. A.","non-dropping-particle":"","parse-names":false,"suffix":""},{"dropping-particle":"","family":"British Orthopaedic Association","given":"","non-dropping-particle":"","parse-names":false,"suffix":""}],"container-title":"The Journal of bone and joint surgery. British volume","id":"ITEM-1","issue":"4","issued":{"date-parts":[["2008","4","1"]]},"page":"422-3","publisher":"The British Editorial Society of Bone and Joint Surgery","title":"Standardised consent forms on the website of the British Orthopaedic Association.","type":"article-journal","volume":"90"},"uris":["http://www.mendeley.com/documents/?uuid=de8ac202-5970-324b-a759-c87b298c4551"]}],"mendeley":{"formattedCitation":"[46]","plainTextFormattedCitation":"[46]","previouslyFormattedCitation":"(46)"},"properties":{"noteIndex":0},"schema":"https://github.com/citation-style-language/schema/raw/master/csl-citation.json"}</w:instrText>
      </w:r>
      <w:r w:rsidRPr="002671A4">
        <w:rPr>
          <w:rFonts w:ascii="Book Antiqua" w:hAnsi="Book Antiqua" w:cs="Calibri"/>
          <w:vertAlign w:val="superscript"/>
        </w:rPr>
        <w:fldChar w:fldCharType="separate"/>
      </w:r>
      <w:r w:rsidR="00941369" w:rsidRPr="002671A4">
        <w:rPr>
          <w:rFonts w:ascii="Book Antiqua" w:hAnsi="Book Antiqua" w:cs="Calibri"/>
          <w:noProof/>
          <w:vertAlign w:val="superscript"/>
        </w:rPr>
        <w:t>[46]</w:t>
      </w:r>
      <w:r w:rsidRPr="002671A4">
        <w:rPr>
          <w:rFonts w:ascii="Book Antiqua" w:hAnsi="Book Antiqua" w:cs="Calibri"/>
          <w:vertAlign w:val="superscript"/>
        </w:rPr>
        <w:fldChar w:fldCharType="end"/>
      </w:r>
      <w:r w:rsidRPr="006B05AE">
        <w:rPr>
          <w:rFonts w:ascii="Book Antiqua" w:hAnsi="Book Antiqua" w:cs="Calibri"/>
        </w:rPr>
        <w:t>. However, the consent form for fixation of</w:t>
      </w:r>
      <w:r w:rsidR="002A2436" w:rsidRPr="006B05AE">
        <w:rPr>
          <w:rFonts w:ascii="Book Antiqua" w:hAnsi="Book Antiqua" w:cs="Calibri"/>
        </w:rPr>
        <w:t xml:space="preserve"> a</w:t>
      </w:r>
      <w:r w:rsidRPr="006B05AE">
        <w:rPr>
          <w:rFonts w:ascii="Book Antiqua" w:hAnsi="Book Antiqua" w:cs="Calibri"/>
        </w:rPr>
        <w:t xml:space="preserve"> fractured hip does not mention delirium as a complication. </w:t>
      </w:r>
    </w:p>
    <w:p w14:paraId="4B1DB1BF" w14:textId="4D822D34" w:rsidR="00E342B4" w:rsidRPr="006B05AE" w:rsidRDefault="00E342B4" w:rsidP="002671A4">
      <w:pPr>
        <w:spacing w:line="360" w:lineRule="auto"/>
        <w:ind w:firstLineChars="100" w:firstLine="240"/>
        <w:jc w:val="both"/>
        <w:rPr>
          <w:rFonts w:ascii="Book Antiqua" w:hAnsi="Book Antiqua" w:cs="Calibri"/>
          <w:shd w:val="clear" w:color="auto" w:fill="FFFFFF"/>
        </w:rPr>
      </w:pPr>
      <w:r w:rsidRPr="006B05AE">
        <w:rPr>
          <w:rFonts w:ascii="Book Antiqua" w:hAnsi="Book Antiqua" w:cs="Calibri"/>
          <w:shd w:val="clear" w:color="auto" w:fill="FFFFFF"/>
        </w:rPr>
        <w:t xml:space="preserve">The 2015 supreme court case of Montgomery changed the way surgeons should approach consent. This was an obstetric case where a woman with diabetes had a complicated vaginal delivery that resulted in complications of shoulder dystocia and cerebral palsy. The mother sued for negligence stating that if she had known of the </w:t>
      </w:r>
      <w:r w:rsidRPr="006B05AE">
        <w:rPr>
          <w:rFonts w:ascii="Book Antiqua" w:hAnsi="Book Antiqua" w:cs="Calibri"/>
          <w:shd w:val="clear" w:color="auto" w:fill="FFFFFF"/>
        </w:rPr>
        <w:lastRenderedPageBreak/>
        <w:t xml:space="preserve">increased risk, in her case she would have requested a caesarean section. The supreme court held that doctors are required to take </w:t>
      </w:r>
      <w:r w:rsidR="002671A4">
        <w:rPr>
          <w:rFonts w:ascii="Book Antiqua" w:hAnsi="Book Antiqua" w:cs="Calibri"/>
          <w:shd w:val="clear" w:color="auto" w:fill="FFFFFF"/>
        </w:rPr>
        <w:t>“</w:t>
      </w:r>
      <w:r w:rsidRPr="006B05AE">
        <w:rPr>
          <w:rFonts w:ascii="Book Antiqua" w:hAnsi="Book Antiqua" w:cs="Calibri"/>
          <w:shd w:val="clear" w:color="auto" w:fill="FFFFFF"/>
        </w:rPr>
        <w:t>care to ensure that the patient is aware of any material risks involved in any recommended treatment, and of any reasonable alternatives or varied treatments</w:t>
      </w:r>
      <w:r w:rsidR="002671A4">
        <w:rPr>
          <w:rFonts w:ascii="Book Antiqua" w:hAnsi="Book Antiqua" w:cs="Calibri"/>
          <w:shd w:val="clear" w:color="auto" w:fill="FFFFFF"/>
        </w:rPr>
        <w:t>”</w:t>
      </w:r>
      <w:r w:rsidRPr="002671A4">
        <w:rPr>
          <w:rFonts w:ascii="Book Antiqua" w:hAnsi="Book Antiqua" w:cs="Calibri"/>
          <w:shd w:val="clear" w:color="auto" w:fill="FFFFFF"/>
          <w:vertAlign w:val="superscript"/>
        </w:rPr>
        <w:fldChar w:fldCharType="begin" w:fldLock="1"/>
      </w:r>
      <w:r w:rsidR="00941369" w:rsidRPr="002671A4">
        <w:rPr>
          <w:rFonts w:ascii="Book Antiqua" w:hAnsi="Book Antiqua" w:cs="Calibri"/>
          <w:shd w:val="clear" w:color="auto" w:fill="FFFFFF"/>
          <w:vertAlign w:val="superscript"/>
        </w:rPr>
        <w:instrText>ADDIN CSL_CITATION {"citationItems":[{"id":"ITEM-1","itemData":{"author":[{"dropping-particle":"","family":"Supreme Court","given":"The","non-dropping-particle":"","parse-names":false,"suffix":""}],"id":"ITEM-1","issued":{"date-parts":[["2015"]]},"title":"Montgomery (Appellant) v Lanarkshire Health Board (Respondent)","type":"article-journal"},"uris":["http://www.mendeley.com/documents/?uuid=d19be93a-5d59-3194-9b53-1b46e6e5255a"]}],"mendeley":{"formattedCitation":"[47]","plainTextFormattedCitation":"[47]","previouslyFormattedCitation":"(47)"},"properties":{"noteIndex":0},"schema":"https://github.com/citation-style-language/schema/raw/master/csl-citation.json"}</w:instrText>
      </w:r>
      <w:r w:rsidRPr="002671A4">
        <w:rPr>
          <w:rFonts w:ascii="Book Antiqua" w:hAnsi="Book Antiqua" w:cs="Calibri"/>
          <w:shd w:val="clear" w:color="auto" w:fill="FFFFFF"/>
          <w:vertAlign w:val="superscript"/>
        </w:rPr>
        <w:fldChar w:fldCharType="separate"/>
      </w:r>
      <w:r w:rsidR="00941369" w:rsidRPr="002671A4">
        <w:rPr>
          <w:rFonts w:ascii="Book Antiqua" w:hAnsi="Book Antiqua" w:cs="Calibri"/>
          <w:noProof/>
          <w:shd w:val="clear" w:color="auto" w:fill="FFFFFF"/>
          <w:vertAlign w:val="superscript"/>
        </w:rPr>
        <w:t>[47]</w:t>
      </w:r>
      <w:r w:rsidRPr="002671A4">
        <w:rPr>
          <w:rFonts w:ascii="Book Antiqua" w:hAnsi="Book Antiqua" w:cs="Calibri"/>
          <w:shd w:val="clear" w:color="auto" w:fill="FFFFFF"/>
          <w:vertAlign w:val="superscript"/>
        </w:rPr>
        <w:fldChar w:fldCharType="end"/>
      </w:r>
      <w:r w:rsidRPr="006B05AE">
        <w:rPr>
          <w:rFonts w:ascii="Book Antiqua" w:hAnsi="Book Antiqua" w:cs="Calibri"/>
          <w:shd w:val="clear" w:color="auto" w:fill="FFFFFF"/>
        </w:rPr>
        <w:t>. The ruling established a duty to warn of material risks, with a material risk being defined as something that a patient would consider relevant. Effectively, Montgomery changed consent in the U</w:t>
      </w:r>
      <w:r w:rsidR="002671A4">
        <w:rPr>
          <w:rFonts w:ascii="Book Antiqua" w:hAnsi="Book Antiqua" w:cs="Calibri"/>
          <w:shd w:val="clear" w:color="auto" w:fill="FFFFFF"/>
        </w:rPr>
        <w:t xml:space="preserve">nited </w:t>
      </w:r>
      <w:r w:rsidRPr="006B05AE">
        <w:rPr>
          <w:rFonts w:ascii="Book Antiqua" w:hAnsi="Book Antiqua" w:cs="Calibri"/>
          <w:shd w:val="clear" w:color="auto" w:fill="FFFFFF"/>
        </w:rPr>
        <w:t>K</w:t>
      </w:r>
      <w:r w:rsidR="002671A4">
        <w:rPr>
          <w:rFonts w:ascii="Book Antiqua" w:hAnsi="Book Antiqua" w:cs="Calibri"/>
          <w:shd w:val="clear" w:color="auto" w:fill="FFFFFF"/>
        </w:rPr>
        <w:t>ingdom</w:t>
      </w:r>
      <w:r w:rsidRPr="006B05AE">
        <w:rPr>
          <w:rFonts w:ascii="Book Antiqua" w:hAnsi="Book Antiqua" w:cs="Calibri"/>
          <w:shd w:val="clear" w:color="auto" w:fill="FFFFFF"/>
        </w:rPr>
        <w:t xml:space="preserve"> from what the reasonable doctor would tell a patient, to what a reasonable patient would want to know. All interventions must be based on individualized discussions and be patient </w:t>
      </w:r>
      <w:r w:rsidR="00CB6B03" w:rsidRPr="006B05AE">
        <w:rPr>
          <w:rFonts w:ascii="Book Antiqua" w:hAnsi="Book Antiqua" w:cs="Calibri"/>
          <w:shd w:val="clear" w:color="auto" w:fill="FFFFFF"/>
        </w:rPr>
        <w:t>centred</w:t>
      </w:r>
      <w:r w:rsidRPr="006B05AE">
        <w:rPr>
          <w:rFonts w:ascii="Book Antiqua" w:hAnsi="Book Antiqua" w:cs="Calibri"/>
          <w:shd w:val="clear" w:color="auto" w:fill="FFFFFF"/>
        </w:rPr>
        <w:t xml:space="preserve">, allowing shared decision-making. </w:t>
      </w:r>
    </w:p>
    <w:p w14:paraId="147E633D" w14:textId="77777777" w:rsidR="00E342B4" w:rsidRPr="006B05AE" w:rsidRDefault="00E342B4" w:rsidP="00490A12">
      <w:pPr>
        <w:spacing w:line="360" w:lineRule="auto"/>
        <w:jc w:val="both"/>
        <w:rPr>
          <w:rFonts w:ascii="Book Antiqua" w:hAnsi="Book Antiqua" w:cs="Calibri"/>
          <w:b/>
          <w:bCs/>
        </w:rPr>
      </w:pPr>
    </w:p>
    <w:p w14:paraId="75539DBC" w14:textId="4AD2E3FA" w:rsidR="000907D5" w:rsidRPr="002671A4" w:rsidRDefault="002671A4" w:rsidP="00490A12">
      <w:pPr>
        <w:spacing w:line="360" w:lineRule="auto"/>
        <w:jc w:val="both"/>
        <w:rPr>
          <w:rFonts w:ascii="Book Antiqua" w:hAnsi="Book Antiqua" w:cs="Calibri"/>
          <w:b/>
          <w:bCs/>
        </w:rPr>
      </w:pPr>
      <w:r w:rsidRPr="006B05AE">
        <w:rPr>
          <w:rFonts w:ascii="Book Antiqua" w:hAnsi="Book Antiqua" w:cs="Calibri"/>
          <w:b/>
          <w:bCs/>
        </w:rPr>
        <w:t>PARADOX – COULD SURGERY BE A PREVENTER TO DEVELOPING DELIRIUM?</w:t>
      </w:r>
    </w:p>
    <w:p w14:paraId="23D72C49" w14:textId="4F6D3E23" w:rsidR="004C012F" w:rsidRPr="006B05AE" w:rsidRDefault="000907D5" w:rsidP="00490A12">
      <w:pPr>
        <w:spacing w:line="360" w:lineRule="auto"/>
        <w:jc w:val="both"/>
        <w:rPr>
          <w:rFonts w:ascii="Book Antiqua" w:hAnsi="Book Antiqua" w:cs="Calibri"/>
          <w:bCs/>
        </w:rPr>
      </w:pPr>
      <w:r w:rsidRPr="006B05AE">
        <w:rPr>
          <w:rFonts w:ascii="Book Antiqua" w:hAnsi="Book Antiqua" w:cs="Calibri"/>
          <w:bCs/>
        </w:rPr>
        <w:t>Today, the vast majority of patients are managed following a hip fracture with an operation; this stems from the greater mortality in those patients not operated</w:t>
      </w:r>
      <w:r w:rsidRPr="0080364E">
        <w:rPr>
          <w:rFonts w:ascii="Book Antiqua" w:hAnsi="Book Antiqua" w:cs="Calibri"/>
          <w:bCs/>
          <w:vertAlign w:val="superscript"/>
        </w:rPr>
        <w:fldChar w:fldCharType="begin" w:fldLock="1"/>
      </w:r>
      <w:r w:rsidR="00941369" w:rsidRPr="0080364E">
        <w:rPr>
          <w:rFonts w:ascii="Book Antiqua" w:hAnsi="Book Antiqua" w:cs="Calibri"/>
          <w:bCs/>
          <w:vertAlign w:val="superscript"/>
        </w:rPr>
        <w:instrText>ADDIN CSL_CITATION {"citationItems":[{"id":"ITEM-1","itemData":{"DOI":"10.11622/smedj.2016071","ISSN":"00375675","PMID":"27075376","abstract":"INTRODUCTION Hip fractures are common in the elderly. Published studies have not shown significant differences in mortality rates between hip fracture patients who were managed nonoperatively and operatively. This retrospective study looked at 340 patients with hip fractures who were admitted to a local hospital over one year, and compared the long-term mortality between those treated operatively and nonoperatively. METHODS All patients with hip fractures were identified retrospectively from the hospital's hip registry. Mortality data was collected through nationwide electronic medical records and telephone interviews. RESULTS Overall mortality rates at one (14.4%) and two years (24.4%) were comparable to those of other studies. Hip fracture patients who were treated nonoperatively had a higher risk of mortality at both one (29.8%) and two years (45.6%) after fracture (p &lt; 0.05). Their risk of mortality was four times higher at one year and three times higher at two years after fracture than the operative group. Patients with a higher American Society of Anesthesiologists (ASA) grade did not show an increased risk in mortality compared to patients with a lower ASA grade at both one year (p = 0.072) and two years (p = 0.360) after fracture. CONCLUSION Elderly patients with hip fractures should be managed surgically and counselled regarding the increased risk of mortality if treated nonoperatively.","author":[{"dropping-particle":"","family":"Tay","given":"Eileen","non-dropping-particle":"","parse-names":false,"suffix":""}],"container-title":"Singapore Medical Journal","id":"ITEM-1","issue":"4","issued":{"date-parts":[["2016"]]},"page":"178-181","title":"Hip fractures in the elderly: Operative versus nonoperative management","type":"article-journal","volume":"57"},"uris":["http://www.mendeley.com/documents/?uuid=b1c27792-309c-474d-a7f5-e6e00ddd374f"]}],"mendeley":{"formattedCitation":"[48]","plainTextFormattedCitation":"[48]","previouslyFormattedCitation":"(48)"},"properties":{"noteIndex":0},"schema":"https://github.com/citation-style-language/schema/raw/master/csl-citation.json"}</w:instrText>
      </w:r>
      <w:r w:rsidRPr="0080364E">
        <w:rPr>
          <w:rFonts w:ascii="Book Antiqua" w:hAnsi="Book Antiqua" w:cs="Calibri"/>
          <w:bCs/>
          <w:vertAlign w:val="superscript"/>
        </w:rPr>
        <w:fldChar w:fldCharType="separate"/>
      </w:r>
      <w:r w:rsidR="00941369" w:rsidRPr="0080364E">
        <w:rPr>
          <w:rFonts w:ascii="Book Antiqua" w:hAnsi="Book Antiqua" w:cs="Calibri"/>
          <w:bCs/>
          <w:noProof/>
          <w:vertAlign w:val="superscript"/>
        </w:rPr>
        <w:t>[48]</w:t>
      </w:r>
      <w:r w:rsidRPr="0080364E">
        <w:rPr>
          <w:rFonts w:ascii="Book Antiqua" w:hAnsi="Book Antiqua" w:cs="Calibri"/>
          <w:bCs/>
          <w:vertAlign w:val="superscript"/>
        </w:rPr>
        <w:fldChar w:fldCharType="end"/>
      </w:r>
      <w:r w:rsidR="00987606" w:rsidRPr="006B05AE">
        <w:rPr>
          <w:rFonts w:ascii="Book Antiqua" w:hAnsi="Book Antiqua" w:cs="Calibri"/>
          <w:bCs/>
        </w:rPr>
        <w:t>. In addition, the operation provides fixation of the underly</w:t>
      </w:r>
      <w:r w:rsidR="004C012F" w:rsidRPr="006B05AE">
        <w:rPr>
          <w:rFonts w:ascii="Book Antiqua" w:hAnsi="Book Antiqua" w:cs="Calibri"/>
          <w:bCs/>
        </w:rPr>
        <w:t>i</w:t>
      </w:r>
      <w:r w:rsidR="00987606" w:rsidRPr="006B05AE">
        <w:rPr>
          <w:rFonts w:ascii="Book Antiqua" w:hAnsi="Book Antiqua" w:cs="Calibri"/>
          <w:bCs/>
        </w:rPr>
        <w:t>ng fracture and reduces pain overall. Therefore, a hip</w:t>
      </w:r>
      <w:r w:rsidRPr="006B05AE">
        <w:rPr>
          <w:rFonts w:ascii="Book Antiqua" w:hAnsi="Book Antiqua" w:cs="Calibri"/>
          <w:bCs/>
        </w:rPr>
        <w:t xml:space="preserve"> operation </w:t>
      </w:r>
      <w:r w:rsidR="00987606" w:rsidRPr="006B05AE">
        <w:rPr>
          <w:rFonts w:ascii="Book Antiqua" w:hAnsi="Book Antiqua" w:cs="Calibri"/>
          <w:bCs/>
        </w:rPr>
        <w:t>following a hip fracture</w:t>
      </w:r>
      <w:r w:rsidRPr="006B05AE">
        <w:rPr>
          <w:rFonts w:ascii="Book Antiqua" w:hAnsi="Book Antiqua" w:cs="Calibri"/>
          <w:bCs/>
        </w:rPr>
        <w:t xml:space="preserve"> reduces mortality, pain</w:t>
      </w:r>
      <w:r w:rsidR="00AC282E" w:rsidRPr="006B05AE">
        <w:rPr>
          <w:rFonts w:ascii="Book Antiqua" w:hAnsi="Book Antiqua" w:cs="Calibri"/>
          <w:bCs/>
        </w:rPr>
        <w:t>, length of stay</w:t>
      </w:r>
      <w:r w:rsidRPr="006B05AE">
        <w:rPr>
          <w:rFonts w:ascii="Book Antiqua" w:hAnsi="Book Antiqua" w:cs="Calibri"/>
          <w:bCs/>
        </w:rPr>
        <w:t xml:space="preserve"> and increases mobility</w:t>
      </w:r>
      <w:r w:rsidR="00AC282E" w:rsidRPr="0080364E">
        <w:rPr>
          <w:rFonts w:ascii="Book Antiqua" w:hAnsi="Book Antiqua" w:cs="Calibri"/>
          <w:bCs/>
          <w:vertAlign w:val="superscript"/>
        </w:rPr>
        <w:fldChar w:fldCharType="begin" w:fldLock="1"/>
      </w:r>
      <w:r w:rsidR="00941369" w:rsidRPr="0080364E">
        <w:rPr>
          <w:rFonts w:ascii="Book Antiqua" w:hAnsi="Book Antiqua" w:cs="Calibri"/>
          <w:bCs/>
          <w:vertAlign w:val="superscript"/>
        </w:rPr>
        <w:instrText>ADDIN CSL_CITATION {"citationItems":[{"id":"ITEM-1","itemData":{"DOI":"10.1002/14651858.CD000337","PMID":"18646065","author":[{"dropping-particle":"","family":"Parker","given":"MJ","non-dropping-particle":"","parse-names":false,"suffix":""},{"dropping-particle":"","family":"Handoll","given":"HHG","non-dropping-particle":"","parse-names":false,"suffix":""},{"dropping-particle":"","family":"Bhargava","given":"A","non-dropping-particle":"","parse-names":false,"suffix":""}],"container-title":"The Cochrane Database of Systematic Reviews","id":"ITEM-1","issue":"3","issued":{"date-parts":[["2000"]]},"title":"Conservative versus operative treatment for hip fractures in adults","type":"article-journal"},"uris":["http://www.mendeley.com/documents/?uuid=b63419fc-5574-4e2f-93bc-a9d3834d37ec"]}],"mendeley":{"formattedCitation":"[49]","plainTextFormattedCitation":"[49]","previouslyFormattedCitation":"(49)"},"properties":{"noteIndex":0},"schema":"https://github.com/citation-style-language/schema/raw/master/csl-citation.json"}</w:instrText>
      </w:r>
      <w:r w:rsidR="00AC282E" w:rsidRPr="0080364E">
        <w:rPr>
          <w:rFonts w:ascii="Book Antiqua" w:hAnsi="Book Antiqua" w:cs="Calibri"/>
          <w:bCs/>
          <w:vertAlign w:val="superscript"/>
        </w:rPr>
        <w:fldChar w:fldCharType="separate"/>
      </w:r>
      <w:r w:rsidR="00941369" w:rsidRPr="0080364E">
        <w:rPr>
          <w:rFonts w:ascii="Book Antiqua" w:hAnsi="Book Antiqua" w:cs="Calibri"/>
          <w:bCs/>
          <w:noProof/>
          <w:vertAlign w:val="superscript"/>
        </w:rPr>
        <w:t>[49</w:t>
      </w:r>
      <w:r w:rsidR="0080364E" w:rsidRPr="0080364E">
        <w:rPr>
          <w:rFonts w:ascii="Book Antiqua" w:hAnsi="Book Antiqua" w:cs="Calibri"/>
          <w:bCs/>
          <w:noProof/>
          <w:vertAlign w:val="superscript"/>
        </w:rPr>
        <w:t>-51</w:t>
      </w:r>
      <w:r w:rsidR="00941369" w:rsidRPr="0080364E">
        <w:rPr>
          <w:rFonts w:ascii="Book Antiqua" w:hAnsi="Book Antiqua" w:cs="Calibri"/>
          <w:bCs/>
          <w:noProof/>
          <w:vertAlign w:val="superscript"/>
        </w:rPr>
        <w:t>]</w:t>
      </w:r>
      <w:r w:rsidR="00AC282E" w:rsidRPr="0080364E">
        <w:rPr>
          <w:rFonts w:ascii="Book Antiqua" w:hAnsi="Book Antiqua" w:cs="Calibri"/>
          <w:bCs/>
          <w:vertAlign w:val="superscript"/>
        </w:rPr>
        <w:fldChar w:fldCharType="end"/>
      </w:r>
      <w:r w:rsidRPr="006B05AE">
        <w:rPr>
          <w:rFonts w:ascii="Book Antiqua" w:hAnsi="Book Antiqua" w:cs="Calibri"/>
          <w:bCs/>
        </w:rPr>
        <w:t>. T</w:t>
      </w:r>
      <w:r w:rsidR="0080314A" w:rsidRPr="006B05AE">
        <w:rPr>
          <w:rFonts w:ascii="Book Antiqua" w:hAnsi="Book Antiqua" w:cs="Calibri"/>
          <w:bCs/>
        </w:rPr>
        <w:t xml:space="preserve">he operation </w:t>
      </w:r>
      <w:r w:rsidRPr="006B05AE">
        <w:rPr>
          <w:rFonts w:ascii="Book Antiqua" w:hAnsi="Book Antiqua" w:cs="Calibri"/>
          <w:bCs/>
        </w:rPr>
        <w:t>aid</w:t>
      </w:r>
      <w:r w:rsidR="0080314A" w:rsidRPr="006B05AE">
        <w:rPr>
          <w:rFonts w:ascii="Book Antiqua" w:hAnsi="Book Antiqua" w:cs="Calibri"/>
          <w:bCs/>
        </w:rPr>
        <w:t>s</w:t>
      </w:r>
      <w:r w:rsidRPr="006B05AE">
        <w:rPr>
          <w:rFonts w:ascii="Book Antiqua" w:hAnsi="Book Antiqua" w:cs="Calibri"/>
          <w:bCs/>
        </w:rPr>
        <w:t xml:space="preserve"> recovery and</w:t>
      </w:r>
      <w:r w:rsidR="0080314A" w:rsidRPr="006B05AE">
        <w:rPr>
          <w:rFonts w:ascii="Book Antiqua" w:hAnsi="Book Antiqua" w:cs="Calibri"/>
          <w:bCs/>
        </w:rPr>
        <w:t xml:space="preserve"> therefore</w:t>
      </w:r>
      <w:r w:rsidRPr="006B05AE">
        <w:rPr>
          <w:rFonts w:ascii="Book Antiqua" w:hAnsi="Book Antiqua" w:cs="Calibri"/>
          <w:bCs/>
        </w:rPr>
        <w:t xml:space="preserve"> </w:t>
      </w:r>
      <w:r w:rsidR="00D76641" w:rsidRPr="006B05AE">
        <w:rPr>
          <w:rFonts w:ascii="Book Antiqua" w:hAnsi="Book Antiqua" w:cs="Calibri"/>
          <w:bCs/>
        </w:rPr>
        <w:t xml:space="preserve">possibly </w:t>
      </w:r>
      <w:r w:rsidRPr="006B05AE">
        <w:rPr>
          <w:rFonts w:ascii="Book Antiqua" w:hAnsi="Book Antiqua" w:cs="Calibri"/>
          <w:bCs/>
        </w:rPr>
        <w:t>reduce</w:t>
      </w:r>
      <w:r w:rsidR="0080314A" w:rsidRPr="006B05AE">
        <w:rPr>
          <w:rFonts w:ascii="Book Antiqua" w:hAnsi="Book Antiqua" w:cs="Calibri"/>
          <w:bCs/>
        </w:rPr>
        <w:t>s</w:t>
      </w:r>
      <w:r w:rsidRPr="006B05AE">
        <w:rPr>
          <w:rFonts w:ascii="Book Antiqua" w:hAnsi="Book Antiqua" w:cs="Calibri"/>
          <w:bCs/>
        </w:rPr>
        <w:t xml:space="preserve"> the risk of delirium from </w:t>
      </w:r>
      <w:r w:rsidR="004F4A55" w:rsidRPr="006B05AE">
        <w:rPr>
          <w:rFonts w:ascii="Book Antiqua" w:hAnsi="Book Antiqua" w:cs="Calibri"/>
          <w:bCs/>
        </w:rPr>
        <w:t xml:space="preserve">increased analgesic use, medical complications </w:t>
      </w:r>
      <w:r w:rsidRPr="006B05AE">
        <w:rPr>
          <w:rFonts w:ascii="Book Antiqua" w:hAnsi="Book Antiqua" w:cs="Calibri"/>
          <w:bCs/>
        </w:rPr>
        <w:t xml:space="preserve">and prolonged hospitalisation. So </w:t>
      </w:r>
      <w:r w:rsidR="00CC6E52" w:rsidRPr="006B05AE">
        <w:rPr>
          <w:rFonts w:ascii="Book Antiqua" w:hAnsi="Book Antiqua" w:cs="Calibri"/>
          <w:bCs/>
        </w:rPr>
        <w:t>therefore,</w:t>
      </w:r>
      <w:r w:rsidRPr="006B05AE">
        <w:rPr>
          <w:rFonts w:ascii="Book Antiqua" w:hAnsi="Book Antiqua" w:cs="Calibri"/>
          <w:bCs/>
        </w:rPr>
        <w:t xml:space="preserve"> should we be consenting for delirium preoperatively if it could be</w:t>
      </w:r>
      <w:r w:rsidR="004C012F" w:rsidRPr="006B05AE">
        <w:rPr>
          <w:rFonts w:ascii="Book Antiqua" w:hAnsi="Book Antiqua" w:cs="Calibri"/>
          <w:bCs/>
        </w:rPr>
        <w:t xml:space="preserve"> seen to reduce</w:t>
      </w:r>
      <w:r w:rsidRPr="006B05AE">
        <w:rPr>
          <w:rFonts w:ascii="Book Antiqua" w:hAnsi="Book Antiqua" w:cs="Calibri"/>
          <w:bCs/>
        </w:rPr>
        <w:t xml:space="preserve"> delirium occurring? The simple answer remains yes. The perioperative period brings its own risks for developing delirium, anaesthetic, theatre environment</w:t>
      </w:r>
      <w:r w:rsidR="004C012F" w:rsidRPr="006B05AE">
        <w:rPr>
          <w:rFonts w:ascii="Book Antiqua" w:hAnsi="Book Antiqua" w:cs="Calibri"/>
          <w:bCs/>
        </w:rPr>
        <w:t>, stress</w:t>
      </w:r>
      <w:r w:rsidR="00CC6E52" w:rsidRPr="006B05AE">
        <w:rPr>
          <w:rFonts w:ascii="Book Antiqua" w:hAnsi="Book Antiqua" w:cs="Calibri"/>
          <w:bCs/>
        </w:rPr>
        <w:t xml:space="preserve"> and thus patients should be informed. In addition, a similar conundr</w:t>
      </w:r>
      <w:r w:rsidR="004C012F" w:rsidRPr="006B05AE">
        <w:rPr>
          <w:rFonts w:ascii="Book Antiqua" w:hAnsi="Book Antiqua" w:cs="Calibri"/>
          <w:bCs/>
        </w:rPr>
        <w:t xml:space="preserve">um could be considered for VTE. As previously mentioned, VTE is nearly always discussed during the consent process. However, the risk of VTE following a hip fracture without an operation remains present due to </w:t>
      </w:r>
      <w:r w:rsidR="00643961" w:rsidRPr="006B05AE">
        <w:rPr>
          <w:rFonts w:ascii="Book Antiqua" w:hAnsi="Book Antiqua" w:cs="Calibri"/>
          <w:bCs/>
        </w:rPr>
        <w:t xml:space="preserve">prolonged </w:t>
      </w:r>
      <w:r w:rsidR="004C012F" w:rsidRPr="006B05AE">
        <w:rPr>
          <w:rFonts w:ascii="Book Antiqua" w:hAnsi="Book Antiqua" w:cs="Calibri"/>
          <w:bCs/>
        </w:rPr>
        <w:t>immobility.</w:t>
      </w:r>
      <w:r w:rsidR="006B05AE">
        <w:rPr>
          <w:rFonts w:ascii="Book Antiqua" w:hAnsi="Book Antiqua" w:cs="Calibri"/>
          <w:bCs/>
        </w:rPr>
        <w:t xml:space="preserve"> </w:t>
      </w:r>
    </w:p>
    <w:p w14:paraId="4AF82DD2" w14:textId="77777777" w:rsidR="000907D5" w:rsidRPr="006B05AE" w:rsidRDefault="000907D5" w:rsidP="00490A12">
      <w:pPr>
        <w:spacing w:line="360" w:lineRule="auto"/>
        <w:jc w:val="both"/>
        <w:rPr>
          <w:rFonts w:ascii="Book Antiqua" w:hAnsi="Book Antiqua" w:cs="Calibri"/>
          <w:b/>
          <w:bCs/>
        </w:rPr>
      </w:pPr>
    </w:p>
    <w:p w14:paraId="3A4601D0" w14:textId="223864BF" w:rsidR="00E342B4" w:rsidRPr="006B05AE" w:rsidRDefault="0080364E" w:rsidP="00490A12">
      <w:pPr>
        <w:spacing w:line="360" w:lineRule="auto"/>
        <w:jc w:val="both"/>
        <w:rPr>
          <w:rFonts w:ascii="Book Antiqua" w:hAnsi="Book Antiqua" w:cs="Calibri"/>
          <w:b/>
          <w:bCs/>
        </w:rPr>
      </w:pPr>
      <w:r w:rsidRPr="006B05AE">
        <w:rPr>
          <w:rFonts w:ascii="Book Antiqua" w:hAnsi="Book Antiqua" w:cs="Calibri"/>
          <w:b/>
          <w:bCs/>
        </w:rPr>
        <w:t>RECOMMENDATIONS</w:t>
      </w:r>
    </w:p>
    <w:p w14:paraId="2AC05704" w14:textId="47753646" w:rsidR="00E342B4" w:rsidRPr="006B05AE" w:rsidRDefault="00E342B4" w:rsidP="00490A12">
      <w:pPr>
        <w:spacing w:line="360" w:lineRule="auto"/>
        <w:jc w:val="both"/>
        <w:rPr>
          <w:rFonts w:ascii="Book Antiqua" w:hAnsi="Book Antiqua" w:cs="Calibri"/>
          <w:bCs/>
        </w:rPr>
      </w:pPr>
      <w:r w:rsidRPr="006B05AE">
        <w:rPr>
          <w:rFonts w:ascii="Book Antiqua" w:hAnsi="Book Antiqua" w:cs="Calibri"/>
          <w:bCs/>
        </w:rPr>
        <w:t xml:space="preserve">As highlighted, delirium is a common complication with consequences for the patient. The General Medical Council view on consent is that all possible adverse outcomes </w:t>
      </w:r>
      <w:r w:rsidRPr="006B05AE">
        <w:rPr>
          <w:rFonts w:ascii="Book Antiqua" w:hAnsi="Book Antiqua" w:cs="Calibri"/>
          <w:bCs/>
        </w:rPr>
        <w:lastRenderedPageBreak/>
        <w:t xml:space="preserve">should be discussed with patients. It is for this reason that all patients should be consented for delirium in advance of surgery to repair </w:t>
      </w:r>
      <w:r w:rsidR="008C3914" w:rsidRPr="006B05AE">
        <w:rPr>
          <w:rFonts w:ascii="Book Antiqua" w:hAnsi="Book Antiqua" w:cs="Calibri"/>
          <w:bCs/>
        </w:rPr>
        <w:t>a proximal femoral fracture</w:t>
      </w:r>
      <w:r w:rsidR="00D02A31" w:rsidRPr="006B05AE">
        <w:rPr>
          <w:rFonts w:ascii="Book Antiqua" w:hAnsi="Book Antiqua" w:cs="Calibri"/>
          <w:bCs/>
        </w:rPr>
        <w:t>.</w:t>
      </w:r>
    </w:p>
    <w:p w14:paraId="6391FB5D" w14:textId="687DC668" w:rsidR="00E342B4" w:rsidRPr="006B05AE" w:rsidRDefault="00E342B4" w:rsidP="0080364E">
      <w:pPr>
        <w:spacing w:line="360" w:lineRule="auto"/>
        <w:ind w:firstLineChars="100" w:firstLine="240"/>
        <w:jc w:val="both"/>
        <w:rPr>
          <w:rFonts w:ascii="Book Antiqua" w:hAnsi="Book Antiqua" w:cs="Calibri"/>
          <w:bCs/>
        </w:rPr>
      </w:pPr>
      <w:r w:rsidRPr="006B05AE">
        <w:rPr>
          <w:rFonts w:ascii="Book Antiqua" w:hAnsi="Book Antiqua" w:cs="Calibri"/>
          <w:bCs/>
        </w:rPr>
        <w:t>As Montgomery emphasised the duty to inform a patient of a particular risk lies with the operating surgeon. Given the surgery is being performed by the orthopaedic team, it is their duty to inform and consent patients for possible delirium. That being</w:t>
      </w:r>
      <w:r w:rsidR="0080364E">
        <w:rPr>
          <w:rFonts w:ascii="Book Antiqua" w:hAnsi="Book Antiqua" w:cs="Calibri"/>
          <w:bCs/>
        </w:rPr>
        <w:t>s</w:t>
      </w:r>
      <w:r w:rsidRPr="006B05AE">
        <w:rPr>
          <w:rFonts w:ascii="Book Antiqua" w:hAnsi="Book Antiqua" w:cs="Calibri"/>
          <w:bCs/>
        </w:rPr>
        <w:t xml:space="preserve"> said, it is the job of the multidisciplinary team</w:t>
      </w:r>
      <w:r w:rsidR="00246678" w:rsidRPr="006B05AE">
        <w:rPr>
          <w:rFonts w:ascii="Book Antiqua" w:hAnsi="Book Antiqua" w:cs="Calibri"/>
          <w:bCs/>
        </w:rPr>
        <w:t xml:space="preserve"> including physicians, anaesthetists, therapists and nurses</w:t>
      </w:r>
      <w:r w:rsidRPr="006B05AE">
        <w:rPr>
          <w:rFonts w:ascii="Book Antiqua" w:hAnsi="Book Antiqua" w:cs="Calibri"/>
          <w:bCs/>
        </w:rPr>
        <w:t xml:space="preserve"> to reduce risks of developing delirium and manage as best as possible. </w:t>
      </w:r>
    </w:p>
    <w:p w14:paraId="27DC35B4" w14:textId="77777777" w:rsidR="00E342B4" w:rsidRPr="006B05AE" w:rsidRDefault="00E342B4" w:rsidP="00490A12">
      <w:pPr>
        <w:spacing w:line="360" w:lineRule="auto"/>
        <w:jc w:val="both"/>
        <w:rPr>
          <w:rFonts w:ascii="Book Antiqua" w:hAnsi="Book Antiqua" w:cs="Calibri"/>
          <w:b/>
          <w:bCs/>
        </w:rPr>
      </w:pPr>
    </w:p>
    <w:p w14:paraId="47C41CB2" w14:textId="5BA50B48" w:rsidR="00E342B4" w:rsidRPr="006B05AE" w:rsidRDefault="0080364E" w:rsidP="00490A12">
      <w:pPr>
        <w:spacing w:line="360" w:lineRule="auto"/>
        <w:jc w:val="both"/>
        <w:rPr>
          <w:rFonts w:ascii="Book Antiqua" w:hAnsi="Book Antiqua" w:cs="Calibri"/>
          <w:b/>
          <w:bCs/>
        </w:rPr>
      </w:pPr>
      <w:r w:rsidRPr="006B05AE">
        <w:rPr>
          <w:rFonts w:ascii="Book Antiqua" w:hAnsi="Book Antiqua" w:cs="Calibri"/>
          <w:b/>
          <w:bCs/>
        </w:rPr>
        <w:t>CONCLUSION</w:t>
      </w:r>
    </w:p>
    <w:p w14:paraId="498DC66F" w14:textId="77777777" w:rsidR="00E342B4" w:rsidRPr="006B05AE" w:rsidRDefault="00E342B4" w:rsidP="00490A12">
      <w:pPr>
        <w:spacing w:line="360" w:lineRule="auto"/>
        <w:jc w:val="both"/>
        <w:rPr>
          <w:rFonts w:ascii="Book Antiqua" w:hAnsi="Book Antiqua" w:cs="Calibri"/>
        </w:rPr>
      </w:pPr>
      <w:r w:rsidRPr="006B05AE">
        <w:rPr>
          <w:rFonts w:ascii="Book Antiqua" w:hAnsi="Book Antiqua" w:cs="Calibri"/>
        </w:rPr>
        <w:t xml:space="preserve">In summary, delirium is a common complication of emergency hip surgery, with serious and long-lasting effects that have a significant and deleterious impact on patients’ lives. It occurs as frequently as DVT, infection, haemorrhage and PE combined, currently the most commonly mentioned potential complications of emergency hip surgery. However, at present delirium is rarely, if ever, mentioned by surgeons to patients or their families during the consent process, despite being a good predictor of poor outcome and being very distressing to the patient, their relatives, and carers. </w:t>
      </w:r>
    </w:p>
    <w:p w14:paraId="7B47F812" w14:textId="1B373FFD" w:rsidR="00E342B4" w:rsidRPr="006B05AE" w:rsidRDefault="00E342B4" w:rsidP="0080364E">
      <w:pPr>
        <w:spacing w:line="360" w:lineRule="auto"/>
        <w:ind w:firstLineChars="100" w:firstLine="240"/>
        <w:jc w:val="both"/>
        <w:rPr>
          <w:rFonts w:ascii="Book Antiqua" w:hAnsi="Book Antiqua" w:cs="Calibri"/>
        </w:rPr>
      </w:pPr>
      <w:r w:rsidRPr="006B05AE">
        <w:rPr>
          <w:rFonts w:ascii="Book Antiqua" w:hAnsi="Book Antiqua" w:cs="Calibri"/>
        </w:rPr>
        <w:t>The U</w:t>
      </w:r>
      <w:r w:rsidR="0080364E">
        <w:rPr>
          <w:rFonts w:ascii="Book Antiqua" w:hAnsi="Book Antiqua" w:cs="Calibri"/>
        </w:rPr>
        <w:t xml:space="preserve">nited </w:t>
      </w:r>
      <w:r w:rsidRPr="006B05AE">
        <w:rPr>
          <w:rFonts w:ascii="Book Antiqua" w:hAnsi="Book Antiqua" w:cs="Calibri"/>
        </w:rPr>
        <w:t>K</w:t>
      </w:r>
      <w:r w:rsidR="0080364E">
        <w:rPr>
          <w:rFonts w:ascii="Book Antiqua" w:hAnsi="Book Antiqua" w:cs="Calibri"/>
        </w:rPr>
        <w:t>ingdom</w:t>
      </w:r>
      <w:r w:rsidRPr="006B05AE">
        <w:rPr>
          <w:rFonts w:ascii="Book Antiqua" w:hAnsi="Book Antiqua" w:cs="Calibri"/>
        </w:rPr>
        <w:t xml:space="preserve"> Supreme Court and General Medical Council state that patients should be properly informed about risks of operations prior to surgery.</w:t>
      </w:r>
      <w:r w:rsidR="006B05AE">
        <w:rPr>
          <w:rFonts w:ascii="Book Antiqua" w:hAnsi="Book Antiqua" w:cs="Calibri"/>
        </w:rPr>
        <w:t xml:space="preserve"> </w:t>
      </w:r>
      <w:r w:rsidRPr="006B05AE">
        <w:rPr>
          <w:rFonts w:ascii="Book Antiqua" w:hAnsi="Book Antiqua" w:cs="Calibri"/>
        </w:rPr>
        <w:t xml:space="preserve">A failure to mention delirium exposes the operating surgeon to risks of allegations of negligence and could be interpreted as unethical behaviour. </w:t>
      </w:r>
    </w:p>
    <w:p w14:paraId="3B94B951" w14:textId="379DB9CF" w:rsidR="00E342B4" w:rsidRPr="006B05AE" w:rsidRDefault="00E342B4" w:rsidP="0080364E">
      <w:pPr>
        <w:spacing w:line="360" w:lineRule="auto"/>
        <w:ind w:firstLineChars="100" w:firstLine="240"/>
        <w:jc w:val="both"/>
        <w:rPr>
          <w:rFonts w:ascii="Book Antiqua" w:hAnsi="Book Antiqua" w:cs="Calibri"/>
        </w:rPr>
      </w:pPr>
      <w:r w:rsidRPr="006B05AE">
        <w:rPr>
          <w:rFonts w:ascii="Book Antiqua" w:hAnsi="Book Antiqua" w:cs="Calibri"/>
        </w:rPr>
        <w:t xml:space="preserve">A further benefit of delirium being mentioned routinely by senior surgeons during the consent process would be to increase awareness of delirium and its consequences amongst junior doctors and </w:t>
      </w:r>
      <w:r w:rsidR="00643961" w:rsidRPr="006B05AE">
        <w:rPr>
          <w:rFonts w:ascii="Book Antiqua" w:hAnsi="Book Antiqua" w:cs="Calibri"/>
        </w:rPr>
        <w:t>allied health care professionals</w:t>
      </w:r>
      <w:r w:rsidRPr="006B05AE">
        <w:rPr>
          <w:rFonts w:ascii="Book Antiqua" w:hAnsi="Book Antiqua" w:cs="Calibri"/>
        </w:rPr>
        <w:t>. In many centres they provide the routine day-to-day care of frail elderly patients following surgery for</w:t>
      </w:r>
      <w:r w:rsidR="008C3914" w:rsidRPr="006B05AE">
        <w:rPr>
          <w:rFonts w:ascii="Book Antiqua" w:hAnsi="Book Antiqua" w:cs="Calibri"/>
        </w:rPr>
        <w:t xml:space="preserve"> a </w:t>
      </w:r>
      <w:r w:rsidR="008C3914" w:rsidRPr="006B05AE">
        <w:rPr>
          <w:rFonts w:ascii="Book Antiqua" w:hAnsi="Book Antiqua" w:cs="Calibri"/>
          <w:bCs/>
        </w:rPr>
        <w:t>proximal femoral fracture</w:t>
      </w:r>
      <w:r w:rsidRPr="006B05AE">
        <w:rPr>
          <w:rFonts w:ascii="Book Antiqua" w:hAnsi="Book Antiqua" w:cs="Calibri"/>
        </w:rPr>
        <w:t xml:space="preserve">, yet receive little training on how to recognise or manage delirious patients. Whilst geriatric consultation is beneficial and improves outcomes, this service is not available out of hours in the majority of hospitals, and the initial investigations and management are often simple measures such as treating infection, anaemia, alcohol withdrawal, dehydration, pain and constipation. </w:t>
      </w:r>
    </w:p>
    <w:p w14:paraId="2D0E92DA" w14:textId="77777777" w:rsidR="00765DFE" w:rsidRDefault="00765DFE">
      <w:pPr>
        <w:rPr>
          <w:rFonts w:ascii="Book Antiqua" w:hAnsi="Book Antiqua" w:cs="Calibri"/>
        </w:rPr>
      </w:pPr>
      <w:r>
        <w:rPr>
          <w:rFonts w:ascii="Book Antiqua" w:hAnsi="Book Antiqua" w:cs="Calibri"/>
        </w:rPr>
        <w:br w:type="page"/>
      </w:r>
    </w:p>
    <w:p w14:paraId="563FBBD4" w14:textId="706C9411" w:rsidR="00765DFE" w:rsidRPr="00EE0F2B" w:rsidRDefault="0085244A" w:rsidP="00EE0F2B">
      <w:pPr>
        <w:spacing w:line="360" w:lineRule="auto"/>
        <w:jc w:val="both"/>
        <w:rPr>
          <w:rFonts w:ascii="Book Antiqua" w:hAnsi="Book Antiqua" w:cs="Calibri"/>
          <w:bCs/>
        </w:rPr>
      </w:pPr>
      <w:bookmarkStart w:id="0" w:name="_GoBack"/>
      <w:r w:rsidRPr="00EE0F2B">
        <w:rPr>
          <w:rFonts w:ascii="Book Antiqua" w:hAnsi="Book Antiqua" w:cs="Calibri"/>
          <w:b/>
        </w:rPr>
        <w:lastRenderedPageBreak/>
        <w:t>REFER</w:t>
      </w:r>
      <w:bookmarkEnd w:id="0"/>
      <w:r w:rsidRPr="00EE0F2B">
        <w:rPr>
          <w:rFonts w:ascii="Book Antiqua" w:hAnsi="Book Antiqua" w:cs="Calibri"/>
          <w:b/>
        </w:rPr>
        <w:t>ENCES</w:t>
      </w:r>
    </w:p>
    <w:p w14:paraId="0879D8CB" w14:textId="77777777" w:rsidR="00EE0F2B" w:rsidRPr="00EE0F2B" w:rsidRDefault="00EE0F2B" w:rsidP="00EE0F2B">
      <w:pPr>
        <w:spacing w:line="360" w:lineRule="auto"/>
        <w:jc w:val="both"/>
        <w:rPr>
          <w:rFonts w:ascii="Book Antiqua" w:hAnsi="Book Antiqua"/>
        </w:rPr>
      </w:pPr>
      <w:r w:rsidRPr="00EE0F2B">
        <w:rPr>
          <w:rFonts w:ascii="Book Antiqua" w:hAnsi="Book Antiqua"/>
          <w:highlight w:val="yellow"/>
        </w:rPr>
        <w:t xml:space="preserve">1 </w:t>
      </w:r>
      <w:r w:rsidRPr="00EE0F2B">
        <w:rPr>
          <w:rFonts w:ascii="Book Antiqua" w:hAnsi="Book Antiqua"/>
          <w:b/>
          <w:highlight w:val="yellow"/>
        </w:rPr>
        <w:t>British Orthopaedic Association</w:t>
      </w:r>
      <w:r w:rsidRPr="00EE0F2B">
        <w:rPr>
          <w:rFonts w:ascii="Book Antiqua" w:hAnsi="Book Antiqua"/>
          <w:highlight w:val="yellow"/>
        </w:rPr>
        <w:t>. The care of patients with fragility fracture. Published Online First: 2007. Available from: URL: https://www.boa.ac.uk/</w:t>
      </w:r>
    </w:p>
    <w:p w14:paraId="457E92F3"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 </w:t>
      </w:r>
      <w:proofErr w:type="spellStart"/>
      <w:r w:rsidRPr="00EE0F2B">
        <w:rPr>
          <w:rFonts w:ascii="Book Antiqua" w:hAnsi="Book Antiqua"/>
          <w:b/>
        </w:rPr>
        <w:t>Vidán</w:t>
      </w:r>
      <w:proofErr w:type="spellEnd"/>
      <w:r w:rsidRPr="00EE0F2B">
        <w:rPr>
          <w:rFonts w:ascii="Book Antiqua" w:hAnsi="Book Antiqua"/>
          <w:b/>
        </w:rPr>
        <w:t xml:space="preserve"> M</w:t>
      </w:r>
      <w:r w:rsidRPr="00EE0F2B">
        <w:rPr>
          <w:rFonts w:ascii="Book Antiqua" w:hAnsi="Book Antiqua"/>
        </w:rPr>
        <w:t xml:space="preserve">, Serra JA, Moreno C, </w:t>
      </w:r>
      <w:proofErr w:type="spellStart"/>
      <w:r w:rsidRPr="00EE0F2B">
        <w:rPr>
          <w:rFonts w:ascii="Book Antiqua" w:hAnsi="Book Antiqua"/>
        </w:rPr>
        <w:t>Riquelme</w:t>
      </w:r>
      <w:proofErr w:type="spellEnd"/>
      <w:r w:rsidRPr="00EE0F2B">
        <w:rPr>
          <w:rFonts w:ascii="Book Antiqua" w:hAnsi="Book Antiqua"/>
        </w:rPr>
        <w:t xml:space="preserve"> G, Ortiz J. Efficacy of a comprehensive geriatric intervention in older patients hospitalized for hip fracture: a randomized, controlled trial.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2005; </w:t>
      </w:r>
      <w:r w:rsidRPr="00EE0F2B">
        <w:rPr>
          <w:rFonts w:ascii="Book Antiqua" w:hAnsi="Book Antiqua"/>
          <w:b/>
        </w:rPr>
        <w:t>53</w:t>
      </w:r>
      <w:r w:rsidRPr="00EE0F2B">
        <w:rPr>
          <w:rFonts w:ascii="Book Antiqua" w:hAnsi="Book Antiqua"/>
        </w:rPr>
        <w:t>: 1476-1482 [PMID: 16137275 DOI: 10.1111/j.1532-5415.2005.53466.x]</w:t>
      </w:r>
    </w:p>
    <w:p w14:paraId="23D85EC1" w14:textId="62D4023D" w:rsidR="00EE0F2B" w:rsidRPr="00EE0F2B" w:rsidRDefault="00EE0F2B" w:rsidP="00EE0F2B">
      <w:pPr>
        <w:spacing w:line="360" w:lineRule="auto"/>
        <w:jc w:val="both"/>
        <w:rPr>
          <w:rFonts w:ascii="Book Antiqua" w:hAnsi="Book Antiqua"/>
        </w:rPr>
      </w:pPr>
      <w:r w:rsidRPr="00EE0F2B">
        <w:rPr>
          <w:rFonts w:ascii="Book Antiqua" w:hAnsi="Book Antiqua"/>
        </w:rPr>
        <w:t xml:space="preserve">3 </w:t>
      </w:r>
      <w:r w:rsidRPr="00EE0F2B">
        <w:rPr>
          <w:rFonts w:ascii="Book Antiqua" w:hAnsi="Book Antiqua"/>
          <w:b/>
        </w:rPr>
        <w:t>Dy CJ</w:t>
      </w:r>
      <w:r w:rsidRPr="00EE0F2B">
        <w:rPr>
          <w:rFonts w:ascii="Book Antiqua" w:hAnsi="Book Antiqua"/>
        </w:rPr>
        <w:t xml:space="preserve">, </w:t>
      </w:r>
      <w:proofErr w:type="spellStart"/>
      <w:r w:rsidRPr="00EE0F2B">
        <w:rPr>
          <w:rFonts w:ascii="Book Antiqua" w:hAnsi="Book Antiqua"/>
        </w:rPr>
        <w:t>Dossous</w:t>
      </w:r>
      <w:proofErr w:type="spellEnd"/>
      <w:r w:rsidRPr="00EE0F2B">
        <w:rPr>
          <w:rFonts w:ascii="Book Antiqua" w:hAnsi="Book Antiqua"/>
        </w:rPr>
        <w:t xml:space="preserve"> PM, Ton QV, </w:t>
      </w:r>
      <w:proofErr w:type="spellStart"/>
      <w:r w:rsidRPr="00EE0F2B">
        <w:rPr>
          <w:rFonts w:ascii="Book Antiqua" w:hAnsi="Book Antiqua"/>
        </w:rPr>
        <w:t>Hollenberg</w:t>
      </w:r>
      <w:proofErr w:type="spellEnd"/>
      <w:r w:rsidRPr="00EE0F2B">
        <w:rPr>
          <w:rFonts w:ascii="Book Antiqua" w:hAnsi="Book Antiqua"/>
        </w:rPr>
        <w:t xml:space="preserve"> JP, </w:t>
      </w:r>
      <w:proofErr w:type="spellStart"/>
      <w:r w:rsidRPr="00EE0F2B">
        <w:rPr>
          <w:rFonts w:ascii="Book Antiqua" w:hAnsi="Book Antiqua"/>
        </w:rPr>
        <w:t>Lorich</w:t>
      </w:r>
      <w:proofErr w:type="spellEnd"/>
      <w:r w:rsidRPr="00EE0F2B">
        <w:rPr>
          <w:rFonts w:ascii="Book Antiqua" w:hAnsi="Book Antiqua"/>
        </w:rPr>
        <w:t xml:space="preserve"> DG, Lane JM. The medical orthopaedic trauma service: an innovative multidisciplinary team model that decreases in-hospital complications in patients with hip fractures. </w:t>
      </w:r>
      <w:r w:rsidRPr="00EE0F2B">
        <w:rPr>
          <w:rFonts w:ascii="Book Antiqua" w:hAnsi="Book Antiqua"/>
          <w:i/>
        </w:rPr>
        <w:t xml:space="preserve">J </w:t>
      </w:r>
      <w:proofErr w:type="spellStart"/>
      <w:r w:rsidRPr="00EE0F2B">
        <w:rPr>
          <w:rFonts w:ascii="Book Antiqua" w:hAnsi="Book Antiqua"/>
          <w:i/>
        </w:rPr>
        <w:t>Orthop</w:t>
      </w:r>
      <w:proofErr w:type="spellEnd"/>
      <w:r w:rsidRPr="00EE0F2B">
        <w:rPr>
          <w:rFonts w:ascii="Book Antiqua" w:hAnsi="Book Antiqua"/>
          <w:i/>
        </w:rPr>
        <w:t xml:space="preserve"> Trauma</w:t>
      </w:r>
      <w:r w:rsidRPr="00EE0F2B">
        <w:rPr>
          <w:rFonts w:ascii="Book Antiqua" w:hAnsi="Book Antiqua"/>
        </w:rPr>
        <w:t xml:space="preserve"> 2012; </w:t>
      </w:r>
      <w:r w:rsidRPr="00EE0F2B">
        <w:rPr>
          <w:rFonts w:ascii="Book Antiqua" w:hAnsi="Book Antiqua"/>
          <w:b/>
        </w:rPr>
        <w:t>26</w:t>
      </w:r>
      <w:r w:rsidRPr="00EE0F2B">
        <w:rPr>
          <w:rFonts w:ascii="Book Antiqua" w:hAnsi="Book Antiqua"/>
        </w:rPr>
        <w:t>: 379-383 [PMID: 21885997 DOI: 10.1097/BOT.0b013e3182242678]</w:t>
      </w:r>
    </w:p>
    <w:p w14:paraId="3EB7C9DC" w14:textId="77777777" w:rsidR="00EE0F2B" w:rsidRPr="00EE0F2B" w:rsidRDefault="00EE0F2B" w:rsidP="00EE0F2B">
      <w:pPr>
        <w:spacing w:line="360" w:lineRule="auto"/>
        <w:jc w:val="both"/>
        <w:rPr>
          <w:rFonts w:ascii="Book Antiqua" w:hAnsi="Book Antiqua"/>
        </w:rPr>
      </w:pPr>
      <w:r w:rsidRPr="00EE0F2B">
        <w:rPr>
          <w:rFonts w:ascii="Book Antiqua" w:hAnsi="Book Antiqua"/>
          <w:highlight w:val="yellow"/>
        </w:rPr>
        <w:t xml:space="preserve">4 </w:t>
      </w:r>
      <w:r w:rsidRPr="00EE0F2B">
        <w:rPr>
          <w:rFonts w:ascii="Book Antiqua" w:hAnsi="Book Antiqua"/>
          <w:b/>
          <w:highlight w:val="yellow"/>
        </w:rPr>
        <w:t>National Hip Fracture Database</w:t>
      </w:r>
      <w:r w:rsidRPr="00EE0F2B">
        <w:rPr>
          <w:rFonts w:ascii="Book Antiqua" w:hAnsi="Book Antiqua"/>
          <w:highlight w:val="yellow"/>
        </w:rPr>
        <w:t>. National Hip Fracture Database annual report 2017. Available from: URL: https://www.nhfd.co.uk/files/2017ReportFiles/NHFD-AnnualReport2017.pdf</w:t>
      </w:r>
    </w:p>
    <w:p w14:paraId="2BC7DC28"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5 </w:t>
      </w:r>
      <w:proofErr w:type="spellStart"/>
      <w:r w:rsidRPr="00EE0F2B">
        <w:rPr>
          <w:rFonts w:ascii="Book Antiqua" w:hAnsi="Book Antiqua"/>
          <w:b/>
        </w:rPr>
        <w:t>Gunasekera</w:t>
      </w:r>
      <w:proofErr w:type="spellEnd"/>
      <w:r w:rsidRPr="00EE0F2B">
        <w:rPr>
          <w:rFonts w:ascii="Book Antiqua" w:hAnsi="Book Antiqua"/>
          <w:b/>
        </w:rPr>
        <w:t xml:space="preserve"> N</w:t>
      </w:r>
      <w:r w:rsidRPr="00EE0F2B">
        <w:rPr>
          <w:rFonts w:ascii="Book Antiqua" w:hAnsi="Book Antiqua"/>
        </w:rPr>
        <w:t xml:space="preserve">, Boulton C, Morris C, Moran C. Hip fracture audit: the Nottingham experience. </w:t>
      </w:r>
      <w:proofErr w:type="spellStart"/>
      <w:r w:rsidRPr="00EE0F2B">
        <w:rPr>
          <w:rFonts w:ascii="Book Antiqua" w:hAnsi="Book Antiqua"/>
          <w:i/>
        </w:rPr>
        <w:t>Osteoporos</w:t>
      </w:r>
      <w:proofErr w:type="spellEnd"/>
      <w:r w:rsidRPr="00EE0F2B">
        <w:rPr>
          <w:rFonts w:ascii="Book Antiqua" w:hAnsi="Book Antiqua"/>
          <w:i/>
        </w:rPr>
        <w:t xml:space="preserve"> Int</w:t>
      </w:r>
      <w:r w:rsidRPr="00EE0F2B">
        <w:rPr>
          <w:rFonts w:ascii="Book Antiqua" w:hAnsi="Book Antiqua"/>
        </w:rPr>
        <w:t xml:space="preserve"> 2010; </w:t>
      </w:r>
      <w:r w:rsidRPr="00EE0F2B">
        <w:rPr>
          <w:rFonts w:ascii="Book Antiqua" w:hAnsi="Book Antiqua"/>
          <w:b/>
        </w:rPr>
        <w:t>21</w:t>
      </w:r>
      <w:r w:rsidRPr="00EE0F2B">
        <w:rPr>
          <w:rFonts w:ascii="Book Antiqua" w:hAnsi="Book Antiqua"/>
        </w:rPr>
        <w:t>: S647-S653 [PMID: 21058005 DOI: 10.1007/s00198-010-1426-8]</w:t>
      </w:r>
    </w:p>
    <w:p w14:paraId="2D55BF34"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6 </w:t>
      </w:r>
      <w:r w:rsidRPr="00EE0F2B">
        <w:rPr>
          <w:rFonts w:ascii="Book Antiqua" w:hAnsi="Book Antiqua"/>
          <w:b/>
        </w:rPr>
        <w:t>Marcantonio ER</w:t>
      </w:r>
      <w:r w:rsidRPr="00EE0F2B">
        <w:rPr>
          <w:rFonts w:ascii="Book Antiqua" w:hAnsi="Book Antiqua"/>
        </w:rPr>
        <w:t xml:space="preserve">, Kiely DK, Simon SE, John </w:t>
      </w:r>
      <w:proofErr w:type="spellStart"/>
      <w:r w:rsidRPr="00EE0F2B">
        <w:rPr>
          <w:rFonts w:ascii="Book Antiqua" w:hAnsi="Book Antiqua"/>
        </w:rPr>
        <w:t>Orav</w:t>
      </w:r>
      <w:proofErr w:type="spellEnd"/>
      <w:r w:rsidRPr="00EE0F2B">
        <w:rPr>
          <w:rFonts w:ascii="Book Antiqua" w:hAnsi="Book Antiqua"/>
        </w:rPr>
        <w:t xml:space="preserve"> E, Jones RN, Murphy KM, Bergmann MA. Outcomes of older people admitted to </w:t>
      </w:r>
      <w:proofErr w:type="spellStart"/>
      <w:r w:rsidRPr="00EE0F2B">
        <w:rPr>
          <w:rFonts w:ascii="Book Antiqua" w:hAnsi="Book Antiqua"/>
        </w:rPr>
        <w:t>postacute</w:t>
      </w:r>
      <w:proofErr w:type="spellEnd"/>
      <w:r w:rsidRPr="00EE0F2B">
        <w:rPr>
          <w:rFonts w:ascii="Book Antiqua" w:hAnsi="Book Antiqua"/>
        </w:rPr>
        <w:t xml:space="preserve"> facilities with delirium.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2005; </w:t>
      </w:r>
      <w:r w:rsidRPr="00EE0F2B">
        <w:rPr>
          <w:rFonts w:ascii="Book Antiqua" w:hAnsi="Book Antiqua"/>
          <w:b/>
        </w:rPr>
        <w:t>53</w:t>
      </w:r>
      <w:r w:rsidRPr="00EE0F2B">
        <w:rPr>
          <w:rFonts w:ascii="Book Antiqua" w:hAnsi="Book Antiqua"/>
        </w:rPr>
        <w:t>: 963-969 [PMID: 15935018 DOI: 10.1046/j.1532-5415.2001.49108.x]</w:t>
      </w:r>
    </w:p>
    <w:p w14:paraId="4D94EB1B" w14:textId="62F4C6DC" w:rsidR="00EE0F2B" w:rsidRPr="00EE0F2B" w:rsidRDefault="00EE0F2B" w:rsidP="00EE0F2B">
      <w:pPr>
        <w:spacing w:line="360" w:lineRule="auto"/>
        <w:jc w:val="both"/>
        <w:rPr>
          <w:rFonts w:ascii="Book Antiqua" w:hAnsi="Book Antiqua"/>
        </w:rPr>
      </w:pPr>
      <w:r w:rsidRPr="00EE0F2B">
        <w:rPr>
          <w:rFonts w:ascii="Book Antiqua" w:hAnsi="Book Antiqua"/>
          <w:highlight w:val="yellow"/>
        </w:rPr>
        <w:t xml:space="preserve">7 </w:t>
      </w:r>
      <w:r w:rsidRPr="00EE0F2B">
        <w:rPr>
          <w:rFonts w:ascii="Book Antiqua" w:hAnsi="Book Antiqua"/>
          <w:b/>
          <w:highlight w:val="yellow"/>
        </w:rPr>
        <w:t>National Institute for Health and Care Excellence</w:t>
      </w:r>
      <w:r w:rsidRPr="00EE0F2B">
        <w:rPr>
          <w:rFonts w:ascii="Book Antiqua" w:hAnsi="Book Antiqua"/>
          <w:highlight w:val="yellow"/>
        </w:rPr>
        <w:t>. Delirium: prevention, diagnosis and management. 2010. Available from: URL: https://www.nice.org.uk/guidance/cg103/resources/delirium-prevention-diagnosis-and-management-pdf-35109327290821</w:t>
      </w:r>
    </w:p>
    <w:p w14:paraId="650C5402"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8 </w:t>
      </w:r>
      <w:r w:rsidRPr="00EE0F2B">
        <w:rPr>
          <w:rFonts w:ascii="Book Antiqua" w:hAnsi="Book Antiqua"/>
          <w:b/>
        </w:rPr>
        <w:t>Inouye SK</w:t>
      </w:r>
      <w:r w:rsidRPr="00EE0F2B">
        <w:rPr>
          <w:rFonts w:ascii="Book Antiqua" w:hAnsi="Book Antiqua"/>
        </w:rPr>
        <w:t xml:space="preserve">, </w:t>
      </w:r>
      <w:proofErr w:type="spellStart"/>
      <w:r w:rsidRPr="00EE0F2B">
        <w:rPr>
          <w:rFonts w:ascii="Book Antiqua" w:hAnsi="Book Antiqua"/>
        </w:rPr>
        <w:t>Westendorp</w:t>
      </w:r>
      <w:proofErr w:type="spellEnd"/>
      <w:r w:rsidRPr="00EE0F2B">
        <w:rPr>
          <w:rFonts w:ascii="Book Antiqua" w:hAnsi="Book Antiqua"/>
        </w:rPr>
        <w:t xml:space="preserve"> RG, </w:t>
      </w:r>
      <w:proofErr w:type="spellStart"/>
      <w:r w:rsidRPr="00EE0F2B">
        <w:rPr>
          <w:rFonts w:ascii="Book Antiqua" w:hAnsi="Book Antiqua"/>
        </w:rPr>
        <w:t>Saczynski</w:t>
      </w:r>
      <w:proofErr w:type="spellEnd"/>
      <w:r w:rsidRPr="00EE0F2B">
        <w:rPr>
          <w:rFonts w:ascii="Book Antiqua" w:hAnsi="Book Antiqua"/>
        </w:rPr>
        <w:t xml:space="preserve"> JS. Delirium in elderly people. </w:t>
      </w:r>
      <w:r w:rsidRPr="00EE0F2B">
        <w:rPr>
          <w:rFonts w:ascii="Book Antiqua" w:hAnsi="Book Antiqua"/>
          <w:i/>
        </w:rPr>
        <w:t>Lancet</w:t>
      </w:r>
      <w:r w:rsidRPr="00EE0F2B">
        <w:rPr>
          <w:rFonts w:ascii="Book Antiqua" w:hAnsi="Book Antiqua"/>
        </w:rPr>
        <w:t xml:space="preserve"> 2014; </w:t>
      </w:r>
      <w:r w:rsidRPr="00EE0F2B">
        <w:rPr>
          <w:rFonts w:ascii="Book Antiqua" w:hAnsi="Book Antiqua"/>
          <w:b/>
        </w:rPr>
        <w:t>383</w:t>
      </w:r>
      <w:r w:rsidRPr="00EE0F2B">
        <w:rPr>
          <w:rFonts w:ascii="Book Antiqua" w:hAnsi="Book Antiqua"/>
        </w:rPr>
        <w:t>: 911-922 [PMID: 23992774 DOI: 10.1016/S0140-6736(13)60688-1]</w:t>
      </w:r>
    </w:p>
    <w:p w14:paraId="24FFAB77"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9 </w:t>
      </w:r>
      <w:proofErr w:type="spellStart"/>
      <w:r w:rsidRPr="00EE0F2B">
        <w:rPr>
          <w:rFonts w:ascii="Book Antiqua" w:hAnsi="Book Antiqua"/>
          <w:b/>
        </w:rPr>
        <w:t>Kukreja</w:t>
      </w:r>
      <w:proofErr w:type="spellEnd"/>
      <w:r w:rsidRPr="00EE0F2B">
        <w:rPr>
          <w:rFonts w:ascii="Book Antiqua" w:hAnsi="Book Antiqua"/>
          <w:b/>
        </w:rPr>
        <w:t xml:space="preserve"> D</w:t>
      </w:r>
      <w:r w:rsidRPr="00EE0F2B">
        <w:rPr>
          <w:rFonts w:ascii="Book Antiqua" w:hAnsi="Book Antiqua"/>
        </w:rPr>
        <w:t xml:space="preserve">, Günther U, Popp J. Delirium in the elderly: Current problems with increasing geriatric age. </w:t>
      </w:r>
      <w:r w:rsidRPr="00EE0F2B">
        <w:rPr>
          <w:rFonts w:ascii="Book Antiqua" w:hAnsi="Book Antiqua"/>
          <w:i/>
        </w:rPr>
        <w:t>Indian J Med Res</w:t>
      </w:r>
      <w:r w:rsidRPr="00EE0F2B">
        <w:rPr>
          <w:rFonts w:ascii="Book Antiqua" w:hAnsi="Book Antiqua"/>
        </w:rPr>
        <w:t xml:space="preserve"> 2015; </w:t>
      </w:r>
      <w:r w:rsidRPr="00EE0F2B">
        <w:rPr>
          <w:rFonts w:ascii="Book Antiqua" w:hAnsi="Book Antiqua"/>
          <w:b/>
        </w:rPr>
        <w:t>142</w:t>
      </w:r>
      <w:r w:rsidRPr="00EE0F2B">
        <w:rPr>
          <w:rFonts w:ascii="Book Antiqua" w:hAnsi="Book Antiqua"/>
        </w:rPr>
        <w:t>: 655-662 [PMID: 26831414 DOI: 10.4103/0971-5916.174546]</w:t>
      </w:r>
    </w:p>
    <w:p w14:paraId="7F61CCCB" w14:textId="5E3654B2" w:rsidR="00EE0F2B" w:rsidRPr="00EE0F2B" w:rsidRDefault="00EE0F2B" w:rsidP="00EE0F2B">
      <w:pPr>
        <w:spacing w:line="360" w:lineRule="auto"/>
        <w:jc w:val="both"/>
        <w:rPr>
          <w:rFonts w:ascii="Book Antiqua" w:hAnsi="Book Antiqua"/>
        </w:rPr>
      </w:pPr>
      <w:r w:rsidRPr="00EE0F2B">
        <w:rPr>
          <w:rFonts w:ascii="Book Antiqua" w:hAnsi="Book Antiqua"/>
        </w:rPr>
        <w:lastRenderedPageBreak/>
        <w:t xml:space="preserve">10 </w:t>
      </w:r>
      <w:r w:rsidRPr="00EE0F2B">
        <w:rPr>
          <w:rFonts w:ascii="Book Antiqua" w:hAnsi="Book Antiqua"/>
          <w:b/>
        </w:rPr>
        <w:t>Ryan DJ</w:t>
      </w:r>
      <w:r w:rsidRPr="00EE0F2B">
        <w:rPr>
          <w:rFonts w:ascii="Book Antiqua" w:hAnsi="Book Antiqua"/>
        </w:rPr>
        <w:t xml:space="preserve">, </w:t>
      </w:r>
      <w:proofErr w:type="spellStart"/>
      <w:r w:rsidRPr="00EE0F2B">
        <w:rPr>
          <w:rFonts w:ascii="Book Antiqua" w:hAnsi="Book Antiqua"/>
        </w:rPr>
        <w:t>O'Regan</w:t>
      </w:r>
      <w:proofErr w:type="spellEnd"/>
      <w:r w:rsidRPr="00EE0F2B">
        <w:rPr>
          <w:rFonts w:ascii="Book Antiqua" w:hAnsi="Book Antiqua"/>
        </w:rPr>
        <w:t xml:space="preserve"> NA, </w:t>
      </w:r>
      <w:proofErr w:type="spellStart"/>
      <w:r w:rsidRPr="00EE0F2B">
        <w:rPr>
          <w:rFonts w:ascii="Book Antiqua" w:hAnsi="Book Antiqua"/>
        </w:rPr>
        <w:t>Caoimh</w:t>
      </w:r>
      <w:proofErr w:type="spellEnd"/>
      <w:r w:rsidRPr="00EE0F2B">
        <w:rPr>
          <w:rFonts w:ascii="Book Antiqua" w:hAnsi="Book Antiqua"/>
        </w:rPr>
        <w:t xml:space="preserve"> RÓ, Clare J, O'Connor M, Leonard M, McFarland J, Tighe S, O'Sullivan K, </w:t>
      </w:r>
      <w:proofErr w:type="spellStart"/>
      <w:r w:rsidRPr="00EE0F2B">
        <w:rPr>
          <w:rFonts w:ascii="Book Antiqua" w:hAnsi="Book Antiqua"/>
        </w:rPr>
        <w:t>Trzepacz</w:t>
      </w:r>
      <w:proofErr w:type="spellEnd"/>
      <w:r w:rsidRPr="00EE0F2B">
        <w:rPr>
          <w:rFonts w:ascii="Book Antiqua" w:hAnsi="Book Antiqua"/>
        </w:rPr>
        <w:t xml:space="preserve"> PT, Meagher D, Timmons S. Delirium in an adult acute hospital population: predictors, prevalence and detection. </w:t>
      </w:r>
      <w:r w:rsidRPr="00EE0F2B">
        <w:rPr>
          <w:rFonts w:ascii="Book Antiqua" w:hAnsi="Book Antiqua"/>
          <w:i/>
        </w:rPr>
        <w:t>BMJ Open</w:t>
      </w:r>
      <w:r w:rsidRPr="00EE0F2B">
        <w:rPr>
          <w:rFonts w:ascii="Book Antiqua" w:hAnsi="Book Antiqua"/>
        </w:rPr>
        <w:t xml:space="preserve"> 2013; </w:t>
      </w:r>
      <w:r w:rsidRPr="00EE0F2B">
        <w:rPr>
          <w:rFonts w:ascii="Book Antiqua" w:hAnsi="Book Antiqua"/>
          <w:b/>
        </w:rPr>
        <w:t>3</w:t>
      </w:r>
      <w:r w:rsidRPr="00EE0F2B">
        <w:rPr>
          <w:rFonts w:ascii="Book Antiqua" w:hAnsi="Book Antiqua"/>
        </w:rPr>
        <w:t>:</w:t>
      </w:r>
      <w:r w:rsidRPr="00EE0F2B">
        <w:rPr>
          <w:rFonts w:ascii="Arial" w:hAnsi="Arial" w:cs="Arial"/>
          <w:color w:val="000000"/>
          <w:sz w:val="18"/>
          <w:szCs w:val="18"/>
          <w:shd w:val="clear" w:color="auto" w:fill="FFFFFF"/>
        </w:rPr>
        <w:t xml:space="preserve"> </w:t>
      </w:r>
      <w:proofErr w:type="spellStart"/>
      <w:r w:rsidRPr="00EE0F2B">
        <w:rPr>
          <w:rFonts w:ascii="Book Antiqua" w:hAnsi="Book Antiqua"/>
        </w:rPr>
        <w:t>pii</w:t>
      </w:r>
      <w:proofErr w:type="spellEnd"/>
      <w:r w:rsidRPr="00EE0F2B">
        <w:rPr>
          <w:rFonts w:ascii="Book Antiqua" w:hAnsi="Book Antiqua"/>
        </w:rPr>
        <w:t>: e001772 [PMID: 23299110 DOI: 10.1136/bmjopen-2012-001772]</w:t>
      </w:r>
    </w:p>
    <w:p w14:paraId="65FA7C68"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11 </w:t>
      </w:r>
      <w:proofErr w:type="spellStart"/>
      <w:r w:rsidRPr="00EE0F2B">
        <w:rPr>
          <w:rFonts w:ascii="Book Antiqua" w:hAnsi="Book Antiqua"/>
          <w:b/>
        </w:rPr>
        <w:t>Koster</w:t>
      </w:r>
      <w:proofErr w:type="spellEnd"/>
      <w:r w:rsidRPr="00EE0F2B">
        <w:rPr>
          <w:rFonts w:ascii="Book Antiqua" w:hAnsi="Book Antiqua"/>
          <w:b/>
        </w:rPr>
        <w:t xml:space="preserve"> S</w:t>
      </w:r>
      <w:r w:rsidRPr="00EE0F2B">
        <w:rPr>
          <w:rFonts w:ascii="Book Antiqua" w:hAnsi="Book Antiqua"/>
        </w:rPr>
        <w:t xml:space="preserve">, </w:t>
      </w:r>
      <w:proofErr w:type="spellStart"/>
      <w:r w:rsidRPr="00EE0F2B">
        <w:rPr>
          <w:rFonts w:ascii="Book Antiqua" w:hAnsi="Book Antiqua"/>
        </w:rPr>
        <w:t>Hensens</w:t>
      </w:r>
      <w:proofErr w:type="spellEnd"/>
      <w:r w:rsidRPr="00EE0F2B">
        <w:rPr>
          <w:rFonts w:ascii="Book Antiqua" w:hAnsi="Book Antiqua"/>
        </w:rPr>
        <w:t xml:space="preserve"> AG, Schuurmans MJ, van der </w:t>
      </w:r>
      <w:proofErr w:type="spellStart"/>
      <w:r w:rsidRPr="00EE0F2B">
        <w:rPr>
          <w:rFonts w:ascii="Book Antiqua" w:hAnsi="Book Antiqua"/>
        </w:rPr>
        <w:t>Palen</w:t>
      </w:r>
      <w:proofErr w:type="spellEnd"/>
      <w:r w:rsidRPr="00EE0F2B">
        <w:rPr>
          <w:rFonts w:ascii="Book Antiqua" w:hAnsi="Book Antiqua"/>
        </w:rPr>
        <w:t xml:space="preserve"> J. Risk factors of delirium after cardiac surgery: a systematic review. </w:t>
      </w:r>
      <w:r w:rsidRPr="00EE0F2B">
        <w:rPr>
          <w:rFonts w:ascii="Book Antiqua" w:hAnsi="Book Antiqua"/>
          <w:i/>
        </w:rPr>
        <w:t xml:space="preserve">Eur J Cardiovasc </w:t>
      </w:r>
      <w:proofErr w:type="spellStart"/>
      <w:r w:rsidRPr="00EE0F2B">
        <w:rPr>
          <w:rFonts w:ascii="Book Antiqua" w:hAnsi="Book Antiqua"/>
          <w:i/>
        </w:rPr>
        <w:t>Nurs</w:t>
      </w:r>
      <w:proofErr w:type="spellEnd"/>
      <w:r w:rsidRPr="00EE0F2B">
        <w:rPr>
          <w:rFonts w:ascii="Book Antiqua" w:hAnsi="Book Antiqua"/>
        </w:rPr>
        <w:t xml:space="preserve"> 2011; </w:t>
      </w:r>
      <w:r w:rsidRPr="00EE0F2B">
        <w:rPr>
          <w:rFonts w:ascii="Book Antiqua" w:hAnsi="Book Antiqua"/>
          <w:b/>
        </w:rPr>
        <w:t>10</w:t>
      </w:r>
      <w:r w:rsidRPr="00EE0F2B">
        <w:rPr>
          <w:rFonts w:ascii="Book Antiqua" w:hAnsi="Book Antiqua"/>
        </w:rPr>
        <w:t>: 197-204 [PMID: 20870463 DOI: 10.1016/j.ejcnurse.2010.09.001]</w:t>
      </w:r>
    </w:p>
    <w:p w14:paraId="55839AF0"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12 </w:t>
      </w:r>
      <w:r w:rsidRPr="00EE0F2B">
        <w:rPr>
          <w:rFonts w:ascii="Book Antiqua" w:hAnsi="Book Antiqua"/>
          <w:b/>
        </w:rPr>
        <w:t>Yang Y</w:t>
      </w:r>
      <w:r w:rsidRPr="00EE0F2B">
        <w:rPr>
          <w:rFonts w:ascii="Book Antiqua" w:hAnsi="Book Antiqua"/>
        </w:rPr>
        <w:t xml:space="preserve">, Zhao X, Dong T, Yang Z, Zhang Q, Zhang Y. Risk factors for postoperative delirium following hip fracture repair in elderly patients: a systematic review and meta-analysis. </w:t>
      </w:r>
      <w:r w:rsidRPr="00EE0F2B">
        <w:rPr>
          <w:rFonts w:ascii="Book Antiqua" w:hAnsi="Book Antiqua"/>
          <w:i/>
        </w:rPr>
        <w:t>Aging Clin Exp Res</w:t>
      </w:r>
      <w:r w:rsidRPr="00EE0F2B">
        <w:rPr>
          <w:rFonts w:ascii="Book Antiqua" w:hAnsi="Book Antiqua"/>
        </w:rPr>
        <w:t xml:space="preserve"> 2017; </w:t>
      </w:r>
      <w:r w:rsidRPr="00EE0F2B">
        <w:rPr>
          <w:rFonts w:ascii="Book Antiqua" w:hAnsi="Book Antiqua"/>
          <w:b/>
        </w:rPr>
        <w:t>29</w:t>
      </w:r>
      <w:r w:rsidRPr="00EE0F2B">
        <w:rPr>
          <w:rFonts w:ascii="Book Antiqua" w:hAnsi="Book Antiqua"/>
        </w:rPr>
        <w:t>: 115-126 [PMID: 26873816 DOI: 10.1007/s40520-016-0541-6]</w:t>
      </w:r>
    </w:p>
    <w:p w14:paraId="34DBDE60"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13 </w:t>
      </w:r>
      <w:r w:rsidRPr="00EE0F2B">
        <w:rPr>
          <w:rFonts w:ascii="Book Antiqua" w:hAnsi="Book Antiqua"/>
          <w:b/>
        </w:rPr>
        <w:t>Ahmed S</w:t>
      </w:r>
      <w:r w:rsidRPr="00EE0F2B">
        <w:rPr>
          <w:rFonts w:ascii="Book Antiqua" w:hAnsi="Book Antiqua"/>
        </w:rPr>
        <w:t xml:space="preserve">, </w:t>
      </w:r>
      <w:proofErr w:type="spellStart"/>
      <w:r w:rsidRPr="00EE0F2B">
        <w:rPr>
          <w:rFonts w:ascii="Book Antiqua" w:hAnsi="Book Antiqua"/>
        </w:rPr>
        <w:t>Leurent</w:t>
      </w:r>
      <w:proofErr w:type="spellEnd"/>
      <w:r w:rsidRPr="00EE0F2B">
        <w:rPr>
          <w:rFonts w:ascii="Book Antiqua" w:hAnsi="Book Antiqua"/>
        </w:rPr>
        <w:t xml:space="preserve"> B, Sampson EL. Risk factors for incident delirium among older people in acute hospital medical units: a systematic review and meta-analysis. </w:t>
      </w:r>
      <w:r w:rsidRPr="00EE0F2B">
        <w:rPr>
          <w:rFonts w:ascii="Book Antiqua" w:hAnsi="Book Antiqua"/>
          <w:i/>
        </w:rPr>
        <w:t>Age Ageing</w:t>
      </w:r>
      <w:r w:rsidRPr="00EE0F2B">
        <w:rPr>
          <w:rFonts w:ascii="Book Antiqua" w:hAnsi="Book Antiqua"/>
        </w:rPr>
        <w:t xml:space="preserve"> 2014; </w:t>
      </w:r>
      <w:r w:rsidRPr="00EE0F2B">
        <w:rPr>
          <w:rFonts w:ascii="Book Antiqua" w:hAnsi="Book Antiqua"/>
          <w:b/>
        </w:rPr>
        <w:t>43</w:t>
      </w:r>
      <w:r w:rsidRPr="00EE0F2B">
        <w:rPr>
          <w:rFonts w:ascii="Book Antiqua" w:hAnsi="Book Antiqua"/>
        </w:rPr>
        <w:t>: 326-333 [PMID: 24610863 DOI: 10.1093/ageing/afu022]</w:t>
      </w:r>
    </w:p>
    <w:p w14:paraId="71EEE602"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14 </w:t>
      </w:r>
      <w:proofErr w:type="spellStart"/>
      <w:r w:rsidRPr="00EE0F2B">
        <w:rPr>
          <w:rFonts w:ascii="Book Antiqua" w:hAnsi="Book Antiqua"/>
          <w:b/>
        </w:rPr>
        <w:t>Srinonprasert</w:t>
      </w:r>
      <w:proofErr w:type="spellEnd"/>
      <w:r w:rsidRPr="00EE0F2B">
        <w:rPr>
          <w:rFonts w:ascii="Book Antiqua" w:hAnsi="Book Antiqua"/>
          <w:b/>
        </w:rPr>
        <w:t xml:space="preserve"> V</w:t>
      </w:r>
      <w:r w:rsidRPr="00EE0F2B">
        <w:rPr>
          <w:rFonts w:ascii="Book Antiqua" w:hAnsi="Book Antiqua"/>
        </w:rPr>
        <w:t xml:space="preserve">, </w:t>
      </w:r>
      <w:proofErr w:type="spellStart"/>
      <w:r w:rsidRPr="00EE0F2B">
        <w:rPr>
          <w:rFonts w:ascii="Book Antiqua" w:hAnsi="Book Antiqua"/>
        </w:rPr>
        <w:t>Pakdeewongse</w:t>
      </w:r>
      <w:proofErr w:type="spellEnd"/>
      <w:r w:rsidRPr="00EE0F2B">
        <w:rPr>
          <w:rFonts w:ascii="Book Antiqua" w:hAnsi="Book Antiqua"/>
        </w:rPr>
        <w:t xml:space="preserve"> S, </w:t>
      </w:r>
      <w:proofErr w:type="spellStart"/>
      <w:r w:rsidRPr="00EE0F2B">
        <w:rPr>
          <w:rFonts w:ascii="Book Antiqua" w:hAnsi="Book Antiqua"/>
        </w:rPr>
        <w:t>Assanasen</w:t>
      </w:r>
      <w:proofErr w:type="spellEnd"/>
      <w:r w:rsidRPr="00EE0F2B">
        <w:rPr>
          <w:rFonts w:ascii="Book Antiqua" w:hAnsi="Book Antiqua"/>
        </w:rPr>
        <w:t xml:space="preserve"> J, </w:t>
      </w:r>
      <w:proofErr w:type="spellStart"/>
      <w:r w:rsidRPr="00EE0F2B">
        <w:rPr>
          <w:rFonts w:ascii="Book Antiqua" w:hAnsi="Book Antiqua"/>
        </w:rPr>
        <w:t>Eiamjinnasuwat</w:t>
      </w:r>
      <w:proofErr w:type="spellEnd"/>
      <w:r w:rsidRPr="00EE0F2B">
        <w:rPr>
          <w:rFonts w:ascii="Book Antiqua" w:hAnsi="Book Antiqua"/>
        </w:rPr>
        <w:t xml:space="preserve"> W, </w:t>
      </w:r>
      <w:proofErr w:type="spellStart"/>
      <w:r w:rsidRPr="00EE0F2B">
        <w:rPr>
          <w:rFonts w:ascii="Book Antiqua" w:hAnsi="Book Antiqua"/>
        </w:rPr>
        <w:t>Sirisuwat</w:t>
      </w:r>
      <w:proofErr w:type="spellEnd"/>
      <w:r w:rsidRPr="00EE0F2B">
        <w:rPr>
          <w:rFonts w:ascii="Book Antiqua" w:hAnsi="Book Antiqua"/>
        </w:rPr>
        <w:t xml:space="preserve"> A, </w:t>
      </w:r>
      <w:proofErr w:type="spellStart"/>
      <w:r w:rsidRPr="00EE0F2B">
        <w:rPr>
          <w:rFonts w:ascii="Book Antiqua" w:hAnsi="Book Antiqua"/>
        </w:rPr>
        <w:t>Limmathuroskul</w:t>
      </w:r>
      <w:proofErr w:type="spellEnd"/>
      <w:r w:rsidRPr="00EE0F2B">
        <w:rPr>
          <w:rFonts w:ascii="Book Antiqua" w:hAnsi="Book Antiqua"/>
        </w:rPr>
        <w:t xml:space="preserve"> D, </w:t>
      </w:r>
      <w:proofErr w:type="spellStart"/>
      <w:r w:rsidRPr="00EE0F2B">
        <w:rPr>
          <w:rFonts w:ascii="Book Antiqua" w:hAnsi="Book Antiqua"/>
        </w:rPr>
        <w:t>Praditsuwan</w:t>
      </w:r>
      <w:proofErr w:type="spellEnd"/>
      <w:r w:rsidRPr="00EE0F2B">
        <w:rPr>
          <w:rFonts w:ascii="Book Antiqua" w:hAnsi="Book Antiqua"/>
        </w:rPr>
        <w:t xml:space="preserve"> R. Risk factors for developing delirium in older patients admitted to general medical wards. </w:t>
      </w:r>
      <w:r w:rsidRPr="00EE0F2B">
        <w:rPr>
          <w:rFonts w:ascii="Book Antiqua" w:hAnsi="Book Antiqua"/>
          <w:i/>
        </w:rPr>
        <w:t>J Med Assoc Thai</w:t>
      </w:r>
      <w:r w:rsidRPr="00EE0F2B">
        <w:rPr>
          <w:rFonts w:ascii="Book Antiqua" w:hAnsi="Book Antiqua"/>
        </w:rPr>
        <w:t xml:space="preserve"> 2011; </w:t>
      </w:r>
      <w:r w:rsidRPr="00EE0F2B">
        <w:rPr>
          <w:rFonts w:ascii="Book Antiqua" w:hAnsi="Book Antiqua"/>
          <w:b/>
        </w:rPr>
        <w:t xml:space="preserve">94 </w:t>
      </w:r>
      <w:proofErr w:type="spellStart"/>
      <w:r w:rsidRPr="00E91C08">
        <w:rPr>
          <w:rFonts w:ascii="Book Antiqua" w:hAnsi="Book Antiqua"/>
        </w:rPr>
        <w:t>Suppl</w:t>
      </w:r>
      <w:proofErr w:type="spellEnd"/>
      <w:r w:rsidRPr="00E91C08">
        <w:rPr>
          <w:rFonts w:ascii="Book Antiqua" w:hAnsi="Book Antiqua"/>
        </w:rPr>
        <w:t xml:space="preserve"> 1:</w:t>
      </w:r>
      <w:r w:rsidRPr="00EE0F2B">
        <w:rPr>
          <w:rFonts w:ascii="Book Antiqua" w:hAnsi="Book Antiqua"/>
        </w:rPr>
        <w:t xml:space="preserve"> S99-104 [PMID: 21721434 DOI: 10.1002/jts.21893]</w:t>
      </w:r>
    </w:p>
    <w:p w14:paraId="74FAD276"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15 </w:t>
      </w:r>
      <w:r w:rsidRPr="00EE0F2B">
        <w:rPr>
          <w:rFonts w:ascii="Book Antiqua" w:hAnsi="Book Antiqua"/>
          <w:b/>
        </w:rPr>
        <w:t>Mason SE</w:t>
      </w:r>
      <w:r w:rsidRPr="00EE0F2B">
        <w:rPr>
          <w:rFonts w:ascii="Book Antiqua" w:hAnsi="Book Antiqua"/>
        </w:rPr>
        <w:t>, Noel-</w:t>
      </w:r>
      <w:proofErr w:type="spellStart"/>
      <w:r w:rsidRPr="00EE0F2B">
        <w:rPr>
          <w:rFonts w:ascii="Book Antiqua" w:hAnsi="Book Antiqua"/>
        </w:rPr>
        <w:t>Storr</w:t>
      </w:r>
      <w:proofErr w:type="spellEnd"/>
      <w:r w:rsidRPr="00EE0F2B">
        <w:rPr>
          <w:rFonts w:ascii="Book Antiqua" w:hAnsi="Book Antiqua"/>
        </w:rPr>
        <w:t xml:space="preserve"> A, Ritchie CW. The impact of general and regional </w:t>
      </w:r>
      <w:proofErr w:type="spellStart"/>
      <w:r w:rsidRPr="00EE0F2B">
        <w:rPr>
          <w:rFonts w:ascii="Book Antiqua" w:hAnsi="Book Antiqua"/>
        </w:rPr>
        <w:t>anesthesia</w:t>
      </w:r>
      <w:proofErr w:type="spellEnd"/>
      <w:r w:rsidRPr="00EE0F2B">
        <w:rPr>
          <w:rFonts w:ascii="Book Antiqua" w:hAnsi="Book Antiqua"/>
        </w:rPr>
        <w:t xml:space="preserve"> on the incidence of post-operative cognitive dysfunction and post-operative delirium: a systematic review with meta-analysis. </w:t>
      </w:r>
      <w:r w:rsidRPr="00EE0F2B">
        <w:rPr>
          <w:rFonts w:ascii="Book Antiqua" w:hAnsi="Book Antiqua"/>
          <w:i/>
        </w:rPr>
        <w:t xml:space="preserve">J </w:t>
      </w:r>
      <w:proofErr w:type="spellStart"/>
      <w:r w:rsidRPr="00EE0F2B">
        <w:rPr>
          <w:rFonts w:ascii="Book Antiqua" w:hAnsi="Book Antiqua"/>
          <w:i/>
        </w:rPr>
        <w:t>Alzheimers</w:t>
      </w:r>
      <w:proofErr w:type="spellEnd"/>
      <w:r w:rsidRPr="00EE0F2B">
        <w:rPr>
          <w:rFonts w:ascii="Book Antiqua" w:hAnsi="Book Antiqua"/>
          <w:i/>
        </w:rPr>
        <w:t xml:space="preserve"> Dis</w:t>
      </w:r>
      <w:r w:rsidRPr="00EE0F2B">
        <w:rPr>
          <w:rFonts w:ascii="Book Antiqua" w:hAnsi="Book Antiqua"/>
        </w:rPr>
        <w:t xml:space="preserve"> 2010; </w:t>
      </w:r>
      <w:r w:rsidRPr="00EE0F2B">
        <w:rPr>
          <w:rFonts w:ascii="Book Antiqua" w:hAnsi="Book Antiqua"/>
          <w:b/>
        </w:rPr>
        <w:t xml:space="preserve">22 </w:t>
      </w:r>
      <w:proofErr w:type="spellStart"/>
      <w:r w:rsidRPr="00EE0F2B">
        <w:rPr>
          <w:rFonts w:ascii="Book Antiqua" w:hAnsi="Book Antiqua"/>
        </w:rPr>
        <w:t>Suppl</w:t>
      </w:r>
      <w:proofErr w:type="spellEnd"/>
      <w:r w:rsidRPr="00EE0F2B">
        <w:rPr>
          <w:rFonts w:ascii="Book Antiqua" w:hAnsi="Book Antiqua"/>
        </w:rPr>
        <w:t xml:space="preserve"> 3: 67-79 [PMID: 20858956 DOI: 10.3233/JAD-2010-101086]</w:t>
      </w:r>
    </w:p>
    <w:p w14:paraId="5568DCE5"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16 </w:t>
      </w:r>
      <w:proofErr w:type="spellStart"/>
      <w:r w:rsidRPr="00EE0F2B">
        <w:rPr>
          <w:rFonts w:ascii="Book Antiqua" w:hAnsi="Book Antiqua"/>
          <w:b/>
        </w:rPr>
        <w:t>Ilango</w:t>
      </w:r>
      <w:proofErr w:type="spellEnd"/>
      <w:r w:rsidRPr="00EE0F2B">
        <w:rPr>
          <w:rFonts w:ascii="Book Antiqua" w:hAnsi="Book Antiqua"/>
          <w:b/>
        </w:rPr>
        <w:t xml:space="preserve"> S</w:t>
      </w:r>
      <w:r w:rsidRPr="00EE0F2B">
        <w:rPr>
          <w:rFonts w:ascii="Book Antiqua" w:hAnsi="Book Antiqua"/>
        </w:rPr>
        <w:t xml:space="preserve">, </w:t>
      </w:r>
      <w:proofErr w:type="spellStart"/>
      <w:r w:rsidRPr="00EE0F2B">
        <w:rPr>
          <w:rFonts w:ascii="Book Antiqua" w:hAnsi="Book Antiqua"/>
        </w:rPr>
        <w:t>Pulle</w:t>
      </w:r>
      <w:proofErr w:type="spellEnd"/>
      <w:r w:rsidRPr="00EE0F2B">
        <w:rPr>
          <w:rFonts w:ascii="Book Antiqua" w:hAnsi="Book Antiqua"/>
        </w:rPr>
        <w:t xml:space="preserve"> RC, Bell J, </w:t>
      </w:r>
      <w:proofErr w:type="spellStart"/>
      <w:r w:rsidRPr="00EE0F2B">
        <w:rPr>
          <w:rFonts w:ascii="Book Antiqua" w:hAnsi="Book Antiqua"/>
        </w:rPr>
        <w:t>Kuys</w:t>
      </w:r>
      <w:proofErr w:type="spellEnd"/>
      <w:r w:rsidRPr="00EE0F2B">
        <w:rPr>
          <w:rFonts w:ascii="Book Antiqua" w:hAnsi="Book Antiqua"/>
        </w:rPr>
        <w:t xml:space="preserve"> SS. General versus spinal anaesthesia and postoperative delirium in an orthogeriatric population. </w:t>
      </w:r>
      <w:proofErr w:type="spellStart"/>
      <w:r w:rsidRPr="00EE0F2B">
        <w:rPr>
          <w:rFonts w:ascii="Book Antiqua" w:hAnsi="Book Antiqua"/>
          <w:i/>
        </w:rPr>
        <w:t>Australas</w:t>
      </w:r>
      <w:proofErr w:type="spellEnd"/>
      <w:r w:rsidRPr="00EE0F2B">
        <w:rPr>
          <w:rFonts w:ascii="Book Antiqua" w:hAnsi="Book Antiqua"/>
          <w:i/>
        </w:rPr>
        <w:t xml:space="preserve"> J Ageing</w:t>
      </w:r>
      <w:r w:rsidRPr="00EE0F2B">
        <w:rPr>
          <w:rFonts w:ascii="Book Antiqua" w:hAnsi="Book Antiqua"/>
        </w:rPr>
        <w:t xml:space="preserve"> 2016; </w:t>
      </w:r>
      <w:r w:rsidRPr="00EE0F2B">
        <w:rPr>
          <w:rFonts w:ascii="Book Antiqua" w:hAnsi="Book Antiqua"/>
          <w:b/>
        </w:rPr>
        <w:t>35</w:t>
      </w:r>
      <w:r w:rsidRPr="00EE0F2B">
        <w:rPr>
          <w:rFonts w:ascii="Book Antiqua" w:hAnsi="Book Antiqua"/>
        </w:rPr>
        <w:t>: 42-47 [PMID: 26364948 DOI: 10.1111/ajag.12212]</w:t>
      </w:r>
    </w:p>
    <w:p w14:paraId="32EF29EA"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17 </w:t>
      </w:r>
      <w:r w:rsidRPr="00EE0F2B">
        <w:rPr>
          <w:rFonts w:ascii="Book Antiqua" w:hAnsi="Book Antiqua"/>
          <w:b/>
        </w:rPr>
        <w:t>Bruce AJ</w:t>
      </w:r>
      <w:r w:rsidRPr="00EE0F2B">
        <w:rPr>
          <w:rFonts w:ascii="Book Antiqua" w:hAnsi="Book Antiqua"/>
        </w:rPr>
        <w:t xml:space="preserve">, Ritchie CW, </w:t>
      </w:r>
      <w:proofErr w:type="spellStart"/>
      <w:r w:rsidRPr="00EE0F2B">
        <w:rPr>
          <w:rFonts w:ascii="Book Antiqua" w:hAnsi="Book Antiqua"/>
        </w:rPr>
        <w:t>Blizard</w:t>
      </w:r>
      <w:proofErr w:type="spellEnd"/>
      <w:r w:rsidRPr="00EE0F2B">
        <w:rPr>
          <w:rFonts w:ascii="Book Antiqua" w:hAnsi="Book Antiqua"/>
        </w:rPr>
        <w:t xml:space="preserve"> R, Lai R, Raven P. The incidence of delirium associated with </w:t>
      </w:r>
      <w:proofErr w:type="spellStart"/>
      <w:r w:rsidRPr="00EE0F2B">
        <w:rPr>
          <w:rFonts w:ascii="Book Antiqua" w:hAnsi="Book Antiqua"/>
        </w:rPr>
        <w:t>orthopedic</w:t>
      </w:r>
      <w:proofErr w:type="spellEnd"/>
      <w:r w:rsidRPr="00EE0F2B">
        <w:rPr>
          <w:rFonts w:ascii="Book Antiqua" w:hAnsi="Book Antiqua"/>
        </w:rPr>
        <w:t xml:space="preserve"> surgery: a meta-analytic review. </w:t>
      </w:r>
      <w:r w:rsidRPr="00EE0F2B">
        <w:rPr>
          <w:rFonts w:ascii="Book Antiqua" w:hAnsi="Book Antiqua"/>
          <w:i/>
        </w:rPr>
        <w:t xml:space="preserve">Int </w:t>
      </w:r>
      <w:proofErr w:type="spellStart"/>
      <w:r w:rsidRPr="00EE0F2B">
        <w:rPr>
          <w:rFonts w:ascii="Book Antiqua" w:hAnsi="Book Antiqua"/>
          <w:i/>
        </w:rPr>
        <w:t>Psychogeriatr</w:t>
      </w:r>
      <w:proofErr w:type="spellEnd"/>
      <w:r w:rsidRPr="00EE0F2B">
        <w:rPr>
          <w:rFonts w:ascii="Book Antiqua" w:hAnsi="Book Antiqua"/>
        </w:rPr>
        <w:t xml:space="preserve"> 2007; </w:t>
      </w:r>
      <w:r w:rsidRPr="00EE0F2B">
        <w:rPr>
          <w:rFonts w:ascii="Book Antiqua" w:hAnsi="Book Antiqua"/>
          <w:b/>
        </w:rPr>
        <w:t>19</w:t>
      </w:r>
      <w:r w:rsidRPr="00EE0F2B">
        <w:rPr>
          <w:rFonts w:ascii="Book Antiqua" w:hAnsi="Book Antiqua"/>
        </w:rPr>
        <w:t>: 197-214 [PMID: 16973101 DOI: 10.1017/S104161020600425X]</w:t>
      </w:r>
    </w:p>
    <w:p w14:paraId="1C27BEFE"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18 </w:t>
      </w:r>
      <w:proofErr w:type="spellStart"/>
      <w:r w:rsidRPr="00EE0F2B">
        <w:rPr>
          <w:rFonts w:ascii="Book Antiqua" w:hAnsi="Book Antiqua"/>
          <w:b/>
        </w:rPr>
        <w:t>Hosker</w:t>
      </w:r>
      <w:proofErr w:type="spellEnd"/>
      <w:r w:rsidRPr="00EE0F2B">
        <w:rPr>
          <w:rFonts w:ascii="Book Antiqua" w:hAnsi="Book Antiqua"/>
          <w:b/>
        </w:rPr>
        <w:t xml:space="preserve"> C</w:t>
      </w:r>
      <w:r w:rsidRPr="00EE0F2B">
        <w:rPr>
          <w:rFonts w:ascii="Book Antiqua" w:hAnsi="Book Antiqua"/>
        </w:rPr>
        <w:t xml:space="preserve">, Ward D. Hypoactive delirium. </w:t>
      </w:r>
      <w:r w:rsidRPr="00EE0F2B">
        <w:rPr>
          <w:rFonts w:ascii="Book Antiqua" w:hAnsi="Book Antiqua"/>
          <w:i/>
        </w:rPr>
        <w:t>BMJ</w:t>
      </w:r>
      <w:r w:rsidRPr="00EE0F2B">
        <w:rPr>
          <w:rFonts w:ascii="Book Antiqua" w:hAnsi="Book Antiqua"/>
        </w:rPr>
        <w:t xml:space="preserve"> 2017; </w:t>
      </w:r>
      <w:r w:rsidRPr="00EE0F2B">
        <w:rPr>
          <w:rFonts w:ascii="Book Antiqua" w:hAnsi="Book Antiqua"/>
          <w:b/>
        </w:rPr>
        <w:t>357</w:t>
      </w:r>
      <w:r w:rsidRPr="00EE0F2B">
        <w:rPr>
          <w:rFonts w:ascii="Book Antiqua" w:hAnsi="Book Antiqua"/>
        </w:rPr>
        <w:t>: j2047 [PMID: 28546253 DOI: 10.1136/bmj.j2047]</w:t>
      </w:r>
    </w:p>
    <w:p w14:paraId="3BD6C69A" w14:textId="637DD989" w:rsidR="00EE0F2B" w:rsidRPr="00EE0F2B" w:rsidRDefault="00EE0F2B" w:rsidP="00EE0F2B">
      <w:pPr>
        <w:spacing w:line="360" w:lineRule="auto"/>
        <w:jc w:val="both"/>
        <w:rPr>
          <w:rFonts w:ascii="Book Antiqua" w:hAnsi="Book Antiqua"/>
        </w:rPr>
      </w:pPr>
      <w:r w:rsidRPr="00EE0F2B">
        <w:rPr>
          <w:rFonts w:ascii="Book Antiqua" w:hAnsi="Book Antiqua"/>
          <w:highlight w:val="yellow"/>
        </w:rPr>
        <w:lastRenderedPageBreak/>
        <w:t xml:space="preserve">19 </w:t>
      </w:r>
      <w:proofErr w:type="spellStart"/>
      <w:r w:rsidRPr="00EE0F2B">
        <w:rPr>
          <w:rFonts w:ascii="Book Antiqua" w:hAnsi="Book Antiqua"/>
          <w:b/>
          <w:highlight w:val="yellow"/>
        </w:rPr>
        <w:t>Waszynski</w:t>
      </w:r>
      <w:proofErr w:type="spellEnd"/>
      <w:r w:rsidRPr="00EE0F2B">
        <w:rPr>
          <w:rFonts w:ascii="Book Antiqua" w:hAnsi="Book Antiqua"/>
          <w:b/>
          <w:highlight w:val="yellow"/>
        </w:rPr>
        <w:t xml:space="preserve"> C</w:t>
      </w:r>
      <w:r w:rsidRPr="00EE0F2B">
        <w:rPr>
          <w:rFonts w:ascii="Book Antiqua" w:hAnsi="Book Antiqua"/>
          <w:highlight w:val="yellow"/>
        </w:rPr>
        <w:t xml:space="preserve">. The Confusion Assessment Method (CAM). The Hartford Institute </w:t>
      </w:r>
      <w:proofErr w:type="gramStart"/>
      <w:r w:rsidRPr="00EE0F2B">
        <w:rPr>
          <w:rFonts w:ascii="Book Antiqua" w:hAnsi="Book Antiqua"/>
          <w:highlight w:val="yellow"/>
        </w:rPr>
        <w:t>For</w:t>
      </w:r>
      <w:proofErr w:type="gramEnd"/>
      <w:r w:rsidRPr="00EE0F2B">
        <w:rPr>
          <w:rFonts w:ascii="Book Antiqua" w:hAnsi="Book Antiqua"/>
          <w:highlight w:val="yellow"/>
        </w:rPr>
        <w:t xml:space="preserve"> Geriatric Nursing, 2002; </w:t>
      </w:r>
      <w:r w:rsidRPr="00EE0F2B">
        <w:rPr>
          <w:rFonts w:ascii="Book Antiqua" w:hAnsi="Book Antiqua"/>
          <w:b/>
          <w:highlight w:val="yellow"/>
        </w:rPr>
        <w:t>13</w:t>
      </w:r>
      <w:r w:rsidRPr="00EE0F2B">
        <w:rPr>
          <w:rFonts w:ascii="Book Antiqua" w:hAnsi="Book Antiqua"/>
          <w:highlight w:val="yellow"/>
        </w:rPr>
        <w:t>: 1-2. Available from: URL: https://geriatrictoolkit.missouri.edu/cog/Confusion-Assessment-Method-delirium.pdf</w:t>
      </w:r>
    </w:p>
    <w:p w14:paraId="398DE1DB"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20 </w:t>
      </w:r>
      <w:r w:rsidRPr="00EE0F2B">
        <w:rPr>
          <w:rFonts w:ascii="Book Antiqua" w:hAnsi="Book Antiqua"/>
          <w:b/>
        </w:rPr>
        <w:t>Inouye SK</w:t>
      </w:r>
      <w:r w:rsidRPr="00EE0F2B">
        <w:rPr>
          <w:rFonts w:ascii="Book Antiqua" w:hAnsi="Book Antiqua"/>
        </w:rPr>
        <w:t xml:space="preserve">, van Dyck CH, Alessi CA, </w:t>
      </w:r>
      <w:proofErr w:type="spellStart"/>
      <w:r w:rsidRPr="00EE0F2B">
        <w:rPr>
          <w:rFonts w:ascii="Book Antiqua" w:hAnsi="Book Antiqua"/>
        </w:rPr>
        <w:t>Balkin</w:t>
      </w:r>
      <w:proofErr w:type="spellEnd"/>
      <w:r w:rsidRPr="00EE0F2B">
        <w:rPr>
          <w:rFonts w:ascii="Book Antiqua" w:hAnsi="Book Antiqua"/>
        </w:rPr>
        <w:t xml:space="preserve"> S, Siegal AP, Horwitz RI. Clarifying confusion: the confusion assessment method. A new method for detection of delirium. </w:t>
      </w:r>
      <w:r w:rsidRPr="00EE0F2B">
        <w:rPr>
          <w:rFonts w:ascii="Book Antiqua" w:hAnsi="Book Antiqua"/>
          <w:i/>
        </w:rPr>
        <w:t>Ann Intern Med</w:t>
      </w:r>
      <w:r w:rsidRPr="00EE0F2B">
        <w:rPr>
          <w:rFonts w:ascii="Book Antiqua" w:hAnsi="Book Antiqua"/>
        </w:rPr>
        <w:t xml:space="preserve"> 1990; </w:t>
      </w:r>
      <w:r w:rsidRPr="00EE0F2B">
        <w:rPr>
          <w:rFonts w:ascii="Book Antiqua" w:hAnsi="Book Antiqua"/>
          <w:b/>
        </w:rPr>
        <w:t>113</w:t>
      </w:r>
      <w:r w:rsidRPr="00EE0F2B">
        <w:rPr>
          <w:rFonts w:ascii="Book Antiqua" w:hAnsi="Book Antiqua"/>
        </w:rPr>
        <w:t>: 941-948 [PMID: 2240918 DOI: 10.7326/0003-4819-113-12-941]</w:t>
      </w:r>
    </w:p>
    <w:p w14:paraId="131E5538"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21 </w:t>
      </w:r>
      <w:r w:rsidRPr="00EE0F2B">
        <w:rPr>
          <w:rFonts w:ascii="Book Antiqua" w:hAnsi="Book Antiqua"/>
          <w:b/>
        </w:rPr>
        <w:t>Wei LA</w:t>
      </w:r>
      <w:r w:rsidRPr="00EE0F2B">
        <w:rPr>
          <w:rFonts w:ascii="Book Antiqua" w:hAnsi="Book Antiqua"/>
        </w:rPr>
        <w:t xml:space="preserve">, Fearing MA, Sternberg EJ, Inouye SK. The Confusion Assessment Method: a systematic review of current usage.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2008; </w:t>
      </w:r>
      <w:r w:rsidRPr="00EE0F2B">
        <w:rPr>
          <w:rFonts w:ascii="Book Antiqua" w:hAnsi="Book Antiqua"/>
          <w:b/>
        </w:rPr>
        <w:t>56</w:t>
      </w:r>
      <w:r w:rsidRPr="00EE0F2B">
        <w:rPr>
          <w:rFonts w:ascii="Book Antiqua" w:hAnsi="Book Antiqua"/>
        </w:rPr>
        <w:t>: 823-830 [PMID: 18384586 DOI: 10.1111/j.1532-5415.2008.01674.x]</w:t>
      </w:r>
    </w:p>
    <w:p w14:paraId="0DB803D6"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22 </w:t>
      </w:r>
      <w:r w:rsidRPr="00EE0F2B">
        <w:rPr>
          <w:rFonts w:ascii="Book Antiqua" w:hAnsi="Book Antiqua"/>
          <w:b/>
        </w:rPr>
        <w:t>Fong TG</w:t>
      </w:r>
      <w:r w:rsidRPr="00EE0F2B">
        <w:rPr>
          <w:rFonts w:ascii="Book Antiqua" w:hAnsi="Book Antiqua"/>
        </w:rPr>
        <w:t xml:space="preserve">, </w:t>
      </w:r>
      <w:proofErr w:type="spellStart"/>
      <w:r w:rsidRPr="00EE0F2B">
        <w:rPr>
          <w:rFonts w:ascii="Book Antiqua" w:hAnsi="Book Antiqua"/>
        </w:rPr>
        <w:t>Tulebaev</w:t>
      </w:r>
      <w:proofErr w:type="spellEnd"/>
      <w:r w:rsidRPr="00EE0F2B">
        <w:rPr>
          <w:rFonts w:ascii="Book Antiqua" w:hAnsi="Book Antiqua"/>
        </w:rPr>
        <w:t xml:space="preserve"> SR, Inouye SK. Delirium in elderly adults: diagnosis, prevention and treatment. </w:t>
      </w:r>
      <w:r w:rsidRPr="00EE0F2B">
        <w:rPr>
          <w:rFonts w:ascii="Book Antiqua" w:hAnsi="Book Antiqua"/>
          <w:i/>
        </w:rPr>
        <w:t xml:space="preserve">Nat Rev </w:t>
      </w:r>
      <w:proofErr w:type="spellStart"/>
      <w:r w:rsidRPr="00EE0F2B">
        <w:rPr>
          <w:rFonts w:ascii="Book Antiqua" w:hAnsi="Book Antiqua"/>
          <w:i/>
        </w:rPr>
        <w:t>Neurol</w:t>
      </w:r>
      <w:proofErr w:type="spellEnd"/>
      <w:r w:rsidRPr="00EE0F2B">
        <w:rPr>
          <w:rFonts w:ascii="Book Antiqua" w:hAnsi="Book Antiqua"/>
        </w:rPr>
        <w:t xml:space="preserve"> 2009; </w:t>
      </w:r>
      <w:r w:rsidRPr="00EE0F2B">
        <w:rPr>
          <w:rFonts w:ascii="Book Antiqua" w:hAnsi="Book Antiqua"/>
          <w:b/>
        </w:rPr>
        <w:t>5</w:t>
      </w:r>
      <w:r w:rsidRPr="00EE0F2B">
        <w:rPr>
          <w:rFonts w:ascii="Book Antiqua" w:hAnsi="Book Antiqua"/>
        </w:rPr>
        <w:t>: 210-220 [PMID: 19347026 DOI: 10.1038/nrneurol.2009.24]</w:t>
      </w:r>
    </w:p>
    <w:p w14:paraId="6777EEF3"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23 </w:t>
      </w:r>
      <w:proofErr w:type="spellStart"/>
      <w:r w:rsidRPr="00EE0F2B">
        <w:rPr>
          <w:rFonts w:ascii="Book Antiqua" w:hAnsi="Book Antiqua"/>
          <w:b/>
        </w:rPr>
        <w:t>Guren</w:t>
      </w:r>
      <w:proofErr w:type="spellEnd"/>
      <w:r w:rsidRPr="00EE0F2B">
        <w:rPr>
          <w:rFonts w:ascii="Book Antiqua" w:hAnsi="Book Antiqua"/>
          <w:b/>
        </w:rPr>
        <w:t xml:space="preserve"> E</w:t>
      </w:r>
      <w:r w:rsidRPr="00EE0F2B">
        <w:rPr>
          <w:rFonts w:ascii="Book Antiqua" w:hAnsi="Book Antiqua"/>
        </w:rPr>
        <w:t xml:space="preserve">, </w:t>
      </w:r>
      <w:proofErr w:type="spellStart"/>
      <w:r w:rsidRPr="00EE0F2B">
        <w:rPr>
          <w:rFonts w:ascii="Book Antiqua" w:hAnsi="Book Antiqua"/>
        </w:rPr>
        <w:t>Figved</w:t>
      </w:r>
      <w:proofErr w:type="spellEnd"/>
      <w:r w:rsidRPr="00EE0F2B">
        <w:rPr>
          <w:rFonts w:ascii="Book Antiqua" w:hAnsi="Book Antiqua"/>
        </w:rPr>
        <w:t xml:space="preserve"> W, </w:t>
      </w:r>
      <w:proofErr w:type="spellStart"/>
      <w:r w:rsidRPr="00EE0F2B">
        <w:rPr>
          <w:rFonts w:ascii="Book Antiqua" w:hAnsi="Book Antiqua"/>
        </w:rPr>
        <w:t>Frihagen</w:t>
      </w:r>
      <w:proofErr w:type="spellEnd"/>
      <w:r w:rsidRPr="00EE0F2B">
        <w:rPr>
          <w:rFonts w:ascii="Book Antiqua" w:hAnsi="Book Antiqua"/>
        </w:rPr>
        <w:t xml:space="preserve"> F, </w:t>
      </w:r>
      <w:proofErr w:type="spellStart"/>
      <w:r w:rsidRPr="00EE0F2B">
        <w:rPr>
          <w:rFonts w:ascii="Book Antiqua" w:hAnsi="Book Antiqua"/>
        </w:rPr>
        <w:t>Watne</w:t>
      </w:r>
      <w:proofErr w:type="spellEnd"/>
      <w:r w:rsidRPr="00EE0F2B">
        <w:rPr>
          <w:rFonts w:ascii="Book Antiqua" w:hAnsi="Book Antiqua"/>
        </w:rPr>
        <w:t xml:space="preserve"> LO, Westberg M. Prosthetic joint infection-a devastating complication of hemiarthroplasty for hip fracture. </w:t>
      </w:r>
      <w:r w:rsidRPr="00EE0F2B">
        <w:rPr>
          <w:rFonts w:ascii="Book Antiqua" w:hAnsi="Book Antiqua"/>
          <w:i/>
        </w:rPr>
        <w:t xml:space="preserve">Acta </w:t>
      </w:r>
      <w:proofErr w:type="spellStart"/>
      <w:r w:rsidRPr="00EE0F2B">
        <w:rPr>
          <w:rFonts w:ascii="Book Antiqua" w:hAnsi="Book Antiqua"/>
          <w:i/>
        </w:rPr>
        <w:t>Orthop</w:t>
      </w:r>
      <w:proofErr w:type="spellEnd"/>
      <w:r w:rsidRPr="00EE0F2B">
        <w:rPr>
          <w:rFonts w:ascii="Book Antiqua" w:hAnsi="Book Antiqua"/>
        </w:rPr>
        <w:t xml:space="preserve"> 2017; </w:t>
      </w:r>
      <w:r w:rsidRPr="00EE0F2B">
        <w:rPr>
          <w:rFonts w:ascii="Book Antiqua" w:hAnsi="Book Antiqua"/>
          <w:b/>
        </w:rPr>
        <w:t>88</w:t>
      </w:r>
      <w:r w:rsidRPr="00EE0F2B">
        <w:rPr>
          <w:rFonts w:ascii="Book Antiqua" w:hAnsi="Book Antiqua"/>
        </w:rPr>
        <w:t>: 383-389 [PMID: 28271919 DOI: 10.1080/17453674.2017.1301009]</w:t>
      </w:r>
    </w:p>
    <w:p w14:paraId="7F16C1AE"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24 </w:t>
      </w:r>
      <w:r w:rsidRPr="00EE0F2B">
        <w:rPr>
          <w:rFonts w:ascii="Book Antiqua" w:hAnsi="Book Antiqua"/>
          <w:b/>
        </w:rPr>
        <w:t>Robinson TN</w:t>
      </w:r>
      <w:r w:rsidRPr="00EE0F2B">
        <w:rPr>
          <w:rFonts w:ascii="Book Antiqua" w:hAnsi="Book Antiqua"/>
        </w:rPr>
        <w:t xml:space="preserve">, Raeburn CD, Tran ZV, Angles EM, Brenner LA, Moss M. Postoperative delirium in the elderly: risk factors and outcomes. </w:t>
      </w:r>
      <w:r w:rsidRPr="00EE0F2B">
        <w:rPr>
          <w:rFonts w:ascii="Book Antiqua" w:hAnsi="Book Antiqua"/>
          <w:i/>
        </w:rPr>
        <w:t xml:space="preserve">Ann </w:t>
      </w:r>
      <w:proofErr w:type="spellStart"/>
      <w:r w:rsidRPr="00EE0F2B">
        <w:rPr>
          <w:rFonts w:ascii="Book Antiqua" w:hAnsi="Book Antiqua"/>
          <w:i/>
        </w:rPr>
        <w:t>Surg</w:t>
      </w:r>
      <w:proofErr w:type="spellEnd"/>
      <w:r w:rsidRPr="00EE0F2B">
        <w:rPr>
          <w:rFonts w:ascii="Book Antiqua" w:hAnsi="Book Antiqua"/>
        </w:rPr>
        <w:t xml:space="preserve"> 2009; </w:t>
      </w:r>
      <w:r w:rsidRPr="00EE0F2B">
        <w:rPr>
          <w:rFonts w:ascii="Book Antiqua" w:hAnsi="Book Antiqua"/>
          <w:b/>
        </w:rPr>
        <w:t>249</w:t>
      </w:r>
      <w:r w:rsidRPr="00EE0F2B">
        <w:rPr>
          <w:rFonts w:ascii="Book Antiqua" w:hAnsi="Book Antiqua"/>
        </w:rPr>
        <w:t>: 173-178 [PMID: 19106695 DOI: 10.1097/SLA.0b013e31818e4776]</w:t>
      </w:r>
    </w:p>
    <w:p w14:paraId="27113583"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25 </w:t>
      </w:r>
      <w:r w:rsidRPr="00EE0F2B">
        <w:rPr>
          <w:rFonts w:ascii="Book Antiqua" w:hAnsi="Book Antiqua"/>
          <w:b/>
        </w:rPr>
        <w:t>Marcantonio ER</w:t>
      </w:r>
      <w:r w:rsidRPr="00EE0F2B">
        <w:rPr>
          <w:rFonts w:ascii="Book Antiqua" w:hAnsi="Book Antiqua"/>
        </w:rPr>
        <w:t xml:space="preserve">, </w:t>
      </w:r>
      <w:proofErr w:type="spellStart"/>
      <w:r w:rsidRPr="00EE0F2B">
        <w:rPr>
          <w:rFonts w:ascii="Book Antiqua" w:hAnsi="Book Antiqua"/>
        </w:rPr>
        <w:t>Flacker</w:t>
      </w:r>
      <w:proofErr w:type="spellEnd"/>
      <w:r w:rsidRPr="00EE0F2B">
        <w:rPr>
          <w:rFonts w:ascii="Book Antiqua" w:hAnsi="Book Antiqua"/>
        </w:rPr>
        <w:t xml:space="preserve"> JM, Wright RJ, Resnick NM. Reducing delirium after hip fracture: a randomized trial.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2001; </w:t>
      </w:r>
      <w:r w:rsidRPr="00EE0F2B">
        <w:rPr>
          <w:rFonts w:ascii="Book Antiqua" w:hAnsi="Book Antiqua"/>
          <w:b/>
        </w:rPr>
        <w:t>49</w:t>
      </w:r>
      <w:r w:rsidRPr="00EE0F2B">
        <w:rPr>
          <w:rFonts w:ascii="Book Antiqua" w:hAnsi="Book Antiqua"/>
        </w:rPr>
        <w:t>: 516-522 [PMID: 11380742 DOI: 10.1111/j.1532-5415.2005.53305.x]</w:t>
      </w:r>
    </w:p>
    <w:p w14:paraId="5A3E9B76"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26 </w:t>
      </w:r>
      <w:r w:rsidRPr="00EE0F2B">
        <w:rPr>
          <w:rFonts w:ascii="Book Antiqua" w:hAnsi="Book Antiqua"/>
          <w:b/>
        </w:rPr>
        <w:t>Rudolph JL</w:t>
      </w:r>
      <w:r w:rsidRPr="00EE0F2B">
        <w:rPr>
          <w:rFonts w:ascii="Book Antiqua" w:hAnsi="Book Antiqua"/>
        </w:rPr>
        <w:t xml:space="preserve">, Inouye SK, Jones RN, Yang FM, Fong TG, </w:t>
      </w:r>
      <w:proofErr w:type="spellStart"/>
      <w:r w:rsidRPr="00EE0F2B">
        <w:rPr>
          <w:rFonts w:ascii="Book Antiqua" w:hAnsi="Book Antiqua"/>
        </w:rPr>
        <w:t>Levkoff</w:t>
      </w:r>
      <w:proofErr w:type="spellEnd"/>
      <w:r w:rsidRPr="00EE0F2B">
        <w:rPr>
          <w:rFonts w:ascii="Book Antiqua" w:hAnsi="Book Antiqua"/>
        </w:rPr>
        <w:t xml:space="preserve"> SE, Marcantonio ER. Delirium: an independent predictor of functional decline after cardiac surgery.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2010; </w:t>
      </w:r>
      <w:r w:rsidRPr="00EE0F2B">
        <w:rPr>
          <w:rFonts w:ascii="Book Antiqua" w:hAnsi="Book Antiqua"/>
          <w:b/>
        </w:rPr>
        <w:t>58</w:t>
      </w:r>
      <w:r w:rsidRPr="00EE0F2B">
        <w:rPr>
          <w:rFonts w:ascii="Book Antiqua" w:hAnsi="Book Antiqua"/>
        </w:rPr>
        <w:t>: 643-649 [PMID: 20345866 DOI: 10.1111/j.1532-5415.2010.02762.x]</w:t>
      </w:r>
    </w:p>
    <w:p w14:paraId="2EDED28A"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27 </w:t>
      </w:r>
      <w:proofErr w:type="spellStart"/>
      <w:r w:rsidRPr="00EE0F2B">
        <w:rPr>
          <w:rFonts w:ascii="Book Antiqua" w:hAnsi="Book Antiqua"/>
          <w:b/>
        </w:rPr>
        <w:t>McCusker</w:t>
      </w:r>
      <w:proofErr w:type="spellEnd"/>
      <w:r w:rsidRPr="00EE0F2B">
        <w:rPr>
          <w:rFonts w:ascii="Book Antiqua" w:hAnsi="Book Antiqua"/>
          <w:b/>
        </w:rPr>
        <w:t xml:space="preserve"> J</w:t>
      </w:r>
      <w:r w:rsidRPr="00EE0F2B">
        <w:rPr>
          <w:rFonts w:ascii="Book Antiqua" w:hAnsi="Book Antiqua"/>
        </w:rPr>
        <w:t xml:space="preserve">, Cole M, </w:t>
      </w:r>
      <w:proofErr w:type="spellStart"/>
      <w:r w:rsidRPr="00EE0F2B">
        <w:rPr>
          <w:rFonts w:ascii="Book Antiqua" w:hAnsi="Book Antiqua"/>
        </w:rPr>
        <w:t>Abrahamowicz</w:t>
      </w:r>
      <w:proofErr w:type="spellEnd"/>
      <w:r w:rsidRPr="00EE0F2B">
        <w:rPr>
          <w:rFonts w:ascii="Book Antiqua" w:hAnsi="Book Antiqua"/>
        </w:rPr>
        <w:t xml:space="preserve"> M, </w:t>
      </w:r>
      <w:proofErr w:type="spellStart"/>
      <w:r w:rsidRPr="00EE0F2B">
        <w:rPr>
          <w:rFonts w:ascii="Book Antiqua" w:hAnsi="Book Antiqua"/>
        </w:rPr>
        <w:t>Primeau</w:t>
      </w:r>
      <w:proofErr w:type="spellEnd"/>
      <w:r w:rsidRPr="00EE0F2B">
        <w:rPr>
          <w:rFonts w:ascii="Book Antiqua" w:hAnsi="Book Antiqua"/>
        </w:rPr>
        <w:t xml:space="preserve"> F, </w:t>
      </w:r>
      <w:proofErr w:type="spellStart"/>
      <w:r w:rsidRPr="00EE0F2B">
        <w:rPr>
          <w:rFonts w:ascii="Book Antiqua" w:hAnsi="Book Antiqua"/>
        </w:rPr>
        <w:t>Belzile</w:t>
      </w:r>
      <w:proofErr w:type="spellEnd"/>
      <w:r w:rsidRPr="00EE0F2B">
        <w:rPr>
          <w:rFonts w:ascii="Book Antiqua" w:hAnsi="Book Antiqua"/>
        </w:rPr>
        <w:t xml:space="preserve"> E. Delirium predicts 12-month mortality. </w:t>
      </w:r>
      <w:r w:rsidRPr="00EE0F2B">
        <w:rPr>
          <w:rFonts w:ascii="Book Antiqua" w:hAnsi="Book Antiqua"/>
          <w:i/>
        </w:rPr>
        <w:t>Arch Intern Med</w:t>
      </w:r>
      <w:r w:rsidRPr="00EE0F2B">
        <w:rPr>
          <w:rFonts w:ascii="Book Antiqua" w:hAnsi="Book Antiqua"/>
        </w:rPr>
        <w:t xml:space="preserve"> 2002; </w:t>
      </w:r>
      <w:r w:rsidRPr="00EE0F2B">
        <w:rPr>
          <w:rFonts w:ascii="Book Antiqua" w:hAnsi="Book Antiqua"/>
          <w:b/>
        </w:rPr>
        <w:t>162</w:t>
      </w:r>
      <w:r w:rsidRPr="00EE0F2B">
        <w:rPr>
          <w:rFonts w:ascii="Book Antiqua" w:hAnsi="Book Antiqua"/>
        </w:rPr>
        <w:t>: 457-463 [PMID: 11863480]</w:t>
      </w:r>
    </w:p>
    <w:p w14:paraId="353FB55A"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28 </w:t>
      </w:r>
      <w:r w:rsidRPr="00EE0F2B">
        <w:rPr>
          <w:rFonts w:ascii="Book Antiqua" w:hAnsi="Book Antiqua"/>
          <w:b/>
        </w:rPr>
        <w:t>Breitbart W</w:t>
      </w:r>
      <w:r w:rsidRPr="00EE0F2B">
        <w:rPr>
          <w:rFonts w:ascii="Book Antiqua" w:hAnsi="Book Antiqua"/>
        </w:rPr>
        <w:t xml:space="preserve">, Gibson C, Tremblay A. The delirium experience: delirium recall and delirium-related distress in hospitalized patients with cancer, their spouses/caregivers, </w:t>
      </w:r>
      <w:r w:rsidRPr="00EE0F2B">
        <w:rPr>
          <w:rFonts w:ascii="Book Antiqua" w:hAnsi="Book Antiqua"/>
        </w:rPr>
        <w:lastRenderedPageBreak/>
        <w:t xml:space="preserve">and their nurses. </w:t>
      </w:r>
      <w:r w:rsidRPr="00EE0F2B">
        <w:rPr>
          <w:rFonts w:ascii="Book Antiqua" w:hAnsi="Book Antiqua"/>
          <w:i/>
        </w:rPr>
        <w:t>Psychosomatics</w:t>
      </w:r>
      <w:r w:rsidRPr="00EE0F2B">
        <w:rPr>
          <w:rFonts w:ascii="Book Antiqua" w:hAnsi="Book Antiqua"/>
        </w:rPr>
        <w:t xml:space="preserve"> 2002; </w:t>
      </w:r>
      <w:r w:rsidRPr="00EE0F2B">
        <w:rPr>
          <w:rFonts w:ascii="Book Antiqua" w:hAnsi="Book Antiqua"/>
          <w:b/>
        </w:rPr>
        <w:t>43</w:t>
      </w:r>
      <w:r w:rsidRPr="00EE0F2B">
        <w:rPr>
          <w:rFonts w:ascii="Book Antiqua" w:hAnsi="Book Antiqua"/>
        </w:rPr>
        <w:t>: 183-194 [PMID: 12075033 DOI: 10.1176/appi.psy.43.3.183]</w:t>
      </w:r>
    </w:p>
    <w:p w14:paraId="681D0087"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29 </w:t>
      </w:r>
      <w:proofErr w:type="spellStart"/>
      <w:r w:rsidRPr="00EE0F2B">
        <w:rPr>
          <w:rFonts w:ascii="Book Antiqua" w:hAnsi="Book Antiqua"/>
          <w:b/>
        </w:rPr>
        <w:t>Bruera</w:t>
      </w:r>
      <w:proofErr w:type="spellEnd"/>
      <w:r w:rsidRPr="00EE0F2B">
        <w:rPr>
          <w:rFonts w:ascii="Book Antiqua" w:hAnsi="Book Antiqua"/>
          <w:b/>
        </w:rPr>
        <w:t xml:space="preserve"> E</w:t>
      </w:r>
      <w:r w:rsidRPr="00EE0F2B">
        <w:rPr>
          <w:rFonts w:ascii="Book Antiqua" w:hAnsi="Book Antiqua"/>
        </w:rPr>
        <w:t xml:space="preserve">, Bush SH, Willey J, Paraskevopoulos T, Li Z, Palmer JL, Cohen MZ, </w:t>
      </w:r>
      <w:proofErr w:type="spellStart"/>
      <w:r w:rsidRPr="00EE0F2B">
        <w:rPr>
          <w:rFonts w:ascii="Book Antiqua" w:hAnsi="Book Antiqua"/>
        </w:rPr>
        <w:t>Sivesind</w:t>
      </w:r>
      <w:proofErr w:type="spellEnd"/>
      <w:r w:rsidRPr="00EE0F2B">
        <w:rPr>
          <w:rFonts w:ascii="Book Antiqua" w:hAnsi="Book Antiqua"/>
        </w:rPr>
        <w:t xml:space="preserve"> D, </w:t>
      </w:r>
      <w:proofErr w:type="spellStart"/>
      <w:r w:rsidRPr="00EE0F2B">
        <w:rPr>
          <w:rFonts w:ascii="Book Antiqua" w:hAnsi="Book Antiqua"/>
        </w:rPr>
        <w:t>Elsayem</w:t>
      </w:r>
      <w:proofErr w:type="spellEnd"/>
      <w:r w:rsidRPr="00EE0F2B">
        <w:rPr>
          <w:rFonts w:ascii="Book Antiqua" w:hAnsi="Book Antiqua"/>
        </w:rPr>
        <w:t xml:space="preserve"> A. Impact of delirium and recall on the level of distress in patients with advanced cancer and their family caregivers. </w:t>
      </w:r>
      <w:r w:rsidRPr="00EE0F2B">
        <w:rPr>
          <w:rFonts w:ascii="Book Antiqua" w:hAnsi="Book Antiqua"/>
          <w:i/>
        </w:rPr>
        <w:t>Cancer</w:t>
      </w:r>
      <w:r w:rsidRPr="00EE0F2B">
        <w:rPr>
          <w:rFonts w:ascii="Book Antiqua" w:hAnsi="Book Antiqua"/>
        </w:rPr>
        <w:t xml:space="preserve"> 2009; </w:t>
      </w:r>
      <w:r w:rsidRPr="00EE0F2B">
        <w:rPr>
          <w:rFonts w:ascii="Book Antiqua" w:hAnsi="Book Antiqua"/>
          <w:b/>
        </w:rPr>
        <w:t>115</w:t>
      </w:r>
      <w:r w:rsidRPr="00EE0F2B">
        <w:rPr>
          <w:rFonts w:ascii="Book Antiqua" w:hAnsi="Book Antiqua"/>
        </w:rPr>
        <w:t>: 2004-2012 [PMID: 19241420 DOI: 10.1002/cncr.24215]</w:t>
      </w:r>
    </w:p>
    <w:p w14:paraId="3BAA3C25"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30 </w:t>
      </w:r>
      <w:r w:rsidRPr="00EE0F2B">
        <w:rPr>
          <w:rFonts w:ascii="Book Antiqua" w:hAnsi="Book Antiqua"/>
          <w:b/>
        </w:rPr>
        <w:t>Partridge JS</w:t>
      </w:r>
      <w:r w:rsidRPr="00EE0F2B">
        <w:rPr>
          <w:rFonts w:ascii="Book Antiqua" w:hAnsi="Book Antiqua"/>
        </w:rPr>
        <w:t xml:space="preserve">, Martin FC, Harari D, </w:t>
      </w:r>
      <w:proofErr w:type="spellStart"/>
      <w:r w:rsidRPr="00EE0F2B">
        <w:rPr>
          <w:rFonts w:ascii="Book Antiqua" w:hAnsi="Book Antiqua"/>
        </w:rPr>
        <w:t>Dhesi</w:t>
      </w:r>
      <w:proofErr w:type="spellEnd"/>
      <w:r w:rsidRPr="00EE0F2B">
        <w:rPr>
          <w:rFonts w:ascii="Book Antiqua" w:hAnsi="Book Antiqua"/>
        </w:rPr>
        <w:t xml:space="preserve"> JK. The delirium experience: what is the effect on patients, relatives and staff and what can be done to modify this? </w:t>
      </w:r>
      <w:r w:rsidRPr="00EE0F2B">
        <w:rPr>
          <w:rFonts w:ascii="Book Antiqua" w:hAnsi="Book Antiqua"/>
          <w:i/>
        </w:rPr>
        <w:t xml:space="preserve">Int J </w:t>
      </w:r>
      <w:proofErr w:type="spellStart"/>
      <w:r w:rsidRPr="00EE0F2B">
        <w:rPr>
          <w:rFonts w:ascii="Book Antiqua" w:hAnsi="Book Antiqua"/>
          <w:i/>
        </w:rPr>
        <w:t>Geriatr</w:t>
      </w:r>
      <w:proofErr w:type="spellEnd"/>
      <w:r w:rsidRPr="00EE0F2B">
        <w:rPr>
          <w:rFonts w:ascii="Book Antiqua" w:hAnsi="Book Antiqua"/>
          <w:i/>
        </w:rPr>
        <w:t xml:space="preserve"> Psychiatry</w:t>
      </w:r>
      <w:r w:rsidRPr="00EE0F2B">
        <w:rPr>
          <w:rFonts w:ascii="Book Antiqua" w:hAnsi="Book Antiqua"/>
        </w:rPr>
        <w:t xml:space="preserve"> 2013; </w:t>
      </w:r>
      <w:r w:rsidRPr="00EE0F2B">
        <w:rPr>
          <w:rFonts w:ascii="Book Antiqua" w:hAnsi="Book Antiqua"/>
          <w:b/>
        </w:rPr>
        <w:t>28</w:t>
      </w:r>
      <w:r w:rsidRPr="00EE0F2B">
        <w:rPr>
          <w:rFonts w:ascii="Book Antiqua" w:hAnsi="Book Antiqua"/>
        </w:rPr>
        <w:t>: 804-812 [PMID: 23112139 DOI: 10.1002/gps.3900]</w:t>
      </w:r>
    </w:p>
    <w:p w14:paraId="0CD23003"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31 </w:t>
      </w:r>
      <w:r w:rsidRPr="00EE0F2B">
        <w:rPr>
          <w:rFonts w:ascii="Book Antiqua" w:hAnsi="Book Antiqua"/>
          <w:b/>
        </w:rPr>
        <w:t>Flaherty JH</w:t>
      </w:r>
      <w:r w:rsidRPr="00EE0F2B">
        <w:rPr>
          <w:rFonts w:ascii="Book Antiqua" w:hAnsi="Book Antiqua"/>
        </w:rPr>
        <w:t xml:space="preserve">, Gonzales JP, Dong B. Antipsychotics in the treatment of delirium in older hospitalized adults: a systematic review.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2011; </w:t>
      </w:r>
      <w:r w:rsidRPr="00EE0F2B">
        <w:rPr>
          <w:rFonts w:ascii="Book Antiqua" w:hAnsi="Book Antiqua"/>
          <w:b/>
        </w:rPr>
        <w:t xml:space="preserve">59 </w:t>
      </w:r>
      <w:proofErr w:type="spellStart"/>
      <w:r w:rsidRPr="00EE0F2B">
        <w:rPr>
          <w:rFonts w:ascii="Book Antiqua" w:hAnsi="Book Antiqua"/>
          <w:b/>
        </w:rPr>
        <w:t>Suppl</w:t>
      </w:r>
      <w:proofErr w:type="spellEnd"/>
      <w:r w:rsidRPr="00EE0F2B">
        <w:rPr>
          <w:rFonts w:ascii="Book Antiqua" w:hAnsi="Book Antiqua"/>
          <w:b/>
        </w:rPr>
        <w:t xml:space="preserve"> 2</w:t>
      </w:r>
      <w:r w:rsidRPr="00EE0F2B">
        <w:rPr>
          <w:rFonts w:ascii="Book Antiqua" w:hAnsi="Book Antiqua"/>
        </w:rPr>
        <w:t>: S269-S276 [PMID: 22091572 DOI: 10.1111/j.1532-5415.2011.03675.x]</w:t>
      </w:r>
    </w:p>
    <w:p w14:paraId="76888B06"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32 </w:t>
      </w:r>
      <w:r w:rsidRPr="00EE0F2B">
        <w:rPr>
          <w:rFonts w:ascii="Book Antiqua" w:hAnsi="Book Antiqua"/>
          <w:b/>
        </w:rPr>
        <w:t>Inouye SK</w:t>
      </w:r>
      <w:r w:rsidRPr="00EE0F2B">
        <w:rPr>
          <w:rFonts w:ascii="Book Antiqua" w:hAnsi="Book Antiqua"/>
        </w:rPr>
        <w:t xml:space="preserve">, Bogardus ST Jr, Baker DI, Leo-Summers L, Cooney LM Jr. The Hospital Elder Life Program: a model of care to prevent cognitive and functional decline in older hospitalized patients. Hospital Elder Life Program.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2000; </w:t>
      </w:r>
      <w:r w:rsidRPr="00EE0F2B">
        <w:rPr>
          <w:rFonts w:ascii="Book Antiqua" w:hAnsi="Book Antiqua"/>
          <w:b/>
        </w:rPr>
        <w:t>48</w:t>
      </w:r>
      <w:r w:rsidRPr="00EE0F2B">
        <w:rPr>
          <w:rFonts w:ascii="Book Antiqua" w:hAnsi="Book Antiqua"/>
        </w:rPr>
        <w:t>: 1697-1706 [PMID: 11129764 DOI: 10.1111/j.1532-5415.2000.tb03885.x]</w:t>
      </w:r>
    </w:p>
    <w:p w14:paraId="6F4A5E43"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33 </w:t>
      </w:r>
      <w:r w:rsidRPr="00EE0F2B">
        <w:rPr>
          <w:rFonts w:ascii="Book Antiqua" w:hAnsi="Book Antiqua"/>
          <w:b/>
        </w:rPr>
        <w:t>Shields L</w:t>
      </w:r>
      <w:r w:rsidRPr="00EE0F2B">
        <w:rPr>
          <w:rFonts w:ascii="Book Antiqua" w:hAnsi="Book Antiqua"/>
        </w:rPr>
        <w:t xml:space="preserve">, Henderson V, </w:t>
      </w:r>
      <w:proofErr w:type="spellStart"/>
      <w:r w:rsidRPr="00EE0F2B">
        <w:rPr>
          <w:rFonts w:ascii="Book Antiqua" w:hAnsi="Book Antiqua"/>
        </w:rPr>
        <w:t>Caslake</w:t>
      </w:r>
      <w:proofErr w:type="spellEnd"/>
      <w:r w:rsidRPr="00EE0F2B">
        <w:rPr>
          <w:rFonts w:ascii="Book Antiqua" w:hAnsi="Book Antiqua"/>
        </w:rPr>
        <w:t xml:space="preserve"> R. Comprehensive Geriatric Assessment for Prevention of Delirium After Hip Fracture: A Systematic Review of Randomized Controlled Trials.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2017; </w:t>
      </w:r>
      <w:r w:rsidRPr="00EE0F2B">
        <w:rPr>
          <w:rFonts w:ascii="Book Antiqua" w:hAnsi="Book Antiqua"/>
          <w:b/>
        </w:rPr>
        <w:t>65</w:t>
      </w:r>
      <w:r w:rsidRPr="00EE0F2B">
        <w:rPr>
          <w:rFonts w:ascii="Book Antiqua" w:hAnsi="Book Antiqua"/>
        </w:rPr>
        <w:t>: 1559-1565 [PMID: 28407199 DOI: 10.1111/jgs.14846]</w:t>
      </w:r>
    </w:p>
    <w:p w14:paraId="130F1E90"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34 </w:t>
      </w:r>
      <w:r w:rsidRPr="00EE0F2B">
        <w:rPr>
          <w:rFonts w:ascii="Book Antiqua" w:hAnsi="Book Antiqua"/>
          <w:b/>
        </w:rPr>
        <w:t>Morrison RS</w:t>
      </w:r>
      <w:r w:rsidRPr="00EE0F2B">
        <w:rPr>
          <w:rFonts w:ascii="Book Antiqua" w:hAnsi="Book Antiqua"/>
        </w:rPr>
        <w:t xml:space="preserve">, </w:t>
      </w:r>
      <w:proofErr w:type="spellStart"/>
      <w:r w:rsidRPr="00EE0F2B">
        <w:rPr>
          <w:rFonts w:ascii="Book Antiqua" w:hAnsi="Book Antiqua"/>
        </w:rPr>
        <w:t>Magaziner</w:t>
      </w:r>
      <w:proofErr w:type="spellEnd"/>
      <w:r w:rsidRPr="00EE0F2B">
        <w:rPr>
          <w:rFonts w:ascii="Book Antiqua" w:hAnsi="Book Antiqua"/>
        </w:rPr>
        <w:t xml:space="preserve"> J, Gilbert M, </w:t>
      </w:r>
      <w:proofErr w:type="spellStart"/>
      <w:r w:rsidRPr="00EE0F2B">
        <w:rPr>
          <w:rFonts w:ascii="Book Antiqua" w:hAnsi="Book Antiqua"/>
        </w:rPr>
        <w:t>Koval</w:t>
      </w:r>
      <w:proofErr w:type="spellEnd"/>
      <w:r w:rsidRPr="00EE0F2B">
        <w:rPr>
          <w:rFonts w:ascii="Book Antiqua" w:hAnsi="Book Antiqua"/>
        </w:rPr>
        <w:t xml:space="preserve"> KJ, McLaughlin MA, </w:t>
      </w:r>
      <w:proofErr w:type="spellStart"/>
      <w:r w:rsidRPr="00EE0F2B">
        <w:rPr>
          <w:rFonts w:ascii="Book Antiqua" w:hAnsi="Book Antiqua"/>
        </w:rPr>
        <w:t>Orosz</w:t>
      </w:r>
      <w:proofErr w:type="spellEnd"/>
      <w:r w:rsidRPr="00EE0F2B">
        <w:rPr>
          <w:rFonts w:ascii="Book Antiqua" w:hAnsi="Book Antiqua"/>
        </w:rPr>
        <w:t xml:space="preserve"> G, Strauss E, Siu AL. Relationship between pain and opioid analgesics on the development of delirium following hip fracture. </w:t>
      </w:r>
      <w:r w:rsidRPr="00EE0F2B">
        <w:rPr>
          <w:rFonts w:ascii="Book Antiqua" w:hAnsi="Book Antiqua"/>
          <w:i/>
        </w:rPr>
        <w:t xml:space="preserve">J </w:t>
      </w:r>
      <w:proofErr w:type="spellStart"/>
      <w:r w:rsidRPr="00EE0F2B">
        <w:rPr>
          <w:rFonts w:ascii="Book Antiqua" w:hAnsi="Book Antiqua"/>
          <w:i/>
        </w:rPr>
        <w:t>Gerontol</w:t>
      </w:r>
      <w:proofErr w:type="spellEnd"/>
      <w:r w:rsidRPr="00EE0F2B">
        <w:rPr>
          <w:rFonts w:ascii="Book Antiqua" w:hAnsi="Book Antiqua"/>
          <w:i/>
        </w:rPr>
        <w:t xml:space="preserve"> A </w:t>
      </w:r>
      <w:proofErr w:type="spellStart"/>
      <w:r w:rsidRPr="00EE0F2B">
        <w:rPr>
          <w:rFonts w:ascii="Book Antiqua" w:hAnsi="Book Antiqua"/>
          <w:i/>
        </w:rPr>
        <w:t>Biol</w:t>
      </w:r>
      <w:proofErr w:type="spellEnd"/>
      <w:r w:rsidRPr="00EE0F2B">
        <w:rPr>
          <w:rFonts w:ascii="Book Antiqua" w:hAnsi="Book Antiqua"/>
          <w:i/>
        </w:rPr>
        <w:t xml:space="preserve"> Sci Med Sci</w:t>
      </w:r>
      <w:r w:rsidRPr="00EE0F2B">
        <w:rPr>
          <w:rFonts w:ascii="Book Antiqua" w:hAnsi="Book Antiqua"/>
        </w:rPr>
        <w:t xml:space="preserve"> 2003; </w:t>
      </w:r>
      <w:r w:rsidRPr="00EE0F2B">
        <w:rPr>
          <w:rFonts w:ascii="Book Antiqua" w:hAnsi="Book Antiqua"/>
          <w:b/>
        </w:rPr>
        <w:t>58</w:t>
      </w:r>
      <w:r w:rsidRPr="00EE0F2B">
        <w:rPr>
          <w:rFonts w:ascii="Book Antiqua" w:hAnsi="Book Antiqua"/>
        </w:rPr>
        <w:t>: 76-81 [PMID: 12560416 DOI: 10.1093/</w:t>
      </w:r>
      <w:proofErr w:type="spellStart"/>
      <w:r w:rsidRPr="00EE0F2B">
        <w:rPr>
          <w:rFonts w:ascii="Book Antiqua" w:hAnsi="Book Antiqua"/>
        </w:rPr>
        <w:t>gerona</w:t>
      </w:r>
      <w:proofErr w:type="spellEnd"/>
      <w:r w:rsidRPr="00EE0F2B">
        <w:rPr>
          <w:rFonts w:ascii="Book Antiqua" w:hAnsi="Book Antiqua"/>
        </w:rPr>
        <w:t>/58.1.M76]</w:t>
      </w:r>
    </w:p>
    <w:p w14:paraId="46143548"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35 </w:t>
      </w:r>
      <w:proofErr w:type="spellStart"/>
      <w:r w:rsidRPr="00EE0F2B">
        <w:rPr>
          <w:rFonts w:ascii="Book Antiqua" w:hAnsi="Book Antiqua"/>
          <w:b/>
        </w:rPr>
        <w:t>Vaurio</w:t>
      </w:r>
      <w:proofErr w:type="spellEnd"/>
      <w:r w:rsidRPr="00EE0F2B">
        <w:rPr>
          <w:rFonts w:ascii="Book Antiqua" w:hAnsi="Book Antiqua"/>
          <w:b/>
        </w:rPr>
        <w:t xml:space="preserve"> LE</w:t>
      </w:r>
      <w:r w:rsidRPr="00EE0F2B">
        <w:rPr>
          <w:rFonts w:ascii="Book Antiqua" w:hAnsi="Book Antiqua"/>
        </w:rPr>
        <w:t xml:space="preserve">, Sands LP, Wang Y, Mullen EA, Leung JM. Postoperative delirium: the importance of pain and pain management. </w:t>
      </w:r>
      <w:proofErr w:type="spellStart"/>
      <w:r w:rsidRPr="00EE0F2B">
        <w:rPr>
          <w:rFonts w:ascii="Book Antiqua" w:hAnsi="Book Antiqua"/>
          <w:i/>
        </w:rPr>
        <w:t>Anesth</w:t>
      </w:r>
      <w:proofErr w:type="spellEnd"/>
      <w:r w:rsidRPr="00EE0F2B">
        <w:rPr>
          <w:rFonts w:ascii="Book Antiqua" w:hAnsi="Book Antiqua"/>
          <w:i/>
        </w:rPr>
        <w:t xml:space="preserve"> </w:t>
      </w:r>
      <w:proofErr w:type="spellStart"/>
      <w:r w:rsidRPr="00EE0F2B">
        <w:rPr>
          <w:rFonts w:ascii="Book Antiqua" w:hAnsi="Book Antiqua"/>
          <w:i/>
        </w:rPr>
        <w:t>Analg</w:t>
      </w:r>
      <w:proofErr w:type="spellEnd"/>
      <w:r w:rsidRPr="00EE0F2B">
        <w:rPr>
          <w:rFonts w:ascii="Book Antiqua" w:hAnsi="Book Antiqua"/>
        </w:rPr>
        <w:t xml:space="preserve"> 2006; </w:t>
      </w:r>
      <w:r w:rsidRPr="00EE0F2B">
        <w:rPr>
          <w:rFonts w:ascii="Book Antiqua" w:hAnsi="Book Antiqua"/>
          <w:b/>
        </w:rPr>
        <w:t>102</w:t>
      </w:r>
      <w:r w:rsidRPr="00EE0F2B">
        <w:rPr>
          <w:rFonts w:ascii="Book Antiqua" w:hAnsi="Book Antiqua"/>
        </w:rPr>
        <w:t>: 1267-1273 [PMID: 16551935 DOI: 10.1213/01.ane.0000199156.59226.af]</w:t>
      </w:r>
    </w:p>
    <w:p w14:paraId="104CE320"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36 </w:t>
      </w:r>
      <w:proofErr w:type="spellStart"/>
      <w:r w:rsidRPr="00EE0F2B">
        <w:rPr>
          <w:rFonts w:ascii="Book Antiqua" w:hAnsi="Book Antiqua"/>
          <w:b/>
        </w:rPr>
        <w:t>Kalisvaart</w:t>
      </w:r>
      <w:proofErr w:type="spellEnd"/>
      <w:r w:rsidRPr="00EE0F2B">
        <w:rPr>
          <w:rFonts w:ascii="Book Antiqua" w:hAnsi="Book Antiqua"/>
          <w:b/>
        </w:rPr>
        <w:t xml:space="preserve"> KJ</w:t>
      </w:r>
      <w:r w:rsidRPr="00EE0F2B">
        <w:rPr>
          <w:rFonts w:ascii="Book Antiqua" w:hAnsi="Book Antiqua"/>
        </w:rPr>
        <w:t xml:space="preserve">, de </w:t>
      </w:r>
      <w:proofErr w:type="spellStart"/>
      <w:r w:rsidRPr="00EE0F2B">
        <w:rPr>
          <w:rFonts w:ascii="Book Antiqua" w:hAnsi="Book Antiqua"/>
        </w:rPr>
        <w:t>Jonghe</w:t>
      </w:r>
      <w:proofErr w:type="spellEnd"/>
      <w:r w:rsidRPr="00EE0F2B">
        <w:rPr>
          <w:rFonts w:ascii="Book Antiqua" w:hAnsi="Book Antiqua"/>
        </w:rPr>
        <w:t xml:space="preserve"> JF, </w:t>
      </w:r>
      <w:proofErr w:type="spellStart"/>
      <w:r w:rsidRPr="00EE0F2B">
        <w:rPr>
          <w:rFonts w:ascii="Book Antiqua" w:hAnsi="Book Antiqua"/>
        </w:rPr>
        <w:t>Bogaards</w:t>
      </w:r>
      <w:proofErr w:type="spellEnd"/>
      <w:r w:rsidRPr="00EE0F2B">
        <w:rPr>
          <w:rFonts w:ascii="Book Antiqua" w:hAnsi="Book Antiqua"/>
        </w:rPr>
        <w:t xml:space="preserve"> MJ, </w:t>
      </w:r>
      <w:proofErr w:type="spellStart"/>
      <w:r w:rsidRPr="00EE0F2B">
        <w:rPr>
          <w:rFonts w:ascii="Book Antiqua" w:hAnsi="Book Antiqua"/>
        </w:rPr>
        <w:t>Vreeswijk</w:t>
      </w:r>
      <w:proofErr w:type="spellEnd"/>
      <w:r w:rsidRPr="00EE0F2B">
        <w:rPr>
          <w:rFonts w:ascii="Book Antiqua" w:hAnsi="Book Antiqua"/>
        </w:rPr>
        <w:t xml:space="preserve"> R, Egberts TC, Burger BJ, </w:t>
      </w:r>
      <w:proofErr w:type="spellStart"/>
      <w:r w:rsidRPr="00EE0F2B">
        <w:rPr>
          <w:rFonts w:ascii="Book Antiqua" w:hAnsi="Book Antiqua"/>
        </w:rPr>
        <w:t>Eikelenboom</w:t>
      </w:r>
      <w:proofErr w:type="spellEnd"/>
      <w:r w:rsidRPr="00EE0F2B">
        <w:rPr>
          <w:rFonts w:ascii="Book Antiqua" w:hAnsi="Book Antiqua"/>
        </w:rPr>
        <w:t xml:space="preserve"> P, van </w:t>
      </w:r>
      <w:proofErr w:type="spellStart"/>
      <w:r w:rsidRPr="00EE0F2B">
        <w:rPr>
          <w:rFonts w:ascii="Book Antiqua" w:hAnsi="Book Antiqua"/>
        </w:rPr>
        <w:t>Gool</w:t>
      </w:r>
      <w:proofErr w:type="spellEnd"/>
      <w:r w:rsidRPr="00EE0F2B">
        <w:rPr>
          <w:rFonts w:ascii="Book Antiqua" w:hAnsi="Book Antiqua"/>
        </w:rPr>
        <w:t xml:space="preserve"> WA. Haloperidol prophylaxis for elderly hip-surgery patients </w:t>
      </w:r>
      <w:r w:rsidRPr="00EE0F2B">
        <w:rPr>
          <w:rFonts w:ascii="Book Antiqua" w:hAnsi="Book Antiqua"/>
        </w:rPr>
        <w:lastRenderedPageBreak/>
        <w:t xml:space="preserve">at risk for delirium: a randomized placebo-controlled study. </w:t>
      </w:r>
      <w:r w:rsidRPr="00EE0F2B">
        <w:rPr>
          <w:rFonts w:ascii="Book Antiqua" w:hAnsi="Book Antiqua"/>
          <w:i/>
        </w:rPr>
        <w:t xml:space="preserve">J Am </w:t>
      </w:r>
      <w:proofErr w:type="spellStart"/>
      <w:r w:rsidRPr="00EE0F2B">
        <w:rPr>
          <w:rFonts w:ascii="Book Antiqua" w:hAnsi="Book Antiqua"/>
          <w:i/>
        </w:rPr>
        <w:t>Geriatr</w:t>
      </w:r>
      <w:proofErr w:type="spellEnd"/>
      <w:r w:rsidRPr="00EE0F2B">
        <w:rPr>
          <w:rFonts w:ascii="Book Antiqua" w:hAnsi="Book Antiqua"/>
          <w:i/>
        </w:rPr>
        <w:t xml:space="preserve"> Soc</w:t>
      </w:r>
      <w:r w:rsidRPr="00EE0F2B">
        <w:rPr>
          <w:rFonts w:ascii="Book Antiqua" w:hAnsi="Book Antiqua"/>
        </w:rPr>
        <w:t xml:space="preserve"> 2005; </w:t>
      </w:r>
      <w:r w:rsidRPr="00EE0F2B">
        <w:rPr>
          <w:rFonts w:ascii="Book Antiqua" w:hAnsi="Book Antiqua"/>
          <w:b/>
        </w:rPr>
        <w:t>53</w:t>
      </w:r>
      <w:r w:rsidRPr="00EE0F2B">
        <w:rPr>
          <w:rFonts w:ascii="Book Antiqua" w:hAnsi="Book Antiqua"/>
        </w:rPr>
        <w:t>: 1658-1666 [PMID: 16181163 DOI: 10.1111/j.1532-5415.2005.53503.x]</w:t>
      </w:r>
    </w:p>
    <w:p w14:paraId="70B1FF8A"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37 </w:t>
      </w:r>
      <w:proofErr w:type="spellStart"/>
      <w:r w:rsidRPr="00EE0F2B">
        <w:rPr>
          <w:rFonts w:ascii="Book Antiqua" w:hAnsi="Book Antiqua"/>
          <w:b/>
        </w:rPr>
        <w:t>Tabet</w:t>
      </w:r>
      <w:proofErr w:type="spellEnd"/>
      <w:r w:rsidRPr="00EE0F2B">
        <w:rPr>
          <w:rFonts w:ascii="Book Antiqua" w:hAnsi="Book Antiqua"/>
          <w:b/>
        </w:rPr>
        <w:t xml:space="preserve"> N</w:t>
      </w:r>
      <w:r w:rsidRPr="00EE0F2B">
        <w:rPr>
          <w:rFonts w:ascii="Book Antiqua" w:hAnsi="Book Antiqua"/>
        </w:rPr>
        <w:t xml:space="preserve">, Hudson S, Sweeney V, Sauer J, Bryant C, Macdonald A, Howard R. An educational intervention can prevent delirium on acute medical wards. </w:t>
      </w:r>
      <w:r w:rsidRPr="00EE0F2B">
        <w:rPr>
          <w:rFonts w:ascii="Book Antiqua" w:hAnsi="Book Antiqua"/>
          <w:i/>
        </w:rPr>
        <w:t>Age Ageing</w:t>
      </w:r>
      <w:r w:rsidRPr="00EE0F2B">
        <w:rPr>
          <w:rFonts w:ascii="Book Antiqua" w:hAnsi="Book Antiqua"/>
        </w:rPr>
        <w:t xml:space="preserve"> 2005; </w:t>
      </w:r>
      <w:r w:rsidRPr="00EE0F2B">
        <w:rPr>
          <w:rFonts w:ascii="Book Antiqua" w:hAnsi="Book Antiqua"/>
          <w:b/>
        </w:rPr>
        <w:t>34</w:t>
      </w:r>
      <w:r w:rsidRPr="00EE0F2B">
        <w:rPr>
          <w:rFonts w:ascii="Book Antiqua" w:hAnsi="Book Antiqua"/>
        </w:rPr>
        <w:t>: 152-156 [PMID: 15713859 DOI: 10.1093/ageing/afi031]</w:t>
      </w:r>
    </w:p>
    <w:p w14:paraId="77A544D2" w14:textId="77777777" w:rsidR="00EE0F2B" w:rsidRPr="00EE0F2B" w:rsidRDefault="00EE0F2B" w:rsidP="00EE0F2B">
      <w:pPr>
        <w:spacing w:line="360" w:lineRule="auto"/>
        <w:jc w:val="both"/>
        <w:rPr>
          <w:rFonts w:ascii="Book Antiqua" w:hAnsi="Book Antiqua"/>
          <w:highlight w:val="yellow"/>
        </w:rPr>
      </w:pPr>
      <w:r w:rsidRPr="00EE0F2B">
        <w:rPr>
          <w:rFonts w:ascii="Book Antiqua" w:hAnsi="Book Antiqua"/>
          <w:highlight w:val="yellow"/>
        </w:rPr>
        <w:t xml:space="preserve">38 </w:t>
      </w:r>
      <w:r w:rsidRPr="00EE0F2B">
        <w:rPr>
          <w:rFonts w:ascii="Book Antiqua" w:hAnsi="Book Antiqua"/>
          <w:b/>
          <w:highlight w:val="yellow"/>
        </w:rPr>
        <w:t>General Medical Council</w:t>
      </w:r>
      <w:r w:rsidRPr="00EE0F2B">
        <w:rPr>
          <w:rFonts w:ascii="Book Antiqua" w:hAnsi="Book Antiqua"/>
          <w:highlight w:val="yellow"/>
        </w:rPr>
        <w:t>. Consent: patients and doctors making decisions together. 2008. Available from: URL: https://www.gmc-uk.org/static/documents/content/Consent_-_English_0617.pdf</w:t>
      </w:r>
    </w:p>
    <w:p w14:paraId="1A4E1784" w14:textId="77777777" w:rsidR="00EE0F2B" w:rsidRPr="00EE0F2B" w:rsidRDefault="00EE0F2B" w:rsidP="00EE0F2B">
      <w:pPr>
        <w:spacing w:line="360" w:lineRule="auto"/>
        <w:jc w:val="both"/>
        <w:rPr>
          <w:rFonts w:ascii="Book Antiqua" w:hAnsi="Book Antiqua"/>
        </w:rPr>
      </w:pPr>
      <w:r w:rsidRPr="00EE0F2B">
        <w:rPr>
          <w:rFonts w:ascii="Book Antiqua" w:hAnsi="Book Antiqua"/>
          <w:highlight w:val="yellow"/>
        </w:rPr>
        <w:t xml:space="preserve">39 </w:t>
      </w:r>
      <w:r w:rsidRPr="00EE0F2B">
        <w:rPr>
          <w:rFonts w:ascii="Book Antiqua" w:hAnsi="Book Antiqua"/>
          <w:b/>
          <w:highlight w:val="yellow"/>
        </w:rPr>
        <w:t>House of Lords</w:t>
      </w:r>
      <w:r w:rsidRPr="00EE0F2B">
        <w:rPr>
          <w:rFonts w:ascii="Book Antiqua" w:hAnsi="Book Antiqua"/>
          <w:highlight w:val="yellow"/>
        </w:rPr>
        <w:t>. Judgments - Chester (Respondent) v. Afshar (Appellant). 2004. Available from: URL: https://publications.parliament.uk/pa/ld200304/ldjudgmt/jd041014/cheste-1.htm</w:t>
      </w:r>
    </w:p>
    <w:p w14:paraId="40E8D3BB"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40 </w:t>
      </w:r>
      <w:proofErr w:type="spellStart"/>
      <w:r w:rsidRPr="00EE0F2B">
        <w:rPr>
          <w:rFonts w:ascii="Book Antiqua" w:hAnsi="Book Antiqua"/>
          <w:b/>
        </w:rPr>
        <w:t>Meessen</w:t>
      </w:r>
      <w:proofErr w:type="spellEnd"/>
      <w:r w:rsidRPr="00EE0F2B">
        <w:rPr>
          <w:rFonts w:ascii="Book Antiqua" w:hAnsi="Book Antiqua"/>
          <w:b/>
        </w:rPr>
        <w:t xml:space="preserve"> JM</w:t>
      </w:r>
      <w:r w:rsidRPr="00EE0F2B">
        <w:rPr>
          <w:rFonts w:ascii="Book Antiqua" w:hAnsi="Book Antiqua"/>
        </w:rPr>
        <w:t xml:space="preserve">, Pisani S, Gambino ML, </w:t>
      </w:r>
      <w:proofErr w:type="spellStart"/>
      <w:r w:rsidRPr="00EE0F2B">
        <w:rPr>
          <w:rFonts w:ascii="Book Antiqua" w:hAnsi="Book Antiqua"/>
        </w:rPr>
        <w:t>Bonarrigo</w:t>
      </w:r>
      <w:proofErr w:type="spellEnd"/>
      <w:r w:rsidRPr="00EE0F2B">
        <w:rPr>
          <w:rFonts w:ascii="Book Antiqua" w:hAnsi="Book Antiqua"/>
        </w:rPr>
        <w:t xml:space="preserve"> D, van </w:t>
      </w:r>
      <w:proofErr w:type="spellStart"/>
      <w:r w:rsidRPr="00EE0F2B">
        <w:rPr>
          <w:rFonts w:ascii="Book Antiqua" w:hAnsi="Book Antiqua"/>
        </w:rPr>
        <w:t>Schoor</w:t>
      </w:r>
      <w:proofErr w:type="spellEnd"/>
      <w:r w:rsidRPr="00EE0F2B">
        <w:rPr>
          <w:rFonts w:ascii="Book Antiqua" w:hAnsi="Book Antiqua"/>
        </w:rPr>
        <w:t xml:space="preserve"> NM, </w:t>
      </w:r>
      <w:proofErr w:type="spellStart"/>
      <w:r w:rsidRPr="00EE0F2B">
        <w:rPr>
          <w:rFonts w:ascii="Book Antiqua" w:hAnsi="Book Antiqua"/>
        </w:rPr>
        <w:t>Fozzato</w:t>
      </w:r>
      <w:proofErr w:type="spellEnd"/>
      <w:r w:rsidRPr="00EE0F2B">
        <w:rPr>
          <w:rFonts w:ascii="Book Antiqua" w:hAnsi="Book Antiqua"/>
        </w:rPr>
        <w:t xml:space="preserve"> S, </w:t>
      </w:r>
      <w:proofErr w:type="spellStart"/>
      <w:r w:rsidRPr="00EE0F2B">
        <w:rPr>
          <w:rFonts w:ascii="Book Antiqua" w:hAnsi="Book Antiqua"/>
        </w:rPr>
        <w:t>Cherubino</w:t>
      </w:r>
      <w:proofErr w:type="spellEnd"/>
      <w:r w:rsidRPr="00EE0F2B">
        <w:rPr>
          <w:rFonts w:ascii="Book Antiqua" w:hAnsi="Book Antiqua"/>
        </w:rPr>
        <w:t xml:space="preserve"> P, </w:t>
      </w:r>
      <w:proofErr w:type="spellStart"/>
      <w:r w:rsidRPr="00EE0F2B">
        <w:rPr>
          <w:rFonts w:ascii="Book Antiqua" w:hAnsi="Book Antiqua"/>
        </w:rPr>
        <w:t>Surace</w:t>
      </w:r>
      <w:proofErr w:type="spellEnd"/>
      <w:r w:rsidRPr="00EE0F2B">
        <w:rPr>
          <w:rFonts w:ascii="Book Antiqua" w:hAnsi="Book Antiqua"/>
        </w:rPr>
        <w:t xml:space="preserve"> MF. Assessment of mortality risk in elderly patients after proximal femoral fracture. </w:t>
      </w:r>
      <w:proofErr w:type="spellStart"/>
      <w:r w:rsidRPr="00EE0F2B">
        <w:rPr>
          <w:rFonts w:ascii="Book Antiqua" w:hAnsi="Book Antiqua"/>
          <w:i/>
        </w:rPr>
        <w:t>Orthopedics</w:t>
      </w:r>
      <w:proofErr w:type="spellEnd"/>
      <w:r w:rsidRPr="00EE0F2B">
        <w:rPr>
          <w:rFonts w:ascii="Book Antiqua" w:hAnsi="Book Antiqua"/>
        </w:rPr>
        <w:t xml:space="preserve"> 2014; </w:t>
      </w:r>
      <w:r w:rsidRPr="00EE0F2B">
        <w:rPr>
          <w:rFonts w:ascii="Book Antiqua" w:hAnsi="Book Antiqua"/>
          <w:b/>
        </w:rPr>
        <w:t>37</w:t>
      </w:r>
      <w:r w:rsidRPr="00EE0F2B">
        <w:rPr>
          <w:rFonts w:ascii="Book Antiqua" w:hAnsi="Book Antiqua"/>
        </w:rPr>
        <w:t>: e194-e200 [PMID: 24679208 DOI: 10.3928/01477447-20140124-25]</w:t>
      </w:r>
    </w:p>
    <w:p w14:paraId="3F0F904A"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41 </w:t>
      </w:r>
      <w:r w:rsidRPr="00EE0F2B">
        <w:rPr>
          <w:rFonts w:ascii="Book Antiqua" w:hAnsi="Book Antiqua"/>
          <w:b/>
        </w:rPr>
        <w:t>Singh S</w:t>
      </w:r>
      <w:r w:rsidRPr="00EE0F2B">
        <w:rPr>
          <w:rFonts w:ascii="Book Antiqua" w:hAnsi="Book Antiqua"/>
        </w:rPr>
        <w:t xml:space="preserve">, </w:t>
      </w:r>
      <w:proofErr w:type="spellStart"/>
      <w:r w:rsidRPr="00EE0F2B">
        <w:rPr>
          <w:rFonts w:ascii="Book Antiqua" w:hAnsi="Book Antiqua"/>
        </w:rPr>
        <w:t>Mayahi</w:t>
      </w:r>
      <w:proofErr w:type="spellEnd"/>
      <w:r w:rsidRPr="00EE0F2B">
        <w:rPr>
          <w:rFonts w:ascii="Book Antiqua" w:hAnsi="Book Antiqua"/>
        </w:rPr>
        <w:t xml:space="preserve"> R. Consent in orthopaedic surgery. </w:t>
      </w:r>
      <w:r w:rsidRPr="00EE0F2B">
        <w:rPr>
          <w:rFonts w:ascii="Book Antiqua" w:hAnsi="Book Antiqua"/>
          <w:i/>
        </w:rPr>
        <w:t xml:space="preserve">Ann R Coll </w:t>
      </w:r>
      <w:proofErr w:type="spellStart"/>
      <w:r w:rsidRPr="00EE0F2B">
        <w:rPr>
          <w:rFonts w:ascii="Book Antiqua" w:hAnsi="Book Antiqua"/>
          <w:i/>
        </w:rPr>
        <w:t>Surg</w:t>
      </w:r>
      <w:proofErr w:type="spellEnd"/>
      <w:r w:rsidRPr="00EE0F2B">
        <w:rPr>
          <w:rFonts w:ascii="Book Antiqua" w:hAnsi="Book Antiqua"/>
          <w:i/>
        </w:rPr>
        <w:t xml:space="preserve"> </w:t>
      </w:r>
      <w:proofErr w:type="spellStart"/>
      <w:r w:rsidRPr="00EE0F2B">
        <w:rPr>
          <w:rFonts w:ascii="Book Antiqua" w:hAnsi="Book Antiqua"/>
          <w:i/>
        </w:rPr>
        <w:t>Engl</w:t>
      </w:r>
      <w:proofErr w:type="spellEnd"/>
      <w:r w:rsidRPr="00EE0F2B">
        <w:rPr>
          <w:rFonts w:ascii="Book Antiqua" w:hAnsi="Book Antiqua"/>
        </w:rPr>
        <w:t xml:space="preserve"> 2004; </w:t>
      </w:r>
      <w:r w:rsidRPr="00EE0F2B">
        <w:rPr>
          <w:rFonts w:ascii="Book Antiqua" w:hAnsi="Book Antiqua"/>
          <w:b/>
        </w:rPr>
        <w:t>86</w:t>
      </w:r>
      <w:r w:rsidRPr="00EE0F2B">
        <w:rPr>
          <w:rFonts w:ascii="Book Antiqua" w:hAnsi="Book Antiqua"/>
        </w:rPr>
        <w:t>: 339-341 [PMID: 15333168 DOI: 10.1308/147870804353]</w:t>
      </w:r>
    </w:p>
    <w:p w14:paraId="531F3B2D"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42 </w:t>
      </w:r>
      <w:r w:rsidRPr="00EE0F2B">
        <w:rPr>
          <w:rFonts w:ascii="Book Antiqua" w:hAnsi="Book Antiqua"/>
          <w:b/>
        </w:rPr>
        <w:t>Rahman L</w:t>
      </w:r>
      <w:r w:rsidRPr="00EE0F2B">
        <w:rPr>
          <w:rFonts w:ascii="Book Antiqua" w:hAnsi="Book Antiqua"/>
        </w:rPr>
        <w:t xml:space="preserve">, Clamp J, Hutchinson J. Is consent for hip fracture surgery for older people adequate? The case for pre-printed consent forms. </w:t>
      </w:r>
      <w:r w:rsidRPr="00EE0F2B">
        <w:rPr>
          <w:rFonts w:ascii="Book Antiqua" w:hAnsi="Book Antiqua"/>
          <w:i/>
        </w:rPr>
        <w:t>J Med Ethics</w:t>
      </w:r>
      <w:r w:rsidRPr="00EE0F2B">
        <w:rPr>
          <w:rFonts w:ascii="Book Antiqua" w:hAnsi="Book Antiqua"/>
        </w:rPr>
        <w:t xml:space="preserve"> 2011; </w:t>
      </w:r>
      <w:r w:rsidRPr="00EE0F2B">
        <w:rPr>
          <w:rFonts w:ascii="Book Antiqua" w:hAnsi="Book Antiqua"/>
          <w:b/>
        </w:rPr>
        <w:t>37</w:t>
      </w:r>
      <w:r w:rsidRPr="00EE0F2B">
        <w:rPr>
          <w:rFonts w:ascii="Book Antiqua" w:hAnsi="Book Antiqua"/>
        </w:rPr>
        <w:t>: 187-189 [PMID: 21084353 DOI: 10.1136/jme.2010.039644]</w:t>
      </w:r>
    </w:p>
    <w:p w14:paraId="702E1472"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43 </w:t>
      </w:r>
      <w:r w:rsidRPr="00EE0F2B">
        <w:rPr>
          <w:rFonts w:ascii="Book Antiqua" w:hAnsi="Book Antiqua"/>
          <w:b/>
        </w:rPr>
        <w:t>Beaupre LA</w:t>
      </w:r>
      <w:r w:rsidRPr="00EE0F2B">
        <w:rPr>
          <w:rFonts w:ascii="Book Antiqua" w:hAnsi="Book Antiqua"/>
        </w:rPr>
        <w:t xml:space="preserve">, Jones CA, Saunders LD, Johnston DW, Buckingham J, Majumdar SR. Best practices for elderly hip fracture patients. A systematic overview of the evidence. </w:t>
      </w:r>
      <w:r w:rsidRPr="00EE0F2B">
        <w:rPr>
          <w:rFonts w:ascii="Book Antiqua" w:hAnsi="Book Antiqua"/>
          <w:i/>
        </w:rPr>
        <w:t>J Gen Intern Med</w:t>
      </w:r>
      <w:r w:rsidRPr="00EE0F2B">
        <w:rPr>
          <w:rFonts w:ascii="Book Antiqua" w:hAnsi="Book Antiqua"/>
        </w:rPr>
        <w:t xml:space="preserve"> 2005; </w:t>
      </w:r>
      <w:r w:rsidRPr="00EE0F2B">
        <w:rPr>
          <w:rFonts w:ascii="Book Antiqua" w:hAnsi="Book Antiqua"/>
          <w:b/>
        </w:rPr>
        <w:t>20</w:t>
      </w:r>
      <w:r w:rsidRPr="00EE0F2B">
        <w:rPr>
          <w:rFonts w:ascii="Book Antiqua" w:hAnsi="Book Antiqua"/>
        </w:rPr>
        <w:t>: 1019-1025 [PMID: 16307627 DOI: 10.1111/j.1525-1497.2005.00219.x]</w:t>
      </w:r>
    </w:p>
    <w:p w14:paraId="32D35738"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44 </w:t>
      </w:r>
      <w:proofErr w:type="spellStart"/>
      <w:r w:rsidRPr="00EE0F2B">
        <w:rPr>
          <w:rFonts w:ascii="Book Antiqua" w:hAnsi="Book Antiqua"/>
          <w:b/>
        </w:rPr>
        <w:t>Geerts</w:t>
      </w:r>
      <w:proofErr w:type="spellEnd"/>
      <w:r w:rsidRPr="00EE0F2B">
        <w:rPr>
          <w:rFonts w:ascii="Book Antiqua" w:hAnsi="Book Antiqua"/>
          <w:b/>
        </w:rPr>
        <w:t xml:space="preserve"> WH</w:t>
      </w:r>
      <w:r w:rsidRPr="00EE0F2B">
        <w:rPr>
          <w:rFonts w:ascii="Book Antiqua" w:hAnsi="Book Antiqua"/>
        </w:rPr>
        <w:t xml:space="preserve">, </w:t>
      </w:r>
      <w:proofErr w:type="spellStart"/>
      <w:r w:rsidRPr="00EE0F2B">
        <w:rPr>
          <w:rFonts w:ascii="Book Antiqua" w:hAnsi="Book Antiqua"/>
        </w:rPr>
        <w:t>Heit</w:t>
      </w:r>
      <w:proofErr w:type="spellEnd"/>
      <w:r w:rsidRPr="00EE0F2B">
        <w:rPr>
          <w:rFonts w:ascii="Book Antiqua" w:hAnsi="Book Antiqua"/>
        </w:rPr>
        <w:t xml:space="preserve"> JA, </w:t>
      </w:r>
      <w:proofErr w:type="spellStart"/>
      <w:r w:rsidRPr="00EE0F2B">
        <w:rPr>
          <w:rFonts w:ascii="Book Antiqua" w:hAnsi="Book Antiqua"/>
        </w:rPr>
        <w:t>Clagett</w:t>
      </w:r>
      <w:proofErr w:type="spellEnd"/>
      <w:r w:rsidRPr="00EE0F2B">
        <w:rPr>
          <w:rFonts w:ascii="Book Antiqua" w:hAnsi="Book Antiqua"/>
        </w:rPr>
        <w:t xml:space="preserve"> GP, </w:t>
      </w:r>
      <w:proofErr w:type="spellStart"/>
      <w:r w:rsidRPr="00EE0F2B">
        <w:rPr>
          <w:rFonts w:ascii="Book Antiqua" w:hAnsi="Book Antiqua"/>
        </w:rPr>
        <w:t>Pineo</w:t>
      </w:r>
      <w:proofErr w:type="spellEnd"/>
      <w:r w:rsidRPr="00EE0F2B">
        <w:rPr>
          <w:rFonts w:ascii="Book Antiqua" w:hAnsi="Book Antiqua"/>
        </w:rPr>
        <w:t xml:space="preserve"> GF, Colwell CW, Anderson FA Jr, Wheeler HB. Prevention of venous thromboembolism. </w:t>
      </w:r>
      <w:r w:rsidRPr="00EE0F2B">
        <w:rPr>
          <w:rFonts w:ascii="Book Antiqua" w:hAnsi="Book Antiqua"/>
          <w:i/>
        </w:rPr>
        <w:t>Chest</w:t>
      </w:r>
      <w:r w:rsidRPr="00EE0F2B">
        <w:rPr>
          <w:rFonts w:ascii="Book Antiqua" w:hAnsi="Book Antiqua"/>
        </w:rPr>
        <w:t xml:space="preserve"> 2001; </w:t>
      </w:r>
      <w:r w:rsidRPr="00EE0F2B">
        <w:rPr>
          <w:rFonts w:ascii="Book Antiqua" w:hAnsi="Book Antiqua"/>
          <w:b/>
        </w:rPr>
        <w:t>119</w:t>
      </w:r>
      <w:r w:rsidRPr="00EE0F2B">
        <w:rPr>
          <w:rFonts w:ascii="Book Antiqua" w:hAnsi="Book Antiqua"/>
        </w:rPr>
        <w:t>: 132S-175S [PMID: 11157647 DOI: 10.1378/chest.119.1_suppl.132S]</w:t>
      </w:r>
    </w:p>
    <w:p w14:paraId="70C5D848"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45 </w:t>
      </w:r>
      <w:r w:rsidRPr="00EE0F2B">
        <w:rPr>
          <w:rFonts w:ascii="Book Antiqua" w:hAnsi="Book Antiqua"/>
          <w:b/>
        </w:rPr>
        <w:t>Partanen J</w:t>
      </w:r>
      <w:r w:rsidRPr="00EE0F2B">
        <w:rPr>
          <w:rFonts w:ascii="Book Antiqua" w:hAnsi="Book Antiqua"/>
        </w:rPr>
        <w:t xml:space="preserve">, </w:t>
      </w:r>
      <w:proofErr w:type="spellStart"/>
      <w:r w:rsidRPr="00EE0F2B">
        <w:rPr>
          <w:rFonts w:ascii="Book Antiqua" w:hAnsi="Book Antiqua"/>
        </w:rPr>
        <w:t>Syrjälä</w:t>
      </w:r>
      <w:proofErr w:type="spellEnd"/>
      <w:r w:rsidRPr="00EE0F2B">
        <w:rPr>
          <w:rFonts w:ascii="Book Antiqua" w:hAnsi="Book Antiqua"/>
        </w:rPr>
        <w:t xml:space="preserve"> H, </w:t>
      </w:r>
      <w:proofErr w:type="spellStart"/>
      <w:r w:rsidRPr="00EE0F2B">
        <w:rPr>
          <w:rFonts w:ascii="Book Antiqua" w:hAnsi="Book Antiqua"/>
        </w:rPr>
        <w:t>Vähänikkilä</w:t>
      </w:r>
      <w:proofErr w:type="spellEnd"/>
      <w:r w:rsidRPr="00EE0F2B">
        <w:rPr>
          <w:rFonts w:ascii="Book Antiqua" w:hAnsi="Book Antiqua"/>
        </w:rPr>
        <w:t xml:space="preserve"> H, </w:t>
      </w:r>
      <w:proofErr w:type="spellStart"/>
      <w:r w:rsidRPr="00EE0F2B">
        <w:rPr>
          <w:rFonts w:ascii="Book Antiqua" w:hAnsi="Book Antiqua"/>
        </w:rPr>
        <w:t>Jalovaara</w:t>
      </w:r>
      <w:proofErr w:type="spellEnd"/>
      <w:r w:rsidRPr="00EE0F2B">
        <w:rPr>
          <w:rFonts w:ascii="Book Antiqua" w:hAnsi="Book Antiqua"/>
        </w:rPr>
        <w:t xml:space="preserve"> P. Impact of deep infection after hip fracture surgery on function and mortality. </w:t>
      </w:r>
      <w:r w:rsidRPr="00EE0F2B">
        <w:rPr>
          <w:rFonts w:ascii="Book Antiqua" w:hAnsi="Book Antiqua"/>
          <w:i/>
        </w:rPr>
        <w:t>J Hosp Infect</w:t>
      </w:r>
      <w:r w:rsidRPr="00EE0F2B">
        <w:rPr>
          <w:rFonts w:ascii="Book Antiqua" w:hAnsi="Book Antiqua"/>
        </w:rPr>
        <w:t xml:space="preserve"> 2006; </w:t>
      </w:r>
      <w:r w:rsidRPr="00EE0F2B">
        <w:rPr>
          <w:rFonts w:ascii="Book Antiqua" w:hAnsi="Book Antiqua"/>
          <w:b/>
        </w:rPr>
        <w:t>62</w:t>
      </w:r>
      <w:r w:rsidRPr="00EE0F2B">
        <w:rPr>
          <w:rFonts w:ascii="Book Antiqua" w:hAnsi="Book Antiqua"/>
        </w:rPr>
        <w:t>: 44-49 [PMID: 16221508 DOI: 10.1016/j.jhin.2005.04.020]</w:t>
      </w:r>
    </w:p>
    <w:p w14:paraId="7107334C" w14:textId="77777777" w:rsidR="00EE0F2B" w:rsidRPr="00EE0F2B" w:rsidRDefault="00EE0F2B" w:rsidP="00EE0F2B">
      <w:pPr>
        <w:spacing w:line="360" w:lineRule="auto"/>
        <w:jc w:val="both"/>
        <w:rPr>
          <w:rFonts w:ascii="Book Antiqua" w:hAnsi="Book Antiqua"/>
        </w:rPr>
      </w:pPr>
      <w:r w:rsidRPr="00EE0F2B">
        <w:rPr>
          <w:rFonts w:ascii="Book Antiqua" w:hAnsi="Book Antiqua"/>
        </w:rPr>
        <w:lastRenderedPageBreak/>
        <w:t xml:space="preserve">46 </w:t>
      </w:r>
      <w:proofErr w:type="spellStart"/>
      <w:r w:rsidRPr="00EE0F2B">
        <w:rPr>
          <w:rFonts w:ascii="Book Antiqua" w:hAnsi="Book Antiqua"/>
          <w:b/>
        </w:rPr>
        <w:t>Atrey</w:t>
      </w:r>
      <w:proofErr w:type="spellEnd"/>
      <w:r w:rsidRPr="00EE0F2B">
        <w:rPr>
          <w:rFonts w:ascii="Book Antiqua" w:hAnsi="Book Antiqua"/>
          <w:b/>
        </w:rPr>
        <w:t xml:space="preserve"> A</w:t>
      </w:r>
      <w:r w:rsidRPr="00EE0F2B">
        <w:rPr>
          <w:rFonts w:ascii="Book Antiqua" w:hAnsi="Book Antiqua"/>
        </w:rPr>
        <w:t xml:space="preserve">, Leslie I, </w:t>
      </w:r>
      <w:proofErr w:type="spellStart"/>
      <w:r w:rsidRPr="00EE0F2B">
        <w:rPr>
          <w:rFonts w:ascii="Book Antiqua" w:hAnsi="Book Antiqua"/>
        </w:rPr>
        <w:t>Carvell</w:t>
      </w:r>
      <w:proofErr w:type="spellEnd"/>
      <w:r w:rsidRPr="00EE0F2B">
        <w:rPr>
          <w:rFonts w:ascii="Book Antiqua" w:hAnsi="Book Antiqua"/>
        </w:rPr>
        <w:t xml:space="preserve"> J, Gupte C, Shepperd JA, Powell J, Gibb PA; British Orthopaedic Association. Standardised consent forms on the website of the British Orthopaedic Association. </w:t>
      </w:r>
      <w:r w:rsidRPr="00EE0F2B">
        <w:rPr>
          <w:rFonts w:ascii="Book Antiqua" w:hAnsi="Book Antiqua"/>
          <w:i/>
        </w:rPr>
        <w:t xml:space="preserve">J Bone Joint </w:t>
      </w:r>
      <w:proofErr w:type="spellStart"/>
      <w:r w:rsidRPr="00EE0F2B">
        <w:rPr>
          <w:rFonts w:ascii="Book Antiqua" w:hAnsi="Book Antiqua"/>
          <w:i/>
        </w:rPr>
        <w:t>Surg</w:t>
      </w:r>
      <w:proofErr w:type="spellEnd"/>
      <w:r w:rsidRPr="00EE0F2B">
        <w:rPr>
          <w:rFonts w:ascii="Book Antiqua" w:hAnsi="Book Antiqua"/>
          <w:i/>
        </w:rPr>
        <w:t xml:space="preserve"> Br</w:t>
      </w:r>
      <w:r w:rsidRPr="00EE0F2B">
        <w:rPr>
          <w:rFonts w:ascii="Book Antiqua" w:hAnsi="Book Antiqua"/>
        </w:rPr>
        <w:t xml:space="preserve"> 2008; </w:t>
      </w:r>
      <w:r w:rsidRPr="00EE0F2B">
        <w:rPr>
          <w:rFonts w:ascii="Book Antiqua" w:hAnsi="Book Antiqua"/>
          <w:b/>
        </w:rPr>
        <w:t>90</w:t>
      </w:r>
      <w:r w:rsidRPr="00EE0F2B">
        <w:rPr>
          <w:rFonts w:ascii="Book Antiqua" w:hAnsi="Book Antiqua"/>
        </w:rPr>
        <w:t>: 422-423 [PMID: 18378912 DOI: 10.1302/0301-620X.90B4.20497]</w:t>
      </w:r>
    </w:p>
    <w:p w14:paraId="3C47CF3D" w14:textId="77777777" w:rsidR="00EE0F2B" w:rsidRPr="00EE0F2B" w:rsidRDefault="00EE0F2B" w:rsidP="00EE0F2B">
      <w:pPr>
        <w:spacing w:line="360" w:lineRule="auto"/>
        <w:jc w:val="both"/>
        <w:rPr>
          <w:rFonts w:ascii="Book Antiqua" w:hAnsi="Book Antiqua"/>
        </w:rPr>
      </w:pPr>
      <w:r w:rsidRPr="00EE0F2B">
        <w:rPr>
          <w:rFonts w:ascii="Book Antiqua" w:hAnsi="Book Antiqua"/>
          <w:highlight w:val="yellow"/>
        </w:rPr>
        <w:t xml:space="preserve">47 </w:t>
      </w:r>
      <w:r w:rsidRPr="00EE0F2B">
        <w:rPr>
          <w:rFonts w:ascii="Book Antiqua" w:hAnsi="Book Antiqua"/>
          <w:b/>
          <w:highlight w:val="yellow"/>
        </w:rPr>
        <w:t>Supreme Court T</w:t>
      </w:r>
      <w:r w:rsidRPr="00EE0F2B">
        <w:rPr>
          <w:rFonts w:ascii="Book Antiqua" w:hAnsi="Book Antiqua"/>
          <w:highlight w:val="yellow"/>
        </w:rPr>
        <w:t>. Montgomery (Appellant) v Lanarkshire Health Board (Respondent) (Scotland). 2015. Available from: URL: https://www.supremecourt.uk/cases/docs/uksc-2013-0136-judgment.pdf</w:t>
      </w:r>
    </w:p>
    <w:p w14:paraId="29E62EE7"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48 </w:t>
      </w:r>
      <w:r w:rsidRPr="00EE0F2B">
        <w:rPr>
          <w:rFonts w:ascii="Book Antiqua" w:hAnsi="Book Antiqua"/>
          <w:b/>
        </w:rPr>
        <w:t>Tay E</w:t>
      </w:r>
      <w:r w:rsidRPr="00EE0F2B">
        <w:rPr>
          <w:rFonts w:ascii="Book Antiqua" w:hAnsi="Book Antiqua"/>
        </w:rPr>
        <w:t xml:space="preserve">. Hip fractures in the elderly: operative versus nonoperative management. </w:t>
      </w:r>
      <w:r w:rsidRPr="00EE0F2B">
        <w:rPr>
          <w:rFonts w:ascii="Book Antiqua" w:hAnsi="Book Antiqua"/>
          <w:i/>
        </w:rPr>
        <w:t>Singapore Med J</w:t>
      </w:r>
      <w:r w:rsidRPr="00EE0F2B">
        <w:rPr>
          <w:rFonts w:ascii="Book Antiqua" w:hAnsi="Book Antiqua"/>
        </w:rPr>
        <w:t xml:space="preserve"> 2016; </w:t>
      </w:r>
      <w:r w:rsidRPr="00EE0F2B">
        <w:rPr>
          <w:rFonts w:ascii="Book Antiqua" w:hAnsi="Book Antiqua"/>
          <w:b/>
        </w:rPr>
        <w:t>57</w:t>
      </w:r>
      <w:r w:rsidRPr="00EE0F2B">
        <w:rPr>
          <w:rFonts w:ascii="Book Antiqua" w:hAnsi="Book Antiqua"/>
        </w:rPr>
        <w:t>: 178-181 [PMID: 27075376 DOI: 10.11622/smedj.2016071]</w:t>
      </w:r>
    </w:p>
    <w:p w14:paraId="7EA2224A" w14:textId="25B7183D" w:rsidR="00EE0F2B" w:rsidRPr="00EE0F2B" w:rsidRDefault="00EE0F2B" w:rsidP="00EE0F2B">
      <w:pPr>
        <w:spacing w:line="360" w:lineRule="auto"/>
        <w:jc w:val="both"/>
        <w:rPr>
          <w:rFonts w:ascii="Book Antiqua" w:hAnsi="Book Antiqua"/>
        </w:rPr>
      </w:pPr>
      <w:r w:rsidRPr="00EE0F2B">
        <w:rPr>
          <w:rFonts w:ascii="Book Antiqua" w:hAnsi="Book Antiqua"/>
        </w:rPr>
        <w:t xml:space="preserve">49 </w:t>
      </w:r>
      <w:proofErr w:type="spellStart"/>
      <w:r w:rsidRPr="00EE0F2B">
        <w:rPr>
          <w:rFonts w:ascii="Book Antiqua" w:hAnsi="Book Antiqua"/>
          <w:b/>
        </w:rPr>
        <w:t>Handoll</w:t>
      </w:r>
      <w:proofErr w:type="spellEnd"/>
      <w:r w:rsidRPr="00EE0F2B">
        <w:rPr>
          <w:rFonts w:ascii="Book Antiqua" w:hAnsi="Book Antiqua"/>
          <w:b/>
        </w:rPr>
        <w:t xml:space="preserve"> HH</w:t>
      </w:r>
      <w:r w:rsidRPr="00EE0F2B">
        <w:rPr>
          <w:rFonts w:ascii="Book Antiqua" w:hAnsi="Book Antiqua"/>
        </w:rPr>
        <w:t xml:space="preserve">, Parker MJ. Conservative versus operative treatment for hip fractures in adults. </w:t>
      </w:r>
      <w:r w:rsidRPr="00EE0F2B">
        <w:rPr>
          <w:rFonts w:ascii="Book Antiqua" w:hAnsi="Book Antiqua"/>
          <w:i/>
        </w:rPr>
        <w:t xml:space="preserve">Cochrane Database </w:t>
      </w:r>
      <w:proofErr w:type="spellStart"/>
      <w:r w:rsidRPr="00EE0F2B">
        <w:rPr>
          <w:rFonts w:ascii="Book Antiqua" w:hAnsi="Book Antiqua"/>
          <w:i/>
        </w:rPr>
        <w:t>Syst</w:t>
      </w:r>
      <w:proofErr w:type="spellEnd"/>
      <w:r w:rsidRPr="00EE0F2B">
        <w:rPr>
          <w:rFonts w:ascii="Book Antiqua" w:hAnsi="Book Antiqua"/>
          <w:i/>
        </w:rPr>
        <w:t xml:space="preserve"> Rev</w:t>
      </w:r>
      <w:r w:rsidRPr="00EE0F2B">
        <w:rPr>
          <w:rFonts w:ascii="Book Antiqua" w:hAnsi="Book Antiqua"/>
        </w:rPr>
        <w:t xml:space="preserve"> 2008; </w:t>
      </w:r>
      <w:r>
        <w:rPr>
          <w:rFonts w:ascii="Book Antiqua" w:hAnsi="Book Antiqua"/>
          <w:b/>
        </w:rPr>
        <w:t>(3)</w:t>
      </w:r>
      <w:r w:rsidRPr="00EE0F2B">
        <w:rPr>
          <w:rFonts w:ascii="Book Antiqua" w:hAnsi="Book Antiqua"/>
        </w:rPr>
        <w:t>: CD000337 [PMID: 18646065 DOI: 10.1002/14651858.CD000337.pub2]</w:t>
      </w:r>
    </w:p>
    <w:p w14:paraId="2D0A70F0"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50 </w:t>
      </w:r>
      <w:r w:rsidRPr="00EE0F2B">
        <w:rPr>
          <w:rFonts w:ascii="Book Antiqua" w:hAnsi="Book Antiqua"/>
          <w:b/>
        </w:rPr>
        <w:t>Jain R</w:t>
      </w:r>
      <w:r w:rsidRPr="00EE0F2B">
        <w:rPr>
          <w:rFonts w:ascii="Book Antiqua" w:hAnsi="Book Antiqua"/>
        </w:rPr>
        <w:t xml:space="preserve">, </w:t>
      </w:r>
      <w:proofErr w:type="spellStart"/>
      <w:r w:rsidRPr="00EE0F2B">
        <w:rPr>
          <w:rFonts w:ascii="Book Antiqua" w:hAnsi="Book Antiqua"/>
        </w:rPr>
        <w:t>Basinski</w:t>
      </w:r>
      <w:proofErr w:type="spellEnd"/>
      <w:r w:rsidRPr="00EE0F2B">
        <w:rPr>
          <w:rFonts w:ascii="Book Antiqua" w:hAnsi="Book Antiqua"/>
        </w:rPr>
        <w:t xml:space="preserve"> A, </w:t>
      </w:r>
      <w:proofErr w:type="spellStart"/>
      <w:r w:rsidRPr="00EE0F2B">
        <w:rPr>
          <w:rFonts w:ascii="Book Antiqua" w:hAnsi="Book Antiqua"/>
        </w:rPr>
        <w:t>Kreder</w:t>
      </w:r>
      <w:proofErr w:type="spellEnd"/>
      <w:r w:rsidRPr="00EE0F2B">
        <w:rPr>
          <w:rFonts w:ascii="Book Antiqua" w:hAnsi="Book Antiqua"/>
        </w:rPr>
        <w:t xml:space="preserve"> HJ. Nonoperative treatment of hip fractures. </w:t>
      </w:r>
      <w:r w:rsidRPr="00EE0F2B">
        <w:rPr>
          <w:rFonts w:ascii="Book Antiqua" w:hAnsi="Book Antiqua"/>
          <w:i/>
        </w:rPr>
        <w:t xml:space="preserve">Int </w:t>
      </w:r>
      <w:proofErr w:type="spellStart"/>
      <w:r w:rsidRPr="00EE0F2B">
        <w:rPr>
          <w:rFonts w:ascii="Book Antiqua" w:hAnsi="Book Antiqua"/>
          <w:i/>
        </w:rPr>
        <w:t>Orthop</w:t>
      </w:r>
      <w:proofErr w:type="spellEnd"/>
      <w:r w:rsidRPr="00EE0F2B">
        <w:rPr>
          <w:rFonts w:ascii="Book Antiqua" w:hAnsi="Book Antiqua"/>
        </w:rPr>
        <w:t xml:space="preserve"> 2003; </w:t>
      </w:r>
      <w:r w:rsidRPr="00EE0F2B">
        <w:rPr>
          <w:rFonts w:ascii="Book Antiqua" w:hAnsi="Book Antiqua"/>
          <w:b/>
        </w:rPr>
        <w:t>27</w:t>
      </w:r>
      <w:r w:rsidRPr="00EE0F2B">
        <w:rPr>
          <w:rFonts w:ascii="Book Antiqua" w:hAnsi="Book Antiqua"/>
        </w:rPr>
        <w:t>: 11-17 [PMID: 12582802 DOI: 10.1007/s00264-002-0404-y]</w:t>
      </w:r>
    </w:p>
    <w:p w14:paraId="049B6B00" w14:textId="77777777" w:rsidR="00EE0F2B" w:rsidRPr="00EE0F2B" w:rsidRDefault="00EE0F2B" w:rsidP="00EE0F2B">
      <w:pPr>
        <w:spacing w:line="360" w:lineRule="auto"/>
        <w:jc w:val="both"/>
        <w:rPr>
          <w:rFonts w:ascii="Book Antiqua" w:hAnsi="Book Antiqua"/>
        </w:rPr>
      </w:pPr>
      <w:r w:rsidRPr="00EE0F2B">
        <w:rPr>
          <w:rFonts w:ascii="Book Antiqua" w:hAnsi="Book Antiqua"/>
        </w:rPr>
        <w:t xml:space="preserve">51 </w:t>
      </w:r>
      <w:r w:rsidRPr="00EE0F2B">
        <w:rPr>
          <w:rFonts w:ascii="Book Antiqua" w:hAnsi="Book Antiqua"/>
          <w:b/>
        </w:rPr>
        <w:t>Gregory JJ</w:t>
      </w:r>
      <w:r w:rsidRPr="00EE0F2B">
        <w:rPr>
          <w:rFonts w:ascii="Book Antiqua" w:hAnsi="Book Antiqua"/>
        </w:rPr>
        <w:t xml:space="preserve">, </w:t>
      </w:r>
      <w:proofErr w:type="spellStart"/>
      <w:r w:rsidRPr="00EE0F2B">
        <w:rPr>
          <w:rFonts w:ascii="Book Antiqua" w:hAnsi="Book Antiqua"/>
        </w:rPr>
        <w:t>Kostakopoulou</w:t>
      </w:r>
      <w:proofErr w:type="spellEnd"/>
      <w:r w:rsidRPr="00EE0F2B">
        <w:rPr>
          <w:rFonts w:ascii="Book Antiqua" w:hAnsi="Book Antiqua"/>
        </w:rPr>
        <w:t xml:space="preserve"> K, Cool WP, Ford DJ. One-year outcome for elderly patients with displaced intracapsular fractures of the femoral neck managed non-operatively. </w:t>
      </w:r>
      <w:r w:rsidRPr="00EE0F2B">
        <w:rPr>
          <w:rFonts w:ascii="Book Antiqua" w:hAnsi="Book Antiqua"/>
          <w:i/>
        </w:rPr>
        <w:t>Injury</w:t>
      </w:r>
      <w:r w:rsidRPr="00EE0F2B">
        <w:rPr>
          <w:rFonts w:ascii="Book Antiqua" w:hAnsi="Book Antiqua"/>
        </w:rPr>
        <w:t xml:space="preserve"> 2010; </w:t>
      </w:r>
      <w:r w:rsidRPr="00EE0F2B">
        <w:rPr>
          <w:rFonts w:ascii="Book Antiqua" w:hAnsi="Book Antiqua"/>
          <w:b/>
        </w:rPr>
        <w:t>41</w:t>
      </w:r>
      <w:r w:rsidRPr="00EE0F2B">
        <w:rPr>
          <w:rFonts w:ascii="Book Antiqua" w:hAnsi="Book Antiqua"/>
        </w:rPr>
        <w:t>: 1273-1276 [PMID: 20630527 DOI: 10.1016/j.injury.2010.06.009]</w:t>
      </w:r>
    </w:p>
    <w:p w14:paraId="2D4EBB3B" w14:textId="30B8C2CE" w:rsidR="00B1443C" w:rsidRPr="00EE0F2B" w:rsidRDefault="00B1443C" w:rsidP="00EE0F2B">
      <w:pPr>
        <w:widowControl w:val="0"/>
        <w:autoSpaceDE w:val="0"/>
        <w:autoSpaceDN w:val="0"/>
        <w:adjustRightInd w:val="0"/>
        <w:spacing w:line="360" w:lineRule="auto"/>
        <w:jc w:val="both"/>
        <w:rPr>
          <w:rFonts w:ascii="Book Antiqua" w:hAnsi="Book Antiqua" w:cs="Calibri"/>
          <w:bCs/>
        </w:rPr>
      </w:pPr>
    </w:p>
    <w:p w14:paraId="5C63D6E0" w14:textId="7BB6BAA7" w:rsidR="00116837" w:rsidRPr="00EE0F2B" w:rsidRDefault="00116837" w:rsidP="00EE0F2B">
      <w:pPr>
        <w:pStyle w:val="PlainText"/>
        <w:spacing w:line="360" w:lineRule="auto"/>
        <w:jc w:val="right"/>
        <w:rPr>
          <w:rFonts w:ascii="Book Antiqua" w:hAnsi="Book Antiqua"/>
          <w:b/>
          <w:sz w:val="24"/>
          <w:szCs w:val="24"/>
        </w:rPr>
      </w:pPr>
      <w:r w:rsidRPr="00EE0F2B">
        <w:rPr>
          <w:rFonts w:ascii="Book Antiqua" w:hAnsi="Book Antiqua"/>
          <w:b/>
          <w:sz w:val="24"/>
          <w:szCs w:val="24"/>
        </w:rPr>
        <w:t xml:space="preserve">P-Reviewer: </w:t>
      </w:r>
      <w:proofErr w:type="spellStart"/>
      <w:r w:rsidR="00897DD3" w:rsidRPr="00EE0F2B">
        <w:rPr>
          <w:rFonts w:ascii="Book Antiqua" w:hAnsi="Book Antiqua"/>
          <w:color w:val="000000"/>
          <w:sz w:val="24"/>
          <w:szCs w:val="24"/>
          <w:shd w:val="clear" w:color="auto" w:fill="FFFFFF"/>
        </w:rPr>
        <w:t>Surace</w:t>
      </w:r>
      <w:proofErr w:type="spellEnd"/>
      <w:r w:rsidR="00897DD3" w:rsidRPr="00EE0F2B">
        <w:rPr>
          <w:rFonts w:ascii="Book Antiqua" w:hAnsi="Book Antiqua"/>
          <w:color w:val="000000"/>
          <w:sz w:val="24"/>
          <w:szCs w:val="24"/>
          <w:shd w:val="clear" w:color="auto" w:fill="FFFFFF"/>
        </w:rPr>
        <w:t xml:space="preserve"> MF </w:t>
      </w:r>
      <w:r w:rsidRPr="00EE0F2B">
        <w:rPr>
          <w:rFonts w:ascii="Book Antiqua" w:hAnsi="Book Antiqua"/>
          <w:b/>
          <w:sz w:val="24"/>
          <w:szCs w:val="24"/>
        </w:rPr>
        <w:t xml:space="preserve">S-Editor: </w:t>
      </w:r>
      <w:r w:rsidRPr="00EE0F2B">
        <w:rPr>
          <w:rFonts w:ascii="Book Antiqua" w:hAnsi="Book Antiqua"/>
          <w:sz w:val="24"/>
          <w:szCs w:val="24"/>
        </w:rPr>
        <w:t>Ji FF</w:t>
      </w:r>
      <w:r w:rsidRPr="00EE0F2B">
        <w:rPr>
          <w:rFonts w:ascii="Book Antiqua" w:hAnsi="Book Antiqua"/>
          <w:b/>
          <w:sz w:val="24"/>
          <w:szCs w:val="24"/>
        </w:rPr>
        <w:t xml:space="preserve"> L-Editor: E-Editor: </w:t>
      </w:r>
    </w:p>
    <w:p w14:paraId="7D3725D7" w14:textId="77777777" w:rsidR="00116837" w:rsidRPr="00EE0F2B" w:rsidRDefault="00116837" w:rsidP="00EE0F2B">
      <w:pPr>
        <w:pStyle w:val="PlainText"/>
        <w:spacing w:line="360" w:lineRule="auto"/>
        <w:rPr>
          <w:rFonts w:ascii="Book Antiqua" w:hAnsi="Book Antiqua"/>
          <w:b/>
          <w:sz w:val="24"/>
          <w:szCs w:val="24"/>
        </w:rPr>
      </w:pPr>
      <w:r w:rsidRPr="00EE0F2B">
        <w:rPr>
          <w:rFonts w:ascii="Book Antiqua" w:hAnsi="Book Antiqua"/>
          <w:b/>
          <w:sz w:val="24"/>
          <w:szCs w:val="24"/>
        </w:rPr>
        <w:t xml:space="preserve"> </w:t>
      </w:r>
    </w:p>
    <w:p w14:paraId="47B39A79" w14:textId="059C351B" w:rsidR="00116837" w:rsidRPr="00EE0F2B" w:rsidRDefault="00116837" w:rsidP="00EE0F2B">
      <w:pPr>
        <w:snapToGrid w:val="0"/>
        <w:spacing w:line="360" w:lineRule="auto"/>
        <w:jc w:val="both"/>
        <w:rPr>
          <w:rFonts w:ascii="Book Antiqua" w:eastAsia="SimSun" w:hAnsi="Book Antiqua" w:cs="Helvetica"/>
          <w:b/>
        </w:rPr>
      </w:pPr>
      <w:r w:rsidRPr="00EE0F2B">
        <w:rPr>
          <w:rFonts w:ascii="Book Antiqua" w:eastAsia="SimSun" w:hAnsi="Book Antiqua" w:cs="Helvetica"/>
          <w:b/>
        </w:rPr>
        <w:t xml:space="preserve">Specialty type: </w:t>
      </w:r>
      <w:proofErr w:type="spellStart"/>
      <w:r w:rsidR="00897DD3" w:rsidRPr="00EE0F2B">
        <w:rPr>
          <w:rFonts w:ascii="Book Antiqua" w:eastAsia="SimSun" w:hAnsi="Book Antiqua" w:cs="Helvetica"/>
        </w:rPr>
        <w:t>Orthopedics</w:t>
      </w:r>
      <w:proofErr w:type="spellEnd"/>
    </w:p>
    <w:p w14:paraId="5039E70D" w14:textId="51DBD351" w:rsidR="00116837" w:rsidRPr="00EE0F2B" w:rsidRDefault="00116837" w:rsidP="00EE0F2B">
      <w:pPr>
        <w:snapToGrid w:val="0"/>
        <w:spacing w:line="360" w:lineRule="auto"/>
        <w:jc w:val="both"/>
        <w:rPr>
          <w:rFonts w:ascii="Book Antiqua" w:eastAsia="SimSun" w:hAnsi="Book Antiqua" w:cs="Helvetica"/>
          <w:b/>
        </w:rPr>
      </w:pPr>
      <w:r w:rsidRPr="00EE0F2B">
        <w:rPr>
          <w:rFonts w:ascii="Book Antiqua" w:eastAsia="SimSun" w:hAnsi="Book Antiqua" w:cs="Helvetica"/>
          <w:b/>
        </w:rPr>
        <w:t xml:space="preserve">Country of origin: </w:t>
      </w:r>
      <w:r w:rsidR="00897DD3" w:rsidRPr="00EE0F2B">
        <w:rPr>
          <w:rFonts w:ascii="Book Antiqua" w:eastAsia="SimSun" w:hAnsi="Book Antiqua"/>
        </w:rPr>
        <w:t>United Kingdom</w:t>
      </w:r>
    </w:p>
    <w:p w14:paraId="5861C86B" w14:textId="77777777" w:rsidR="00116837" w:rsidRPr="00EE0F2B" w:rsidRDefault="00116837" w:rsidP="00EE0F2B">
      <w:pPr>
        <w:snapToGrid w:val="0"/>
        <w:spacing w:line="360" w:lineRule="auto"/>
        <w:jc w:val="both"/>
        <w:rPr>
          <w:rFonts w:ascii="Book Antiqua" w:eastAsia="SimSun" w:hAnsi="Book Antiqua" w:cs="Helvetica"/>
          <w:b/>
        </w:rPr>
      </w:pPr>
      <w:r w:rsidRPr="00EE0F2B">
        <w:rPr>
          <w:rFonts w:ascii="Book Antiqua" w:eastAsia="SimSun" w:hAnsi="Book Antiqua" w:cs="Helvetica"/>
          <w:b/>
        </w:rPr>
        <w:t>Peer-review report classification</w:t>
      </w:r>
    </w:p>
    <w:p w14:paraId="3A52A3E3" w14:textId="24E22458" w:rsidR="00116837" w:rsidRPr="00EE0F2B" w:rsidRDefault="00116837" w:rsidP="00EE0F2B">
      <w:pPr>
        <w:snapToGrid w:val="0"/>
        <w:spacing w:line="360" w:lineRule="auto"/>
        <w:jc w:val="both"/>
        <w:rPr>
          <w:rFonts w:ascii="Book Antiqua" w:eastAsia="SimSun" w:hAnsi="Book Antiqua" w:cs="Helvetica"/>
        </w:rPr>
      </w:pPr>
      <w:r w:rsidRPr="00EE0F2B">
        <w:rPr>
          <w:rFonts w:ascii="Book Antiqua" w:eastAsia="SimSun" w:hAnsi="Book Antiqua" w:cs="Helvetica"/>
        </w:rPr>
        <w:t xml:space="preserve">Grade A (Excellent): </w:t>
      </w:r>
      <w:r w:rsidR="00897DD3" w:rsidRPr="00EE0F2B">
        <w:rPr>
          <w:rFonts w:ascii="Book Antiqua" w:eastAsia="SimSun" w:hAnsi="Book Antiqua" w:cs="Helvetica"/>
        </w:rPr>
        <w:t>0</w:t>
      </w:r>
    </w:p>
    <w:p w14:paraId="0F660E57" w14:textId="77777777" w:rsidR="00116837" w:rsidRPr="00EE0F2B" w:rsidRDefault="00116837" w:rsidP="00EE0F2B">
      <w:pPr>
        <w:snapToGrid w:val="0"/>
        <w:spacing w:line="360" w:lineRule="auto"/>
        <w:jc w:val="both"/>
        <w:rPr>
          <w:rFonts w:ascii="Book Antiqua" w:eastAsia="SimSun" w:hAnsi="Book Antiqua" w:cs="Helvetica"/>
        </w:rPr>
      </w:pPr>
      <w:r w:rsidRPr="00EE0F2B">
        <w:rPr>
          <w:rFonts w:ascii="Book Antiqua" w:eastAsia="SimSun" w:hAnsi="Book Antiqua" w:cs="Helvetica"/>
        </w:rPr>
        <w:t>Grade B (Very good): B</w:t>
      </w:r>
    </w:p>
    <w:p w14:paraId="5940CF09" w14:textId="14C37AC6" w:rsidR="00116837" w:rsidRPr="00EE0F2B" w:rsidRDefault="00116837" w:rsidP="00EE0F2B">
      <w:pPr>
        <w:snapToGrid w:val="0"/>
        <w:spacing w:line="360" w:lineRule="auto"/>
        <w:jc w:val="both"/>
        <w:rPr>
          <w:rFonts w:ascii="Book Antiqua" w:eastAsia="SimSun" w:hAnsi="Book Antiqua" w:cs="Helvetica"/>
        </w:rPr>
      </w:pPr>
      <w:r w:rsidRPr="00EE0F2B">
        <w:rPr>
          <w:rFonts w:ascii="Book Antiqua" w:eastAsia="SimSun" w:hAnsi="Book Antiqua" w:cs="Helvetica"/>
        </w:rPr>
        <w:t xml:space="preserve">Grade C (Good): </w:t>
      </w:r>
      <w:r w:rsidR="00897DD3" w:rsidRPr="00EE0F2B">
        <w:rPr>
          <w:rFonts w:ascii="Book Antiqua" w:eastAsia="SimSun" w:hAnsi="Book Antiqua" w:cs="Helvetica"/>
        </w:rPr>
        <w:t>0</w:t>
      </w:r>
    </w:p>
    <w:p w14:paraId="26536549" w14:textId="77777777" w:rsidR="00116837" w:rsidRPr="00EE0F2B" w:rsidRDefault="00116837" w:rsidP="00EE0F2B">
      <w:pPr>
        <w:snapToGrid w:val="0"/>
        <w:spacing w:line="360" w:lineRule="auto"/>
        <w:jc w:val="both"/>
        <w:rPr>
          <w:rFonts w:ascii="Book Antiqua" w:eastAsia="SimSun" w:hAnsi="Book Antiqua" w:cs="Helvetica"/>
        </w:rPr>
      </w:pPr>
      <w:r w:rsidRPr="00EE0F2B">
        <w:rPr>
          <w:rFonts w:ascii="Book Antiqua" w:eastAsia="SimSun" w:hAnsi="Book Antiqua" w:cs="Helvetica"/>
        </w:rPr>
        <w:t xml:space="preserve">Grade D (Fair): 0 </w:t>
      </w:r>
    </w:p>
    <w:p w14:paraId="3B162A5C" w14:textId="68617344" w:rsidR="00116837" w:rsidRPr="00EE0F2B" w:rsidRDefault="00116837" w:rsidP="00EE0F2B">
      <w:pPr>
        <w:widowControl w:val="0"/>
        <w:autoSpaceDE w:val="0"/>
        <w:autoSpaceDN w:val="0"/>
        <w:adjustRightInd w:val="0"/>
        <w:spacing w:line="360" w:lineRule="auto"/>
        <w:jc w:val="both"/>
        <w:rPr>
          <w:rFonts w:ascii="Book Antiqua" w:hAnsi="Book Antiqua" w:cs="Calibri"/>
          <w:bCs/>
        </w:rPr>
      </w:pPr>
      <w:r w:rsidRPr="00EE0F2B">
        <w:rPr>
          <w:rFonts w:ascii="Book Antiqua" w:eastAsia="SimSun" w:hAnsi="Book Antiqua" w:cs="Helvetica"/>
        </w:rPr>
        <w:t>Grade E (Poor): 0</w:t>
      </w:r>
    </w:p>
    <w:p w14:paraId="4A883B16" w14:textId="77777777" w:rsidR="00B1443C" w:rsidRDefault="00B1443C">
      <w:pPr>
        <w:rPr>
          <w:rFonts w:ascii="Book Antiqua" w:hAnsi="Book Antiqua" w:cs="Calibri"/>
          <w:bCs/>
        </w:rPr>
      </w:pPr>
      <w:r>
        <w:rPr>
          <w:rFonts w:ascii="Book Antiqua" w:hAnsi="Book Antiqua" w:cs="Calibri"/>
          <w:bCs/>
        </w:rPr>
        <w:br w:type="page"/>
      </w:r>
    </w:p>
    <w:p w14:paraId="674F9D25" w14:textId="77777777" w:rsidR="00B1443C" w:rsidRPr="006B05AE" w:rsidRDefault="00B1443C" w:rsidP="00B1443C">
      <w:pPr>
        <w:spacing w:line="360" w:lineRule="auto"/>
        <w:jc w:val="both"/>
        <w:rPr>
          <w:rFonts w:ascii="Book Antiqua" w:hAnsi="Book Antiqua" w:cs="Calibri"/>
        </w:rPr>
      </w:pPr>
    </w:p>
    <w:p w14:paraId="744C92B1" w14:textId="07263FA4" w:rsidR="00B1443C" w:rsidRDefault="00B1443C" w:rsidP="00B1443C">
      <w:pPr>
        <w:spacing w:line="360" w:lineRule="auto"/>
        <w:jc w:val="both"/>
        <w:rPr>
          <w:rFonts w:ascii="Book Antiqua" w:hAnsi="Book Antiqua" w:cs="Calibri"/>
          <w:b/>
        </w:rPr>
      </w:pPr>
      <w:r w:rsidRPr="00B1443C">
        <w:rPr>
          <w:rFonts w:ascii="Book Antiqua" w:hAnsi="Book Antiqua" w:cs="Calibri"/>
          <w:b/>
          <w:shd w:val="clear" w:color="auto" w:fill="FFFFFF"/>
        </w:rPr>
        <w:t>Table 1</w:t>
      </w:r>
      <w:r w:rsidRPr="00B1443C">
        <w:rPr>
          <w:rFonts w:ascii="Book Antiqua" w:hAnsi="Book Antiqua" w:cs="Calibri"/>
          <w:b/>
        </w:rPr>
        <w:t xml:space="preserve"> Confusion </w:t>
      </w:r>
      <w:r w:rsidR="00DC14D0" w:rsidRPr="00B1443C">
        <w:rPr>
          <w:rFonts w:ascii="Book Antiqua" w:hAnsi="Book Antiqua" w:cs="Calibri"/>
          <w:b/>
        </w:rPr>
        <w:t>assessment method</w:t>
      </w:r>
      <w:r w:rsidRPr="00B1443C">
        <w:rPr>
          <w:rFonts w:ascii="Book Antiqua" w:hAnsi="Book Antiqua" w:cs="Calibri"/>
          <w:b/>
        </w:rPr>
        <w:t xml:space="preserve"> – </w:t>
      </w:r>
      <w:r w:rsidR="00DC14D0" w:rsidRPr="00B1443C">
        <w:rPr>
          <w:rFonts w:ascii="Book Antiqua" w:hAnsi="Book Antiqua" w:cs="Calibri"/>
          <w:b/>
        </w:rPr>
        <w:t xml:space="preserve">adapted </w:t>
      </w:r>
      <w:r w:rsidRPr="00B1443C">
        <w:rPr>
          <w:rFonts w:ascii="Book Antiqua" w:hAnsi="Book Antiqua" w:cs="Calibri"/>
          <w:b/>
        </w:rPr>
        <w:t>from Inouye</w:t>
      </w:r>
      <w:r w:rsidRPr="00B1443C">
        <w:rPr>
          <w:rFonts w:ascii="Book Antiqua" w:hAnsi="Book Antiqua" w:cs="Calibri"/>
          <w:b/>
          <w:i/>
        </w:rPr>
        <w:t xml:space="preserve"> et </w:t>
      </w:r>
      <w:proofErr w:type="gramStart"/>
      <w:r w:rsidRPr="00B1443C">
        <w:rPr>
          <w:rFonts w:ascii="Book Antiqua" w:hAnsi="Book Antiqua" w:cs="Calibri"/>
          <w:b/>
          <w:i/>
        </w:rPr>
        <w:t>al</w:t>
      </w:r>
      <w:r w:rsidRPr="00B1443C">
        <w:rPr>
          <w:rFonts w:ascii="Book Antiqua" w:hAnsi="Book Antiqua" w:cs="Calibri"/>
          <w:b/>
          <w:vertAlign w:val="superscript"/>
        </w:rPr>
        <w:t>[</w:t>
      </w:r>
      <w:proofErr w:type="gramEnd"/>
      <w:r w:rsidRPr="00B1443C">
        <w:rPr>
          <w:rFonts w:ascii="Book Antiqua" w:hAnsi="Book Antiqua" w:cs="Calibri"/>
          <w:b/>
          <w:vertAlign w:val="superscript"/>
        </w:rPr>
        <w:t>20]</w:t>
      </w:r>
    </w:p>
    <w:p w14:paraId="38A492FA" w14:textId="77777777" w:rsidR="00B1443C" w:rsidRDefault="00B1443C" w:rsidP="00B1443C">
      <w:pPr>
        <w:spacing w:line="360" w:lineRule="auto"/>
        <w:jc w:val="both"/>
        <w:rPr>
          <w:rFonts w:ascii="Book Antiqua" w:eastAsia="SimSun" w:hAnsi="Book Antiqua" w:cs="Calibri"/>
          <w:b/>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872F0" w14:paraId="1C1ED73B" w14:textId="77777777" w:rsidTr="00142582">
        <w:tc>
          <w:tcPr>
            <w:tcW w:w="9576" w:type="dxa"/>
          </w:tcPr>
          <w:p w14:paraId="3EC4B9F6" w14:textId="44E0AA9E" w:rsidR="003872F0" w:rsidRPr="003872F0" w:rsidRDefault="003872F0" w:rsidP="00B1443C">
            <w:pPr>
              <w:spacing w:line="360" w:lineRule="auto"/>
              <w:jc w:val="both"/>
              <w:rPr>
                <w:rFonts w:ascii="Book Antiqua" w:eastAsia="SimSun" w:hAnsi="Book Antiqua" w:cs="Calibri"/>
                <w:b/>
                <w:lang w:eastAsia="zh-CN"/>
              </w:rPr>
            </w:pPr>
            <w:r w:rsidRPr="003872F0">
              <w:rPr>
                <w:rFonts w:ascii="Book Antiqua" w:eastAsia="SimSun" w:hAnsi="Book Antiqua" w:cs="Calibri"/>
                <w:b/>
                <w:lang w:eastAsia="zh-CN"/>
              </w:rPr>
              <w:t xml:space="preserve">Feature 1 Acute </w:t>
            </w:r>
            <w:r w:rsidR="00AB5B80" w:rsidRPr="003872F0">
              <w:rPr>
                <w:rFonts w:ascii="Book Antiqua" w:eastAsia="SimSun" w:hAnsi="Book Antiqua" w:cs="Calibri"/>
                <w:b/>
                <w:lang w:eastAsia="zh-CN"/>
              </w:rPr>
              <w:t>onset and fluctuating course</w:t>
            </w:r>
          </w:p>
        </w:tc>
      </w:tr>
      <w:tr w:rsidR="003872F0" w14:paraId="66065219" w14:textId="77777777" w:rsidTr="00142582">
        <w:tc>
          <w:tcPr>
            <w:tcW w:w="9576" w:type="dxa"/>
          </w:tcPr>
          <w:p w14:paraId="6633A323" w14:textId="2128891D" w:rsidR="003872F0" w:rsidRPr="003872F0" w:rsidRDefault="003872F0" w:rsidP="00B1443C">
            <w:pPr>
              <w:spacing w:line="360" w:lineRule="auto"/>
              <w:jc w:val="both"/>
              <w:rPr>
                <w:rFonts w:ascii="Book Antiqua" w:eastAsia="SimSun" w:hAnsi="Book Antiqua" w:cs="Calibri"/>
                <w:lang w:eastAsia="zh-CN"/>
              </w:rPr>
            </w:pPr>
            <w:r w:rsidRPr="003872F0">
              <w:rPr>
                <w:rFonts w:ascii="Book Antiqua" w:eastAsia="SimSun" w:hAnsi="Book Antiqua" w:cs="Calibri"/>
                <w:lang w:eastAsia="zh-CN"/>
              </w:rPr>
              <w:t>Is there evidence of an acute change in mental status from the patient's baseline? Does the abnormal behaviour fluctuate during the day?</w:t>
            </w:r>
          </w:p>
        </w:tc>
      </w:tr>
      <w:tr w:rsidR="003872F0" w14:paraId="5FD0E9A6" w14:textId="77777777" w:rsidTr="00142582">
        <w:tc>
          <w:tcPr>
            <w:tcW w:w="9576" w:type="dxa"/>
          </w:tcPr>
          <w:p w14:paraId="1B8887DD" w14:textId="426DB8E1" w:rsidR="003872F0" w:rsidRDefault="003872F0" w:rsidP="00B1443C">
            <w:pPr>
              <w:spacing w:line="360" w:lineRule="auto"/>
              <w:jc w:val="both"/>
              <w:rPr>
                <w:rFonts w:ascii="Book Antiqua" w:eastAsia="SimSun" w:hAnsi="Book Antiqua" w:cs="Calibri"/>
                <w:b/>
                <w:lang w:eastAsia="zh-CN"/>
              </w:rPr>
            </w:pPr>
            <w:r w:rsidRPr="003872F0">
              <w:rPr>
                <w:rFonts w:ascii="Book Antiqua" w:eastAsia="SimSun" w:hAnsi="Book Antiqua" w:cs="Calibri"/>
                <w:b/>
                <w:lang w:eastAsia="zh-CN"/>
              </w:rPr>
              <w:t>Feature 2 Inattention</w:t>
            </w:r>
          </w:p>
        </w:tc>
      </w:tr>
      <w:tr w:rsidR="003872F0" w14:paraId="5F99FE2C" w14:textId="77777777" w:rsidTr="00142582">
        <w:tc>
          <w:tcPr>
            <w:tcW w:w="9576" w:type="dxa"/>
          </w:tcPr>
          <w:p w14:paraId="6CA06044" w14:textId="2A0225C5" w:rsidR="003872F0" w:rsidRPr="003872F0" w:rsidRDefault="003872F0" w:rsidP="00B1443C">
            <w:pPr>
              <w:spacing w:line="360" w:lineRule="auto"/>
              <w:jc w:val="both"/>
              <w:rPr>
                <w:rFonts w:ascii="Book Antiqua" w:eastAsia="SimSun" w:hAnsi="Book Antiqua" w:cs="Calibri"/>
                <w:b/>
                <w:lang w:eastAsia="zh-CN"/>
              </w:rPr>
            </w:pPr>
            <w:r w:rsidRPr="00B1443C">
              <w:rPr>
                <w:rFonts w:ascii="Book Antiqua" w:hAnsi="Book Antiqua" w:cs="Calibri"/>
                <w:bCs/>
              </w:rPr>
              <w:t>Does the patient have difficulty focusing attention</w:t>
            </w:r>
            <w:r w:rsidRPr="000D0D51">
              <w:rPr>
                <w:rFonts w:ascii="Book Antiqua" w:eastAsia="SimSun" w:hAnsi="Book Antiqua" w:cs="SimSun"/>
                <w:bCs/>
                <w:lang w:eastAsia="zh-CN"/>
              </w:rPr>
              <w:t>,</w:t>
            </w:r>
            <w:r w:rsidRPr="000D0D51">
              <w:rPr>
                <w:rFonts w:ascii="Book Antiqua" w:hAnsi="Book Antiqua" w:cs="Calibri"/>
                <w:bCs/>
              </w:rPr>
              <w:t xml:space="preserve"> </w:t>
            </w:r>
            <w:r w:rsidRPr="000D0D51">
              <w:rPr>
                <w:rFonts w:ascii="Book Antiqua" w:hAnsi="Book Antiqua" w:cs="Calibri"/>
                <w:bCs/>
                <w:i/>
              </w:rPr>
              <w:t>e.g.</w:t>
            </w:r>
            <w:r>
              <w:rPr>
                <w:rFonts w:ascii="Book Antiqua" w:hAnsi="Book Antiqua" w:cs="Calibri"/>
                <w:bCs/>
              </w:rPr>
              <w:t>,</w:t>
            </w:r>
            <w:r w:rsidRPr="00B1443C">
              <w:rPr>
                <w:rFonts w:ascii="Book Antiqua" w:hAnsi="Book Antiqua" w:cs="Calibri"/>
                <w:bCs/>
              </w:rPr>
              <w:t xml:space="preserve"> easily distractible, difficulty keeping track of what was being said?</w:t>
            </w:r>
          </w:p>
        </w:tc>
      </w:tr>
      <w:tr w:rsidR="003872F0" w14:paraId="189E923D" w14:textId="77777777" w:rsidTr="00142582">
        <w:tc>
          <w:tcPr>
            <w:tcW w:w="9576" w:type="dxa"/>
          </w:tcPr>
          <w:p w14:paraId="31B8C65C" w14:textId="00B2CBC2" w:rsidR="003872F0" w:rsidRDefault="003872F0" w:rsidP="00B1443C">
            <w:pPr>
              <w:spacing w:line="360" w:lineRule="auto"/>
              <w:jc w:val="both"/>
              <w:rPr>
                <w:rFonts w:ascii="Book Antiqua" w:eastAsia="SimSun" w:hAnsi="Book Antiqua" w:cs="Calibri"/>
                <w:b/>
                <w:lang w:eastAsia="zh-CN"/>
              </w:rPr>
            </w:pPr>
            <w:r w:rsidRPr="00B1443C">
              <w:rPr>
                <w:rFonts w:ascii="Book Antiqua" w:hAnsi="Book Antiqua" w:cs="Calibri"/>
                <w:b/>
                <w:bCs/>
              </w:rPr>
              <w:t xml:space="preserve">Feature 3 Disorganised </w:t>
            </w:r>
            <w:r w:rsidR="00AB5B80" w:rsidRPr="00B1443C">
              <w:rPr>
                <w:rFonts w:ascii="Book Antiqua" w:hAnsi="Book Antiqua" w:cs="Calibri"/>
                <w:b/>
                <w:bCs/>
              </w:rPr>
              <w:t>thinking</w:t>
            </w:r>
          </w:p>
        </w:tc>
      </w:tr>
      <w:tr w:rsidR="003872F0" w14:paraId="05237210" w14:textId="77777777" w:rsidTr="00142582">
        <w:tc>
          <w:tcPr>
            <w:tcW w:w="9576" w:type="dxa"/>
          </w:tcPr>
          <w:p w14:paraId="165CE755" w14:textId="13EC6DC2" w:rsidR="003872F0" w:rsidRPr="003872F0" w:rsidRDefault="003872F0" w:rsidP="00B1443C">
            <w:pPr>
              <w:spacing w:line="360" w:lineRule="auto"/>
              <w:jc w:val="both"/>
              <w:rPr>
                <w:rFonts w:ascii="Book Antiqua" w:eastAsia="SimSun" w:hAnsi="Book Antiqua" w:cs="Calibri"/>
                <w:b/>
                <w:lang w:eastAsia="zh-CN"/>
              </w:rPr>
            </w:pPr>
            <w:r>
              <w:rPr>
                <w:rFonts w:ascii="Book Antiqua" w:eastAsia="SimSun" w:hAnsi="Book Antiqua" w:cs="Calibri" w:hint="eastAsia"/>
                <w:bCs/>
                <w:lang w:eastAsia="zh-CN"/>
              </w:rPr>
              <w:t>I</w:t>
            </w:r>
            <w:r w:rsidRPr="00B1443C">
              <w:rPr>
                <w:rFonts w:ascii="Book Antiqua" w:hAnsi="Book Antiqua" w:cs="Calibri"/>
                <w:bCs/>
              </w:rPr>
              <w:t>s the patient's thinking disorganised or incoherent, such as rambling or irrelevant conversation?</w:t>
            </w:r>
          </w:p>
        </w:tc>
      </w:tr>
      <w:tr w:rsidR="003872F0" w14:paraId="6E45CB31" w14:textId="77777777" w:rsidTr="00142582">
        <w:tc>
          <w:tcPr>
            <w:tcW w:w="9576" w:type="dxa"/>
          </w:tcPr>
          <w:p w14:paraId="3BDB7C8C" w14:textId="0F5DC3AC" w:rsidR="003872F0" w:rsidRDefault="003872F0" w:rsidP="00B1443C">
            <w:pPr>
              <w:spacing w:line="360" w:lineRule="auto"/>
              <w:jc w:val="both"/>
              <w:rPr>
                <w:rFonts w:ascii="Book Antiqua" w:eastAsia="SimSun" w:hAnsi="Book Antiqua" w:cs="Calibri"/>
                <w:b/>
                <w:lang w:eastAsia="zh-CN"/>
              </w:rPr>
            </w:pPr>
            <w:r w:rsidRPr="00B1443C">
              <w:rPr>
                <w:rFonts w:ascii="Book Antiqua" w:hAnsi="Book Antiqua" w:cs="Calibri"/>
                <w:b/>
                <w:bCs/>
              </w:rPr>
              <w:t xml:space="preserve">Feature 4 Altered </w:t>
            </w:r>
            <w:r w:rsidR="00AB5B80" w:rsidRPr="00B1443C">
              <w:rPr>
                <w:rFonts w:ascii="Book Antiqua" w:hAnsi="Book Antiqua" w:cs="Calibri"/>
                <w:b/>
                <w:bCs/>
              </w:rPr>
              <w:t>level of consciousness</w:t>
            </w:r>
          </w:p>
        </w:tc>
      </w:tr>
      <w:tr w:rsidR="003872F0" w14:paraId="053269E0" w14:textId="77777777" w:rsidTr="00142582">
        <w:tc>
          <w:tcPr>
            <w:tcW w:w="9576" w:type="dxa"/>
          </w:tcPr>
          <w:p w14:paraId="069109D2" w14:textId="4EC933A9" w:rsidR="003872F0" w:rsidRPr="003872F0" w:rsidRDefault="003872F0" w:rsidP="00B1443C">
            <w:pPr>
              <w:spacing w:line="360" w:lineRule="auto"/>
              <w:jc w:val="both"/>
              <w:rPr>
                <w:rFonts w:ascii="Book Antiqua" w:eastAsia="SimSun" w:hAnsi="Book Antiqua" w:cs="Calibri"/>
                <w:b/>
                <w:lang w:eastAsia="zh-CN"/>
              </w:rPr>
            </w:pPr>
            <w:r w:rsidRPr="00B1443C">
              <w:rPr>
                <w:rFonts w:ascii="Book Antiqua" w:hAnsi="Book Antiqua" w:cs="Calibri"/>
                <w:bCs/>
              </w:rPr>
              <w:t>Is the patient’s level of consciousness reduced</w:t>
            </w:r>
            <w:r>
              <w:rPr>
                <w:rFonts w:ascii="Book Antiqua" w:eastAsia="SimSun" w:hAnsi="Book Antiqua" w:cs="Calibri" w:hint="eastAsia"/>
                <w:bCs/>
                <w:lang w:eastAsia="zh-CN"/>
              </w:rPr>
              <w:t>?</w:t>
            </w:r>
          </w:p>
        </w:tc>
      </w:tr>
      <w:tr w:rsidR="003872F0" w14:paraId="7C9DBCD2" w14:textId="77777777" w:rsidTr="00142582">
        <w:tc>
          <w:tcPr>
            <w:tcW w:w="9576" w:type="dxa"/>
          </w:tcPr>
          <w:p w14:paraId="7A146CC5" w14:textId="1C9A8106" w:rsidR="003872F0" w:rsidRPr="003872F0" w:rsidRDefault="003872F0" w:rsidP="00B1443C">
            <w:pPr>
              <w:spacing w:line="360" w:lineRule="auto"/>
              <w:jc w:val="both"/>
              <w:rPr>
                <w:rFonts w:ascii="Book Antiqua" w:eastAsia="SimSun" w:hAnsi="Book Antiqua" w:cs="Calibri"/>
                <w:b/>
                <w:lang w:eastAsia="zh-CN"/>
              </w:rPr>
            </w:pPr>
            <w:r w:rsidRPr="003872F0">
              <w:rPr>
                <w:rFonts w:ascii="Book Antiqua" w:eastAsia="SimSun" w:hAnsi="Book Antiqua" w:cs="Calibri"/>
                <w:b/>
                <w:lang w:eastAsia="zh-CN"/>
              </w:rPr>
              <w:t>Features 1 and 2 and either 3 and 4 are required for a diagnosis of delirium</w:t>
            </w:r>
          </w:p>
        </w:tc>
      </w:tr>
    </w:tbl>
    <w:p w14:paraId="50741C60" w14:textId="77777777" w:rsidR="00271153" w:rsidRPr="00B1443C" w:rsidRDefault="00271153" w:rsidP="00490A12">
      <w:pPr>
        <w:widowControl w:val="0"/>
        <w:autoSpaceDE w:val="0"/>
        <w:autoSpaceDN w:val="0"/>
        <w:adjustRightInd w:val="0"/>
        <w:spacing w:line="360" w:lineRule="auto"/>
        <w:jc w:val="both"/>
        <w:rPr>
          <w:rFonts w:ascii="Book Antiqua" w:hAnsi="Book Antiqua" w:cs="Calibri"/>
          <w:bCs/>
        </w:rPr>
      </w:pPr>
    </w:p>
    <w:sectPr w:rsidR="00271153" w:rsidRPr="00B1443C" w:rsidSect="00CB4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26B7" w14:textId="77777777" w:rsidR="00010B63" w:rsidRDefault="00010B63" w:rsidP="00FC2E30">
      <w:r>
        <w:separator/>
      </w:r>
    </w:p>
  </w:endnote>
  <w:endnote w:type="continuationSeparator" w:id="0">
    <w:p w14:paraId="012E1E2C" w14:textId="77777777" w:rsidR="00010B63" w:rsidRDefault="00010B63" w:rsidP="00FC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6031" w14:textId="77777777" w:rsidR="00010B63" w:rsidRDefault="00010B63" w:rsidP="00FC2E30">
      <w:r>
        <w:separator/>
      </w:r>
    </w:p>
  </w:footnote>
  <w:footnote w:type="continuationSeparator" w:id="0">
    <w:p w14:paraId="1D8517D4" w14:textId="77777777" w:rsidR="00010B63" w:rsidRDefault="00010B63" w:rsidP="00FC2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B4"/>
    <w:rsid w:val="00001A9F"/>
    <w:rsid w:val="00010B63"/>
    <w:rsid w:val="00033053"/>
    <w:rsid w:val="00033BF4"/>
    <w:rsid w:val="000907D5"/>
    <w:rsid w:val="000A49A3"/>
    <w:rsid w:val="000B4E7A"/>
    <w:rsid w:val="000D0D51"/>
    <w:rsid w:val="00116837"/>
    <w:rsid w:val="001231EC"/>
    <w:rsid w:val="00132C61"/>
    <w:rsid w:val="00142582"/>
    <w:rsid w:val="001503D6"/>
    <w:rsid w:val="00152F9E"/>
    <w:rsid w:val="00165A4C"/>
    <w:rsid w:val="001665E1"/>
    <w:rsid w:val="001778DD"/>
    <w:rsid w:val="00193902"/>
    <w:rsid w:val="002075B9"/>
    <w:rsid w:val="00242F1E"/>
    <w:rsid w:val="0024409A"/>
    <w:rsid w:val="00246678"/>
    <w:rsid w:val="002552C7"/>
    <w:rsid w:val="002671A4"/>
    <w:rsid w:val="00267C08"/>
    <w:rsid w:val="00271153"/>
    <w:rsid w:val="00271E72"/>
    <w:rsid w:val="00297EFD"/>
    <w:rsid w:val="002A2436"/>
    <w:rsid w:val="002D3EA8"/>
    <w:rsid w:val="002D78A1"/>
    <w:rsid w:val="002E6D3D"/>
    <w:rsid w:val="00302506"/>
    <w:rsid w:val="00305B11"/>
    <w:rsid w:val="00336445"/>
    <w:rsid w:val="00371D3D"/>
    <w:rsid w:val="00377469"/>
    <w:rsid w:val="00382DDD"/>
    <w:rsid w:val="00384D32"/>
    <w:rsid w:val="003872F0"/>
    <w:rsid w:val="003B3644"/>
    <w:rsid w:val="003E49DF"/>
    <w:rsid w:val="003F67C9"/>
    <w:rsid w:val="0040513C"/>
    <w:rsid w:val="00434F14"/>
    <w:rsid w:val="00446280"/>
    <w:rsid w:val="0045501D"/>
    <w:rsid w:val="004561BC"/>
    <w:rsid w:val="004658DE"/>
    <w:rsid w:val="00490A12"/>
    <w:rsid w:val="00492D27"/>
    <w:rsid w:val="004A522E"/>
    <w:rsid w:val="004C012F"/>
    <w:rsid w:val="004F42ED"/>
    <w:rsid w:val="004F4A55"/>
    <w:rsid w:val="00523D0C"/>
    <w:rsid w:val="00524EED"/>
    <w:rsid w:val="00535AC7"/>
    <w:rsid w:val="005400FB"/>
    <w:rsid w:val="0058619C"/>
    <w:rsid w:val="005C3193"/>
    <w:rsid w:val="0060713E"/>
    <w:rsid w:val="006174F4"/>
    <w:rsid w:val="00623220"/>
    <w:rsid w:val="00632FD2"/>
    <w:rsid w:val="00643961"/>
    <w:rsid w:val="0064691C"/>
    <w:rsid w:val="006855ED"/>
    <w:rsid w:val="00691435"/>
    <w:rsid w:val="006B05AE"/>
    <w:rsid w:val="006B2D98"/>
    <w:rsid w:val="006C3B4F"/>
    <w:rsid w:val="006C47D6"/>
    <w:rsid w:val="006D12E2"/>
    <w:rsid w:val="006E4F45"/>
    <w:rsid w:val="007162D6"/>
    <w:rsid w:val="00765DFE"/>
    <w:rsid w:val="007728B2"/>
    <w:rsid w:val="00785F62"/>
    <w:rsid w:val="007A4C19"/>
    <w:rsid w:val="007C618C"/>
    <w:rsid w:val="007C7EAE"/>
    <w:rsid w:val="007F471C"/>
    <w:rsid w:val="007F7AC3"/>
    <w:rsid w:val="008010D5"/>
    <w:rsid w:val="00802525"/>
    <w:rsid w:val="0080314A"/>
    <w:rsid w:val="0080364E"/>
    <w:rsid w:val="0080776F"/>
    <w:rsid w:val="0083102A"/>
    <w:rsid w:val="00843861"/>
    <w:rsid w:val="0085244A"/>
    <w:rsid w:val="00866276"/>
    <w:rsid w:val="008845FF"/>
    <w:rsid w:val="00892F98"/>
    <w:rsid w:val="00897DD3"/>
    <w:rsid w:val="008A7A00"/>
    <w:rsid w:val="008B257B"/>
    <w:rsid w:val="008C3914"/>
    <w:rsid w:val="008E41D4"/>
    <w:rsid w:val="009079C8"/>
    <w:rsid w:val="009312A1"/>
    <w:rsid w:val="00941369"/>
    <w:rsid w:val="00987606"/>
    <w:rsid w:val="009B2050"/>
    <w:rsid w:val="009B6DA9"/>
    <w:rsid w:val="009B7488"/>
    <w:rsid w:val="009C5630"/>
    <w:rsid w:val="009C5C7E"/>
    <w:rsid w:val="00A327BF"/>
    <w:rsid w:val="00A616F9"/>
    <w:rsid w:val="00A66CE5"/>
    <w:rsid w:val="00AB079E"/>
    <w:rsid w:val="00AB5B80"/>
    <w:rsid w:val="00AC109A"/>
    <w:rsid w:val="00AC282E"/>
    <w:rsid w:val="00B1443C"/>
    <w:rsid w:val="00B34283"/>
    <w:rsid w:val="00B60F03"/>
    <w:rsid w:val="00B614B7"/>
    <w:rsid w:val="00B61A2D"/>
    <w:rsid w:val="00BB5BD0"/>
    <w:rsid w:val="00BC5C50"/>
    <w:rsid w:val="00BC7AE2"/>
    <w:rsid w:val="00BE0450"/>
    <w:rsid w:val="00BF777F"/>
    <w:rsid w:val="00C62BA2"/>
    <w:rsid w:val="00CA2D72"/>
    <w:rsid w:val="00CA7F09"/>
    <w:rsid w:val="00CB3D22"/>
    <w:rsid w:val="00CB4E47"/>
    <w:rsid w:val="00CB6B03"/>
    <w:rsid w:val="00CC6E52"/>
    <w:rsid w:val="00CE7018"/>
    <w:rsid w:val="00D02A31"/>
    <w:rsid w:val="00D203C6"/>
    <w:rsid w:val="00D23057"/>
    <w:rsid w:val="00D4509D"/>
    <w:rsid w:val="00D512DE"/>
    <w:rsid w:val="00D76641"/>
    <w:rsid w:val="00D8513D"/>
    <w:rsid w:val="00D924A9"/>
    <w:rsid w:val="00DA5F5D"/>
    <w:rsid w:val="00DB21B5"/>
    <w:rsid w:val="00DB2D5F"/>
    <w:rsid w:val="00DB7199"/>
    <w:rsid w:val="00DC14D0"/>
    <w:rsid w:val="00DE21A6"/>
    <w:rsid w:val="00DE4AA0"/>
    <w:rsid w:val="00DE5765"/>
    <w:rsid w:val="00DF1D9A"/>
    <w:rsid w:val="00E07378"/>
    <w:rsid w:val="00E342B4"/>
    <w:rsid w:val="00E34E73"/>
    <w:rsid w:val="00E50D75"/>
    <w:rsid w:val="00E540A2"/>
    <w:rsid w:val="00E631CF"/>
    <w:rsid w:val="00E91C08"/>
    <w:rsid w:val="00EE0F2B"/>
    <w:rsid w:val="00F02353"/>
    <w:rsid w:val="00F124DD"/>
    <w:rsid w:val="00F134B9"/>
    <w:rsid w:val="00F400E5"/>
    <w:rsid w:val="00F55310"/>
    <w:rsid w:val="00F6716C"/>
    <w:rsid w:val="00F71628"/>
    <w:rsid w:val="00FC1FE1"/>
    <w:rsid w:val="00FC2E30"/>
    <w:rsid w:val="00FD58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17C1"/>
  <w15:docId w15:val="{6DED5BF1-2703-9849-8907-2BD66768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7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2B4"/>
    <w:rPr>
      <w:color w:val="0000FF"/>
      <w:u w:val="single"/>
    </w:rPr>
  </w:style>
  <w:style w:type="paragraph" w:styleId="BalloonText">
    <w:name w:val="Balloon Text"/>
    <w:basedOn w:val="Normal"/>
    <w:link w:val="BalloonTextChar"/>
    <w:uiPriority w:val="99"/>
    <w:semiHidden/>
    <w:unhideWhenUsed/>
    <w:rsid w:val="00E342B4"/>
    <w:rPr>
      <w:rFonts w:eastAsia="Calibri"/>
      <w:sz w:val="18"/>
      <w:szCs w:val="18"/>
      <w:lang w:val="en-US" w:bidi="he-IL"/>
    </w:rPr>
  </w:style>
  <w:style w:type="character" w:customStyle="1" w:styleId="BalloonTextChar">
    <w:name w:val="Balloon Text Char"/>
    <w:basedOn w:val="DefaultParagraphFont"/>
    <w:link w:val="BalloonText"/>
    <w:uiPriority w:val="99"/>
    <w:semiHidden/>
    <w:rsid w:val="00E342B4"/>
    <w:rPr>
      <w:rFonts w:ascii="Times New Roman" w:eastAsia="Calibri" w:hAnsi="Times New Roman" w:cs="Times New Roman"/>
      <w:sz w:val="18"/>
      <w:szCs w:val="18"/>
      <w:lang w:val="en-US" w:bidi="he-IL"/>
    </w:rPr>
  </w:style>
  <w:style w:type="character" w:styleId="CommentReference">
    <w:name w:val="annotation reference"/>
    <w:basedOn w:val="DefaultParagraphFont"/>
    <w:uiPriority w:val="99"/>
    <w:semiHidden/>
    <w:unhideWhenUsed/>
    <w:rsid w:val="000A49A3"/>
    <w:rPr>
      <w:sz w:val="16"/>
      <w:szCs w:val="16"/>
    </w:rPr>
  </w:style>
  <w:style w:type="paragraph" w:styleId="CommentText">
    <w:name w:val="annotation text"/>
    <w:basedOn w:val="Normal"/>
    <w:link w:val="CommentTextChar"/>
    <w:uiPriority w:val="99"/>
    <w:unhideWhenUsed/>
    <w:rsid w:val="000A49A3"/>
    <w:pPr>
      <w:spacing w:after="200"/>
    </w:pPr>
    <w:rPr>
      <w:rFonts w:ascii="Calibri" w:eastAsia="Calibri" w:hAnsi="Calibri" w:cs="Arial"/>
      <w:sz w:val="20"/>
      <w:szCs w:val="20"/>
      <w:lang w:val="en-US" w:bidi="he-IL"/>
    </w:rPr>
  </w:style>
  <w:style w:type="character" w:customStyle="1" w:styleId="CommentTextChar">
    <w:name w:val="Comment Text Char"/>
    <w:basedOn w:val="DefaultParagraphFont"/>
    <w:link w:val="CommentText"/>
    <w:uiPriority w:val="99"/>
    <w:rsid w:val="000A49A3"/>
    <w:rPr>
      <w:rFonts w:ascii="Calibri" w:eastAsia="Calibri" w:hAnsi="Calibri" w:cs="Arial"/>
      <w:sz w:val="20"/>
      <w:szCs w:val="20"/>
      <w:lang w:val="en-US" w:bidi="he-IL"/>
    </w:rPr>
  </w:style>
  <w:style w:type="paragraph" w:styleId="CommentSubject">
    <w:name w:val="annotation subject"/>
    <w:basedOn w:val="CommentText"/>
    <w:next w:val="CommentText"/>
    <w:link w:val="CommentSubjectChar"/>
    <w:uiPriority w:val="99"/>
    <w:semiHidden/>
    <w:unhideWhenUsed/>
    <w:rsid w:val="000A49A3"/>
    <w:rPr>
      <w:b/>
      <w:bCs/>
    </w:rPr>
  </w:style>
  <w:style w:type="character" w:customStyle="1" w:styleId="CommentSubjectChar">
    <w:name w:val="Comment Subject Char"/>
    <w:basedOn w:val="CommentTextChar"/>
    <w:link w:val="CommentSubject"/>
    <w:uiPriority w:val="99"/>
    <w:semiHidden/>
    <w:rsid w:val="000A49A3"/>
    <w:rPr>
      <w:rFonts w:ascii="Calibri" w:eastAsia="Calibri" w:hAnsi="Calibri" w:cs="Arial"/>
      <w:b/>
      <w:bCs/>
      <w:sz w:val="20"/>
      <w:szCs w:val="20"/>
      <w:lang w:val="en-US" w:bidi="he-IL"/>
    </w:rPr>
  </w:style>
  <w:style w:type="paragraph" w:styleId="NormalWeb">
    <w:name w:val="Normal (Web)"/>
    <w:basedOn w:val="Normal"/>
    <w:uiPriority w:val="99"/>
    <w:unhideWhenUsed/>
    <w:rsid w:val="00A66CE5"/>
    <w:pPr>
      <w:spacing w:before="100" w:beforeAutospacing="1" w:after="100" w:afterAutospacing="1"/>
    </w:pPr>
  </w:style>
  <w:style w:type="paragraph" w:styleId="Revision">
    <w:name w:val="Revision"/>
    <w:hidden/>
    <w:uiPriority w:val="99"/>
    <w:semiHidden/>
    <w:rsid w:val="0085244A"/>
    <w:rPr>
      <w:rFonts w:ascii="Times New Roman" w:eastAsia="Times New Roman" w:hAnsi="Times New Roman" w:cs="Times New Roman"/>
    </w:rPr>
  </w:style>
  <w:style w:type="character" w:customStyle="1" w:styleId="apple-converted-space">
    <w:name w:val="apple-converted-space"/>
    <w:basedOn w:val="DefaultParagraphFont"/>
    <w:rsid w:val="00302506"/>
  </w:style>
  <w:style w:type="paragraph" w:styleId="Header">
    <w:name w:val="header"/>
    <w:basedOn w:val="Normal"/>
    <w:link w:val="HeaderChar"/>
    <w:uiPriority w:val="99"/>
    <w:unhideWhenUsed/>
    <w:rsid w:val="00FC2E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C2E30"/>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C2E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2E30"/>
    <w:rPr>
      <w:rFonts w:ascii="Times New Roman" w:eastAsia="Times New Roman" w:hAnsi="Times New Roman" w:cs="Times New Roman"/>
      <w:sz w:val="18"/>
      <w:szCs w:val="18"/>
    </w:rPr>
  </w:style>
  <w:style w:type="paragraph" w:styleId="PlainText">
    <w:name w:val="Plain Text"/>
    <w:basedOn w:val="Normal"/>
    <w:link w:val="PlainTextChar"/>
    <w:rsid w:val="00116837"/>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116837"/>
    <w:rPr>
      <w:rFonts w:ascii="SimSun" w:eastAsia="SimSun" w:hAnsi="Courier New" w:cs="Courier New"/>
      <w:kern w:val="2"/>
      <w:sz w:val="21"/>
      <w:szCs w:val="21"/>
      <w:lang w:val="en-US" w:eastAsia="zh-CN"/>
    </w:rPr>
  </w:style>
  <w:style w:type="table" w:styleId="TableGrid">
    <w:name w:val="Table Grid"/>
    <w:basedOn w:val="TableNormal"/>
    <w:uiPriority w:val="39"/>
    <w:rsid w:val="00387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8910">
      <w:bodyDiv w:val="1"/>
      <w:marLeft w:val="0"/>
      <w:marRight w:val="0"/>
      <w:marTop w:val="0"/>
      <w:marBottom w:val="0"/>
      <w:divBdr>
        <w:top w:val="none" w:sz="0" w:space="0" w:color="auto"/>
        <w:left w:val="none" w:sz="0" w:space="0" w:color="auto"/>
        <w:bottom w:val="none" w:sz="0" w:space="0" w:color="auto"/>
        <w:right w:val="none" w:sz="0" w:space="0" w:color="auto"/>
      </w:divBdr>
    </w:div>
    <w:div w:id="217136826">
      <w:bodyDiv w:val="1"/>
      <w:marLeft w:val="0"/>
      <w:marRight w:val="0"/>
      <w:marTop w:val="0"/>
      <w:marBottom w:val="0"/>
      <w:divBdr>
        <w:top w:val="none" w:sz="0" w:space="0" w:color="auto"/>
        <w:left w:val="none" w:sz="0" w:space="0" w:color="auto"/>
        <w:bottom w:val="none" w:sz="0" w:space="0" w:color="auto"/>
        <w:right w:val="none" w:sz="0" w:space="0" w:color="auto"/>
      </w:divBdr>
    </w:div>
    <w:div w:id="401804168">
      <w:bodyDiv w:val="1"/>
      <w:marLeft w:val="0"/>
      <w:marRight w:val="0"/>
      <w:marTop w:val="0"/>
      <w:marBottom w:val="0"/>
      <w:divBdr>
        <w:top w:val="none" w:sz="0" w:space="0" w:color="auto"/>
        <w:left w:val="none" w:sz="0" w:space="0" w:color="auto"/>
        <w:bottom w:val="none" w:sz="0" w:space="0" w:color="auto"/>
        <w:right w:val="none" w:sz="0" w:space="0" w:color="auto"/>
      </w:divBdr>
    </w:div>
    <w:div w:id="428620310">
      <w:bodyDiv w:val="1"/>
      <w:marLeft w:val="0"/>
      <w:marRight w:val="0"/>
      <w:marTop w:val="0"/>
      <w:marBottom w:val="0"/>
      <w:divBdr>
        <w:top w:val="none" w:sz="0" w:space="0" w:color="auto"/>
        <w:left w:val="none" w:sz="0" w:space="0" w:color="auto"/>
        <w:bottom w:val="none" w:sz="0" w:space="0" w:color="auto"/>
        <w:right w:val="none" w:sz="0" w:space="0" w:color="auto"/>
      </w:divBdr>
    </w:div>
    <w:div w:id="660277243">
      <w:bodyDiv w:val="1"/>
      <w:marLeft w:val="0"/>
      <w:marRight w:val="0"/>
      <w:marTop w:val="0"/>
      <w:marBottom w:val="0"/>
      <w:divBdr>
        <w:top w:val="none" w:sz="0" w:space="0" w:color="auto"/>
        <w:left w:val="none" w:sz="0" w:space="0" w:color="auto"/>
        <w:bottom w:val="none" w:sz="0" w:space="0" w:color="auto"/>
        <w:right w:val="none" w:sz="0" w:space="0" w:color="auto"/>
      </w:divBdr>
    </w:div>
    <w:div w:id="808860588">
      <w:bodyDiv w:val="1"/>
      <w:marLeft w:val="0"/>
      <w:marRight w:val="0"/>
      <w:marTop w:val="0"/>
      <w:marBottom w:val="0"/>
      <w:divBdr>
        <w:top w:val="none" w:sz="0" w:space="0" w:color="auto"/>
        <w:left w:val="none" w:sz="0" w:space="0" w:color="auto"/>
        <w:bottom w:val="none" w:sz="0" w:space="0" w:color="auto"/>
        <w:right w:val="none" w:sz="0" w:space="0" w:color="auto"/>
      </w:divBdr>
      <w:divsChild>
        <w:div w:id="2019697611">
          <w:marLeft w:val="0"/>
          <w:marRight w:val="0"/>
          <w:marTop w:val="0"/>
          <w:marBottom w:val="0"/>
          <w:divBdr>
            <w:top w:val="none" w:sz="0" w:space="0" w:color="auto"/>
            <w:left w:val="none" w:sz="0" w:space="0" w:color="auto"/>
            <w:bottom w:val="none" w:sz="0" w:space="0" w:color="auto"/>
            <w:right w:val="none" w:sz="0" w:space="0" w:color="auto"/>
          </w:divBdr>
          <w:divsChild>
            <w:div w:id="1973898348">
              <w:marLeft w:val="0"/>
              <w:marRight w:val="0"/>
              <w:marTop w:val="0"/>
              <w:marBottom w:val="0"/>
              <w:divBdr>
                <w:top w:val="none" w:sz="0" w:space="0" w:color="auto"/>
                <w:left w:val="none" w:sz="0" w:space="0" w:color="auto"/>
                <w:bottom w:val="none" w:sz="0" w:space="0" w:color="auto"/>
                <w:right w:val="none" w:sz="0" w:space="0" w:color="auto"/>
              </w:divBdr>
              <w:divsChild>
                <w:div w:id="338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2932">
      <w:bodyDiv w:val="1"/>
      <w:marLeft w:val="0"/>
      <w:marRight w:val="0"/>
      <w:marTop w:val="0"/>
      <w:marBottom w:val="0"/>
      <w:divBdr>
        <w:top w:val="none" w:sz="0" w:space="0" w:color="auto"/>
        <w:left w:val="none" w:sz="0" w:space="0" w:color="auto"/>
        <w:bottom w:val="none" w:sz="0" w:space="0" w:color="auto"/>
        <w:right w:val="none" w:sz="0" w:space="0" w:color="auto"/>
      </w:divBdr>
    </w:div>
    <w:div w:id="1419867156">
      <w:bodyDiv w:val="1"/>
      <w:marLeft w:val="0"/>
      <w:marRight w:val="0"/>
      <w:marTop w:val="0"/>
      <w:marBottom w:val="0"/>
      <w:divBdr>
        <w:top w:val="none" w:sz="0" w:space="0" w:color="auto"/>
        <w:left w:val="none" w:sz="0" w:space="0" w:color="auto"/>
        <w:bottom w:val="none" w:sz="0" w:space="0" w:color="auto"/>
        <w:right w:val="none" w:sz="0" w:space="0" w:color="auto"/>
      </w:divBdr>
      <w:divsChild>
        <w:div w:id="583992577">
          <w:marLeft w:val="0"/>
          <w:marRight w:val="0"/>
          <w:marTop w:val="0"/>
          <w:marBottom w:val="0"/>
          <w:divBdr>
            <w:top w:val="none" w:sz="0" w:space="0" w:color="auto"/>
            <w:left w:val="none" w:sz="0" w:space="0" w:color="auto"/>
            <w:bottom w:val="none" w:sz="0" w:space="0" w:color="auto"/>
            <w:right w:val="none" w:sz="0" w:space="0" w:color="auto"/>
          </w:divBdr>
        </w:div>
      </w:divsChild>
    </w:div>
    <w:div w:id="1441024323">
      <w:bodyDiv w:val="1"/>
      <w:marLeft w:val="0"/>
      <w:marRight w:val="0"/>
      <w:marTop w:val="0"/>
      <w:marBottom w:val="0"/>
      <w:divBdr>
        <w:top w:val="none" w:sz="0" w:space="0" w:color="auto"/>
        <w:left w:val="none" w:sz="0" w:space="0" w:color="auto"/>
        <w:bottom w:val="none" w:sz="0" w:space="0" w:color="auto"/>
        <w:right w:val="none" w:sz="0" w:space="0" w:color="auto"/>
      </w:divBdr>
    </w:div>
    <w:div w:id="1734234454">
      <w:bodyDiv w:val="1"/>
      <w:marLeft w:val="0"/>
      <w:marRight w:val="0"/>
      <w:marTop w:val="0"/>
      <w:marBottom w:val="0"/>
      <w:divBdr>
        <w:top w:val="none" w:sz="0" w:space="0" w:color="auto"/>
        <w:left w:val="none" w:sz="0" w:space="0" w:color="auto"/>
        <w:bottom w:val="none" w:sz="0" w:space="0" w:color="auto"/>
        <w:right w:val="none" w:sz="0" w:space="0" w:color="auto"/>
      </w:divBdr>
    </w:div>
    <w:div w:id="1743135770">
      <w:bodyDiv w:val="1"/>
      <w:marLeft w:val="0"/>
      <w:marRight w:val="0"/>
      <w:marTop w:val="0"/>
      <w:marBottom w:val="0"/>
      <w:divBdr>
        <w:top w:val="none" w:sz="0" w:space="0" w:color="auto"/>
        <w:left w:val="none" w:sz="0" w:space="0" w:color="auto"/>
        <w:bottom w:val="none" w:sz="0" w:space="0" w:color="auto"/>
        <w:right w:val="none" w:sz="0" w:space="0" w:color="auto"/>
      </w:divBdr>
    </w:div>
    <w:div w:id="1953826731">
      <w:bodyDiv w:val="1"/>
      <w:marLeft w:val="0"/>
      <w:marRight w:val="0"/>
      <w:marTop w:val="0"/>
      <w:marBottom w:val="0"/>
      <w:divBdr>
        <w:top w:val="none" w:sz="0" w:space="0" w:color="auto"/>
        <w:left w:val="none" w:sz="0" w:space="0" w:color="auto"/>
        <w:bottom w:val="none" w:sz="0" w:space="0" w:color="auto"/>
        <w:right w:val="none" w:sz="0" w:space="0" w:color="auto"/>
      </w:divBdr>
    </w:div>
    <w:div w:id="1955556625">
      <w:bodyDiv w:val="1"/>
      <w:marLeft w:val="0"/>
      <w:marRight w:val="0"/>
      <w:marTop w:val="0"/>
      <w:marBottom w:val="0"/>
      <w:divBdr>
        <w:top w:val="none" w:sz="0" w:space="0" w:color="auto"/>
        <w:left w:val="none" w:sz="0" w:space="0" w:color="auto"/>
        <w:bottom w:val="none" w:sz="0" w:space="0" w:color="auto"/>
        <w:right w:val="none" w:sz="0" w:space="0" w:color="auto"/>
      </w:divBdr>
    </w:div>
    <w:div w:id="2125802554">
      <w:bodyDiv w:val="1"/>
      <w:marLeft w:val="0"/>
      <w:marRight w:val="0"/>
      <w:marTop w:val="0"/>
      <w:marBottom w:val="0"/>
      <w:divBdr>
        <w:top w:val="none" w:sz="0" w:space="0" w:color="auto"/>
        <w:left w:val="none" w:sz="0" w:space="0" w:color="auto"/>
        <w:bottom w:val="none" w:sz="0" w:space="0" w:color="auto"/>
        <w:right w:val="none" w:sz="0" w:space="0" w:color="auto"/>
      </w:divBdr>
      <w:divsChild>
        <w:div w:id="661128640">
          <w:marLeft w:val="0"/>
          <w:marRight w:val="0"/>
          <w:marTop w:val="0"/>
          <w:marBottom w:val="0"/>
          <w:divBdr>
            <w:top w:val="none" w:sz="0" w:space="0" w:color="auto"/>
            <w:left w:val="none" w:sz="0" w:space="0" w:color="auto"/>
            <w:bottom w:val="none" w:sz="0" w:space="0" w:color="auto"/>
            <w:right w:val="none" w:sz="0" w:space="0" w:color="auto"/>
          </w:divBdr>
        </w:div>
        <w:div w:id="478959247">
          <w:marLeft w:val="0"/>
          <w:marRight w:val="0"/>
          <w:marTop w:val="0"/>
          <w:marBottom w:val="0"/>
          <w:divBdr>
            <w:top w:val="none" w:sz="0" w:space="0" w:color="auto"/>
            <w:left w:val="none" w:sz="0" w:space="0" w:color="auto"/>
            <w:bottom w:val="none" w:sz="0" w:space="0" w:color="auto"/>
            <w:right w:val="none" w:sz="0" w:space="0" w:color="auto"/>
          </w:divBdr>
        </w:div>
        <w:div w:id="156074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039B-D957-0F48-889A-01336022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23399</Words>
  <Characters>133375</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156462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Ma</cp:lastModifiedBy>
  <cp:revision>3</cp:revision>
  <dcterms:created xsi:type="dcterms:W3CDTF">2019-05-22T02:53:00Z</dcterms:created>
  <dcterms:modified xsi:type="dcterms:W3CDTF">2019-05-22T03:06:00Z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http://www.zotero.org/styles/sage-vancouver</vt:lpwstr>
  </property>
  <property fmtid="{D5CDD505-2E9C-101B-9397-08002B2CF9AE}" pid="19" name="Mendeley Recent Style Name 8_1">
    <vt:lpwstr>SAGE -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060c2cb2-06d9-3d33-b3bc-fff621db2be4</vt:lpwstr>
  </property>
  <property fmtid="{D5CDD505-2E9C-101B-9397-08002B2CF9AE}" pid="24" name="Mendeley Citation Style_1">
    <vt:lpwstr>http://www.zotero.org/styles/bmj-open</vt:lpwstr>
  </property>
</Properties>
</file>