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6A" w:rsidRPr="000A7851" w:rsidRDefault="009B2E6A" w:rsidP="005F021A">
      <w:pPr>
        <w:snapToGrid w:val="0"/>
        <w:spacing w:after="0" w:line="360" w:lineRule="auto"/>
        <w:ind w:rightChars="65" w:right="143"/>
        <w:jc w:val="both"/>
        <w:rPr>
          <w:rFonts w:ascii="Book Antiqua" w:eastAsia="Book Antiqua" w:hAnsi="Book Antiqua"/>
          <w:b/>
          <w:bCs/>
          <w:i/>
          <w:sz w:val="24"/>
          <w:szCs w:val="24"/>
          <w:lang w:val="en-US"/>
        </w:rPr>
      </w:pPr>
      <w:bookmarkStart w:id="0" w:name="_Hlk6581159"/>
      <w:r w:rsidRPr="000A7851">
        <w:rPr>
          <w:rFonts w:ascii="Book Antiqua" w:eastAsia="Book Antiqua" w:hAnsi="Book Antiqua"/>
          <w:b/>
          <w:sz w:val="24"/>
          <w:szCs w:val="24"/>
          <w:lang w:val="en-US"/>
        </w:rPr>
        <w:t xml:space="preserve">Name of Journal: </w:t>
      </w:r>
      <w:r w:rsidRPr="000A7851">
        <w:rPr>
          <w:rFonts w:ascii="Book Antiqua" w:eastAsia="Book Antiqua" w:hAnsi="Book Antiqua"/>
          <w:b/>
          <w:bCs/>
          <w:i/>
          <w:sz w:val="24"/>
          <w:szCs w:val="24"/>
          <w:lang w:val="en-US"/>
        </w:rPr>
        <w:t>World Journal of Nephrology</w:t>
      </w:r>
    </w:p>
    <w:p w:rsidR="009B2E6A" w:rsidRPr="000A7851" w:rsidRDefault="009B2E6A" w:rsidP="005F021A">
      <w:pPr>
        <w:snapToGrid w:val="0"/>
        <w:spacing w:after="0" w:line="360" w:lineRule="auto"/>
        <w:ind w:rightChars="65" w:right="143"/>
        <w:jc w:val="both"/>
        <w:rPr>
          <w:rFonts w:ascii="Book Antiqua" w:hAnsi="Book Antiqua"/>
          <w:b/>
          <w:bCs/>
          <w:sz w:val="24"/>
          <w:szCs w:val="24"/>
          <w:lang w:val="en-US"/>
        </w:rPr>
      </w:pPr>
      <w:r w:rsidRPr="000A7851">
        <w:rPr>
          <w:rFonts w:ascii="Book Antiqua" w:eastAsia="Book Antiqua" w:hAnsi="Book Antiqua"/>
          <w:b/>
          <w:bCs/>
          <w:sz w:val="24"/>
          <w:szCs w:val="24"/>
          <w:lang w:val="en-US"/>
        </w:rPr>
        <w:t xml:space="preserve">Manuscript NO: </w:t>
      </w:r>
      <w:r w:rsidRPr="000A7851">
        <w:rPr>
          <w:rFonts w:ascii="Book Antiqua" w:hAnsi="Book Antiqua"/>
          <w:b/>
          <w:bCs/>
          <w:sz w:val="24"/>
          <w:szCs w:val="24"/>
          <w:lang w:val="en-US"/>
        </w:rPr>
        <w:t>46990</w:t>
      </w:r>
    </w:p>
    <w:p w:rsidR="009B2E6A" w:rsidRPr="000A7851" w:rsidRDefault="009B2E6A" w:rsidP="005F021A">
      <w:pPr>
        <w:snapToGrid w:val="0"/>
        <w:spacing w:after="0" w:line="360" w:lineRule="auto"/>
        <w:ind w:rightChars="65" w:right="143"/>
        <w:jc w:val="both"/>
        <w:rPr>
          <w:rFonts w:ascii="Book Antiqua" w:hAnsi="Book Antiqua"/>
          <w:b/>
          <w:bCs/>
          <w:sz w:val="24"/>
          <w:szCs w:val="24"/>
          <w:lang w:val="en-US"/>
        </w:rPr>
      </w:pPr>
      <w:r w:rsidRPr="000A7851">
        <w:rPr>
          <w:rFonts w:ascii="Book Antiqua" w:eastAsia="Book Antiqua" w:hAnsi="Book Antiqua"/>
          <w:b/>
          <w:bCs/>
          <w:sz w:val="24"/>
          <w:szCs w:val="24"/>
          <w:lang w:val="en-US"/>
        </w:rPr>
        <w:t xml:space="preserve">Manuscript Type: </w:t>
      </w:r>
      <w:r w:rsidR="00BF1CBA" w:rsidRPr="000A7851">
        <w:rPr>
          <w:rFonts w:ascii="Book Antiqua" w:eastAsia="Book Antiqua" w:hAnsi="Book Antiqua"/>
          <w:b/>
          <w:bCs/>
          <w:sz w:val="24"/>
          <w:szCs w:val="24"/>
          <w:lang w:val="en-US"/>
        </w:rPr>
        <w:t>MINIREVIEWS</w:t>
      </w:r>
    </w:p>
    <w:bookmarkEnd w:id="0"/>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9B2E6A" w:rsidP="005F021A">
      <w:pPr>
        <w:snapToGrid w:val="0"/>
        <w:spacing w:after="0" w:line="360" w:lineRule="auto"/>
        <w:jc w:val="both"/>
        <w:rPr>
          <w:rFonts w:ascii="Book Antiqua" w:hAnsi="Book Antiqua" w:cs="Times New Roman"/>
          <w:b/>
          <w:sz w:val="24"/>
          <w:szCs w:val="24"/>
          <w:lang w:val="en-US"/>
        </w:rPr>
      </w:pPr>
      <w:bookmarkStart w:id="1" w:name="OLE_LINK7"/>
      <w:bookmarkStart w:id="2" w:name="OLE_LINK8"/>
      <w:r w:rsidRPr="000A7851">
        <w:rPr>
          <w:rFonts w:ascii="Book Antiqua" w:hAnsi="Book Antiqua" w:cs="Times New Roman"/>
          <w:b/>
          <w:sz w:val="24"/>
          <w:szCs w:val="24"/>
          <w:lang w:val="en-US"/>
        </w:rPr>
        <w:t xml:space="preserve">The role of mycophenolate in the treatment of </w:t>
      </w:r>
      <w:proofErr w:type="spellStart"/>
      <w:r w:rsidR="00BF1CBA" w:rsidRPr="000A7851">
        <w:rPr>
          <w:rFonts w:ascii="Book Antiqua" w:hAnsi="Book Antiqua" w:cs="Times New Roman"/>
          <w:b/>
          <w:sz w:val="24"/>
          <w:szCs w:val="24"/>
          <w:lang w:val="en-US"/>
        </w:rPr>
        <w:t>antineutrophil</w:t>
      </w:r>
      <w:proofErr w:type="spellEnd"/>
      <w:r w:rsidR="00BF1CBA" w:rsidRPr="000A7851">
        <w:rPr>
          <w:rFonts w:ascii="Book Antiqua" w:hAnsi="Book Antiqua" w:cs="Times New Roman"/>
          <w:b/>
          <w:sz w:val="24"/>
          <w:szCs w:val="24"/>
          <w:lang w:val="en-US"/>
        </w:rPr>
        <w:t xml:space="preserve"> cytoplasmic antibody</w:t>
      </w:r>
      <w:r w:rsidR="002A3420" w:rsidRPr="000A7851">
        <w:rPr>
          <w:rFonts w:ascii="Book Antiqua" w:hAnsi="Book Antiqua" w:cs="Times New Roman"/>
          <w:b/>
          <w:sz w:val="24"/>
          <w:szCs w:val="24"/>
          <w:lang w:val="en-US"/>
        </w:rPr>
        <w:t>-</w:t>
      </w:r>
      <w:r w:rsidR="00BF1CBA" w:rsidRPr="000A7851">
        <w:rPr>
          <w:rFonts w:ascii="Book Antiqua" w:hAnsi="Book Antiqua" w:cs="Times New Roman"/>
          <w:b/>
          <w:sz w:val="24"/>
          <w:szCs w:val="24"/>
          <w:lang w:val="en-US"/>
        </w:rPr>
        <w:t xml:space="preserve">associated </w:t>
      </w:r>
      <w:proofErr w:type="spellStart"/>
      <w:r w:rsidR="00BF1CBA" w:rsidRPr="000A7851">
        <w:rPr>
          <w:rFonts w:ascii="Book Antiqua" w:hAnsi="Book Antiqua" w:cs="Times New Roman"/>
          <w:b/>
          <w:sz w:val="24"/>
          <w:szCs w:val="24"/>
          <w:lang w:val="en-US"/>
        </w:rPr>
        <w:t>vasculitis</w:t>
      </w:r>
      <w:proofErr w:type="spellEnd"/>
    </w:p>
    <w:bookmarkEnd w:id="1"/>
    <w:bookmarkEnd w:id="2"/>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bCs/>
          <w:sz w:val="24"/>
          <w:szCs w:val="24"/>
          <w:lang w:val="en-US"/>
        </w:rPr>
      </w:pPr>
      <w:r w:rsidRPr="000A7851">
        <w:rPr>
          <w:rFonts w:ascii="Book Antiqua" w:hAnsi="Book Antiqua" w:cs="Times New Roman"/>
          <w:sz w:val="24"/>
          <w:szCs w:val="24"/>
          <w:lang w:val="en-US"/>
        </w:rPr>
        <w:t>Koukoulaki</w:t>
      </w:r>
      <w:r w:rsidRPr="000A7851">
        <w:rPr>
          <w:rFonts w:ascii="Book Antiqua" w:hAnsi="Book Antiqua" w:cs="Times New Roman"/>
          <w:b/>
          <w:sz w:val="24"/>
          <w:szCs w:val="24"/>
          <w:lang w:val="en-US"/>
        </w:rPr>
        <w:t xml:space="preserve"> </w:t>
      </w:r>
      <w:r w:rsidRPr="000A7851">
        <w:rPr>
          <w:rFonts w:ascii="Book Antiqua" w:hAnsi="Book Antiqua" w:cs="Times New Roman"/>
          <w:bCs/>
          <w:sz w:val="24"/>
          <w:szCs w:val="24"/>
          <w:lang w:val="en-US" w:eastAsia="zh-CN"/>
        </w:rPr>
        <w:t>M</w:t>
      </w:r>
      <w:r w:rsidRPr="000A7851">
        <w:rPr>
          <w:rFonts w:ascii="Book Antiqua" w:hAnsi="Book Antiqua" w:cs="Times New Roman"/>
          <w:bCs/>
          <w:sz w:val="24"/>
          <w:szCs w:val="24"/>
          <w:lang w:val="en-US"/>
        </w:rPr>
        <w:t xml:space="preserve"> </w:t>
      </w:r>
      <w:r w:rsidRPr="000A7851">
        <w:rPr>
          <w:rFonts w:ascii="Book Antiqua" w:hAnsi="Book Antiqua" w:cs="Times New Roman"/>
          <w:bCs/>
          <w:i/>
          <w:iCs/>
          <w:sz w:val="24"/>
          <w:szCs w:val="24"/>
          <w:lang w:val="en-US"/>
        </w:rPr>
        <w:t>et al</w:t>
      </w:r>
      <w:r w:rsidRPr="000A7851">
        <w:rPr>
          <w:rFonts w:ascii="Book Antiqua" w:hAnsi="Book Antiqua" w:cs="Times New Roman"/>
          <w:bCs/>
          <w:sz w:val="24"/>
          <w:szCs w:val="24"/>
          <w:lang w:val="en-US"/>
        </w:rPr>
        <w:t xml:space="preserve">. </w:t>
      </w:r>
      <w:bookmarkStart w:id="3" w:name="OLE_LINK9"/>
      <w:bookmarkStart w:id="4" w:name="OLE_LINK10"/>
      <w:r w:rsidRPr="000A7851">
        <w:rPr>
          <w:rFonts w:ascii="Book Antiqua" w:hAnsi="Book Antiqua" w:cs="Times New Roman"/>
          <w:bCs/>
          <w:sz w:val="24"/>
          <w:szCs w:val="24"/>
          <w:lang w:val="en-US"/>
        </w:rPr>
        <w:t>Mycophenolate in ANCA</w:t>
      </w:r>
      <w:r w:rsidR="0038304D" w:rsidRPr="000A7851">
        <w:rPr>
          <w:rFonts w:ascii="Book Antiqua" w:hAnsi="Book Antiqua" w:cs="Times New Roman"/>
          <w:bCs/>
          <w:sz w:val="24"/>
          <w:szCs w:val="24"/>
          <w:lang w:val="en-US"/>
        </w:rPr>
        <w:t>-AAV</w:t>
      </w:r>
    </w:p>
    <w:bookmarkEnd w:id="3"/>
    <w:bookmarkEnd w:id="4"/>
    <w:p w:rsidR="00BF1CBA" w:rsidRPr="000A7851" w:rsidRDefault="00BF1CBA" w:rsidP="005F021A">
      <w:pPr>
        <w:snapToGrid w:val="0"/>
        <w:spacing w:after="0" w:line="360" w:lineRule="auto"/>
        <w:jc w:val="both"/>
        <w:rPr>
          <w:rFonts w:ascii="Book Antiqua" w:hAnsi="Book Antiqua" w:cs="Times New Roman"/>
          <w:b/>
          <w:sz w:val="24"/>
          <w:szCs w:val="24"/>
          <w:lang w:val="en-US"/>
        </w:rPr>
      </w:pPr>
    </w:p>
    <w:p w:rsidR="009B2E6A" w:rsidRPr="000A7851" w:rsidRDefault="009B2E6A" w:rsidP="005F021A">
      <w:pPr>
        <w:snapToGrid w:val="0"/>
        <w:spacing w:after="0" w:line="360" w:lineRule="auto"/>
        <w:jc w:val="both"/>
        <w:rPr>
          <w:rFonts w:ascii="Book Antiqua" w:hAnsi="Book Antiqua" w:cs="Times New Roman"/>
          <w:b/>
          <w:bCs/>
          <w:sz w:val="24"/>
          <w:szCs w:val="24"/>
          <w:lang w:val="en-US"/>
        </w:rPr>
      </w:pPr>
      <w:bookmarkStart w:id="5" w:name="OLE_LINK11"/>
      <w:bookmarkStart w:id="6" w:name="OLE_LINK12"/>
      <w:r w:rsidRPr="000A7851">
        <w:rPr>
          <w:rFonts w:ascii="Book Antiqua" w:hAnsi="Book Antiqua" w:cs="Times New Roman"/>
          <w:b/>
          <w:bCs/>
          <w:sz w:val="24"/>
          <w:szCs w:val="24"/>
          <w:lang w:val="en-US"/>
        </w:rPr>
        <w:t xml:space="preserve">Maria </w:t>
      </w:r>
      <w:bookmarkStart w:id="7" w:name="OLE_LINK13"/>
      <w:bookmarkEnd w:id="5"/>
      <w:bookmarkEnd w:id="6"/>
      <w:proofErr w:type="spellStart"/>
      <w:r w:rsidRPr="000A7851">
        <w:rPr>
          <w:rFonts w:ascii="Book Antiqua" w:hAnsi="Book Antiqua" w:cs="Times New Roman"/>
          <w:b/>
          <w:bCs/>
          <w:sz w:val="24"/>
          <w:szCs w:val="24"/>
          <w:lang w:val="en-US"/>
        </w:rPr>
        <w:t>Koukoulaki</w:t>
      </w:r>
      <w:bookmarkEnd w:id="7"/>
      <w:proofErr w:type="spellEnd"/>
      <w:r w:rsidRPr="000A7851">
        <w:rPr>
          <w:rFonts w:ascii="Book Antiqua" w:hAnsi="Book Antiqua" w:cs="Times New Roman"/>
          <w:b/>
          <w:bCs/>
          <w:sz w:val="24"/>
          <w:szCs w:val="24"/>
          <w:lang w:val="en-US"/>
        </w:rPr>
        <w:t xml:space="preserve">, </w:t>
      </w:r>
      <w:bookmarkStart w:id="8" w:name="OLE_LINK14"/>
      <w:r w:rsidRPr="000A7851">
        <w:rPr>
          <w:rFonts w:ascii="Book Antiqua" w:hAnsi="Book Antiqua" w:cs="Times New Roman"/>
          <w:b/>
          <w:bCs/>
          <w:sz w:val="24"/>
          <w:szCs w:val="24"/>
          <w:lang w:val="en-US"/>
        </w:rPr>
        <w:t xml:space="preserve">Christos </w:t>
      </w:r>
      <w:bookmarkStart w:id="9" w:name="OLE_LINK15"/>
      <w:bookmarkStart w:id="10" w:name="OLE_LINK16"/>
      <w:bookmarkEnd w:id="8"/>
      <w:proofErr w:type="spellStart"/>
      <w:r w:rsidRPr="000A7851">
        <w:rPr>
          <w:rFonts w:ascii="Book Antiqua" w:hAnsi="Book Antiqua" w:cs="Times New Roman"/>
          <w:b/>
          <w:bCs/>
          <w:sz w:val="24"/>
          <w:szCs w:val="24"/>
          <w:lang w:val="en-US"/>
        </w:rPr>
        <w:t>Iatrou</w:t>
      </w:r>
      <w:bookmarkEnd w:id="9"/>
      <w:bookmarkEnd w:id="10"/>
      <w:proofErr w:type="spellEnd"/>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bCs/>
          <w:sz w:val="24"/>
          <w:szCs w:val="24"/>
          <w:lang w:val="en-US"/>
        </w:rPr>
        <w:t xml:space="preserve">Maria </w:t>
      </w:r>
      <w:proofErr w:type="spellStart"/>
      <w:r w:rsidRPr="000A7851">
        <w:rPr>
          <w:rFonts w:ascii="Book Antiqua" w:hAnsi="Book Antiqua" w:cs="Times New Roman"/>
          <w:b/>
          <w:bCs/>
          <w:sz w:val="24"/>
          <w:szCs w:val="24"/>
          <w:lang w:val="en-US"/>
        </w:rPr>
        <w:t>Koukoulaki</w:t>
      </w:r>
      <w:proofErr w:type="spellEnd"/>
      <w:r w:rsidRPr="000A7851">
        <w:rPr>
          <w:rFonts w:ascii="Book Antiqua" w:hAnsi="Book Antiqua" w:cs="Times New Roman"/>
          <w:b/>
          <w:bCs/>
          <w:sz w:val="24"/>
          <w:szCs w:val="24"/>
          <w:lang w:val="en-US"/>
        </w:rPr>
        <w:t xml:space="preserve">, Christos </w:t>
      </w:r>
      <w:proofErr w:type="spellStart"/>
      <w:r w:rsidRPr="000A7851">
        <w:rPr>
          <w:rFonts w:ascii="Book Antiqua" w:hAnsi="Book Antiqua" w:cs="Times New Roman"/>
          <w:b/>
          <w:bCs/>
          <w:sz w:val="24"/>
          <w:szCs w:val="24"/>
          <w:lang w:val="en-US"/>
        </w:rPr>
        <w:t>Iatrou</w:t>
      </w:r>
      <w:proofErr w:type="spellEnd"/>
      <w:r w:rsidRPr="000A7851">
        <w:rPr>
          <w:rFonts w:ascii="Book Antiqua" w:hAnsi="Book Antiqua" w:cs="Times New Roman"/>
          <w:b/>
          <w:bCs/>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Center for Nephrology “G. </w:t>
      </w:r>
      <w:proofErr w:type="spellStart"/>
      <w:r w:rsidR="009B2E6A" w:rsidRPr="000A7851">
        <w:rPr>
          <w:rFonts w:ascii="Book Antiqua" w:hAnsi="Book Antiqua" w:cs="Times New Roman"/>
          <w:sz w:val="24"/>
          <w:szCs w:val="24"/>
          <w:lang w:val="en-US"/>
        </w:rPr>
        <w:t>Papadakis</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General Hospital of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 Piraeus “</w:t>
      </w:r>
      <w:proofErr w:type="spellStart"/>
      <w:r w:rsidR="009B2E6A" w:rsidRPr="000A7851">
        <w:rPr>
          <w:rFonts w:ascii="Book Antiqua" w:hAnsi="Book Antiqua" w:cs="Times New Roman"/>
          <w:sz w:val="24"/>
          <w:szCs w:val="24"/>
          <w:lang w:val="en-US"/>
        </w:rPr>
        <w:t>Agios</w:t>
      </w:r>
      <w:proofErr w:type="spellEnd"/>
      <w:r w:rsidR="009B2E6A"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Panteleimon</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5E27A5" w:rsidRPr="000A7851">
        <w:rPr>
          <w:rFonts w:ascii="Book Antiqua" w:hAnsi="Book Antiqua" w:cs="Times New Roman"/>
          <w:sz w:val="24"/>
          <w:szCs w:val="24"/>
          <w:lang w:val="en-US"/>
        </w:rPr>
        <w:t xml:space="preserve">Piraeus, </w:t>
      </w:r>
      <w:proofErr w:type="spellStart"/>
      <w:r w:rsidR="005E27A5" w:rsidRPr="000A7851">
        <w:rPr>
          <w:rFonts w:ascii="Book Antiqua" w:hAnsi="Book Antiqua" w:cs="Times New Roman"/>
          <w:sz w:val="24"/>
          <w:szCs w:val="24"/>
          <w:lang w:val="en-US"/>
        </w:rPr>
        <w:t>Nikaia</w:t>
      </w:r>
      <w:proofErr w:type="spellEnd"/>
      <w:r w:rsidR="005E27A5" w:rsidRPr="000A7851">
        <w:rPr>
          <w:rFonts w:ascii="Book Antiqua" w:hAnsi="Book Antiqua" w:cs="Times New Roman"/>
          <w:sz w:val="24"/>
          <w:szCs w:val="24"/>
          <w:lang w:val="en-US"/>
        </w:rPr>
        <w:t xml:space="preserve"> 18454, Greece</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ORCID number:</w:t>
      </w:r>
      <w:r w:rsidRPr="000A7851">
        <w:rPr>
          <w:rFonts w:ascii="Book Antiqua" w:hAnsi="Book Antiqua"/>
          <w:b/>
          <w:sz w:val="24"/>
          <w:szCs w:val="24"/>
          <w:lang w:val="en-US"/>
        </w:rPr>
        <w:t xml:space="preserve"> </w:t>
      </w:r>
      <w:r w:rsidR="009B2E6A" w:rsidRPr="000A7851">
        <w:rPr>
          <w:rFonts w:ascii="Book Antiqua" w:hAnsi="Book Antiqua" w:cs="Times New Roman"/>
          <w:sz w:val="24"/>
          <w:szCs w:val="24"/>
          <w:lang w:val="en-US"/>
        </w:rPr>
        <w:t xml:space="preserve">Maria </w:t>
      </w:r>
      <w:proofErr w:type="spellStart"/>
      <w:r w:rsidR="009B2E6A" w:rsidRPr="000A7851">
        <w:rPr>
          <w:rFonts w:ascii="Book Antiqua" w:hAnsi="Book Antiqua" w:cs="Times New Roman"/>
          <w:sz w:val="24"/>
          <w:szCs w:val="24"/>
          <w:lang w:val="en-US"/>
        </w:rPr>
        <w:t>Koukoulaki</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0000-0003-2631-6540</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Christos </w:t>
      </w:r>
      <w:proofErr w:type="spellStart"/>
      <w:r w:rsidR="009B2E6A" w:rsidRPr="000A7851">
        <w:rPr>
          <w:rFonts w:ascii="Book Antiqua" w:hAnsi="Book Antiqua" w:cs="Times New Roman"/>
          <w:sz w:val="24"/>
          <w:szCs w:val="24"/>
          <w:lang w:val="en-US"/>
        </w:rPr>
        <w:t>Iatrou</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9B2E6A" w:rsidRPr="000A7851">
        <w:rPr>
          <w:rFonts w:ascii="Book Antiqua" w:hAnsi="Book Antiqua"/>
          <w:sz w:val="24"/>
          <w:szCs w:val="24"/>
          <w:lang w:val="en-US"/>
        </w:rPr>
        <w:t>0000-0002-1634-4372</w:t>
      </w:r>
      <w:r w:rsidRPr="000A7851">
        <w:rPr>
          <w:rFonts w:ascii="Book Antiqua" w:hAnsi="Book Antiqua"/>
          <w:sz w:val="24"/>
          <w:szCs w:val="24"/>
          <w:lang w:val="en-US"/>
        </w:rPr>
        <w:t>).</w:t>
      </w:r>
    </w:p>
    <w:p w:rsidR="009B2E6A" w:rsidRPr="000A7851" w:rsidRDefault="009B2E6A" w:rsidP="005F021A">
      <w:pPr>
        <w:adjustRightInd w:val="0"/>
        <w:snapToGrid w:val="0"/>
        <w:spacing w:after="0" w:line="360" w:lineRule="auto"/>
        <w:jc w:val="both"/>
        <w:rPr>
          <w:rFonts w:ascii="Book Antiqua" w:hAnsi="Book Antiqua"/>
          <w:b/>
          <w:sz w:val="24"/>
          <w:szCs w:val="24"/>
          <w:lang w:val="en-US"/>
        </w:rPr>
      </w:pPr>
      <w:bookmarkStart w:id="11" w:name="OLE_LINK20"/>
      <w:bookmarkStart w:id="12" w:name="OLE_LINK18"/>
    </w:p>
    <w:p w:rsidR="009B2E6A" w:rsidRPr="000A7851" w:rsidRDefault="00BF1CBA" w:rsidP="005F021A">
      <w:pPr>
        <w:snapToGrid w:val="0"/>
        <w:spacing w:after="0" w:line="360" w:lineRule="auto"/>
        <w:jc w:val="both"/>
        <w:rPr>
          <w:rFonts w:ascii="Book Antiqua" w:hAnsi="Book Antiqua" w:cs="Times New Roman"/>
          <w:sz w:val="24"/>
          <w:szCs w:val="24"/>
          <w:lang w:val="en-US"/>
        </w:rPr>
      </w:pPr>
      <w:bookmarkStart w:id="13" w:name="_Hlk7505323"/>
      <w:bookmarkEnd w:id="11"/>
      <w:bookmarkEnd w:id="12"/>
      <w:r w:rsidRPr="000A7851">
        <w:rPr>
          <w:rFonts w:ascii="Book Antiqua" w:hAnsi="Book Antiqua" w:cs="Times New Roman"/>
          <w:b/>
          <w:sz w:val="24"/>
          <w:szCs w:val="24"/>
          <w:lang w:val="en-US"/>
        </w:rPr>
        <w:t>Author contributions:</w:t>
      </w:r>
      <w:r w:rsidRPr="000A7851">
        <w:rPr>
          <w:rFonts w:ascii="Book Antiqua" w:hAnsi="Book Antiqua" w:cs="Times New Roman"/>
          <w:sz w:val="24"/>
          <w:szCs w:val="24"/>
          <w:lang w:val="en-US"/>
        </w:rPr>
        <w:t xml:space="preserve"> </w:t>
      </w:r>
      <w:bookmarkEnd w:id="13"/>
      <w:r w:rsidR="009B2E6A" w:rsidRPr="000A7851">
        <w:rPr>
          <w:rFonts w:ascii="Book Antiqua" w:hAnsi="Book Antiqua" w:cs="Times New Roman"/>
          <w:sz w:val="24"/>
          <w:szCs w:val="24"/>
          <w:lang w:val="en-US"/>
        </w:rPr>
        <w:t>Koukoulaki</w:t>
      </w:r>
      <w:r w:rsidRPr="000A7851">
        <w:rPr>
          <w:rFonts w:ascii="Book Antiqua" w:hAnsi="Book Antiqua" w:cs="Times New Roman"/>
          <w:sz w:val="24"/>
          <w:szCs w:val="24"/>
          <w:lang w:val="en-US"/>
        </w:rPr>
        <w:t xml:space="preserve"> M</w:t>
      </w:r>
      <w:r w:rsidR="009B2E6A" w:rsidRPr="000A7851">
        <w:rPr>
          <w:rFonts w:ascii="Book Antiqua" w:hAnsi="Book Antiqua" w:cs="Times New Roman"/>
          <w:sz w:val="24"/>
          <w:szCs w:val="24"/>
          <w:lang w:val="en-US"/>
        </w:rPr>
        <w:t xml:space="preserve"> designed the study, acquired data, analyzed and interpreted data, drafted the article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and approved the final version submitted for review</w:t>
      </w:r>
      <w:r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Iatrou</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C</w:t>
      </w:r>
      <w:r w:rsidR="009B2E6A" w:rsidRPr="000A7851">
        <w:rPr>
          <w:rFonts w:ascii="Book Antiqua" w:hAnsi="Book Antiqua" w:cs="Times New Roman"/>
          <w:sz w:val="24"/>
          <w:szCs w:val="24"/>
          <w:lang w:val="en-US"/>
        </w:rPr>
        <w:t xml:space="preserve"> proposed the study, analyzed and interpreted data, critically revised the article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and approved the final version submitted for review.</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BF1CBA" w:rsidRPr="000A7851" w:rsidRDefault="00BF1CBA" w:rsidP="005F021A">
      <w:pPr>
        <w:snapToGrid w:val="0"/>
        <w:spacing w:after="0" w:line="360" w:lineRule="auto"/>
        <w:jc w:val="both"/>
        <w:rPr>
          <w:rFonts w:ascii="Book Antiqua" w:hAnsi="Book Antiqua"/>
          <w:sz w:val="24"/>
          <w:szCs w:val="24"/>
          <w:lang w:val="en-US"/>
        </w:rPr>
      </w:pPr>
      <w:bookmarkStart w:id="14" w:name="_Hlk7505351"/>
      <w:r w:rsidRPr="000A7851">
        <w:rPr>
          <w:rFonts w:ascii="Book Antiqua" w:hAnsi="Book Antiqua" w:cs="TimesNewRomanPS-BoldItalicMT"/>
          <w:b/>
          <w:bCs/>
          <w:iCs/>
          <w:sz w:val="24"/>
          <w:szCs w:val="24"/>
          <w:lang w:val="en-US"/>
        </w:rPr>
        <w:t>Conflict-of-interest</w:t>
      </w:r>
      <w:r w:rsidRPr="000A7851">
        <w:rPr>
          <w:rFonts w:ascii="Book Antiqua" w:hAnsi="Book Antiqua"/>
          <w:sz w:val="24"/>
          <w:szCs w:val="24"/>
          <w:lang w:val="en-US"/>
        </w:rPr>
        <w:t xml:space="preserve"> </w:t>
      </w:r>
      <w:r w:rsidRPr="000A7851">
        <w:rPr>
          <w:rFonts w:ascii="Book Antiqua" w:hAnsi="Book Antiqua" w:cs="TimesNewRomanPS-BoldItalicMT"/>
          <w:b/>
          <w:bCs/>
          <w:iCs/>
          <w:sz w:val="24"/>
          <w:szCs w:val="24"/>
          <w:lang w:val="en-US"/>
        </w:rPr>
        <w:t xml:space="preserve">statement: </w:t>
      </w:r>
      <w:bookmarkEnd w:id="14"/>
      <w:r w:rsidRPr="000A7851">
        <w:rPr>
          <w:rFonts w:ascii="Book Antiqua" w:hAnsi="Book Antiqua"/>
          <w:sz w:val="24"/>
          <w:szCs w:val="24"/>
          <w:lang w:val="en-US"/>
        </w:rPr>
        <w:t>The authors declare that they have no conflict of interest.</w:t>
      </w:r>
    </w:p>
    <w:p w:rsidR="00BF1CBA" w:rsidRPr="000A7851" w:rsidRDefault="00BF1CBA" w:rsidP="005F021A">
      <w:pPr>
        <w:snapToGrid w:val="0"/>
        <w:spacing w:after="0" w:line="360" w:lineRule="auto"/>
        <w:jc w:val="both"/>
        <w:rPr>
          <w:rFonts w:ascii="Book Antiqua" w:hAnsi="Book Antiqua" w:cs="Times New Roman"/>
          <w:b/>
          <w:sz w:val="24"/>
          <w:szCs w:val="24"/>
          <w:lang w:val="en-US"/>
        </w:rPr>
      </w:pPr>
    </w:p>
    <w:p w:rsidR="00BF1CBA" w:rsidRPr="000A7851" w:rsidRDefault="00BF1CBA" w:rsidP="005F021A">
      <w:pPr>
        <w:widowControl w:val="0"/>
        <w:snapToGrid w:val="0"/>
        <w:spacing w:after="0" w:line="360" w:lineRule="auto"/>
        <w:jc w:val="both"/>
        <w:rPr>
          <w:rFonts w:ascii="Book Antiqua" w:hAnsi="Book Antiqua" w:cs="Times New Roman"/>
          <w:b/>
          <w:sz w:val="24"/>
          <w:szCs w:val="24"/>
          <w:lang w:val="en-US"/>
        </w:rPr>
      </w:pPr>
      <w:bookmarkStart w:id="15" w:name="OLE_LINK1840"/>
      <w:bookmarkStart w:id="16" w:name="OLE_LINK1839"/>
      <w:bookmarkStart w:id="17" w:name="OLE_LINK1024"/>
      <w:bookmarkStart w:id="18" w:name="OLE_LINK1025"/>
      <w:bookmarkStart w:id="19" w:name="OLE_LINK570"/>
      <w:bookmarkStart w:id="20" w:name="OLE_LINK1096"/>
      <w:bookmarkStart w:id="21" w:name="OLE_LINK1097"/>
      <w:bookmarkStart w:id="22" w:name="OLE_LINK1098"/>
      <w:bookmarkStart w:id="23" w:name="OLE_LINK985"/>
      <w:bookmarkStart w:id="24" w:name="OLE_LINK986"/>
      <w:bookmarkStart w:id="25" w:name="OLE_LINK1122"/>
      <w:bookmarkStart w:id="26" w:name="OLE_LINK649"/>
      <w:bookmarkStart w:id="27" w:name="OLE_LINK650"/>
      <w:bookmarkStart w:id="28" w:name="OLE_LINK1706"/>
      <w:bookmarkStart w:id="29" w:name="OLE_LINK1707"/>
      <w:bookmarkStart w:id="30" w:name="OLE_LINK564"/>
      <w:bookmarkStart w:id="31" w:name="OLE_LINK155"/>
      <w:bookmarkStart w:id="32" w:name="OLE_LINK183"/>
      <w:bookmarkStart w:id="33" w:name="OLE_LINK441"/>
      <w:bookmarkStart w:id="34" w:name="OLE_LINK142"/>
      <w:bookmarkStart w:id="35" w:name="OLE_LINK376"/>
      <w:bookmarkStart w:id="36" w:name="OLE_LINK687"/>
      <w:bookmarkStart w:id="37" w:name="OLE_LINK716"/>
      <w:bookmarkStart w:id="38" w:name="OLE_LINK731"/>
      <w:bookmarkStart w:id="39" w:name="OLE_LINK809"/>
      <w:bookmarkStart w:id="40" w:name="OLE_LINK812"/>
      <w:bookmarkStart w:id="41" w:name="OLE_LINK916"/>
      <w:bookmarkStart w:id="42" w:name="OLE_LINK917"/>
      <w:bookmarkStart w:id="43" w:name="OLE_LINK1013"/>
      <w:bookmarkStart w:id="44" w:name="OLE_LINK1015"/>
      <w:bookmarkStart w:id="45" w:name="OLE_LINK1016"/>
      <w:bookmarkStart w:id="46" w:name="OLE_LINK1546"/>
      <w:bookmarkStart w:id="47" w:name="OLE_LINK1547"/>
      <w:bookmarkStart w:id="48" w:name="OLE_LINK1596"/>
      <w:bookmarkStart w:id="49" w:name="OLE_LINK1749"/>
      <w:bookmarkStart w:id="50" w:name="OLE_LINK1750"/>
      <w:bookmarkStart w:id="51" w:name="OLE_LINK1751"/>
      <w:bookmarkStart w:id="52" w:name="OLE_LINK1924"/>
      <w:bookmarkStart w:id="53" w:name="OLE_LINK1933"/>
      <w:bookmarkStart w:id="54" w:name="OLE_LINK1934"/>
      <w:bookmarkStart w:id="55" w:name="OLE_LINK1935"/>
      <w:bookmarkStart w:id="56" w:name="OLE_LINK1996"/>
      <w:bookmarkStart w:id="57" w:name="OLE_LINK1896"/>
      <w:bookmarkStart w:id="58" w:name="OLE_LINK1900"/>
      <w:bookmarkStart w:id="59" w:name="OLE_LINK2088"/>
      <w:bookmarkStart w:id="60" w:name="_Hlk7505383"/>
      <w:r w:rsidRPr="000A7851">
        <w:rPr>
          <w:rFonts w:ascii="Book Antiqua" w:hAnsi="Book Antiqua" w:cs="Times New Roman"/>
          <w:b/>
          <w:sz w:val="24"/>
          <w:szCs w:val="24"/>
          <w:lang w:val="en-US"/>
        </w:rPr>
        <w:t>Open-Access:</w:t>
      </w:r>
      <w:bookmarkEnd w:id="15"/>
      <w:bookmarkEnd w:id="16"/>
      <w:r w:rsidRPr="000A7851">
        <w:rPr>
          <w:rFonts w:ascii="Book Antiqua" w:hAnsi="Book Antiqua" w:cs="Times New Roman"/>
          <w:b/>
          <w:sz w:val="24"/>
          <w:szCs w:val="24"/>
          <w:lang w:val="en-US"/>
        </w:rPr>
        <w:t xml:space="preserve"> </w:t>
      </w:r>
      <w:bookmarkStart w:id="61" w:name="OLE_LINK1365"/>
      <w:bookmarkStart w:id="62" w:name="OLE_LINK907"/>
      <w:bookmarkStart w:id="63" w:name="OLE_LINK760"/>
      <w:bookmarkStart w:id="64" w:name="OLE_LINK25"/>
      <w:bookmarkStart w:id="65" w:name="OLE_LINK17"/>
      <w:r w:rsidRPr="000A7851">
        <w:rPr>
          <w:rFonts w:ascii="Book Antiqua" w:hAnsi="Book Antiqua" w:cs="Times New Roman"/>
          <w:sz w:val="24"/>
          <w:szCs w:val="24"/>
          <w:lang w:val="en-US"/>
        </w:rPr>
        <w:t xml:space="preserve">This article is an open-access article </w:t>
      </w:r>
      <w:r w:rsidR="00B40B33"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A7851">
        <w:rPr>
          <w:rFonts w:ascii="Book Antiqua" w:hAnsi="Book Antiqua" w:cs="Times New Roman"/>
          <w:sz w:val="24"/>
          <w:szCs w:val="24"/>
          <w:lang w:val="en-US"/>
        </w:rPr>
        <w:lastRenderedPageBreak/>
        <w:t>http://creativecommons.org/licenses/by-nc/4.0/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1"/>
      <w:bookmarkEnd w:id="62"/>
      <w:bookmarkEnd w:id="63"/>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64"/>
    <w:bookmarkEnd w:id="65"/>
    <w:p w:rsidR="00BF1CBA" w:rsidRPr="000A7851" w:rsidRDefault="00BF1CBA" w:rsidP="005F021A">
      <w:pPr>
        <w:widowControl w:val="0"/>
        <w:snapToGrid w:val="0"/>
        <w:spacing w:after="0" w:line="360" w:lineRule="auto"/>
        <w:jc w:val="both"/>
        <w:rPr>
          <w:rFonts w:ascii="Book Antiqua" w:hAnsi="Book Antiqua" w:cs="Arial Unicode MS"/>
          <w:kern w:val="2"/>
          <w:sz w:val="24"/>
          <w:szCs w:val="24"/>
          <w:lang w:val="en-US"/>
        </w:rPr>
      </w:pPr>
    </w:p>
    <w:p w:rsidR="00BF1CBA" w:rsidRPr="000A7851" w:rsidRDefault="00BF1CBA" w:rsidP="005F021A">
      <w:pPr>
        <w:widowControl w:val="0"/>
        <w:autoSpaceDE w:val="0"/>
        <w:autoSpaceDN w:val="0"/>
        <w:adjustRightInd w:val="0"/>
        <w:snapToGrid w:val="0"/>
        <w:spacing w:after="0" w:line="360" w:lineRule="auto"/>
        <w:jc w:val="both"/>
        <w:rPr>
          <w:rFonts w:ascii="Book Antiqua" w:hAnsi="Book Antiqua" w:cs="Arial Unicode MS"/>
          <w:kern w:val="2"/>
          <w:sz w:val="24"/>
          <w:szCs w:val="24"/>
          <w:lang w:val="en-US"/>
        </w:rPr>
      </w:pPr>
      <w:bookmarkStart w:id="66" w:name="OLE_LINK759"/>
      <w:bookmarkStart w:id="67" w:name="OLE_LINK709"/>
      <w:bookmarkStart w:id="68" w:name="OLE_LINK1123"/>
      <w:bookmarkStart w:id="69" w:name="OLE_LINK927"/>
      <w:bookmarkStart w:id="70" w:name="OLE_LINK776"/>
      <w:bookmarkStart w:id="71" w:name="OLE_LINK571"/>
      <w:bookmarkStart w:id="72" w:name="OLE_LINK919"/>
      <w:bookmarkStart w:id="73" w:name="OLE_LINK918"/>
      <w:r w:rsidRPr="000A7851">
        <w:rPr>
          <w:rFonts w:ascii="Book Antiqua" w:hAnsi="Book Antiqua" w:cs="Arial Unicode MS"/>
          <w:b/>
          <w:kern w:val="2"/>
          <w:sz w:val="24"/>
          <w:szCs w:val="24"/>
          <w:lang w:val="en-US"/>
        </w:rPr>
        <w:t>Manuscript source:</w:t>
      </w:r>
      <w:r w:rsidRPr="000A7851">
        <w:rPr>
          <w:rFonts w:ascii="Book Antiqua" w:hAnsi="Book Antiqua" w:cs="Arial Unicode MS"/>
          <w:kern w:val="2"/>
          <w:sz w:val="24"/>
          <w:szCs w:val="24"/>
          <w:lang w:val="en-US"/>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6"/>
      <w:bookmarkEnd w:id="67"/>
      <w:bookmarkEnd w:id="68"/>
      <w:bookmarkEnd w:id="69"/>
      <w:bookmarkEnd w:id="70"/>
      <w:bookmarkEnd w:id="71"/>
      <w:bookmarkEnd w:id="72"/>
      <w:bookmarkEnd w:id="73"/>
      <w:r w:rsidRPr="000A7851">
        <w:rPr>
          <w:rFonts w:ascii="Book Antiqua" w:hAnsi="Book Antiqua" w:cs="Times New Roman"/>
          <w:sz w:val="24"/>
          <w:szCs w:val="24"/>
          <w:lang w:val="en-US" w:eastAsia="zh-CN"/>
        </w:rPr>
        <w:t>Invited manuscript</w:t>
      </w:r>
    </w:p>
    <w:p w:rsidR="00BF1CBA" w:rsidRPr="000A7851" w:rsidRDefault="00BF1CBA" w:rsidP="005F021A">
      <w:pPr>
        <w:snapToGrid w:val="0"/>
        <w:spacing w:after="0" w:line="360" w:lineRule="auto"/>
        <w:jc w:val="both"/>
        <w:rPr>
          <w:rFonts w:ascii="Book Antiqua" w:hAnsi="Book Antiqua" w:cs="Book Antiqua"/>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bookmarkStart w:id="74" w:name="OLE_LINK948"/>
      <w:bookmarkStart w:id="75" w:name="OLE_LINK949"/>
      <w:bookmarkStart w:id="76" w:name="OLE_LINK950"/>
      <w:bookmarkStart w:id="77" w:name="OLE_LINK951"/>
      <w:bookmarkStart w:id="78" w:name="OLE_LINK1018"/>
      <w:bookmarkStart w:id="79" w:name="OLE_LINK1019"/>
      <w:bookmarkStart w:id="80" w:name="OLE_LINK1020"/>
      <w:bookmarkStart w:id="81" w:name="OLE_LINK1031"/>
      <w:bookmarkStart w:id="82" w:name="OLE_LINK1263"/>
      <w:bookmarkStart w:id="83" w:name="OLE_LINK1267"/>
      <w:bookmarkStart w:id="84" w:name="OLE_LINK1268"/>
      <w:bookmarkStart w:id="85" w:name="OLE_LINK1269"/>
      <w:bookmarkStart w:id="86" w:name="OLE_LINK1270"/>
      <w:bookmarkStart w:id="87" w:name="OLE_LINK1271"/>
      <w:bookmarkStart w:id="88" w:name="OLE_LINK1752"/>
      <w:bookmarkStart w:id="89" w:name="OLE_LINK1997"/>
      <w:r w:rsidRPr="000A7851">
        <w:rPr>
          <w:rFonts w:ascii="Book Antiqua" w:hAnsi="Book Antiqua"/>
          <w:b/>
          <w:sz w:val="24"/>
          <w:szCs w:val="24"/>
          <w:lang w:val="en-US"/>
        </w:rPr>
        <w:t>Correspond</w:t>
      </w:r>
      <w:bookmarkEnd w:id="74"/>
      <w:bookmarkEnd w:id="75"/>
      <w:bookmarkEnd w:id="76"/>
      <w:bookmarkEnd w:id="77"/>
      <w:r w:rsidRPr="000A7851">
        <w:rPr>
          <w:rFonts w:ascii="Book Antiqua" w:hAnsi="Book Antiqua"/>
          <w:b/>
          <w:sz w:val="24"/>
          <w:szCs w:val="24"/>
          <w:lang w:val="en-US"/>
        </w:rPr>
        <w:t>ing author:</w:t>
      </w:r>
      <w:bookmarkEnd w:id="78"/>
      <w:bookmarkEnd w:id="79"/>
      <w:bookmarkEnd w:id="80"/>
      <w:bookmarkEnd w:id="81"/>
      <w:bookmarkEnd w:id="82"/>
      <w:bookmarkEnd w:id="83"/>
      <w:bookmarkEnd w:id="84"/>
      <w:bookmarkEnd w:id="85"/>
      <w:bookmarkEnd w:id="86"/>
      <w:bookmarkEnd w:id="87"/>
      <w:bookmarkEnd w:id="88"/>
      <w:bookmarkEnd w:id="89"/>
      <w:r w:rsidRPr="000A7851">
        <w:rPr>
          <w:rFonts w:ascii="Book Antiqua" w:hAnsi="Book Antiqua"/>
          <w:b/>
          <w:sz w:val="24"/>
          <w:szCs w:val="24"/>
          <w:lang w:val="en-US"/>
        </w:rPr>
        <w:t xml:space="preserve"> </w:t>
      </w:r>
      <w:bookmarkEnd w:id="60"/>
      <w:r w:rsidR="009B2E6A" w:rsidRPr="000A7851">
        <w:rPr>
          <w:rFonts w:ascii="Book Antiqua" w:hAnsi="Book Antiqua" w:cs="Times New Roman"/>
          <w:b/>
          <w:bCs/>
          <w:sz w:val="24"/>
          <w:szCs w:val="24"/>
          <w:lang w:val="en-US"/>
        </w:rPr>
        <w:t xml:space="preserve">Maria </w:t>
      </w:r>
      <w:proofErr w:type="spellStart"/>
      <w:r w:rsidR="009B2E6A" w:rsidRPr="000A7851">
        <w:rPr>
          <w:rFonts w:ascii="Book Antiqua" w:hAnsi="Book Antiqua" w:cs="Times New Roman"/>
          <w:b/>
          <w:bCs/>
          <w:sz w:val="24"/>
          <w:szCs w:val="24"/>
          <w:lang w:val="en-US"/>
        </w:rPr>
        <w:t>Koukoulaki</w:t>
      </w:r>
      <w:proofErr w:type="spellEnd"/>
      <w:r w:rsidRPr="000A7851">
        <w:rPr>
          <w:rFonts w:ascii="Book Antiqua" w:hAnsi="Book Antiqua" w:cs="Times New Roman"/>
          <w:b/>
          <w:bCs/>
          <w:sz w:val="24"/>
          <w:szCs w:val="24"/>
          <w:lang w:val="en-US"/>
        </w:rPr>
        <w:t>,</w:t>
      </w:r>
      <w:r w:rsidR="009B2E6A" w:rsidRPr="000A7851">
        <w:rPr>
          <w:rFonts w:ascii="Book Antiqua" w:hAnsi="Book Antiqua" w:cs="Times New Roman"/>
          <w:b/>
          <w:bCs/>
          <w:sz w:val="24"/>
          <w:szCs w:val="24"/>
          <w:lang w:val="en-US"/>
        </w:rPr>
        <w:t xml:space="preserve"> </w:t>
      </w:r>
      <w:r w:rsidRPr="000A7851">
        <w:rPr>
          <w:rFonts w:ascii="Book Antiqua" w:hAnsi="Book Antiqua" w:cs="Times New Roman"/>
          <w:b/>
          <w:bCs/>
          <w:sz w:val="24"/>
          <w:szCs w:val="24"/>
          <w:lang w:val="en-US"/>
        </w:rPr>
        <w:t xml:space="preserve">MD, MPhil, PhD, Associate Specialist, </w:t>
      </w:r>
      <w:r w:rsidR="009B2E6A" w:rsidRPr="000A7851">
        <w:rPr>
          <w:rFonts w:ascii="Book Antiqua" w:hAnsi="Book Antiqua" w:cs="Times New Roman"/>
          <w:sz w:val="24"/>
          <w:szCs w:val="24"/>
          <w:lang w:val="en-US"/>
        </w:rPr>
        <w:t xml:space="preserve">Center for Nephrology “G. </w:t>
      </w:r>
      <w:proofErr w:type="spellStart"/>
      <w:r w:rsidR="009B2E6A" w:rsidRPr="000A7851">
        <w:rPr>
          <w:rFonts w:ascii="Book Antiqua" w:hAnsi="Book Antiqua" w:cs="Times New Roman"/>
          <w:sz w:val="24"/>
          <w:szCs w:val="24"/>
          <w:lang w:val="en-US"/>
        </w:rPr>
        <w:t>Papadakis</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General Hospital of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Piraeus “</w:t>
      </w:r>
      <w:proofErr w:type="spellStart"/>
      <w:r w:rsidR="009B2E6A" w:rsidRPr="000A7851">
        <w:rPr>
          <w:rFonts w:ascii="Book Antiqua" w:hAnsi="Book Antiqua" w:cs="Times New Roman"/>
          <w:sz w:val="24"/>
          <w:szCs w:val="24"/>
          <w:lang w:val="en-US"/>
        </w:rPr>
        <w:t>Agios</w:t>
      </w:r>
      <w:proofErr w:type="spellEnd"/>
      <w:r w:rsidR="009B2E6A"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Panteleimon</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D. </w:t>
      </w:r>
      <w:proofErr w:type="spellStart"/>
      <w:r w:rsidR="009B2E6A" w:rsidRPr="000A7851">
        <w:rPr>
          <w:rFonts w:ascii="Book Antiqua" w:hAnsi="Book Antiqua" w:cs="Times New Roman"/>
          <w:sz w:val="24"/>
          <w:szCs w:val="24"/>
          <w:lang w:val="en-US"/>
        </w:rPr>
        <w:t>Mantouvalou</w:t>
      </w:r>
      <w:proofErr w:type="spellEnd"/>
      <w:r w:rsidR="009B2E6A" w:rsidRPr="000A7851">
        <w:rPr>
          <w:rFonts w:ascii="Book Antiqua" w:hAnsi="Book Antiqua" w:cs="Times New Roman"/>
          <w:sz w:val="24"/>
          <w:szCs w:val="24"/>
          <w:lang w:val="en-US"/>
        </w:rPr>
        <w:t xml:space="preserve"> 3, </w:t>
      </w:r>
      <w:r w:rsidRPr="000A7851">
        <w:rPr>
          <w:rFonts w:ascii="Book Antiqua" w:hAnsi="Book Antiqua" w:cs="Times New Roman"/>
          <w:sz w:val="24"/>
          <w:szCs w:val="24"/>
          <w:lang w:val="en-US"/>
        </w:rPr>
        <w:t xml:space="preserve">Piraeus,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18454</w:t>
      </w:r>
      <w:r w:rsidRPr="000A7851">
        <w:rPr>
          <w:rFonts w:ascii="Book Antiqua" w:hAnsi="Book Antiqua" w:cs="Times New Roman"/>
          <w:sz w:val="24"/>
          <w:szCs w:val="24"/>
          <w:lang w:val="en-US"/>
        </w:rPr>
        <w:t>, Greece. mkoukoulaki@gmail.com</w:t>
      </w: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b/>
          <w:sz w:val="24"/>
          <w:szCs w:val="24"/>
          <w:lang w:val="en-US"/>
        </w:rPr>
        <w:t>Telephone:</w:t>
      </w:r>
      <w:r w:rsidR="009B2E6A" w:rsidRPr="000A7851">
        <w:rPr>
          <w:rFonts w:ascii="Book Antiqua" w:hAnsi="Book Antiqua" w:cs="Times New Roman"/>
          <w:sz w:val="24"/>
          <w:szCs w:val="24"/>
          <w:lang w:val="en-US"/>
        </w:rPr>
        <w:t xml:space="preserve"> +30</w:t>
      </w:r>
      <w:r w:rsidR="0038304D"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213</w:t>
      </w:r>
      <w:r w:rsidR="0038304D"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2077658</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bCs/>
          <w:sz w:val="24"/>
          <w:szCs w:val="24"/>
          <w:lang w:val="en-US"/>
        </w:rPr>
        <w:t xml:space="preserve">Fax: </w:t>
      </w:r>
      <w:r w:rsidRPr="000A7851">
        <w:rPr>
          <w:rFonts w:ascii="Book Antiqua" w:hAnsi="Book Antiqua" w:cs="Times New Roman"/>
          <w:sz w:val="24"/>
          <w:szCs w:val="24"/>
          <w:lang w:val="en-US"/>
        </w:rPr>
        <w:t>+30</w:t>
      </w:r>
      <w:r w:rsidR="0038304D" w:rsidRPr="000A7851">
        <w:rPr>
          <w:rFonts w:ascii="Book Antiqua" w:hAnsi="Book Antiqua" w:cs="Times New Roman"/>
          <w:sz w:val="24"/>
          <w:szCs w:val="24"/>
          <w:lang w:val="en-US"/>
        </w:rPr>
        <w:t>-</w:t>
      </w:r>
      <w:r w:rsidRPr="000A7851">
        <w:rPr>
          <w:rFonts w:ascii="Book Antiqua" w:hAnsi="Book Antiqua" w:cs="Times New Roman"/>
          <w:sz w:val="24"/>
          <w:szCs w:val="24"/>
          <w:lang w:val="en-US"/>
        </w:rPr>
        <w:t>213</w:t>
      </w:r>
      <w:r w:rsidR="0038304D" w:rsidRPr="000A7851">
        <w:rPr>
          <w:rFonts w:ascii="Book Antiqua" w:hAnsi="Book Antiqua" w:cs="Times New Roman"/>
          <w:sz w:val="24"/>
          <w:szCs w:val="24"/>
          <w:lang w:val="en-US"/>
        </w:rPr>
        <w:t>-</w:t>
      </w:r>
      <w:r w:rsidRPr="000A7851">
        <w:rPr>
          <w:rFonts w:ascii="Book Antiqua" w:hAnsi="Book Antiqua" w:cs="Times New Roman"/>
          <w:sz w:val="24"/>
          <w:szCs w:val="24"/>
          <w:lang w:val="en-US"/>
        </w:rPr>
        <w:t>20176482</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bookmarkStart w:id="90" w:name="OLE_LINK1712"/>
      <w:bookmarkStart w:id="91" w:name="OLE_LINK2150"/>
      <w:bookmarkStart w:id="92" w:name="OLE_LINK2089"/>
      <w:bookmarkStart w:id="93" w:name="OLE_LINK1979"/>
      <w:bookmarkStart w:id="94" w:name="OLE_LINK1978"/>
      <w:bookmarkStart w:id="95" w:name="OLE_LINK1974"/>
      <w:bookmarkStart w:id="96" w:name="OLE_LINK1973"/>
      <w:bookmarkStart w:id="97" w:name="OLE_LINK1966"/>
      <w:bookmarkStart w:id="98" w:name="OLE_LINK1965"/>
      <w:bookmarkStart w:id="99" w:name="OLE_LINK1961"/>
      <w:bookmarkStart w:id="100" w:name="OLE_LINK1960"/>
      <w:bookmarkStart w:id="101" w:name="OLE_LINK1959"/>
      <w:bookmarkStart w:id="102" w:name="OLE_LINK1730"/>
      <w:bookmarkStart w:id="103" w:name="OLE_LINK2001"/>
      <w:bookmarkStart w:id="104" w:name="OLE_LINK2000"/>
      <w:bookmarkStart w:id="105" w:name="OLE_LINK580"/>
      <w:bookmarkStart w:id="106" w:name="OLE_LINK1779"/>
      <w:bookmarkStart w:id="107" w:name="OLE_LINK1757"/>
      <w:bookmarkStart w:id="108" w:name="OLE_LINK1602"/>
      <w:bookmarkStart w:id="109" w:name="OLE_LINK1601"/>
      <w:bookmarkStart w:id="110" w:name="OLE_LINK1509"/>
      <w:bookmarkStart w:id="111" w:name="OLE_LINK1542"/>
      <w:bookmarkStart w:id="112" w:name="OLE_LINK1541"/>
      <w:bookmarkStart w:id="113" w:name="OLE_LINK1153"/>
      <w:bookmarkStart w:id="114" w:name="OLE_LINK1014"/>
      <w:bookmarkStart w:id="115" w:name="OLE_LINK971"/>
      <w:bookmarkStart w:id="116" w:name="OLE_LINK1213"/>
      <w:bookmarkStart w:id="117" w:name="OLE_LINK1124"/>
      <w:bookmarkStart w:id="118" w:name="OLE_LINK990"/>
      <w:bookmarkStart w:id="119" w:name="OLE_LINK989"/>
      <w:bookmarkStart w:id="120" w:name="OLE_LINK1109"/>
      <w:bookmarkStart w:id="121" w:name="OLE_LINK1108"/>
      <w:bookmarkStart w:id="122" w:name="OLE_LINK1107"/>
      <w:bookmarkStart w:id="123" w:name="OLE_LINK934"/>
      <w:bookmarkStart w:id="124" w:name="OLE_LINK245"/>
      <w:bookmarkStart w:id="125" w:name="OLE_LINK218"/>
      <w:bookmarkStart w:id="126" w:name="OLE_LINK67"/>
      <w:bookmarkStart w:id="127" w:name="OLE_LINK64"/>
      <w:bookmarkStart w:id="128" w:name="OLE_LINK924"/>
      <w:bookmarkStart w:id="129" w:name="OLE_LINK923"/>
      <w:bookmarkStart w:id="130" w:name="OLE_LINK775"/>
      <w:bookmarkStart w:id="131" w:name="_Hlk7505421"/>
      <w:r w:rsidRPr="000A7851">
        <w:rPr>
          <w:rFonts w:ascii="Book Antiqua" w:hAnsi="Book Antiqua" w:cs="Times New Roman"/>
          <w:b/>
          <w:kern w:val="2"/>
          <w:sz w:val="24"/>
          <w:szCs w:val="24"/>
          <w:lang w:val="en-US"/>
        </w:rPr>
        <w:t xml:space="preserve">Received: </w:t>
      </w:r>
      <w:bookmarkStart w:id="132" w:name="OLE_LINK2487"/>
      <w:bookmarkStart w:id="133" w:name="OLE_LINK2486"/>
      <w:r w:rsidR="00C97DE1" w:rsidRPr="000A7851">
        <w:rPr>
          <w:rFonts w:ascii="Book Antiqua" w:hAnsi="Book Antiqua" w:cs="Times New Roman"/>
          <w:kern w:val="2"/>
          <w:sz w:val="24"/>
          <w:szCs w:val="24"/>
          <w:lang w:val="en-US"/>
        </w:rPr>
        <w:t>March</w:t>
      </w:r>
      <w:r w:rsidRPr="000A7851">
        <w:rPr>
          <w:rFonts w:ascii="Book Antiqua" w:hAnsi="Book Antiqua" w:cs="Times New Roman"/>
          <w:kern w:val="2"/>
          <w:sz w:val="24"/>
          <w:szCs w:val="24"/>
          <w:lang w:val="en-US"/>
        </w:rPr>
        <w:t xml:space="preserve"> </w:t>
      </w:r>
      <w:r w:rsidR="00C97DE1" w:rsidRPr="000A7851">
        <w:rPr>
          <w:rFonts w:ascii="Book Antiqua" w:hAnsi="Book Antiqua" w:cs="Times New Roman"/>
          <w:kern w:val="2"/>
          <w:sz w:val="24"/>
          <w:szCs w:val="24"/>
          <w:lang w:val="en-US"/>
        </w:rPr>
        <w:t>4</w:t>
      </w:r>
      <w:r w:rsidRPr="000A7851">
        <w:rPr>
          <w:rFonts w:ascii="Book Antiqua" w:hAnsi="Book Antiqua" w:cs="Times New Roman"/>
          <w:kern w:val="2"/>
          <w:sz w:val="24"/>
          <w:szCs w:val="24"/>
          <w:lang w:val="en-US"/>
        </w:rPr>
        <w:t>, 201</w:t>
      </w:r>
      <w:bookmarkEnd w:id="132"/>
      <w:bookmarkEnd w:id="133"/>
      <w:r w:rsidRPr="000A7851">
        <w:rPr>
          <w:rFonts w:ascii="Book Antiqua" w:hAnsi="Book Antiqua" w:cs="Times New Roman"/>
          <w:kern w:val="2"/>
          <w:sz w:val="24"/>
          <w:szCs w:val="24"/>
          <w:lang w:val="en-US"/>
        </w:rPr>
        <w:t>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Peer-review started: </w:t>
      </w:r>
      <w:r w:rsidRPr="000A7851">
        <w:rPr>
          <w:rFonts w:ascii="Book Antiqua" w:hAnsi="Book Antiqua" w:cs="Times New Roman"/>
          <w:kern w:val="2"/>
          <w:sz w:val="24"/>
          <w:szCs w:val="24"/>
          <w:lang w:val="en-US"/>
        </w:rPr>
        <w:t>March 4, 2019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First decision: </w:t>
      </w:r>
      <w:bookmarkStart w:id="134" w:name="OLE_LINK2489"/>
      <w:bookmarkStart w:id="135" w:name="OLE_LINK2488"/>
      <w:r w:rsidRPr="000A7851">
        <w:rPr>
          <w:rFonts w:ascii="Book Antiqua" w:hAnsi="Book Antiqua" w:cs="Times New Roman"/>
          <w:kern w:val="2"/>
          <w:sz w:val="24"/>
          <w:szCs w:val="24"/>
          <w:lang w:val="en-US"/>
        </w:rPr>
        <w:t>April 11, 201</w:t>
      </w:r>
      <w:bookmarkEnd w:id="134"/>
      <w:bookmarkEnd w:id="135"/>
      <w:r w:rsidRPr="000A7851">
        <w:rPr>
          <w:rFonts w:ascii="Book Antiqua" w:hAnsi="Book Antiqua" w:cs="Times New Roman"/>
          <w:kern w:val="2"/>
          <w:sz w:val="24"/>
          <w:szCs w:val="24"/>
          <w:lang w:val="en-US"/>
        </w:rPr>
        <w:t>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Revised: </w:t>
      </w:r>
      <w:r w:rsidRPr="000A7851">
        <w:rPr>
          <w:rFonts w:ascii="Book Antiqua" w:eastAsia="宋体" w:hAnsi="Book Antiqua" w:cs="Times New Roman"/>
          <w:kern w:val="2"/>
          <w:sz w:val="24"/>
          <w:szCs w:val="24"/>
          <w:lang w:val="en-US" w:eastAsia="zh-CN"/>
        </w:rPr>
        <w:t>July</w:t>
      </w:r>
      <w:r w:rsidRPr="000A7851">
        <w:rPr>
          <w:rFonts w:ascii="Book Antiqua" w:hAnsi="Book Antiqua" w:cs="Times New Roman"/>
          <w:kern w:val="2"/>
          <w:sz w:val="24"/>
          <w:szCs w:val="24"/>
          <w:lang w:val="en-US"/>
        </w:rPr>
        <w:t xml:space="preserve"> </w:t>
      </w:r>
      <w:r w:rsidR="00C97DE1" w:rsidRPr="000A7851">
        <w:rPr>
          <w:rFonts w:ascii="Book Antiqua" w:hAnsi="Book Antiqua" w:cs="Times New Roman"/>
          <w:kern w:val="2"/>
          <w:sz w:val="24"/>
          <w:szCs w:val="24"/>
          <w:lang w:val="en-US"/>
        </w:rPr>
        <w:t>9</w:t>
      </w:r>
      <w:r w:rsidRPr="000A7851">
        <w:rPr>
          <w:rFonts w:ascii="Book Antiqua" w:hAnsi="Book Antiqua" w:cs="Times New Roman"/>
          <w:kern w:val="2"/>
          <w:sz w:val="24"/>
          <w:szCs w:val="24"/>
          <w:lang w:val="en-US"/>
        </w:rPr>
        <w:t>, 2019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Accepted:</w:t>
      </w:r>
      <w:r w:rsidR="00A444E8" w:rsidRPr="000A7851">
        <w:rPr>
          <w:rFonts w:ascii="Book Antiqua" w:hAnsi="Book Antiqua" w:cs="Times New Roman"/>
          <w:kern w:val="2"/>
          <w:sz w:val="24"/>
          <w:szCs w:val="24"/>
          <w:lang w:val="en-US"/>
        </w:rPr>
        <w:t xml:space="preserve"> July 16, 2019</w:t>
      </w:r>
    </w:p>
    <w:p w:rsidR="00236E9C" w:rsidRDefault="00236E9C" w:rsidP="005F021A">
      <w:pPr>
        <w:snapToGrid w:val="0"/>
        <w:spacing w:after="0" w:line="360" w:lineRule="auto"/>
        <w:jc w:val="both"/>
        <w:rPr>
          <w:rFonts w:ascii="Book Antiqua" w:hAnsi="Book Antiqua" w:cs="Times New Roman"/>
          <w:sz w:val="24"/>
          <w:szCs w:val="24"/>
          <w:lang w:eastAsia="zh-CN"/>
        </w:rPr>
      </w:pPr>
      <w:r w:rsidRPr="000A7851">
        <w:rPr>
          <w:rFonts w:ascii="Book Antiqua" w:hAnsi="Book Antiqua" w:cs="Times New Roman"/>
          <w:b/>
          <w:sz w:val="24"/>
          <w:szCs w:val="24"/>
        </w:rPr>
        <w:t>Article in press:</w:t>
      </w:r>
      <w:r w:rsidRPr="000A7851">
        <w:rPr>
          <w:rFonts w:ascii="Book Antiqua" w:hAnsi="Book Antiqua" w:cs="Times New Roman"/>
          <w:sz w:val="24"/>
          <w:szCs w:val="24"/>
        </w:rPr>
        <w:t xml:space="preserve"> July 16, 2019</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236E9C" w:rsidRPr="000A7851" w:rsidRDefault="00236E9C" w:rsidP="00236E9C">
      <w:pPr>
        <w:snapToGrid w:val="0"/>
        <w:spacing w:line="360" w:lineRule="auto"/>
        <w:rPr>
          <w:rFonts w:ascii="Book Antiqua" w:hAnsi="Book Antiqua" w:cs="Times New Roman"/>
          <w:bCs/>
          <w:sz w:val="24"/>
          <w:szCs w:val="24"/>
          <w:lang w:bidi="th-TH"/>
        </w:rPr>
      </w:pPr>
      <w:r w:rsidRPr="000A7851">
        <w:rPr>
          <w:rFonts w:ascii="Book Antiqua" w:hAnsi="Book Antiqua" w:cs="Times New Roman"/>
          <w:b/>
          <w:sz w:val="24"/>
          <w:szCs w:val="24"/>
        </w:rPr>
        <w:t>Published online:</w:t>
      </w:r>
      <w:r w:rsidRPr="000A7851">
        <w:rPr>
          <w:rFonts w:ascii="Book Antiqua" w:hAnsi="Book Antiqua" w:cs="Times New Roman"/>
          <w:sz w:val="24"/>
          <w:szCs w:val="24"/>
        </w:rPr>
        <w:t xml:space="preserve"> </w:t>
      </w:r>
      <w:r w:rsidRPr="000D4029">
        <w:rPr>
          <w:rFonts w:ascii="Book Antiqua" w:hAnsi="Book Antiqua" w:cs="Times New Roman"/>
          <w:sz w:val="24"/>
          <w:szCs w:val="24"/>
        </w:rPr>
        <w:t>August</w:t>
      </w:r>
      <w:r w:rsidRPr="000A7851">
        <w:rPr>
          <w:rFonts w:ascii="Book Antiqua" w:hAnsi="Book Antiqua" w:cs="Times New Roman"/>
          <w:sz w:val="24"/>
          <w:szCs w:val="24"/>
        </w:rPr>
        <w:t xml:space="preserve"> </w:t>
      </w:r>
      <w:r>
        <w:rPr>
          <w:rFonts w:ascii="Book Antiqua" w:hAnsi="Book Antiqua" w:cs="Times New Roman" w:hint="eastAsia"/>
          <w:sz w:val="24"/>
          <w:szCs w:val="24"/>
        </w:rPr>
        <w:t xml:space="preserve">21, </w:t>
      </w:r>
      <w:r w:rsidRPr="000A7851">
        <w:rPr>
          <w:rFonts w:ascii="Book Antiqua" w:hAnsi="Book Antiqua" w:cs="Times New Roman"/>
          <w:sz w:val="24"/>
          <w:szCs w:val="24"/>
        </w:rPr>
        <w:t>2019</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9B2E6A"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Abstract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Mycophenolic acid, the active metabolite for mycophenolate mofetil and mycophenolic sodium, is a strong, noncompetitive, reversible inhibitor of inosine monophosphate dehydrogenase, the key enzyme in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synthesis of guanosine nucleotides leading to selective inhibition of lymphocyte proliferation. Mycophenolic acid has been evaluated as induction and remission maintenance agent in the treatment of </w:t>
      </w:r>
      <w:proofErr w:type="spellStart"/>
      <w:r w:rsidRPr="000A7851">
        <w:rPr>
          <w:rFonts w:ascii="Book Antiqua" w:hAnsi="Book Antiqua" w:cs="Times New Roman"/>
          <w:sz w:val="24"/>
          <w:szCs w:val="24"/>
          <w:lang w:val="en-US"/>
        </w:rPr>
        <w:t>antineutrophil</w:t>
      </w:r>
      <w:proofErr w:type="spellEnd"/>
      <w:r w:rsidRPr="000A7851">
        <w:rPr>
          <w:rFonts w:ascii="Book Antiqua" w:hAnsi="Book Antiqua" w:cs="Times New Roman"/>
          <w:sz w:val="24"/>
          <w:szCs w:val="24"/>
          <w:lang w:val="en-US"/>
        </w:rPr>
        <w:t xml:space="preserve"> cytoplasmic antibody</w:t>
      </w:r>
      <w:r w:rsidR="002A342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associated </w:t>
      </w:r>
      <w:proofErr w:type="spellStart"/>
      <w:r w:rsidRPr="000A7851">
        <w:rPr>
          <w:rFonts w:ascii="Book Antiqua" w:hAnsi="Book Antiqua" w:cs="Times New Roman"/>
          <w:sz w:val="24"/>
          <w:szCs w:val="24"/>
          <w:lang w:val="en-US"/>
        </w:rPr>
        <w:t>vasculitis</w:t>
      </w:r>
      <w:proofErr w:type="spellEnd"/>
      <w:r w:rsidRPr="000A7851">
        <w:rPr>
          <w:rFonts w:ascii="Book Antiqua" w:hAnsi="Book Antiqua" w:cs="Times New Roman"/>
          <w:sz w:val="24"/>
          <w:szCs w:val="24"/>
          <w:lang w:val="en-US"/>
        </w:rPr>
        <w:t xml:space="preserve"> (AAV). Since the course of disease of AAV usually requires long term immunosuppression, </w:t>
      </w:r>
      <w:proofErr w:type="spellStart"/>
      <w:r w:rsidRPr="000A7851">
        <w:rPr>
          <w:rFonts w:ascii="Book Antiqua" w:hAnsi="Book Antiqua" w:cs="Times New Roman"/>
          <w:sz w:val="24"/>
          <w:szCs w:val="24"/>
          <w:lang w:val="en-US"/>
        </w:rPr>
        <w:t>mycophenolate</w:t>
      </w:r>
      <w:proofErr w:type="spellEnd"/>
      <w:r w:rsidRPr="000A7851">
        <w:rPr>
          <w:rFonts w:ascii="Book Antiqua" w:hAnsi="Book Antiqua" w:cs="Times New Roman"/>
          <w:sz w:val="24"/>
          <w:szCs w:val="24"/>
          <w:lang w:val="en-US"/>
        </w:rPr>
        <w:t xml:space="preserve"> ha</w:t>
      </w:r>
      <w:r w:rsidR="00B40B33" w:rsidRPr="000A7851">
        <w:rPr>
          <w:rFonts w:ascii="Book Antiqua" w:hAnsi="Book Antiqua" w:cs="Times New Roman"/>
          <w:sz w:val="24"/>
          <w:szCs w:val="24"/>
          <w:lang w:val="en-US"/>
        </w:rPr>
        <w:t>s</w:t>
      </w:r>
      <w:r w:rsidRPr="000A7851">
        <w:rPr>
          <w:rFonts w:ascii="Book Antiqua" w:hAnsi="Book Antiqua" w:cs="Times New Roman"/>
          <w:sz w:val="24"/>
          <w:szCs w:val="24"/>
          <w:lang w:val="en-US"/>
        </w:rPr>
        <w:t xml:space="preserve"> been explored as a less toxic agent compared to cyclophosphamide</w:t>
      </w:r>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and azathioprine. Mycophenolate is a potent immunosuppressive agent in the therapy of AAV, non-inferior to other available drugs with comparable side effect profile</w:t>
      </w:r>
      <w:r w:rsidR="00B40B33" w:rsidRPr="000A7851">
        <w:rPr>
          <w:rFonts w:ascii="Book Antiqua" w:hAnsi="Book Antiqua" w:cs="Times New Roman"/>
          <w:sz w:val="24"/>
          <w:szCs w:val="24"/>
          <w:lang w:val="en-US"/>
        </w:rPr>
        <w:t>. T</w:t>
      </w:r>
      <w:r w:rsidRPr="000A7851">
        <w:rPr>
          <w:rFonts w:ascii="Book Antiqua" w:hAnsi="Book Antiqua" w:cs="Times New Roman"/>
          <w:sz w:val="24"/>
          <w:szCs w:val="24"/>
          <w:lang w:val="en-US"/>
        </w:rPr>
        <w:t>herefore</w:t>
      </w:r>
      <w:r w:rsidR="00B40B3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could be a valuable </w:t>
      </w:r>
      <w:r w:rsidRPr="000A7851">
        <w:rPr>
          <w:rFonts w:ascii="Book Antiqua" w:hAnsi="Book Antiqua" w:cs="Times New Roman"/>
          <w:sz w:val="24"/>
          <w:szCs w:val="24"/>
          <w:lang w:val="en-US"/>
        </w:rPr>
        <w:lastRenderedPageBreak/>
        <w:t xml:space="preserve">alternative in cases of toxicity with life threatening side effects or intolerance to </w:t>
      </w:r>
      <w:r w:rsidR="00823F01" w:rsidRPr="000A7851">
        <w:rPr>
          <w:rFonts w:ascii="Book Antiqua" w:hAnsi="Book Antiqua" w:cs="Times New Roman"/>
          <w:sz w:val="24"/>
          <w:szCs w:val="24"/>
          <w:lang w:val="en-US"/>
        </w:rPr>
        <w:t>cyclophosphamide</w:t>
      </w:r>
      <w:r w:rsidRPr="000A7851">
        <w:rPr>
          <w:rFonts w:ascii="Book Antiqua" w:hAnsi="Book Antiqua" w:cs="Times New Roman"/>
          <w:sz w:val="24"/>
          <w:szCs w:val="24"/>
          <w:lang w:val="en-US"/>
        </w:rPr>
        <w:t xml:space="preserve"> or azathioprine, in cases with high cumulative dose of </w:t>
      </w:r>
      <w:r w:rsidR="00823F01" w:rsidRPr="000A7851">
        <w:rPr>
          <w:rFonts w:ascii="Book Antiqua" w:hAnsi="Book Antiqua" w:cs="Times New Roman"/>
          <w:sz w:val="24"/>
          <w:szCs w:val="24"/>
          <w:lang w:val="en-US"/>
        </w:rPr>
        <w:t>cyclophosphamide</w:t>
      </w:r>
      <w:r w:rsidR="00B40B3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but also in cases with insufficient response. Several studies have shown a higher relapse rate following discontinuation of mycophenolate or in mycophenolate treated subjects that raises concerns about its usefulness in the treatment of AAV. This review describes the efficacy of mycophenolate in AAV as remission induction agent, as remission maintenance agent, </w:t>
      </w:r>
      <w:r w:rsidR="00B40B33"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as therapeutic option in relapsing AAV disease, the relapse rate following discontinuation of mycophenolate</w:t>
      </w:r>
      <w:r w:rsidR="00B40B33" w:rsidRPr="000A7851">
        <w:rPr>
          <w:rFonts w:ascii="Book Antiqua" w:hAnsi="Book Antiqua" w:cs="Times New Roman"/>
          <w:sz w:val="24"/>
          <w:szCs w:val="24"/>
          <w:lang w:val="en-US"/>
        </w:rPr>
        <w:t xml:space="preserve">, and </w:t>
      </w:r>
      <w:r w:rsidRPr="000A7851">
        <w:rPr>
          <w:rFonts w:ascii="Book Antiqua" w:hAnsi="Book Antiqua" w:cs="Times New Roman"/>
          <w:sz w:val="24"/>
          <w:szCs w:val="24"/>
          <w:lang w:val="en-US"/>
        </w:rPr>
        <w:t>the adverse events related to mycophenolate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Key words:</w:t>
      </w:r>
      <w:r w:rsidRPr="000A7851">
        <w:rPr>
          <w:rFonts w:ascii="Book Antiqua" w:hAnsi="Book Antiqua" w:cs="Times New Roman"/>
          <w:sz w:val="24"/>
          <w:szCs w:val="24"/>
          <w:lang w:val="en-US"/>
        </w:rPr>
        <w:t xml:space="preserve"> </w:t>
      </w:r>
      <w:bookmarkStart w:id="136" w:name="OLE_LINK19"/>
      <w:bookmarkStart w:id="137" w:name="OLE_LINK21"/>
      <w:proofErr w:type="spellStart"/>
      <w:r w:rsidR="00C97DE1" w:rsidRPr="000A7851">
        <w:rPr>
          <w:rFonts w:ascii="Book Antiqua" w:hAnsi="Book Antiqua" w:cs="Times New Roman"/>
          <w:sz w:val="24"/>
          <w:szCs w:val="24"/>
          <w:lang w:val="en-US"/>
        </w:rPr>
        <w:t>Mycophenolic</w:t>
      </w:r>
      <w:proofErr w:type="spellEnd"/>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acid</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Mycophenolate</w:t>
      </w:r>
      <w:proofErr w:type="spellEnd"/>
      <w:r w:rsidR="00C97DE1"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mofetil</w:t>
      </w:r>
      <w:proofErr w:type="spellEnd"/>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Mycophenolate</w:t>
      </w:r>
      <w:proofErr w:type="spellEnd"/>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sodium</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Antineutrophil</w:t>
      </w:r>
      <w:proofErr w:type="spellEnd"/>
      <w:r w:rsidR="00C97DE1" w:rsidRPr="000A7851">
        <w:rPr>
          <w:rFonts w:ascii="Book Antiqua" w:hAnsi="Book Antiqua" w:cs="Times New Roman"/>
          <w:sz w:val="24"/>
          <w:szCs w:val="24"/>
          <w:lang w:val="en-US"/>
        </w:rPr>
        <w:t xml:space="preserve"> cytoplasmic antibody</w:t>
      </w:r>
      <w:r w:rsidR="002A342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associated </w:t>
      </w:r>
      <w:proofErr w:type="spellStart"/>
      <w:r w:rsidRPr="000A7851">
        <w:rPr>
          <w:rFonts w:ascii="Book Antiqua" w:hAnsi="Book Antiqua" w:cs="Times New Roman"/>
          <w:sz w:val="24"/>
          <w:szCs w:val="24"/>
          <w:lang w:val="en-US"/>
        </w:rPr>
        <w:t>vasculitis</w:t>
      </w:r>
      <w:proofErr w:type="spellEnd"/>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 xml:space="preserve">Microscopic </w:t>
      </w:r>
      <w:proofErr w:type="spellStart"/>
      <w:r w:rsidRPr="000A7851">
        <w:rPr>
          <w:rFonts w:ascii="Book Antiqua" w:hAnsi="Book Antiqua" w:cs="Times New Roman"/>
          <w:sz w:val="24"/>
          <w:szCs w:val="24"/>
          <w:lang w:val="en-US"/>
        </w:rPr>
        <w:t>polyangiitis</w:t>
      </w:r>
      <w:proofErr w:type="spellEnd"/>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Granulomatosis</w:t>
      </w:r>
      <w:proofErr w:type="spellEnd"/>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with </w:t>
      </w:r>
      <w:proofErr w:type="spellStart"/>
      <w:r w:rsidRPr="000A7851">
        <w:rPr>
          <w:rFonts w:ascii="Book Antiqua" w:hAnsi="Book Antiqua" w:cs="Times New Roman"/>
          <w:sz w:val="24"/>
          <w:szCs w:val="24"/>
          <w:lang w:val="en-US"/>
        </w:rPr>
        <w:t>polyangiitis</w:t>
      </w:r>
      <w:proofErr w:type="spellEnd"/>
      <w:r w:rsidR="00CD2BEE">
        <w:rPr>
          <w:rFonts w:ascii="Book Antiqua" w:hAnsi="Book Antiqua" w:cs="Times New Roman" w:hint="eastAsia"/>
          <w:sz w:val="24"/>
          <w:szCs w:val="24"/>
          <w:lang w:val="en-US" w:eastAsia="zh-CN"/>
        </w:rPr>
        <w:t>;</w:t>
      </w:r>
      <w:r w:rsidRPr="000A7851">
        <w:rPr>
          <w:rFonts w:ascii="Book Antiqua" w:hAnsi="Book Antiqua" w:cs="Times New Roman"/>
          <w:sz w:val="24"/>
          <w:szCs w:val="24"/>
          <w:lang w:val="en-US"/>
        </w:rPr>
        <w:t xml:space="preserve"> </w:t>
      </w:r>
      <w:r w:rsidR="001D65E5">
        <w:rPr>
          <w:rFonts w:ascii="Book Antiqua" w:hAnsi="Book Antiqua" w:cs="Times New Roman" w:hint="eastAsia"/>
          <w:sz w:val="24"/>
          <w:szCs w:val="24"/>
          <w:lang w:val="en-US" w:eastAsia="zh-CN"/>
        </w:rPr>
        <w:t>I</w:t>
      </w:r>
      <w:bookmarkStart w:id="138" w:name="_GoBack"/>
      <w:bookmarkEnd w:id="138"/>
      <w:r w:rsidRPr="000A7851">
        <w:rPr>
          <w:rFonts w:ascii="Book Antiqua" w:hAnsi="Book Antiqua" w:cs="Times New Roman"/>
          <w:sz w:val="24"/>
          <w:szCs w:val="24"/>
          <w:lang w:val="en-US"/>
        </w:rPr>
        <w:t>nduction</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Remission;</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Relapse</w:t>
      </w:r>
      <w:bookmarkEnd w:id="136"/>
      <w:bookmarkEnd w:id="137"/>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C97DE1" w:rsidRPr="000A7851" w:rsidRDefault="00C97DE1" w:rsidP="005F021A">
      <w:pPr>
        <w:snapToGrid w:val="0"/>
        <w:spacing w:after="0" w:line="360" w:lineRule="auto"/>
        <w:jc w:val="both"/>
        <w:rPr>
          <w:rFonts w:ascii="Book Antiqua" w:hAnsi="Book Antiqua" w:cs="Arial"/>
          <w:sz w:val="24"/>
          <w:szCs w:val="24"/>
          <w:lang w:val="en-US"/>
        </w:rPr>
      </w:pPr>
      <w:bookmarkStart w:id="139" w:name="OLE_LINK56"/>
      <w:bookmarkStart w:id="140" w:name="OLE_LINK55"/>
      <w:bookmarkStart w:id="141" w:name="OLE_LINK2158"/>
      <w:bookmarkStart w:id="142" w:name="OLE_LINK2157"/>
      <w:bookmarkStart w:id="143" w:name="OLE_LINK2156"/>
      <w:bookmarkStart w:id="144" w:name="OLE_LINK2093"/>
      <w:bookmarkStart w:id="145" w:name="OLE_LINK1987"/>
      <w:bookmarkStart w:id="146" w:name="OLE_LINK1986"/>
      <w:bookmarkStart w:id="147" w:name="OLE_LINK1985"/>
      <w:bookmarkStart w:id="148" w:name="OLE_LINK1983"/>
      <w:bookmarkStart w:id="149" w:name="OLE_LINK1691"/>
      <w:bookmarkStart w:id="150" w:name="OLE_LINK1690"/>
      <w:bookmarkStart w:id="151" w:name="OLE_LINK1796"/>
      <w:bookmarkStart w:id="152" w:name="OLE_LINK1795"/>
      <w:bookmarkStart w:id="153" w:name="OLE_LINK1794"/>
      <w:bookmarkStart w:id="154" w:name="OLE_LINK1688"/>
      <w:bookmarkStart w:id="155" w:name="OLE_LINK1687"/>
      <w:bookmarkStart w:id="156" w:name="OLE_LINK1641"/>
      <w:bookmarkStart w:id="157" w:name="OLE_LINK1640"/>
      <w:bookmarkStart w:id="158" w:name="OLE_LINK1637"/>
      <w:bookmarkStart w:id="159" w:name="OLE_LINK1635"/>
      <w:bookmarkStart w:id="160" w:name="OLE_LINK1634"/>
      <w:bookmarkStart w:id="161" w:name="OLE_LINK1633"/>
      <w:bookmarkStart w:id="162" w:name="OLE_LINK1604"/>
      <w:bookmarkStart w:id="163" w:name="OLE_LINK1603"/>
      <w:bookmarkStart w:id="164" w:name="OLE_LINK1831"/>
      <w:bookmarkStart w:id="165" w:name="OLE_LINK1715"/>
      <w:bookmarkStart w:id="166" w:name="OLE_LINK1714"/>
      <w:bookmarkStart w:id="167" w:name="OLE_LINK1364"/>
      <w:bookmarkStart w:id="168" w:name="OLE_LINK1231"/>
      <w:bookmarkStart w:id="169" w:name="OLE_LINK1230"/>
      <w:bookmarkStart w:id="170" w:name="OLE_LINK1229"/>
      <w:bookmarkStart w:id="171" w:name="OLE_LINK1228"/>
      <w:bookmarkStart w:id="172" w:name="OLE_LINK1227"/>
      <w:bookmarkStart w:id="173" w:name="OLE_LINK1226"/>
      <w:bookmarkStart w:id="174" w:name="OLE_LINK1167"/>
      <w:bookmarkStart w:id="175" w:name="OLE_LINK1166"/>
      <w:bookmarkStart w:id="176" w:name="OLE_LINK1164"/>
      <w:bookmarkStart w:id="177" w:name="OLE_LINK1151"/>
      <w:bookmarkStart w:id="178" w:name="OLE_LINK1150"/>
      <w:bookmarkStart w:id="179" w:name="OLE_LINK1125"/>
      <w:bookmarkStart w:id="180" w:name="OLE_LINK932"/>
      <w:bookmarkStart w:id="181" w:name="OLE_LINK931"/>
      <w:bookmarkStart w:id="182" w:name="OLE_LINK930"/>
      <w:bookmarkStart w:id="183" w:name="OLE_LINK929"/>
      <w:bookmarkStart w:id="184" w:name="OLE_LINK1115"/>
      <w:bookmarkStart w:id="185" w:name="OLE_LINK1114"/>
      <w:bookmarkStart w:id="186" w:name="OLE_LINK1113"/>
      <w:bookmarkStart w:id="187" w:name="OLE_LINK1112"/>
      <w:bookmarkStart w:id="188" w:name="OLE_LINK942"/>
      <w:bookmarkStart w:id="189" w:name="OLE_LINK941"/>
      <w:bookmarkStart w:id="190" w:name="OLE_LINK940"/>
      <w:bookmarkStart w:id="191" w:name="OLE_LINK255"/>
      <w:bookmarkStart w:id="192" w:name="OLE_LINK936"/>
      <w:bookmarkStart w:id="193" w:name="OLE_LINK935"/>
      <w:bookmarkStart w:id="194" w:name="OLE_LINK780"/>
      <w:bookmarkStart w:id="195" w:name="OLE_LINK779"/>
      <w:bookmarkStart w:id="196" w:name="_Hlk7505613"/>
      <w:proofErr w:type="gramStart"/>
      <w:r w:rsidRPr="000A7851">
        <w:rPr>
          <w:rFonts w:ascii="Book Antiqua" w:hAnsi="Book Antiqua"/>
          <w:b/>
          <w:sz w:val="24"/>
          <w:szCs w:val="24"/>
          <w:lang w:val="en-US"/>
        </w:rPr>
        <w:t>©</w:t>
      </w:r>
      <w:bookmarkEnd w:id="139"/>
      <w:bookmarkEnd w:id="140"/>
      <w:r w:rsidRPr="000A7851">
        <w:rPr>
          <w:rFonts w:ascii="Book Antiqua" w:hAnsi="Book Antiqua"/>
          <w:b/>
          <w:sz w:val="24"/>
          <w:szCs w:val="24"/>
          <w:lang w:val="en-US"/>
        </w:rPr>
        <w:t xml:space="preserve"> </w:t>
      </w:r>
      <w:r w:rsidRPr="000A7851">
        <w:rPr>
          <w:rFonts w:ascii="Book Antiqua" w:hAnsi="Book Antiqua" w:cs="Arial"/>
          <w:b/>
          <w:sz w:val="24"/>
          <w:szCs w:val="24"/>
          <w:lang w:val="en-US"/>
        </w:rPr>
        <w:t>The Author(s) 2019.</w:t>
      </w:r>
      <w:proofErr w:type="gramEnd"/>
      <w:r w:rsidRPr="000A7851">
        <w:rPr>
          <w:rFonts w:ascii="Book Antiqua" w:hAnsi="Book Antiqua" w:cs="Arial"/>
          <w:b/>
          <w:sz w:val="24"/>
          <w:szCs w:val="24"/>
          <w:lang w:val="en-US"/>
        </w:rPr>
        <w:t xml:space="preserve"> </w:t>
      </w:r>
      <w:proofErr w:type="gramStart"/>
      <w:r w:rsidRPr="000A7851">
        <w:rPr>
          <w:rFonts w:ascii="Book Antiqua" w:hAnsi="Book Antiqua" w:cs="Arial"/>
          <w:sz w:val="24"/>
          <w:szCs w:val="24"/>
          <w:lang w:val="en-US"/>
        </w:rPr>
        <w:t xml:space="preserve">Published by </w:t>
      </w:r>
      <w:proofErr w:type="spellStart"/>
      <w:r w:rsidRPr="000A7851">
        <w:rPr>
          <w:rFonts w:ascii="Book Antiqua" w:hAnsi="Book Antiqua" w:cs="Arial"/>
          <w:sz w:val="24"/>
          <w:szCs w:val="24"/>
          <w:lang w:val="en-US"/>
        </w:rPr>
        <w:t>Baishideng</w:t>
      </w:r>
      <w:proofErr w:type="spellEnd"/>
      <w:r w:rsidRPr="000A7851">
        <w:rPr>
          <w:rFonts w:ascii="Book Antiqua" w:hAnsi="Book Antiqua" w:cs="Arial"/>
          <w:sz w:val="24"/>
          <w:szCs w:val="24"/>
          <w:lang w:val="en-US"/>
        </w:rPr>
        <w:t xml:space="preserve"> Publishing Group Inc.</w:t>
      </w:r>
      <w:proofErr w:type="gramEnd"/>
      <w:r w:rsidRPr="000A7851">
        <w:rPr>
          <w:rFonts w:ascii="Book Antiqua" w:hAnsi="Book Antiqua" w:cs="Arial"/>
          <w:sz w:val="24"/>
          <w:szCs w:val="24"/>
          <w:lang w:val="en-US"/>
        </w:rPr>
        <w:t xml:space="preserve"> All rights reserved</w:t>
      </w:r>
      <w:bookmarkStart w:id="197" w:name="OLE_LINK976"/>
      <w:bookmarkStart w:id="198" w:name="OLE_LINK975"/>
      <w:bookmarkStart w:id="199" w:name="OLE_LINK974"/>
      <w:bookmarkStart w:id="200" w:name="OLE_LINK973"/>
      <w:bookmarkStart w:id="201" w:name="OLE_LINK972"/>
      <w:bookmarkStart w:id="202" w:name="OLE_LINK970"/>
      <w:bookmarkStart w:id="203" w:name="OLE_LINK969"/>
      <w:r w:rsidRPr="000A7851">
        <w:rPr>
          <w:rFonts w:ascii="Book Antiqua" w:hAnsi="Book Antiqua" w:cs="Arial"/>
          <w:sz w:val="24"/>
          <w:szCs w:val="24"/>
          <w:lang w:val="en-US"/>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7"/>
      <w:bookmarkEnd w:id="198"/>
      <w:bookmarkEnd w:id="199"/>
      <w:bookmarkEnd w:id="200"/>
      <w:bookmarkEnd w:id="201"/>
      <w:bookmarkEnd w:id="202"/>
      <w:bookmarkEnd w:id="203"/>
    </w:p>
    <w:p w:rsidR="00C97DE1" w:rsidRPr="000A7851" w:rsidRDefault="00C97DE1" w:rsidP="005F021A">
      <w:pPr>
        <w:snapToGrid w:val="0"/>
        <w:spacing w:after="0" w:line="360" w:lineRule="auto"/>
        <w:jc w:val="both"/>
        <w:rPr>
          <w:rFonts w:ascii="Book Antiqua" w:hAnsi="Book Antiqua" w:cs="Calibri"/>
          <w:sz w:val="24"/>
          <w:szCs w:val="24"/>
          <w:lang w:val="en-US"/>
        </w:rPr>
      </w:pPr>
    </w:p>
    <w:p w:rsidR="009B2E6A" w:rsidRPr="000A7851" w:rsidRDefault="00C97DE1"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 xml:space="preserve">Core tip: </w:t>
      </w:r>
      <w:bookmarkStart w:id="204" w:name="OLE_LINK22"/>
      <w:bookmarkStart w:id="205" w:name="OLE_LINK23"/>
      <w:bookmarkEnd w:id="196"/>
      <w:proofErr w:type="spellStart"/>
      <w:r w:rsidR="009B2E6A" w:rsidRPr="000A7851">
        <w:rPr>
          <w:rFonts w:ascii="Book Antiqua" w:hAnsi="Book Antiqua" w:cs="Times New Roman"/>
          <w:sz w:val="24"/>
          <w:szCs w:val="24"/>
          <w:lang w:val="en-US"/>
        </w:rPr>
        <w:t>Antineutrophil</w:t>
      </w:r>
      <w:proofErr w:type="spellEnd"/>
      <w:r w:rsidR="009B2E6A" w:rsidRPr="000A7851">
        <w:rPr>
          <w:rFonts w:ascii="Book Antiqua" w:hAnsi="Book Antiqua" w:cs="Times New Roman"/>
          <w:sz w:val="24"/>
          <w:szCs w:val="24"/>
          <w:lang w:val="en-US"/>
        </w:rPr>
        <w:t xml:space="preserve"> cytoplasmic antibody</w:t>
      </w:r>
      <w:r w:rsidR="002A3420"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associated </w:t>
      </w:r>
      <w:proofErr w:type="spellStart"/>
      <w:r w:rsidR="009B2E6A" w:rsidRPr="000A7851">
        <w:rPr>
          <w:rFonts w:ascii="Book Antiqua" w:hAnsi="Book Antiqua" w:cs="Times New Roman"/>
          <w:sz w:val="24"/>
          <w:szCs w:val="24"/>
          <w:lang w:val="en-US"/>
        </w:rPr>
        <w:t>vasculitis</w:t>
      </w:r>
      <w:proofErr w:type="spellEnd"/>
      <w:r w:rsidR="009B2E6A" w:rsidRPr="000A7851">
        <w:rPr>
          <w:rFonts w:ascii="Book Antiqua" w:hAnsi="Book Antiqua" w:cs="Times New Roman"/>
          <w:sz w:val="24"/>
          <w:szCs w:val="24"/>
          <w:lang w:val="en-US"/>
        </w:rPr>
        <w:t xml:space="preserve"> is characterized by a remitting </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relapsing course of disease that requires long term immunosuppression.</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Mycophenolic acid has been evaluated as induction and remission maintenance agent in the treatment of </w:t>
      </w:r>
      <w:r w:rsidR="004168A4" w:rsidRPr="000A7851">
        <w:rPr>
          <w:rFonts w:ascii="Book Antiqua" w:hAnsi="Book Antiqua" w:cs="Times New Roman"/>
          <w:sz w:val="24"/>
          <w:szCs w:val="24"/>
          <w:lang w:val="en-US"/>
        </w:rPr>
        <w:t>antibody-associated vasculitis</w:t>
      </w:r>
      <w:r w:rsidR="009B2E6A" w:rsidRPr="000A7851">
        <w:rPr>
          <w:rFonts w:ascii="Book Antiqua" w:hAnsi="Book Antiqua" w:cs="Times New Roman"/>
          <w:sz w:val="24"/>
          <w:szCs w:val="24"/>
          <w:lang w:val="en-US"/>
        </w:rPr>
        <w:t xml:space="preserve"> as a less toxic agent compared to cyclophosphamide and azathioprine. Mycophenolate has been proven a potent immunosuppressive agent</w:t>
      </w:r>
      <w:r w:rsidR="00B40B33" w:rsidRPr="000A7851">
        <w:rPr>
          <w:rFonts w:ascii="Book Antiqua" w:hAnsi="Book Antiqua" w:cs="Times New Roman"/>
          <w:sz w:val="24"/>
          <w:szCs w:val="24"/>
          <w:lang w:val="en-US"/>
        </w:rPr>
        <w:t xml:space="preserve"> and</w:t>
      </w:r>
      <w:r w:rsidR="009B2E6A" w:rsidRPr="000A7851">
        <w:rPr>
          <w:rFonts w:ascii="Book Antiqua" w:hAnsi="Book Antiqua" w:cs="Times New Roman"/>
          <w:sz w:val="24"/>
          <w:szCs w:val="24"/>
          <w:lang w:val="en-US"/>
        </w:rPr>
        <w:t xml:space="preserve"> non-inferior to other available drugs with comparable side effect profile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but several studies have shown a higher relapse rate following discontinuation of mycophenolate or in mycophenolate treated subjects. In this review</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the role of mycophenolate in treatment of </w:t>
      </w:r>
      <w:r w:rsidR="004168A4" w:rsidRPr="000A7851">
        <w:rPr>
          <w:rFonts w:ascii="Book Antiqua" w:hAnsi="Book Antiqua" w:cs="Times New Roman"/>
          <w:sz w:val="24"/>
          <w:szCs w:val="24"/>
          <w:lang w:val="en-US"/>
        </w:rPr>
        <w:t>antibody-associated vasculitis</w:t>
      </w:r>
      <w:r w:rsidR="009B2E6A" w:rsidRPr="000A7851">
        <w:rPr>
          <w:rFonts w:ascii="Book Antiqua" w:hAnsi="Book Antiqua" w:cs="Times New Roman"/>
          <w:sz w:val="24"/>
          <w:szCs w:val="24"/>
          <w:lang w:val="en-US"/>
        </w:rPr>
        <w:t xml:space="preserve"> is further discussed.</w:t>
      </w:r>
      <w:bookmarkEnd w:id="204"/>
      <w:bookmarkEnd w:id="205"/>
    </w:p>
    <w:p w:rsidR="009B2E6A" w:rsidRDefault="009B2E6A" w:rsidP="005F021A">
      <w:pPr>
        <w:adjustRightInd w:val="0"/>
        <w:snapToGrid w:val="0"/>
        <w:spacing w:after="0" w:line="360" w:lineRule="auto"/>
        <w:jc w:val="both"/>
        <w:rPr>
          <w:rFonts w:ascii="Book Antiqua" w:hAnsi="Book Antiqua"/>
          <w:b/>
          <w:sz w:val="24"/>
          <w:szCs w:val="24"/>
          <w:lang w:val="en-US" w:eastAsia="zh-CN"/>
        </w:rPr>
      </w:pPr>
      <w:bookmarkStart w:id="206" w:name="_Hlk6582555"/>
    </w:p>
    <w:p w:rsidR="009B2E6A" w:rsidRDefault="009F4E17" w:rsidP="005F021A">
      <w:pPr>
        <w:adjustRightInd w:val="0"/>
        <w:snapToGrid w:val="0"/>
        <w:spacing w:after="0" w:line="360" w:lineRule="auto"/>
        <w:jc w:val="both"/>
        <w:rPr>
          <w:rFonts w:ascii="Book Antiqua" w:hAnsi="Book Antiqua"/>
          <w:sz w:val="24"/>
          <w:szCs w:val="24"/>
          <w:lang w:val="en-US" w:eastAsia="zh-CN"/>
        </w:rPr>
      </w:pPr>
      <w:r w:rsidRPr="00763FFF">
        <w:rPr>
          <w:rFonts w:ascii="Book Antiqua" w:hAnsi="Book Antiqua" w:cs="Times New Roman"/>
          <w:b/>
          <w:sz w:val="24"/>
          <w:szCs w:val="24"/>
        </w:rPr>
        <w:t>Citation:</w:t>
      </w:r>
      <w:r>
        <w:rPr>
          <w:rFonts w:ascii="Book Antiqua" w:hAnsi="Book Antiqua" w:cs="Times New Roman" w:hint="eastAsia"/>
          <w:b/>
          <w:sz w:val="24"/>
          <w:szCs w:val="24"/>
          <w:lang w:eastAsia="zh-CN"/>
        </w:rPr>
        <w:t xml:space="preserve"> </w:t>
      </w:r>
      <w:proofErr w:type="spellStart"/>
      <w:r w:rsidR="00C97DE1" w:rsidRPr="000A7851">
        <w:rPr>
          <w:rFonts w:ascii="Book Antiqua" w:hAnsi="Book Antiqua" w:cs="Times New Roman"/>
          <w:sz w:val="24"/>
          <w:szCs w:val="24"/>
          <w:lang w:val="en-US"/>
        </w:rPr>
        <w:t>Koukoulaki</w:t>
      </w:r>
      <w:proofErr w:type="spellEnd"/>
      <w:r w:rsidR="00C97DE1" w:rsidRPr="000A7851">
        <w:rPr>
          <w:rFonts w:ascii="Book Antiqua" w:hAnsi="Book Antiqua" w:cs="Times New Roman"/>
          <w:sz w:val="24"/>
          <w:szCs w:val="24"/>
          <w:lang w:val="en-US"/>
        </w:rPr>
        <w:t xml:space="preserve"> M, </w:t>
      </w:r>
      <w:proofErr w:type="spellStart"/>
      <w:r w:rsidR="00C97DE1" w:rsidRPr="000A7851">
        <w:rPr>
          <w:rFonts w:ascii="Book Antiqua" w:hAnsi="Book Antiqua" w:cs="Times New Roman"/>
          <w:sz w:val="24"/>
          <w:szCs w:val="24"/>
          <w:lang w:val="en-US"/>
        </w:rPr>
        <w:t>Iatrou</w:t>
      </w:r>
      <w:proofErr w:type="spellEnd"/>
      <w:r w:rsidR="00C97DE1" w:rsidRPr="000A7851">
        <w:rPr>
          <w:rFonts w:ascii="Book Antiqua" w:hAnsi="Book Antiqua" w:cs="Times New Roman"/>
          <w:sz w:val="24"/>
          <w:szCs w:val="24"/>
          <w:lang w:val="en-US"/>
        </w:rPr>
        <w:t xml:space="preserve"> C. </w:t>
      </w:r>
      <w:proofErr w:type="gramStart"/>
      <w:r w:rsidR="009B2E6A" w:rsidRPr="000A7851">
        <w:rPr>
          <w:rFonts w:ascii="Book Antiqua" w:hAnsi="Book Antiqua" w:cs="Times New Roman"/>
          <w:sz w:val="24"/>
          <w:szCs w:val="24"/>
          <w:lang w:val="en-US"/>
        </w:rPr>
        <w:t xml:space="preserve">The role of mycophenolate in the treatment of </w:t>
      </w:r>
      <w:proofErr w:type="spellStart"/>
      <w:r w:rsidR="00C97DE1" w:rsidRPr="000A7851">
        <w:rPr>
          <w:rFonts w:ascii="Book Antiqua" w:hAnsi="Book Antiqua" w:cs="Times New Roman"/>
          <w:sz w:val="24"/>
          <w:szCs w:val="24"/>
          <w:lang w:val="en-US"/>
        </w:rPr>
        <w:t>antineutrophil</w:t>
      </w:r>
      <w:proofErr w:type="spellEnd"/>
      <w:r w:rsidR="00C97DE1" w:rsidRPr="000A7851">
        <w:rPr>
          <w:rFonts w:ascii="Book Antiqua" w:hAnsi="Book Antiqua" w:cs="Times New Roman"/>
          <w:sz w:val="24"/>
          <w:szCs w:val="24"/>
          <w:lang w:val="en-US"/>
        </w:rPr>
        <w:t xml:space="preserve"> cytoplasmic antibody</w:t>
      </w:r>
      <w:r w:rsidR="002A3420"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associated </w:t>
      </w:r>
      <w:proofErr w:type="spellStart"/>
      <w:r w:rsidR="00C97DE1" w:rsidRPr="000A7851">
        <w:rPr>
          <w:rFonts w:ascii="Book Antiqua" w:hAnsi="Book Antiqua" w:cs="Times New Roman"/>
          <w:sz w:val="24"/>
          <w:szCs w:val="24"/>
          <w:lang w:val="en-US"/>
        </w:rPr>
        <w:t>vasculitis</w:t>
      </w:r>
      <w:proofErr w:type="spellEnd"/>
      <w:r w:rsidR="009B2E6A" w:rsidRPr="000A7851">
        <w:rPr>
          <w:rFonts w:ascii="Book Antiqua" w:hAnsi="Book Antiqua" w:cs="Times New Roman"/>
          <w:sz w:val="24"/>
          <w:szCs w:val="24"/>
          <w:lang w:val="en-US"/>
        </w:rPr>
        <w:t>.</w:t>
      </w:r>
      <w:proofErr w:type="gramEnd"/>
      <w:r w:rsidR="009B2E6A" w:rsidRPr="000A7851">
        <w:rPr>
          <w:rFonts w:ascii="Book Antiqua" w:hAnsi="Book Antiqua" w:cs="Times New Roman"/>
          <w:sz w:val="24"/>
          <w:szCs w:val="24"/>
          <w:lang w:val="en-US"/>
        </w:rPr>
        <w:t xml:space="preserve"> </w:t>
      </w:r>
      <w:r w:rsidR="009B2E6A" w:rsidRPr="000A7851">
        <w:rPr>
          <w:rFonts w:ascii="Book Antiqua" w:hAnsi="Book Antiqua"/>
          <w:i/>
          <w:sz w:val="24"/>
          <w:szCs w:val="24"/>
          <w:lang w:val="en-US"/>
        </w:rPr>
        <w:t xml:space="preserve">World J </w:t>
      </w:r>
      <w:proofErr w:type="spellStart"/>
      <w:r w:rsidR="009B2E6A" w:rsidRPr="000A7851">
        <w:rPr>
          <w:rFonts w:ascii="Book Antiqua" w:hAnsi="Book Antiqua"/>
          <w:i/>
          <w:sz w:val="24"/>
          <w:szCs w:val="24"/>
          <w:lang w:val="en-US"/>
        </w:rPr>
        <w:t>Nephrol</w:t>
      </w:r>
      <w:proofErr w:type="spellEnd"/>
      <w:r w:rsidR="009B2E6A" w:rsidRPr="000A7851">
        <w:rPr>
          <w:rFonts w:ascii="Book Antiqua" w:hAnsi="Book Antiqua"/>
          <w:i/>
          <w:sz w:val="24"/>
          <w:szCs w:val="24"/>
          <w:lang w:val="en-US"/>
        </w:rPr>
        <w:t xml:space="preserve"> </w:t>
      </w:r>
      <w:r w:rsidR="009B2E6A" w:rsidRPr="000A7851">
        <w:rPr>
          <w:rFonts w:ascii="Book Antiqua" w:hAnsi="Book Antiqua"/>
          <w:sz w:val="24"/>
          <w:szCs w:val="24"/>
          <w:lang w:val="en-US"/>
        </w:rPr>
        <w:t>2019</w:t>
      </w:r>
      <w:bookmarkEnd w:id="206"/>
      <w:r>
        <w:rPr>
          <w:rFonts w:ascii="Book Antiqua" w:hAnsi="Book Antiqua" w:cs="Times New Roman" w:hint="eastAsia"/>
          <w:sz w:val="24"/>
          <w:szCs w:val="24"/>
        </w:rPr>
        <w:t xml:space="preserve">; </w:t>
      </w:r>
      <w:r>
        <w:rPr>
          <w:rFonts w:ascii="Book Antiqua" w:hAnsi="Book Antiqua" w:hint="eastAsia"/>
          <w:iCs/>
          <w:sz w:val="24"/>
          <w:szCs w:val="24"/>
        </w:rPr>
        <w:t>8</w:t>
      </w:r>
      <w:r w:rsidRPr="00055083">
        <w:rPr>
          <w:rFonts w:ascii="Book Antiqua" w:hAnsi="Book Antiqua"/>
          <w:iCs/>
          <w:sz w:val="24"/>
          <w:szCs w:val="24"/>
        </w:rPr>
        <w:t>(</w:t>
      </w:r>
      <w:r>
        <w:rPr>
          <w:rFonts w:ascii="Book Antiqua" w:hAnsi="Book Antiqua" w:hint="eastAsia"/>
          <w:iCs/>
          <w:sz w:val="24"/>
          <w:szCs w:val="24"/>
          <w:lang w:eastAsia="zh-CN"/>
        </w:rPr>
        <w:t>4</w:t>
      </w:r>
      <w:r w:rsidRPr="00055083">
        <w:rPr>
          <w:rFonts w:ascii="Book Antiqua" w:hAnsi="Book Antiqua"/>
          <w:iCs/>
          <w:sz w:val="24"/>
          <w:szCs w:val="24"/>
        </w:rPr>
        <w:t xml:space="preserve">): </w:t>
      </w:r>
      <w:r>
        <w:rPr>
          <w:rFonts w:ascii="Book Antiqua" w:hAnsi="Book Antiqua" w:hint="eastAsia"/>
          <w:iCs/>
          <w:sz w:val="24"/>
          <w:szCs w:val="24"/>
          <w:lang w:eastAsia="zh-CN"/>
        </w:rPr>
        <w:t>75-82</w:t>
      </w:r>
    </w:p>
    <w:p w:rsidR="00855DF5" w:rsidRDefault="009F4E17" w:rsidP="005F021A">
      <w:pPr>
        <w:adjustRightInd w:val="0"/>
        <w:snapToGrid w:val="0"/>
        <w:spacing w:after="0" w:line="360" w:lineRule="auto"/>
        <w:jc w:val="both"/>
        <w:rPr>
          <w:rFonts w:ascii="Book Antiqua" w:hAnsi="Book Antiqua"/>
          <w:sz w:val="24"/>
          <w:szCs w:val="24"/>
          <w:lang w:eastAsia="zh-CN"/>
        </w:rPr>
      </w:pPr>
      <w:r w:rsidRPr="00906DD2">
        <w:rPr>
          <w:rFonts w:ascii="Book Antiqua" w:hAnsi="Book Antiqua"/>
          <w:sz w:val="24"/>
          <w:szCs w:val="24"/>
        </w:rPr>
        <w:lastRenderedPageBreak/>
        <w:t>URL: https://www.wjgnet.com/</w:t>
      </w:r>
      <w:r w:rsidRPr="00D737FD">
        <w:rPr>
          <w:rFonts w:ascii="Book Antiqua" w:hAnsi="Book Antiqua"/>
          <w:sz w:val="24"/>
          <w:szCs w:val="24"/>
        </w:rPr>
        <w:t>2220-6124</w:t>
      </w:r>
      <w:r w:rsidRPr="00906DD2">
        <w:rPr>
          <w:rFonts w:ascii="Book Antiqua" w:hAnsi="Book Antiqua"/>
          <w:sz w:val="24"/>
          <w:szCs w:val="24"/>
        </w:rPr>
        <w:t>/full/v</w:t>
      </w:r>
      <w:r>
        <w:rPr>
          <w:rFonts w:ascii="Book Antiqua" w:hAnsi="Book Antiqua" w:hint="eastAsia"/>
          <w:sz w:val="24"/>
          <w:szCs w:val="24"/>
        </w:rPr>
        <w:t>8</w:t>
      </w:r>
      <w:r w:rsidRPr="00906DD2">
        <w:rPr>
          <w:rFonts w:ascii="Book Antiqua" w:hAnsi="Book Antiqua"/>
          <w:sz w:val="24"/>
          <w:szCs w:val="24"/>
        </w:rPr>
        <w:t>/i</w:t>
      </w:r>
      <w:r>
        <w:rPr>
          <w:rFonts w:ascii="Book Antiqua" w:hAnsi="Book Antiqua" w:hint="eastAsia"/>
          <w:sz w:val="24"/>
          <w:szCs w:val="24"/>
        </w:rPr>
        <w:t>4</w:t>
      </w:r>
      <w:r w:rsidRPr="00906DD2">
        <w:rPr>
          <w:rFonts w:ascii="Book Antiqua" w:hAnsi="Book Antiqua"/>
          <w:sz w:val="24"/>
          <w:szCs w:val="24"/>
        </w:rPr>
        <w:t>/</w:t>
      </w:r>
      <w:r>
        <w:rPr>
          <w:rFonts w:ascii="Book Antiqua" w:hAnsi="Book Antiqua" w:hint="eastAsia"/>
          <w:sz w:val="24"/>
          <w:szCs w:val="24"/>
          <w:lang w:eastAsia="zh-CN"/>
        </w:rPr>
        <w:t>75</w:t>
      </w:r>
      <w:r w:rsidRPr="00906DD2">
        <w:rPr>
          <w:rFonts w:ascii="Book Antiqua" w:hAnsi="Book Antiqua"/>
          <w:sz w:val="24"/>
          <w:szCs w:val="24"/>
        </w:rPr>
        <w:t xml:space="preserve">.htm  </w:t>
      </w:r>
    </w:p>
    <w:p w:rsidR="009F4E17" w:rsidRPr="000A7851" w:rsidRDefault="009F4E17" w:rsidP="005F021A">
      <w:pPr>
        <w:adjustRightInd w:val="0"/>
        <w:snapToGrid w:val="0"/>
        <w:spacing w:after="0" w:line="360" w:lineRule="auto"/>
        <w:jc w:val="both"/>
        <w:rPr>
          <w:rFonts w:ascii="Book Antiqua" w:hAnsi="Book Antiqua"/>
          <w:sz w:val="24"/>
          <w:szCs w:val="24"/>
          <w:lang w:val="en-US" w:eastAsia="zh-CN"/>
        </w:rPr>
      </w:pPr>
      <w:r w:rsidRPr="00906DD2">
        <w:rPr>
          <w:rFonts w:ascii="Book Antiqua" w:hAnsi="Book Antiqua"/>
          <w:sz w:val="24"/>
          <w:szCs w:val="24"/>
        </w:rPr>
        <w:t>DOI: https://dx.doi.org/</w:t>
      </w:r>
      <w:r w:rsidRPr="004D5757">
        <w:rPr>
          <w:rFonts w:ascii="Book Antiqua" w:hAnsi="Book Antiqua"/>
          <w:sz w:val="24"/>
          <w:szCs w:val="24"/>
        </w:rPr>
        <w:t>10.5527</w:t>
      </w:r>
      <w:r w:rsidRPr="00906DD2">
        <w:rPr>
          <w:rFonts w:ascii="Book Antiqua" w:hAnsi="Book Antiqua"/>
          <w:sz w:val="24"/>
          <w:szCs w:val="24"/>
        </w:rPr>
        <w:t>/wj</w:t>
      </w:r>
      <w:r>
        <w:rPr>
          <w:rFonts w:ascii="Book Antiqua" w:hAnsi="Book Antiqua" w:hint="eastAsia"/>
          <w:sz w:val="24"/>
          <w:szCs w:val="24"/>
        </w:rPr>
        <w:t>n</w:t>
      </w:r>
      <w:r w:rsidRPr="00906DD2">
        <w:rPr>
          <w:rFonts w:ascii="Book Antiqua" w:hAnsi="Book Antiqua"/>
          <w:sz w:val="24"/>
          <w:szCs w:val="24"/>
        </w:rPr>
        <w:t>.v</w:t>
      </w:r>
      <w:r>
        <w:rPr>
          <w:rFonts w:ascii="Book Antiqua" w:hAnsi="Book Antiqua" w:hint="eastAsia"/>
          <w:sz w:val="24"/>
          <w:szCs w:val="24"/>
        </w:rPr>
        <w:t>8</w:t>
      </w:r>
      <w:r w:rsidRPr="00906DD2">
        <w:rPr>
          <w:rFonts w:ascii="Book Antiqua" w:hAnsi="Book Antiqua"/>
          <w:sz w:val="24"/>
          <w:szCs w:val="24"/>
        </w:rPr>
        <w:t>.i</w:t>
      </w:r>
      <w:r>
        <w:rPr>
          <w:rFonts w:ascii="Book Antiqua" w:hAnsi="Book Antiqua" w:hint="eastAsia"/>
          <w:sz w:val="24"/>
          <w:szCs w:val="24"/>
        </w:rPr>
        <w:t>4</w:t>
      </w:r>
      <w:r w:rsidRPr="00906DD2">
        <w:rPr>
          <w:rFonts w:ascii="Book Antiqua" w:hAnsi="Book Antiqua"/>
          <w:sz w:val="24"/>
          <w:szCs w:val="24"/>
        </w:rPr>
        <w:t>.</w:t>
      </w:r>
      <w:r>
        <w:rPr>
          <w:rFonts w:ascii="Book Antiqua" w:hAnsi="Book Antiqua" w:hint="eastAsia"/>
          <w:sz w:val="24"/>
          <w:szCs w:val="24"/>
          <w:lang w:eastAsia="zh-CN"/>
        </w:rPr>
        <w:t>75</w:t>
      </w:r>
    </w:p>
    <w:p w:rsidR="009B2E6A" w:rsidRPr="000A7851" w:rsidRDefault="009B2E6A" w:rsidP="005F021A">
      <w:pPr>
        <w:snapToGrid w:val="0"/>
        <w:spacing w:after="0" w:line="360" w:lineRule="auto"/>
        <w:jc w:val="both"/>
        <w:rPr>
          <w:rFonts w:ascii="Book Antiqua" w:hAnsi="Book Antiqua" w:cs="Times New Roman"/>
          <w:b/>
          <w:sz w:val="24"/>
          <w:szCs w:val="24"/>
          <w:lang w:val="en-US" w:eastAsia="zh-CN"/>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INTRODUCTION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Mycophenolic acid was initially introduced successfully </w:t>
      </w:r>
      <w:r w:rsidR="005D2C6B" w:rsidRPr="000A7851">
        <w:rPr>
          <w:rFonts w:ascii="Book Antiqua" w:hAnsi="Book Antiqua" w:cs="Times New Roman"/>
          <w:sz w:val="24"/>
          <w:szCs w:val="24"/>
          <w:lang w:val="en-US"/>
        </w:rPr>
        <w:t>as a</w:t>
      </w:r>
      <w:r w:rsidRPr="000A7851">
        <w:rPr>
          <w:rFonts w:ascii="Book Antiqua" w:hAnsi="Book Antiqua" w:cs="Times New Roman"/>
          <w:sz w:val="24"/>
          <w:szCs w:val="24"/>
          <w:lang w:val="en-US"/>
        </w:rPr>
        <w:t xml:space="preserve"> therapeutic</w:t>
      </w:r>
      <w:r w:rsidR="005D2C6B" w:rsidRPr="000A7851">
        <w:rPr>
          <w:rFonts w:ascii="Book Antiqua" w:hAnsi="Book Antiqua" w:cs="Times New Roman"/>
          <w:sz w:val="24"/>
          <w:szCs w:val="24"/>
          <w:lang w:val="en-US"/>
        </w:rPr>
        <w:t xml:space="preserve"> agent</w:t>
      </w:r>
      <w:r w:rsidRPr="000A7851">
        <w:rPr>
          <w:rFonts w:ascii="Book Antiqua" w:hAnsi="Book Antiqua" w:cs="Times New Roman"/>
          <w:sz w:val="24"/>
          <w:szCs w:val="24"/>
          <w:lang w:val="en-US"/>
        </w:rPr>
        <w:t xml:space="preserve"> of solid organ transplantation</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reducing the incidence of acute rejection in renal transplant </w:t>
      </w:r>
      <w:proofErr w:type="gramStart"/>
      <w:r w:rsidRPr="000A7851">
        <w:rPr>
          <w:rFonts w:ascii="Book Antiqua" w:hAnsi="Book Antiqua" w:cs="Times New Roman"/>
          <w:sz w:val="24"/>
          <w:szCs w:val="24"/>
          <w:lang w:val="en-US"/>
        </w:rPr>
        <w:t>recipients</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encouraging efficacy of mycophenolate prompted the assessment of its potency in the treatment of </w:t>
      </w:r>
      <w:proofErr w:type="spellStart"/>
      <w:r w:rsidRPr="000A7851">
        <w:rPr>
          <w:rFonts w:ascii="Book Antiqua" w:hAnsi="Book Antiqua" w:cs="Times New Roman"/>
          <w:sz w:val="24"/>
          <w:szCs w:val="24"/>
          <w:lang w:val="en-US"/>
        </w:rPr>
        <w:t>antineutrophil</w:t>
      </w:r>
      <w:proofErr w:type="spellEnd"/>
      <w:r w:rsidRPr="000A7851">
        <w:rPr>
          <w:rFonts w:ascii="Book Antiqua" w:hAnsi="Book Antiqua" w:cs="Times New Roman"/>
          <w:sz w:val="24"/>
          <w:szCs w:val="24"/>
          <w:lang w:val="en-US"/>
        </w:rPr>
        <w:t xml:space="preserve"> cytoplasmic antibody (ANCA) </w:t>
      </w:r>
      <w:bookmarkStart w:id="207" w:name="OLE_LINK27"/>
      <w:bookmarkStart w:id="208" w:name="OLE_LINK28"/>
      <w:r w:rsidRPr="000A7851">
        <w:rPr>
          <w:rFonts w:ascii="Book Antiqua" w:hAnsi="Book Antiqua" w:cs="Times New Roman"/>
          <w:sz w:val="24"/>
          <w:szCs w:val="24"/>
          <w:lang w:val="en-US"/>
        </w:rPr>
        <w:t>associated vasculitis</w:t>
      </w:r>
      <w:bookmarkEnd w:id="207"/>
      <w:bookmarkEnd w:id="208"/>
      <w:r w:rsidR="0038304D" w:rsidRPr="000A7851">
        <w:rPr>
          <w:rFonts w:ascii="Book Antiqua" w:hAnsi="Book Antiqua" w:cs="Times New Roman"/>
          <w:sz w:val="24"/>
          <w:szCs w:val="24"/>
          <w:lang w:val="en-US"/>
        </w:rPr>
        <w:t xml:space="preserve"> (AAV)</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both as induction and maintenance therapy. ANCA</w:t>
      </w:r>
      <w:r w:rsidR="0038304D" w:rsidRPr="000A7851">
        <w:rPr>
          <w:rFonts w:ascii="Book Antiqua" w:hAnsi="Book Antiqua" w:cs="Times New Roman"/>
          <w:sz w:val="24"/>
          <w:szCs w:val="24"/>
          <w:lang w:val="en-US"/>
        </w:rPr>
        <w:t>-AAV</w:t>
      </w:r>
      <w:r w:rsidRPr="000A7851">
        <w:rPr>
          <w:rFonts w:ascii="Book Antiqua" w:hAnsi="Book Antiqua" w:cs="Times New Roman"/>
          <w:sz w:val="24"/>
          <w:szCs w:val="24"/>
          <w:lang w:val="en-US"/>
        </w:rPr>
        <w:t xml:space="preserve"> include</w:t>
      </w:r>
      <w:r w:rsidR="001202E2" w:rsidRPr="000A7851">
        <w:rPr>
          <w:rFonts w:ascii="Book Antiqua" w:hAnsi="Book Antiqua" w:cs="Times New Roman"/>
          <w:sz w:val="24"/>
          <w:szCs w:val="24"/>
          <w:lang w:val="en-US"/>
        </w:rPr>
        <w:t>s</w:t>
      </w:r>
      <w:r w:rsidRPr="000A7851">
        <w:rPr>
          <w:rFonts w:ascii="Book Antiqua" w:hAnsi="Book Antiqua" w:cs="Times New Roman"/>
          <w:sz w:val="24"/>
          <w:szCs w:val="24"/>
          <w:lang w:val="en-US"/>
        </w:rPr>
        <w:t xml:space="preserve"> </w:t>
      </w:r>
      <w:proofErr w:type="spellStart"/>
      <w:r w:rsidR="001202E2" w:rsidRPr="000A7851">
        <w:rPr>
          <w:rFonts w:ascii="Book Antiqua" w:hAnsi="Book Antiqua" w:cs="Times New Roman"/>
          <w:sz w:val="24"/>
          <w:szCs w:val="24"/>
          <w:lang w:val="en-US"/>
        </w:rPr>
        <w:t>g</w:t>
      </w:r>
      <w:r w:rsidRPr="000A7851">
        <w:rPr>
          <w:rFonts w:ascii="Book Antiqua" w:hAnsi="Book Antiqua" w:cs="Times New Roman"/>
          <w:sz w:val="24"/>
          <w:szCs w:val="24"/>
          <w:lang w:val="en-US"/>
        </w:rPr>
        <w:t>ranulomatosis</w:t>
      </w:r>
      <w:proofErr w:type="spellEnd"/>
      <w:r w:rsidRPr="000A7851">
        <w:rPr>
          <w:rFonts w:ascii="Book Antiqua" w:hAnsi="Book Antiqua" w:cs="Times New Roman"/>
          <w:sz w:val="24"/>
          <w:szCs w:val="24"/>
          <w:lang w:val="en-US"/>
        </w:rPr>
        <w:t xml:space="preserve"> with </w:t>
      </w:r>
      <w:proofErr w:type="spellStart"/>
      <w:r w:rsidRPr="000A7851">
        <w:rPr>
          <w:rFonts w:ascii="Book Antiqua" w:hAnsi="Book Antiqua" w:cs="Times New Roman"/>
          <w:sz w:val="24"/>
          <w:szCs w:val="24"/>
          <w:lang w:val="en-US"/>
        </w:rPr>
        <w:t>polyangiitis</w:t>
      </w:r>
      <w:proofErr w:type="spellEnd"/>
      <w:r w:rsidRPr="000A7851">
        <w:rPr>
          <w:rFonts w:ascii="Book Antiqua" w:hAnsi="Book Antiqua" w:cs="Times New Roman"/>
          <w:sz w:val="24"/>
          <w:szCs w:val="24"/>
          <w:lang w:val="en-US"/>
        </w:rPr>
        <w:t xml:space="preserve"> (GPA) (formerly Wegener’s </w:t>
      </w:r>
      <w:proofErr w:type="spellStart"/>
      <w:r w:rsidRPr="000A7851">
        <w:rPr>
          <w:rFonts w:ascii="Book Antiqua" w:hAnsi="Book Antiqua" w:cs="Times New Roman"/>
          <w:sz w:val="24"/>
          <w:szCs w:val="24"/>
          <w:lang w:val="en-US"/>
        </w:rPr>
        <w:t>granulomatosis</w:t>
      </w:r>
      <w:proofErr w:type="spellEnd"/>
      <w:r w:rsidRPr="000A7851">
        <w:rPr>
          <w:rFonts w:ascii="Book Antiqua" w:hAnsi="Book Antiqua" w:cs="Times New Roman"/>
          <w:sz w:val="24"/>
          <w:szCs w:val="24"/>
          <w:lang w:val="en-US"/>
        </w:rPr>
        <w:t xml:space="preserve">, WG), microscopic </w:t>
      </w:r>
      <w:proofErr w:type="spellStart"/>
      <w:r w:rsidRPr="000A7851">
        <w:rPr>
          <w:rFonts w:ascii="Book Antiqua" w:hAnsi="Book Antiqua" w:cs="Times New Roman"/>
          <w:sz w:val="24"/>
          <w:szCs w:val="24"/>
          <w:lang w:val="en-US"/>
        </w:rPr>
        <w:t>polyangiitis</w:t>
      </w:r>
      <w:proofErr w:type="spellEnd"/>
      <w:r w:rsidRPr="000A7851">
        <w:rPr>
          <w:rFonts w:ascii="Book Antiqua" w:hAnsi="Book Antiqua" w:cs="Times New Roman"/>
          <w:sz w:val="24"/>
          <w:szCs w:val="24"/>
          <w:lang w:val="en-US"/>
        </w:rPr>
        <w:t xml:space="preserve"> (MPA)</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proofErr w:type="spellStart"/>
      <w:r w:rsidRPr="000A7851">
        <w:rPr>
          <w:rFonts w:ascii="Book Antiqua" w:hAnsi="Book Antiqua" w:cs="Times New Roman"/>
          <w:sz w:val="24"/>
          <w:szCs w:val="24"/>
          <w:lang w:val="en-US"/>
        </w:rPr>
        <w:t>eosinophilic</w:t>
      </w:r>
      <w:proofErr w:type="spellEnd"/>
      <w:r w:rsidRPr="000A7851">
        <w:rPr>
          <w:rFonts w:ascii="Book Antiqua" w:hAnsi="Book Antiqua" w:cs="Times New Roman"/>
          <w:sz w:val="24"/>
          <w:szCs w:val="24"/>
          <w:lang w:val="en-US"/>
        </w:rPr>
        <w:t xml:space="preserve"> </w:t>
      </w:r>
      <w:r w:rsidR="0038304D" w:rsidRPr="000A7851">
        <w:rPr>
          <w:rFonts w:ascii="Book Antiqua" w:hAnsi="Book Antiqua" w:cs="Times New Roman"/>
          <w:sz w:val="24"/>
          <w:szCs w:val="24"/>
          <w:lang w:val="en-US"/>
        </w:rPr>
        <w:t>GPA</w:t>
      </w:r>
      <w:r w:rsidRPr="000A7851">
        <w:rPr>
          <w:rFonts w:ascii="Book Antiqua" w:hAnsi="Book Antiqua" w:cs="Times New Roman"/>
          <w:sz w:val="24"/>
          <w:szCs w:val="24"/>
          <w:lang w:val="en-US"/>
        </w:rPr>
        <w:t xml:space="preserve"> (formerly </w:t>
      </w:r>
      <w:proofErr w:type="spellStart"/>
      <w:r w:rsidRPr="000A7851">
        <w:rPr>
          <w:rFonts w:ascii="Book Antiqua" w:hAnsi="Book Antiqua" w:cs="Times New Roman"/>
          <w:sz w:val="24"/>
          <w:szCs w:val="24"/>
          <w:lang w:val="en-US"/>
        </w:rPr>
        <w:t>Churg</w:t>
      </w:r>
      <w:proofErr w:type="spellEnd"/>
      <w:r w:rsidRPr="000A7851">
        <w:rPr>
          <w:rFonts w:ascii="Book Antiqua" w:hAnsi="Book Antiqua" w:cs="Times New Roman"/>
          <w:sz w:val="24"/>
          <w:szCs w:val="24"/>
          <w:lang w:val="en-US"/>
        </w:rPr>
        <w:t xml:space="preserve">-Strauss syndrome, CSS). AAV </w:t>
      </w:r>
      <w:r w:rsidR="001202E2" w:rsidRPr="000A7851">
        <w:rPr>
          <w:rFonts w:ascii="Book Antiqua" w:hAnsi="Book Antiqua" w:cs="Times New Roman"/>
          <w:sz w:val="24"/>
          <w:szCs w:val="24"/>
          <w:lang w:val="en-US"/>
        </w:rPr>
        <w:t xml:space="preserve">has </w:t>
      </w:r>
      <w:r w:rsidRPr="000A7851">
        <w:rPr>
          <w:rFonts w:ascii="Book Antiqua" w:hAnsi="Book Antiqua" w:cs="Times New Roman"/>
          <w:sz w:val="24"/>
          <w:szCs w:val="24"/>
          <w:lang w:val="en-US"/>
        </w:rPr>
        <w:t>a variable course of disease activity with phases of remission and relapse requiring therapeutic regimens initially for induction of remission and subsequently for maintenance of remission. Historically</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standard induction treatment plan included high doses of corticosteroids and cyclophosphamide</w:t>
      </w:r>
      <w:r w:rsidR="00DB31D1" w:rsidRPr="000A7851">
        <w:rPr>
          <w:rFonts w:ascii="Book Antiqua" w:hAnsi="Book Antiqua" w:cs="Times New Roman"/>
          <w:sz w:val="24"/>
          <w:szCs w:val="24"/>
          <w:lang w:val="en-US"/>
        </w:rPr>
        <w:t xml:space="preserve"> (CYC)</w:t>
      </w:r>
      <w:r w:rsidR="001202E2" w:rsidRPr="000A7851">
        <w:rPr>
          <w:rFonts w:ascii="Book Antiqua" w:hAnsi="Book Antiqua" w:cs="Times New Roman"/>
          <w:sz w:val="24"/>
          <w:szCs w:val="24"/>
          <w:lang w:val="en-US"/>
        </w:rPr>
        <w:t xml:space="preserve"> that</w:t>
      </w:r>
      <w:r w:rsidRPr="000A7851">
        <w:rPr>
          <w:rFonts w:ascii="Book Antiqua" w:hAnsi="Book Antiqua" w:cs="Times New Roman"/>
          <w:sz w:val="24"/>
          <w:szCs w:val="24"/>
          <w:lang w:val="en-US"/>
        </w:rPr>
        <w:t xml:space="preserve"> resulted in complete remission rates around 70% with increased percentage of relapse after lowering or discontinuing </w:t>
      </w:r>
      <w:proofErr w:type="gramStart"/>
      <w:r w:rsidRPr="000A7851">
        <w:rPr>
          <w:rFonts w:ascii="Book Antiqua" w:hAnsi="Book Antiqua" w:cs="Times New Roman"/>
          <w:sz w:val="24"/>
          <w:szCs w:val="24"/>
          <w:lang w:val="en-US"/>
        </w:rPr>
        <w:t>immunosuppression</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2]</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Azathioprine was usually employed as maintenance of remission agent. </w:t>
      </w:r>
      <w:r w:rsidR="00C97DE1" w:rsidRPr="000A7851">
        <w:rPr>
          <w:rFonts w:ascii="Book Antiqua" w:hAnsi="Book Antiqua" w:cs="Times New Roman"/>
          <w:sz w:val="24"/>
          <w:szCs w:val="24"/>
          <w:lang w:val="en-US"/>
        </w:rPr>
        <w:t>However,</w:t>
      </w:r>
      <w:r w:rsidRPr="000A7851">
        <w:rPr>
          <w:rFonts w:ascii="Book Antiqua" w:hAnsi="Book Antiqua" w:cs="Times New Roman"/>
          <w:sz w:val="24"/>
          <w:szCs w:val="24"/>
          <w:lang w:val="en-US"/>
        </w:rPr>
        <w:t xml:space="preserve"> despite their efficacy</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both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azathioprine were accompanied with significant side effects regarding infection and malignancies </w:t>
      </w:r>
      <w:r w:rsidR="001202E2"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imposed a hindrance in long term or repeated therapies that are frequently necessary in AAV. </w:t>
      </w:r>
      <w:r w:rsidR="00C97DE1"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other agents less toxic but with similar efficacy were explored</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such as </w:t>
      </w:r>
      <w:proofErr w:type="spellStart"/>
      <w:r w:rsidRPr="000A7851">
        <w:rPr>
          <w:rFonts w:ascii="Book Antiqua" w:hAnsi="Book Antiqua" w:cs="Times New Roman"/>
          <w:sz w:val="24"/>
          <w:szCs w:val="24"/>
          <w:lang w:val="en-US"/>
        </w:rPr>
        <w:t>mycophenolate</w:t>
      </w:r>
      <w:proofErr w:type="spellEnd"/>
      <w:r w:rsidRPr="000A7851">
        <w:rPr>
          <w:rFonts w:ascii="Book Antiqua" w:hAnsi="Book Antiqua" w:cs="Times New Roman"/>
          <w:sz w:val="24"/>
          <w:szCs w:val="24"/>
          <w:lang w:val="en-US"/>
        </w:rPr>
        <w:t xml:space="preserve"> acid, rituximab, </w:t>
      </w:r>
      <w:proofErr w:type="spellStart"/>
      <w:r w:rsidRPr="000A7851">
        <w:rPr>
          <w:rFonts w:ascii="Book Antiqua" w:hAnsi="Book Antiqua" w:cs="Times New Roman"/>
          <w:sz w:val="24"/>
          <w:szCs w:val="24"/>
          <w:lang w:val="en-US"/>
        </w:rPr>
        <w:t>deoxyspergualin</w:t>
      </w:r>
      <w:proofErr w:type="spellEnd"/>
      <w:r w:rsidRPr="000A7851">
        <w:rPr>
          <w:rFonts w:ascii="Book Antiqua" w:hAnsi="Book Antiqua" w:cs="Times New Roman"/>
          <w:sz w:val="24"/>
          <w:szCs w:val="24"/>
          <w:lang w:val="en-US"/>
        </w:rPr>
        <w:t>, infliximab</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or </w:t>
      </w:r>
      <w:proofErr w:type="spellStart"/>
      <w:r w:rsidRPr="000A7851">
        <w:rPr>
          <w:rFonts w:ascii="Book Antiqua" w:hAnsi="Book Antiqua" w:cs="Times New Roman"/>
          <w:sz w:val="24"/>
          <w:szCs w:val="24"/>
          <w:lang w:val="en-US"/>
        </w:rPr>
        <w:t>etanercept</w:t>
      </w:r>
      <w:proofErr w:type="spellEnd"/>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For the purposes of this review, we searched published clinical studies of mycophenolate in AAV and more specifically GPA and MPA as induction agent and maintenance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MYCOPHENOLIC ACID MECHANISM OF ACTION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Mycophenolic acid is the active metabolite for mycophenolate mofetil and mycophenolic sodium. It is a strong, non</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competitive, reversible inhibitor of inosine </w:t>
      </w:r>
      <w:r w:rsidRPr="000A7851">
        <w:rPr>
          <w:rFonts w:ascii="Book Antiqua" w:hAnsi="Book Antiqua" w:cs="Times New Roman"/>
          <w:sz w:val="24"/>
          <w:szCs w:val="24"/>
          <w:lang w:val="en-US"/>
        </w:rPr>
        <w:lastRenderedPageBreak/>
        <w:t xml:space="preserve">monophosphate dehydrogenase, the key enzyme in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synthesis of guanosine nucleotides leading to selective inhibition of lymphocyte </w:t>
      </w:r>
      <w:proofErr w:type="gramStart"/>
      <w:r w:rsidRPr="000A7851">
        <w:rPr>
          <w:rFonts w:ascii="Book Antiqua" w:hAnsi="Book Antiqua" w:cs="Times New Roman"/>
          <w:sz w:val="24"/>
          <w:szCs w:val="24"/>
          <w:lang w:val="en-US"/>
        </w:rPr>
        <w:t>proliferation</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3]</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Purine synthesis could be also achieved </w:t>
      </w:r>
      <w:r w:rsidR="00F0568C" w:rsidRPr="00F0568C">
        <w:rPr>
          <w:rFonts w:ascii="Book Antiqua" w:hAnsi="Book Antiqua" w:cs="Times New Roman"/>
          <w:i/>
          <w:sz w:val="24"/>
          <w:szCs w:val="24"/>
          <w:lang w:val="en-US"/>
        </w:rPr>
        <w:t>via</w:t>
      </w:r>
      <w:r w:rsidRPr="000A7851">
        <w:rPr>
          <w:rFonts w:ascii="Book Antiqua" w:hAnsi="Book Antiqua" w:cs="Times New Roman"/>
          <w:sz w:val="24"/>
          <w:szCs w:val="24"/>
          <w:lang w:val="en-US"/>
        </w:rPr>
        <w:t xml:space="preserve"> the salvage pathway in the majority of eukaryotic cells but not in lymphocytes that are more dependent on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pathway than on the salvage pathway. </w:t>
      </w:r>
      <w:r w:rsidR="00C97DE1"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the administration of mycophenolic inhibits DNA synthesis in the S phase of cell cycle and subsequently lymphocyte proliferation.</w:t>
      </w:r>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Experimental models have confirmed that mycophenolic</w:t>
      </w:r>
      <w:r w:rsidR="00173114" w:rsidRPr="000A7851">
        <w:rPr>
          <w:rFonts w:ascii="Book Antiqua" w:hAnsi="Book Antiqua" w:cs="Times New Roman"/>
          <w:sz w:val="24"/>
          <w:szCs w:val="24"/>
          <w:lang w:val="en-US"/>
        </w:rPr>
        <w:t xml:space="preserve"> acid</w:t>
      </w:r>
      <w:r w:rsidRPr="000A7851">
        <w:rPr>
          <w:rFonts w:ascii="Book Antiqua" w:hAnsi="Book Antiqua" w:cs="Times New Roman"/>
          <w:sz w:val="24"/>
          <w:szCs w:val="24"/>
          <w:lang w:val="en-US"/>
        </w:rPr>
        <w:t xml:space="preserve"> reduces the production of lymphocyte-derived cytokines such as interferon-gamma and tumor necrosis factor alpha, </w:t>
      </w:r>
      <w:proofErr w:type="spellStart"/>
      <w:r w:rsidRPr="000A7851">
        <w:rPr>
          <w:rFonts w:ascii="Book Antiqua" w:hAnsi="Book Antiqua" w:cs="Times New Roman"/>
          <w:sz w:val="24"/>
          <w:szCs w:val="24"/>
          <w:lang w:val="en-US"/>
        </w:rPr>
        <w:t>proinflammatory</w:t>
      </w:r>
      <w:proofErr w:type="spellEnd"/>
      <w:r w:rsidRPr="000A7851">
        <w:rPr>
          <w:rFonts w:ascii="Book Antiqua" w:hAnsi="Book Antiqua" w:cs="Times New Roman"/>
          <w:sz w:val="24"/>
          <w:szCs w:val="24"/>
          <w:lang w:val="en-US"/>
        </w:rPr>
        <w:t xml:space="preserve"> cytokines produced by monocytes</w:t>
      </w:r>
      <w:r w:rsidR="00173114"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along with inhibition of primary humoral responses.</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Mycophenolate mofetil and mycophenolic sodium are usually orally administered, undergo rapid absorption</w:t>
      </w:r>
      <w:r w:rsidR="00173114"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metabolized to the active metabolite mycophenolic acid. Due to the enterohepatic recirculation, the inactive phenolic glucuronide of mycophenolic acid is converted back to mycophenolic acid. A minor percentage of </w:t>
      </w:r>
      <w:proofErr w:type="spellStart"/>
      <w:r w:rsidRPr="000A7851">
        <w:rPr>
          <w:rFonts w:ascii="Book Antiqua" w:hAnsi="Book Antiqua" w:cs="Times New Roman"/>
          <w:sz w:val="24"/>
          <w:szCs w:val="24"/>
          <w:lang w:val="en-US"/>
        </w:rPr>
        <w:t>acylglucuronide</w:t>
      </w:r>
      <w:proofErr w:type="spellEnd"/>
      <w:r w:rsidRPr="000A7851">
        <w:rPr>
          <w:rFonts w:ascii="Book Antiqua" w:hAnsi="Book Antiqua" w:cs="Times New Roman"/>
          <w:sz w:val="24"/>
          <w:szCs w:val="24"/>
          <w:lang w:val="en-US"/>
        </w:rPr>
        <w:t xml:space="preserve"> of </w:t>
      </w:r>
      <w:proofErr w:type="spellStart"/>
      <w:r w:rsidRPr="000A7851">
        <w:rPr>
          <w:rFonts w:ascii="Book Antiqua" w:hAnsi="Book Antiqua" w:cs="Times New Roman"/>
          <w:sz w:val="24"/>
          <w:szCs w:val="24"/>
          <w:lang w:val="en-US"/>
        </w:rPr>
        <w:t>mycophenolic</w:t>
      </w:r>
      <w:proofErr w:type="spellEnd"/>
      <w:r w:rsidRPr="000A7851">
        <w:rPr>
          <w:rFonts w:ascii="Book Antiqua" w:hAnsi="Book Antiqua" w:cs="Times New Roman"/>
          <w:sz w:val="24"/>
          <w:szCs w:val="24"/>
          <w:lang w:val="en-US"/>
        </w:rPr>
        <w:t xml:space="preserve"> acid is also formed </w:t>
      </w:r>
      <w:r w:rsidR="00F23895"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is an active metabolite and could be responsible for side effects like diarrhea or leucopenia. It should be further noted that monitoring plasma mycophenolic acid levels is not routinely </w:t>
      </w:r>
      <w:proofErr w:type="gramStart"/>
      <w:r w:rsidRPr="000A7851">
        <w:rPr>
          <w:rFonts w:ascii="Book Antiqua" w:hAnsi="Book Antiqua" w:cs="Times New Roman"/>
          <w:sz w:val="24"/>
          <w:szCs w:val="24"/>
          <w:lang w:val="en-US"/>
        </w:rPr>
        <w:t>performed</w:t>
      </w:r>
      <w:r w:rsidRPr="000A7851">
        <w:rPr>
          <w:rFonts w:ascii="Book Antiqua" w:hAnsi="Book Antiqua" w:cs="Times New Roman"/>
          <w:sz w:val="24"/>
          <w:szCs w:val="24"/>
          <w:vertAlign w:val="superscript"/>
          <w:lang w:val="en-US"/>
        </w:rPr>
        <w:t>[</w:t>
      </w:r>
      <w:proofErr w:type="gramEnd"/>
      <w:r w:rsidR="00F22FCA" w:rsidRPr="000A7851">
        <w:rPr>
          <w:rFonts w:ascii="Book Antiqua" w:hAnsi="Book Antiqua" w:cs="Times New Roman"/>
          <w:sz w:val="24"/>
          <w:szCs w:val="24"/>
          <w:vertAlign w:val="superscript"/>
          <w:lang w:val="en-US"/>
        </w:rPr>
        <w:t>4</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Several measurements are required over a period of </w:t>
      </w:r>
      <w:r w:rsidR="00F23895" w:rsidRPr="000A7851">
        <w:rPr>
          <w:rFonts w:ascii="Book Antiqua" w:hAnsi="Book Antiqua" w:cs="Times New Roman"/>
          <w:sz w:val="24"/>
          <w:szCs w:val="24"/>
          <w:lang w:val="en-US"/>
        </w:rPr>
        <w:t xml:space="preserve">12 </w:t>
      </w:r>
      <w:r w:rsidRPr="000A7851">
        <w:rPr>
          <w:rFonts w:ascii="Book Antiqua" w:hAnsi="Book Antiqua" w:cs="Times New Roman"/>
          <w:sz w:val="24"/>
          <w:szCs w:val="24"/>
          <w:lang w:val="en-US"/>
        </w:rPr>
        <w:t>hours in order to calculate the area under the curve</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which is not realistic in every day practice.</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In regard to drug interactions</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is important to mention that antacids and proton pump inhibitors</w:t>
      </w:r>
      <w:r w:rsidR="00F23895" w:rsidRPr="000A7851">
        <w:rPr>
          <w:rFonts w:ascii="Book Antiqua" w:hAnsi="Book Antiqua" w:cs="Times New Roman"/>
          <w:sz w:val="24"/>
          <w:szCs w:val="24"/>
          <w:lang w:val="en-US"/>
        </w:rPr>
        <w:t xml:space="preserve">, which </w:t>
      </w:r>
      <w:r w:rsidRPr="000A7851">
        <w:rPr>
          <w:rFonts w:ascii="Book Antiqua" w:hAnsi="Book Antiqua" w:cs="Times New Roman"/>
          <w:sz w:val="24"/>
          <w:szCs w:val="24"/>
          <w:lang w:val="en-US"/>
        </w:rPr>
        <w:t>are commonly used</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decrease exposure to mycophenolic but without any effect on transplant rejection rates</w:t>
      </w:r>
      <w:r w:rsidR="00F23895" w:rsidRPr="000A7851">
        <w:rPr>
          <w:rFonts w:ascii="Book Antiqua" w:hAnsi="Book Antiqua" w:cs="Times New Roman"/>
          <w:sz w:val="24"/>
          <w:szCs w:val="24"/>
          <w:lang w:val="en-US"/>
        </w:rPr>
        <w:t>. H</w:t>
      </w:r>
      <w:r w:rsidRPr="000A7851">
        <w:rPr>
          <w:rFonts w:ascii="Book Antiqua" w:hAnsi="Book Antiqua" w:cs="Times New Roman"/>
          <w:sz w:val="24"/>
          <w:szCs w:val="24"/>
          <w:lang w:val="en-US"/>
        </w:rPr>
        <w:t>owever</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is suggested that these two drug categories should avoid co-administration with </w:t>
      </w:r>
      <w:proofErr w:type="gramStart"/>
      <w:r w:rsidRPr="000A7851">
        <w:rPr>
          <w:rFonts w:ascii="Book Antiqua" w:hAnsi="Book Antiqua" w:cs="Times New Roman"/>
          <w:sz w:val="24"/>
          <w:szCs w:val="24"/>
          <w:lang w:val="en-US"/>
        </w:rPr>
        <w:t>mycophenolic</w:t>
      </w:r>
      <w:r w:rsidRPr="000A7851">
        <w:rPr>
          <w:rFonts w:ascii="Book Antiqua" w:hAnsi="Book Antiqua" w:cs="Times New Roman"/>
          <w:sz w:val="24"/>
          <w:szCs w:val="24"/>
          <w:vertAlign w:val="superscript"/>
          <w:lang w:val="en-US"/>
        </w:rPr>
        <w:t>[</w:t>
      </w:r>
      <w:proofErr w:type="gramEnd"/>
      <w:r w:rsidR="00F22FCA" w:rsidRPr="000A7851">
        <w:rPr>
          <w:rFonts w:ascii="Book Antiqua" w:hAnsi="Book Antiqua" w:cs="Times New Roman"/>
          <w:sz w:val="24"/>
          <w:szCs w:val="24"/>
          <w:vertAlign w:val="superscript"/>
          <w:lang w:val="en-US"/>
        </w:rPr>
        <w:t>5</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lang w:val="en-US"/>
        </w:rPr>
        <w:t>.</w:t>
      </w:r>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Further significant drug interactions concern </w:t>
      </w:r>
      <w:proofErr w:type="spellStart"/>
      <w:r w:rsidRPr="000A7851">
        <w:rPr>
          <w:rFonts w:ascii="Book Antiqua" w:hAnsi="Book Antiqua" w:cs="Times New Roman"/>
          <w:sz w:val="24"/>
          <w:szCs w:val="24"/>
          <w:lang w:val="en-US"/>
        </w:rPr>
        <w:t>colestyramine</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sevelamer</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ciclosporin</w:t>
      </w:r>
      <w:proofErr w:type="spellEnd"/>
      <w:r w:rsidRPr="000A7851">
        <w:rPr>
          <w:rFonts w:ascii="Book Antiqua" w:hAnsi="Book Antiqua" w:cs="Times New Roman"/>
          <w:sz w:val="24"/>
          <w:szCs w:val="24"/>
          <w:lang w:val="en-US"/>
        </w:rPr>
        <w:t xml:space="preserve"> A</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medicinal products that interfere with the enterohepatic circulation</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for that reason it is suggested to administer </w:t>
      </w:r>
      <w:r w:rsidR="00C97DE1" w:rsidRPr="000A7851">
        <w:rPr>
          <w:rFonts w:ascii="Book Antiqua" w:hAnsi="Book Antiqua" w:cs="Times New Roman"/>
          <w:sz w:val="24"/>
          <w:szCs w:val="24"/>
          <w:lang w:val="en-US"/>
        </w:rPr>
        <w:t>their</w:t>
      </w:r>
      <w:r w:rsidRPr="000A7851">
        <w:rPr>
          <w:rFonts w:ascii="Book Antiqua" w:hAnsi="Book Antiqua" w:cs="Times New Roman"/>
          <w:sz w:val="24"/>
          <w:szCs w:val="24"/>
          <w:lang w:val="en-US"/>
        </w:rPr>
        <w:t xml:space="preserve"> drugs </w:t>
      </w:r>
      <w:r w:rsidR="00F23895" w:rsidRPr="000A7851">
        <w:rPr>
          <w:rFonts w:ascii="Book Antiqua" w:hAnsi="Book Antiqua" w:cs="Times New Roman"/>
          <w:sz w:val="24"/>
          <w:szCs w:val="24"/>
          <w:lang w:val="en-US"/>
        </w:rPr>
        <w:t>at different times</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MYCOPHENOLIC ACID AS INDUCTION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Mycophenolate has been evaluated as induction treatment in patients with relapsing AAV who have been exposed to significantly high doses of CYC or had contraindication to CYC</w:t>
      </w:r>
      <w:r w:rsidR="00153F7A" w:rsidRPr="000A7851">
        <w:rPr>
          <w:rFonts w:ascii="Book Antiqua" w:hAnsi="Book Antiqua" w:cs="Times New Roman"/>
          <w:sz w:val="24"/>
          <w:szCs w:val="24"/>
          <w:lang w:val="en-US"/>
        </w:rPr>
        <w:t xml:space="preserve"> (Table 1)</w:t>
      </w:r>
      <w:r w:rsidRPr="000A7851">
        <w:rPr>
          <w:rFonts w:ascii="Book Antiqua" w:hAnsi="Book Antiqua" w:cs="Times New Roman"/>
          <w:sz w:val="24"/>
          <w:szCs w:val="24"/>
          <w:lang w:val="en-US"/>
        </w:rPr>
        <w:t xml:space="preserve">. Joy </w:t>
      </w:r>
      <w:r w:rsidRPr="000A7851">
        <w:rPr>
          <w:rFonts w:ascii="Book Antiqua" w:hAnsi="Book Antiqua" w:cs="Times New Roman"/>
          <w:i/>
          <w:iCs/>
          <w:sz w:val="24"/>
          <w:szCs w:val="24"/>
          <w:lang w:val="en-US"/>
        </w:rPr>
        <w:t xml:space="preserve">et </w:t>
      </w:r>
      <w:proofErr w:type="gramStart"/>
      <w:r w:rsidRPr="000A7851">
        <w:rPr>
          <w:rFonts w:ascii="Book Antiqua" w:hAnsi="Book Antiqua" w:cs="Times New Roman"/>
          <w:i/>
          <w:iCs/>
          <w:sz w:val="24"/>
          <w:szCs w:val="24"/>
          <w:lang w:val="en-US"/>
        </w:rPr>
        <w:t>al</w:t>
      </w:r>
      <w:r w:rsidR="00C97DE1" w:rsidRPr="000A7851">
        <w:rPr>
          <w:rFonts w:ascii="Book Antiqua" w:hAnsi="Book Antiqua" w:cs="Times New Roman"/>
          <w:sz w:val="24"/>
          <w:szCs w:val="24"/>
          <w:vertAlign w:val="superscript"/>
          <w:lang w:val="en-US"/>
        </w:rPr>
        <w:t>[</w:t>
      </w:r>
      <w:proofErr w:type="gramEnd"/>
      <w:r w:rsidR="00C97DE1" w:rsidRPr="000A7851">
        <w:rPr>
          <w:rFonts w:ascii="Book Antiqua" w:hAnsi="Book Antiqua" w:cs="Times New Roman"/>
          <w:sz w:val="24"/>
          <w:szCs w:val="24"/>
          <w:vertAlign w:val="superscript"/>
          <w:lang w:val="en-US"/>
        </w:rPr>
        <w:t>6]</w:t>
      </w:r>
      <w:r w:rsidRPr="000A7851">
        <w:rPr>
          <w:rFonts w:ascii="Book Antiqua" w:hAnsi="Book Antiqua" w:cs="Times New Roman"/>
          <w:sz w:val="24"/>
          <w:szCs w:val="24"/>
          <w:lang w:val="en-US"/>
        </w:rPr>
        <w:t xml:space="preserve"> reported their experience in a limited </w:t>
      </w:r>
      <w:r w:rsidRPr="000A7851">
        <w:rPr>
          <w:rFonts w:ascii="Book Antiqua" w:hAnsi="Book Antiqua" w:cs="Times New Roman"/>
          <w:sz w:val="24"/>
          <w:szCs w:val="24"/>
          <w:lang w:val="en-US"/>
        </w:rPr>
        <w:lastRenderedPageBreak/>
        <w:t>number of 12 patients with relapsing or grumbling A</w:t>
      </w:r>
      <w:r w:rsidR="00DB31D1" w:rsidRPr="000A7851">
        <w:rPr>
          <w:rFonts w:ascii="Book Antiqua" w:hAnsi="Book Antiqua" w:cs="Times New Roman"/>
          <w:sz w:val="24"/>
          <w:szCs w:val="24"/>
          <w:lang w:val="en-US"/>
        </w:rPr>
        <w:t>A</w:t>
      </w:r>
      <w:r w:rsidRPr="000A7851">
        <w:rPr>
          <w:rFonts w:ascii="Book Antiqua" w:hAnsi="Book Antiqua" w:cs="Times New Roman"/>
          <w:sz w:val="24"/>
          <w:szCs w:val="24"/>
          <w:lang w:val="en-US"/>
        </w:rPr>
        <w:t>V that required induction therapy</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majority were proteinase 3 ANCA (PR3-ANCA) positive (75%). In a 6-mo induction phase</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60% achieved remission at least for a short period of time with negative Birmingham Vasculitis Activity Score, leading to sustained remission in 30% but also to relapse in 30% while five patients failed to show any signs of positive response.</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Three prospective randomized studies comparing CYC to mycophenolate have been conducted as induction of remission </w:t>
      </w:r>
      <w:proofErr w:type="gramStart"/>
      <w:r w:rsidRPr="000A7851">
        <w:rPr>
          <w:rFonts w:ascii="Book Antiqua" w:hAnsi="Book Antiqua" w:cs="Times New Roman"/>
          <w:sz w:val="24"/>
          <w:szCs w:val="24"/>
          <w:lang w:val="en-US"/>
        </w:rPr>
        <w:t>treatment</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7-9]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Two published clinical trials have been performed in China and </w:t>
      </w:r>
      <w:r w:rsidR="00F23895"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 xml:space="preserve">third was led by the European Vasculitis Study (EUVAS) group. Hu </w:t>
      </w:r>
      <w:r w:rsidRPr="000A7851">
        <w:rPr>
          <w:rFonts w:ascii="Book Antiqua" w:hAnsi="Book Antiqua" w:cs="Times New Roman"/>
          <w:i/>
          <w:iCs/>
          <w:sz w:val="24"/>
          <w:szCs w:val="24"/>
          <w:lang w:val="en-US"/>
        </w:rPr>
        <w:t xml:space="preserve">et </w:t>
      </w:r>
      <w:proofErr w:type="gramStart"/>
      <w:r w:rsidRPr="000A7851">
        <w:rPr>
          <w:rFonts w:ascii="Book Antiqua" w:hAnsi="Book Antiqua" w:cs="Times New Roman"/>
          <w:i/>
          <w:iCs/>
          <w:sz w:val="24"/>
          <w:szCs w:val="24"/>
          <w:lang w:val="en-US"/>
        </w:rPr>
        <w:t>al</w:t>
      </w:r>
      <w:r w:rsidR="00DB31D1" w:rsidRPr="000A7851">
        <w:rPr>
          <w:rFonts w:ascii="Book Antiqua" w:hAnsi="Book Antiqua" w:cs="Times New Roman"/>
          <w:sz w:val="24"/>
          <w:szCs w:val="24"/>
          <w:vertAlign w:val="superscript"/>
          <w:lang w:val="en-US"/>
        </w:rPr>
        <w:t>[</w:t>
      </w:r>
      <w:proofErr w:type="gramEnd"/>
      <w:r w:rsidR="00DB31D1" w:rsidRPr="000A7851">
        <w:rPr>
          <w:rFonts w:ascii="Book Antiqua" w:hAnsi="Book Antiqua" w:cs="Times New Roman"/>
          <w:sz w:val="24"/>
          <w:szCs w:val="24"/>
          <w:vertAlign w:val="superscript"/>
          <w:lang w:val="en-US"/>
        </w:rPr>
        <w:t>7]</w:t>
      </w:r>
      <w:r w:rsidRPr="000A7851">
        <w:rPr>
          <w:rFonts w:ascii="Book Antiqua" w:hAnsi="Book Antiqua" w:cs="Times New Roman"/>
          <w:sz w:val="24"/>
          <w:szCs w:val="24"/>
          <w:lang w:val="en-US"/>
        </w:rPr>
        <w:t xml:space="preserve"> examined the efficacy of mycophenolate </w:t>
      </w:r>
      <w:r w:rsidR="00F0568C" w:rsidRPr="00F0568C">
        <w:rPr>
          <w:rFonts w:ascii="Book Antiqua" w:hAnsi="Book Antiqua" w:cs="Times New Roman"/>
          <w:i/>
          <w:iCs/>
          <w:sz w:val="24"/>
          <w:szCs w:val="24"/>
          <w:lang w:val="en-US"/>
        </w:rPr>
        <w:t>versus</w:t>
      </w:r>
      <w:r w:rsidRPr="000A7851">
        <w:rPr>
          <w:rFonts w:ascii="Book Antiqua" w:hAnsi="Book Antiqua" w:cs="Times New Roman"/>
          <w:sz w:val="24"/>
          <w:szCs w:val="24"/>
          <w:lang w:val="en-US"/>
        </w:rPr>
        <w:t xml:space="preserve"> CYC as 6-mo induction therapy in 34 patients diagnosed with MPA and </w:t>
      </w:r>
      <w:r w:rsidR="00F23895"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with GPA. After excluding subjects lost during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up, the mycophenolate group showed superior remission rates than the CYC group. More specifically 77.8% (14/17) of </w:t>
      </w:r>
      <w:r w:rsidR="00F23895" w:rsidRPr="000A7851">
        <w:rPr>
          <w:rFonts w:ascii="Book Antiqua" w:hAnsi="Book Antiqua" w:cs="Times New Roman"/>
          <w:sz w:val="24"/>
          <w:szCs w:val="24"/>
          <w:lang w:val="en-US"/>
        </w:rPr>
        <w:t xml:space="preserve">the </w:t>
      </w:r>
      <w:r w:rsidRPr="000A7851">
        <w:rPr>
          <w:rFonts w:ascii="Book Antiqua" w:hAnsi="Book Antiqua" w:cs="Times New Roman"/>
          <w:sz w:val="24"/>
          <w:szCs w:val="24"/>
          <w:lang w:val="en-US"/>
        </w:rPr>
        <w:t xml:space="preserve">mycophenolate group and 61.5% (8/13) of the CYC group achieved remission. The other Chinese trial randomized 41 patients, all tested myeloperoxidase ANCA (MPO-ANCA) positive, with active disease to receive CYC or </w:t>
      </w:r>
      <w:proofErr w:type="gramStart"/>
      <w:r w:rsidRPr="000A7851">
        <w:rPr>
          <w:rFonts w:ascii="Book Antiqua" w:hAnsi="Book Antiqua" w:cs="Times New Roman"/>
          <w:sz w:val="24"/>
          <w:szCs w:val="24"/>
          <w:lang w:val="en-US"/>
        </w:rPr>
        <w:t>mycophenolate</w:t>
      </w:r>
      <w:r w:rsidR="00C97DE1" w:rsidRPr="000A7851">
        <w:rPr>
          <w:rFonts w:ascii="Book Antiqua" w:hAnsi="Book Antiqua" w:cs="Times New Roman"/>
          <w:sz w:val="24"/>
          <w:szCs w:val="24"/>
          <w:vertAlign w:val="superscript"/>
          <w:lang w:val="en-US"/>
        </w:rPr>
        <w:t>[</w:t>
      </w:r>
      <w:proofErr w:type="gramEnd"/>
      <w:r w:rsidR="00C97DE1" w:rsidRPr="000A7851">
        <w:rPr>
          <w:rFonts w:ascii="Book Antiqua" w:hAnsi="Book Antiqua" w:cs="Times New Roman"/>
          <w:sz w:val="24"/>
          <w:szCs w:val="24"/>
          <w:vertAlign w:val="superscript"/>
          <w:lang w:val="en-US"/>
        </w:rPr>
        <w:t>8]</w:t>
      </w:r>
      <w:r w:rsidRPr="000A7851">
        <w:rPr>
          <w:rFonts w:ascii="Book Antiqua" w:hAnsi="Book Antiqua" w:cs="Times New Roman"/>
          <w:sz w:val="24"/>
          <w:szCs w:val="24"/>
          <w:lang w:val="en-US"/>
        </w:rPr>
        <w:t>. Remission rates were higher though not statistically significant in</w:t>
      </w:r>
      <w:r w:rsidR="00F23895" w:rsidRPr="000A7851">
        <w:rPr>
          <w:rFonts w:ascii="Book Antiqua" w:hAnsi="Book Antiqua" w:cs="Times New Roman"/>
          <w:sz w:val="24"/>
          <w:szCs w:val="24"/>
          <w:lang w:val="en-US"/>
        </w:rPr>
        <w:t xml:space="preserve"> the</w:t>
      </w:r>
      <w:r w:rsidRPr="000A7851">
        <w:rPr>
          <w:rFonts w:ascii="Book Antiqua" w:hAnsi="Book Antiqua" w:cs="Times New Roman"/>
          <w:sz w:val="24"/>
          <w:szCs w:val="24"/>
          <w:lang w:val="en-US"/>
        </w:rPr>
        <w:t xml:space="preserve"> mycophenolate group (78.9%) than in CYC group (63.5%). A limitation of both studies is the short period of 6 mo follow-up</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so no data regarding relapse rates are included in the published results.</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The EUVAS group designed an international randomized study in 140 patients with newly</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diagnosed AAV to be treated with mycophenolate or CYC as induction of </w:t>
      </w:r>
      <w:proofErr w:type="gramStart"/>
      <w:r w:rsidRPr="000A7851">
        <w:rPr>
          <w:rFonts w:ascii="Book Antiqua" w:hAnsi="Book Antiqua" w:cs="Times New Roman"/>
          <w:sz w:val="24"/>
          <w:szCs w:val="24"/>
          <w:lang w:val="en-US"/>
        </w:rPr>
        <w:t>remission</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This clinical trial concluded that remission was induced in 67% (47/70) mycophenolate </w:t>
      </w:r>
      <w:r w:rsidRPr="000A7851">
        <w:rPr>
          <w:rFonts w:ascii="Book Antiqua" w:hAnsi="Book Antiqua" w:cs="Times New Roman"/>
          <w:i/>
          <w:iCs/>
          <w:sz w:val="24"/>
          <w:szCs w:val="24"/>
          <w:lang w:val="en-US"/>
        </w:rPr>
        <w:t>v</w:t>
      </w:r>
      <w:r w:rsidR="00D553DD" w:rsidRPr="000A7851">
        <w:rPr>
          <w:rFonts w:ascii="Book Antiqua" w:hAnsi="Book Antiqua" w:cs="Times New Roman"/>
          <w:i/>
          <w:iCs/>
          <w:sz w:val="24"/>
          <w:szCs w:val="24"/>
          <w:lang w:val="en-US"/>
        </w:rPr>
        <w:t>ersu</w:t>
      </w:r>
      <w:r w:rsidRPr="000A7851">
        <w:rPr>
          <w:rFonts w:ascii="Book Antiqua" w:hAnsi="Book Antiqua" w:cs="Times New Roman"/>
          <w:i/>
          <w:iCs/>
          <w:sz w:val="24"/>
          <w:szCs w:val="24"/>
          <w:lang w:val="en-US"/>
        </w:rPr>
        <w:t>s</w:t>
      </w:r>
      <w:r w:rsidRPr="000A7851">
        <w:rPr>
          <w:rFonts w:ascii="Book Antiqua" w:hAnsi="Book Antiqua" w:cs="Times New Roman"/>
          <w:sz w:val="24"/>
          <w:szCs w:val="24"/>
          <w:lang w:val="en-US"/>
        </w:rPr>
        <w:t xml:space="preserve"> 61% (43/70)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treated subjects. Even though the primary remission induction end-point of non</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inferiority of mycophenolate was achieved, </w:t>
      </w:r>
      <w:r w:rsidR="006E63A8" w:rsidRPr="000A7851">
        <w:rPr>
          <w:rFonts w:ascii="Book Antiqua" w:hAnsi="Book Antiqua" w:cs="Times New Roman"/>
          <w:sz w:val="24"/>
          <w:szCs w:val="24"/>
          <w:lang w:val="en-US"/>
        </w:rPr>
        <w:t xml:space="preserve">the </w:t>
      </w:r>
      <w:r w:rsidRPr="000A7851">
        <w:rPr>
          <w:rFonts w:ascii="Book Antiqua" w:hAnsi="Book Antiqua" w:cs="Times New Roman"/>
          <w:sz w:val="24"/>
          <w:szCs w:val="24"/>
          <w:lang w:val="en-US"/>
        </w:rPr>
        <w:t xml:space="preserve">mycophenolate treated group displayed more relapses (33% </w:t>
      </w:r>
      <w:r w:rsidRPr="000A7851">
        <w:rPr>
          <w:rFonts w:ascii="Book Antiqua" w:hAnsi="Book Antiqua" w:cs="Times New Roman"/>
          <w:i/>
          <w:iCs/>
          <w:sz w:val="24"/>
          <w:szCs w:val="24"/>
          <w:lang w:val="en-US"/>
        </w:rPr>
        <w:t>vs</w:t>
      </w:r>
      <w:r w:rsidRPr="000A7851">
        <w:rPr>
          <w:rFonts w:ascii="Book Antiqua" w:hAnsi="Book Antiqua" w:cs="Times New Roman"/>
          <w:sz w:val="24"/>
          <w:szCs w:val="24"/>
          <w:lang w:val="en-US"/>
        </w:rPr>
        <w:t xml:space="preserve"> 19%) during the follow-up period along with shorter relapse-free survival. Further</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authors comment that in the mycophenolate group, higher relapse rate was accounted in PR3-ANCA patients but not in MPO-ANCA patients.</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MYCOPHENOLIC ACID AS MAINTENANCE TREATMENT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lastRenderedPageBreak/>
        <w:t xml:space="preserve">Mycophenolate was initially administered as </w:t>
      </w:r>
      <w:r w:rsidR="00B43F70"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remission maintenance agent</w:t>
      </w:r>
      <w:r w:rsidR="00153F7A" w:rsidRPr="000A7851">
        <w:rPr>
          <w:rFonts w:ascii="Book Antiqua" w:hAnsi="Book Antiqua" w:cs="Times New Roman"/>
          <w:sz w:val="24"/>
          <w:szCs w:val="24"/>
          <w:lang w:val="en-US"/>
        </w:rPr>
        <w:t xml:space="preserve"> (Table 2)</w:t>
      </w:r>
      <w:r w:rsidRPr="000A7851">
        <w:rPr>
          <w:rFonts w:ascii="Book Antiqua" w:hAnsi="Book Antiqua" w:cs="Times New Roman"/>
          <w:sz w:val="24"/>
          <w:szCs w:val="24"/>
          <w:lang w:val="en-US"/>
        </w:rPr>
        <w:t xml:space="preserve">. The first report was published in 1999 by </w:t>
      </w:r>
      <w:proofErr w:type="spellStart"/>
      <w:r w:rsidRPr="000A7851">
        <w:rPr>
          <w:rFonts w:ascii="Book Antiqua" w:hAnsi="Book Antiqua" w:cs="Times New Roman"/>
          <w:sz w:val="24"/>
          <w:szCs w:val="24"/>
          <w:lang w:val="en-US"/>
        </w:rPr>
        <w:t>Nowack</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et al</w:t>
      </w:r>
      <w:r w:rsidR="00C97DE1" w:rsidRPr="000A7851">
        <w:rPr>
          <w:rFonts w:ascii="Book Antiqua" w:hAnsi="Book Antiqua" w:cs="Times New Roman"/>
          <w:sz w:val="24"/>
          <w:szCs w:val="24"/>
          <w:vertAlign w:val="superscript"/>
          <w:lang w:val="en-US"/>
        </w:rPr>
        <w:t>[10]</w:t>
      </w:r>
      <w:r w:rsidRPr="000A7851">
        <w:rPr>
          <w:rFonts w:ascii="Book Antiqua" w:hAnsi="Book Antiqua" w:cs="Times New Roman"/>
          <w:sz w:val="24"/>
          <w:szCs w:val="24"/>
          <w:lang w:val="en-US"/>
        </w:rPr>
        <w:t xml:space="preserve"> describing the efficacy of mycophenolate in </w:t>
      </w:r>
      <w:r w:rsidR="00B43F70" w:rsidRPr="000A7851">
        <w:rPr>
          <w:rFonts w:ascii="Book Antiqua" w:hAnsi="Book Antiqua" w:cs="Times New Roman"/>
          <w:sz w:val="24"/>
          <w:szCs w:val="24"/>
          <w:lang w:val="en-US"/>
        </w:rPr>
        <w:t xml:space="preserve">nine </w:t>
      </w:r>
      <w:r w:rsidRPr="000A7851">
        <w:rPr>
          <w:rFonts w:ascii="Book Antiqua" w:hAnsi="Book Antiqua" w:cs="Times New Roman"/>
          <w:sz w:val="24"/>
          <w:szCs w:val="24"/>
          <w:lang w:val="en-US"/>
        </w:rPr>
        <w:t xml:space="preserve">patients with </w:t>
      </w:r>
      <w:r w:rsidR="0038304D" w:rsidRPr="000A7851">
        <w:rPr>
          <w:rFonts w:ascii="Book Antiqua" w:hAnsi="Book Antiqua" w:cs="Times New Roman"/>
          <w:sz w:val="24"/>
          <w:szCs w:val="24"/>
          <w:lang w:val="en-US"/>
        </w:rPr>
        <w:t>WG</w:t>
      </w:r>
      <w:r w:rsidRPr="000A7851">
        <w:rPr>
          <w:rFonts w:ascii="Book Antiqua" w:hAnsi="Book Antiqua" w:cs="Times New Roman"/>
          <w:sz w:val="24"/>
          <w:szCs w:val="24"/>
          <w:lang w:val="en-US"/>
        </w:rPr>
        <w:t xml:space="preserve"> and </w:t>
      </w:r>
      <w:r w:rsidR="00B43F70"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 with MPA as maintenance therapy after achieving remission with standard protocol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corticosteroids and plasma exchange</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Remission was maintained with 2 g/d of mycophenolate and low dose of corticosteroids (less than 7.5 mg/d) during the follow-up period of 15 </w:t>
      </w:r>
      <w:proofErr w:type="gramStart"/>
      <w:r w:rsidRPr="000A7851">
        <w:rPr>
          <w:rFonts w:ascii="Book Antiqua" w:hAnsi="Book Antiqua" w:cs="Times New Roman"/>
          <w:sz w:val="24"/>
          <w:szCs w:val="24"/>
          <w:lang w:val="en-US"/>
        </w:rPr>
        <w:t>mo</w:t>
      </w:r>
      <w:proofErr w:type="gramEnd"/>
      <w:r w:rsidRPr="000A7851">
        <w:rPr>
          <w:rFonts w:ascii="Book Antiqua" w:hAnsi="Book Antiqua" w:cs="Times New Roman"/>
          <w:sz w:val="24"/>
          <w:szCs w:val="24"/>
          <w:lang w:val="en-US"/>
        </w:rPr>
        <w:t xml:space="preserve"> with the exception of one relapse at 14 mo. In 2004, another small cohort of 14 WG patients evaluated mycophenolate as remission maintenance agent </w:t>
      </w:r>
      <w:r w:rsidR="00B43F70" w:rsidRPr="000A7851">
        <w:rPr>
          <w:rFonts w:ascii="Book Antiqua" w:hAnsi="Book Antiqua" w:cs="Times New Roman"/>
          <w:sz w:val="24"/>
          <w:szCs w:val="24"/>
          <w:lang w:val="en-US"/>
        </w:rPr>
        <w:t>following initial treatment</w:t>
      </w:r>
      <w:r w:rsidRPr="000A7851">
        <w:rPr>
          <w:rFonts w:ascii="Book Antiqua" w:hAnsi="Book Antiqua" w:cs="Times New Roman"/>
          <w:sz w:val="24"/>
          <w:szCs w:val="24"/>
          <w:lang w:val="en-US"/>
        </w:rPr>
        <w:t xml:space="preserve">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w:t>
      </w:r>
      <w:proofErr w:type="gramStart"/>
      <w:r w:rsidRPr="000A7851">
        <w:rPr>
          <w:rFonts w:ascii="Book Antiqua" w:hAnsi="Book Antiqua" w:cs="Times New Roman"/>
          <w:sz w:val="24"/>
          <w:szCs w:val="24"/>
          <w:lang w:val="en-US"/>
        </w:rPr>
        <w:t>corticosteroids</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11]</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Relapse rate was reported in 43% (6/14 patients) at a median time from remission to relapse of 10 mo (range 1-25 mo).</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study by Koukoulaki and </w:t>
      </w:r>
      <w:proofErr w:type="gramStart"/>
      <w:r w:rsidRPr="000A7851">
        <w:rPr>
          <w:rFonts w:ascii="Book Antiqua" w:hAnsi="Book Antiqua" w:cs="Times New Roman"/>
          <w:sz w:val="24"/>
          <w:szCs w:val="24"/>
          <w:lang w:val="en-US"/>
        </w:rPr>
        <w:t>Jayne</w:t>
      </w:r>
      <w:r w:rsidR="00B43F70" w:rsidRPr="000A7851">
        <w:rPr>
          <w:rFonts w:ascii="Book Antiqua" w:hAnsi="Book Antiqua" w:cs="Times New Roman"/>
          <w:sz w:val="24"/>
          <w:szCs w:val="24"/>
          <w:vertAlign w:val="superscript"/>
          <w:lang w:val="en-US"/>
        </w:rPr>
        <w:t>[</w:t>
      </w:r>
      <w:proofErr w:type="gramEnd"/>
      <w:r w:rsidR="00B43F70" w:rsidRPr="000A7851">
        <w:rPr>
          <w:rFonts w:ascii="Book Antiqua" w:hAnsi="Book Antiqua" w:cs="Times New Roman"/>
          <w:sz w:val="24"/>
          <w:szCs w:val="24"/>
          <w:vertAlign w:val="superscript"/>
          <w:lang w:val="en-US"/>
        </w:rPr>
        <w:t>12]</w:t>
      </w:r>
      <w:r w:rsidRPr="000A7851">
        <w:rPr>
          <w:rFonts w:ascii="Book Antiqua" w:hAnsi="Book Antiqua" w:cs="Times New Roman"/>
          <w:sz w:val="24"/>
          <w:szCs w:val="24"/>
          <w:lang w:val="en-US"/>
        </w:rPr>
        <w:t xml:space="preserve"> in 2005 reviewed retrospectively the efficacy of mycophenolate during the maintenance phase in 29 AAV patients</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 relapse rate of 48.3% (14/29 patients) was reported in a period of 12 mo with mean time to relapse</w:t>
      </w:r>
      <w:r w:rsidR="00B43F7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14.1 ± 13.9 mo.</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proofErr w:type="spellStart"/>
      <w:r w:rsidRPr="000A7851">
        <w:rPr>
          <w:rFonts w:ascii="Book Antiqua" w:hAnsi="Book Antiqua" w:cs="Times New Roman"/>
          <w:sz w:val="24"/>
          <w:szCs w:val="24"/>
          <w:lang w:val="en-US"/>
        </w:rPr>
        <w:t>Iatrou</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 xml:space="preserve">et </w:t>
      </w:r>
      <w:proofErr w:type="gramStart"/>
      <w:r w:rsidRPr="000A7851">
        <w:rPr>
          <w:rFonts w:ascii="Book Antiqua" w:hAnsi="Book Antiqua" w:cs="Times New Roman"/>
          <w:i/>
          <w:iCs/>
          <w:sz w:val="24"/>
          <w:szCs w:val="24"/>
          <w:lang w:val="en-US"/>
        </w:rPr>
        <w:t>al</w:t>
      </w:r>
      <w:r w:rsidR="00C97DE1" w:rsidRPr="000A7851">
        <w:rPr>
          <w:rFonts w:ascii="Book Antiqua" w:hAnsi="Book Antiqua" w:cs="Times New Roman"/>
          <w:sz w:val="24"/>
          <w:szCs w:val="24"/>
          <w:vertAlign w:val="superscript"/>
          <w:lang w:val="en-US"/>
        </w:rPr>
        <w:t>[</w:t>
      </w:r>
      <w:proofErr w:type="gramEnd"/>
      <w:r w:rsidR="00C97DE1" w:rsidRPr="000A7851">
        <w:rPr>
          <w:rFonts w:ascii="Book Antiqua" w:hAnsi="Book Antiqua" w:cs="Times New Roman"/>
          <w:sz w:val="24"/>
          <w:szCs w:val="24"/>
          <w:vertAlign w:val="superscript"/>
          <w:lang w:val="en-US"/>
        </w:rPr>
        <w:t>13]</w:t>
      </w:r>
      <w:r w:rsidRPr="000A7851">
        <w:rPr>
          <w:rFonts w:ascii="Book Antiqua" w:hAnsi="Book Antiqua" w:cs="Times New Roman"/>
          <w:sz w:val="24"/>
          <w:szCs w:val="24"/>
          <w:lang w:val="en-US"/>
        </w:rPr>
        <w:t xml:space="preserve"> reported their experience of mycophenolate as maintenance therapy in 22 newly diagnosed patients with AAV and renal involvement</w:t>
      </w:r>
      <w:r w:rsidR="006E4A62"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The majority of patients were diagnosed with MPA (16 patients) followed by WG (</w:t>
      </w:r>
      <w:r w:rsidR="00B43F70"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patients) along with one patient with renal limited vasculitis and one with CSS with renal vasculitis. Induction protocol consisted of intravenous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corticosteroids </w:t>
      </w:r>
      <w:r w:rsidR="002B0F88"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were withdrawn at the end of the induction phase, followed by remission protocol that consisted of mycophenolate monotherapy for 18 </w:t>
      </w:r>
      <w:proofErr w:type="gramStart"/>
      <w:r w:rsidRPr="000A7851">
        <w:rPr>
          <w:rFonts w:ascii="Book Antiqua" w:hAnsi="Book Antiqua" w:cs="Times New Roman"/>
          <w:sz w:val="24"/>
          <w:szCs w:val="24"/>
          <w:lang w:val="en-US"/>
        </w:rPr>
        <w:t>mo</w:t>
      </w:r>
      <w:proofErr w:type="gramEnd"/>
      <w:r w:rsidRPr="000A7851">
        <w:rPr>
          <w:rFonts w:ascii="Book Antiqua" w:hAnsi="Book Antiqua" w:cs="Times New Roman"/>
          <w:sz w:val="24"/>
          <w:szCs w:val="24"/>
          <w:lang w:val="en-US"/>
        </w:rPr>
        <w:t>. After the 18 mo of maintenance treatment, mycophenolate was only given in case of relapse and the mean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up was 42 </w:t>
      </w:r>
      <w:proofErr w:type="gramStart"/>
      <w:r w:rsidRPr="000A7851">
        <w:rPr>
          <w:rFonts w:ascii="Book Antiqua" w:hAnsi="Book Antiqua" w:cs="Times New Roman"/>
          <w:sz w:val="24"/>
          <w:szCs w:val="24"/>
          <w:lang w:val="en-US"/>
        </w:rPr>
        <w:t>mo</w:t>
      </w:r>
      <w:proofErr w:type="gramEnd"/>
      <w:r w:rsidRPr="000A7851">
        <w:rPr>
          <w:rFonts w:ascii="Book Antiqua" w:hAnsi="Book Antiqua" w:cs="Times New Roman"/>
          <w:sz w:val="24"/>
          <w:szCs w:val="24"/>
          <w:lang w:val="en-US"/>
        </w:rPr>
        <w:t xml:space="preserve"> (range 24-101 mo). However, until the end of the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period 31.58% of the patients had relapsed</w:t>
      </w:r>
      <w:r w:rsidR="002B0F8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15.8% progressed to end stage renal disease. </w:t>
      </w:r>
      <w:proofErr w:type="spellStart"/>
      <w:r w:rsidRPr="000A7851">
        <w:rPr>
          <w:rFonts w:ascii="Book Antiqua" w:hAnsi="Book Antiqua" w:cs="Times New Roman"/>
          <w:sz w:val="24"/>
          <w:szCs w:val="24"/>
          <w:lang w:val="en-US"/>
        </w:rPr>
        <w:t>Τhe</w:t>
      </w:r>
      <w:proofErr w:type="spellEnd"/>
      <w:r w:rsidRPr="000A7851">
        <w:rPr>
          <w:rFonts w:ascii="Book Antiqua" w:hAnsi="Book Antiqua" w:cs="Times New Roman"/>
          <w:sz w:val="24"/>
          <w:szCs w:val="24"/>
          <w:lang w:val="en-US"/>
        </w:rPr>
        <w:t xml:space="preserve"> extension of the study, with the addition of new cases (in total 34 patients) and a median follow-up of 97.5 mo (range 66-128), showed significantly declining efficacy of mycophenolate as a maintenance treatment in patients with AAV during long-term follow-up. During the follow-up period, 13 patients (38.2%) had relapsed (5/13 had more than one relapse: </w:t>
      </w:r>
      <w:r w:rsidR="002E1AD0"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had </w:t>
      </w:r>
      <w:r w:rsidR="002E1AD0"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relapses,</w:t>
      </w:r>
      <w:r w:rsidR="0050392E"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t>
      </w:r>
      <w:r w:rsidR="0050392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relapses</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r w:rsidR="002E1AD0"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t>
      </w:r>
      <w:r w:rsidR="002E1AD0"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relapses)</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at the end of the follow-</w:t>
      </w:r>
      <w:r w:rsidRPr="000A7851">
        <w:rPr>
          <w:rFonts w:ascii="Book Antiqua" w:hAnsi="Book Antiqua" w:cs="Times New Roman"/>
          <w:sz w:val="24"/>
          <w:szCs w:val="24"/>
          <w:lang w:val="en-US"/>
        </w:rPr>
        <w:lastRenderedPageBreak/>
        <w:t>up period 18 patients (53%) were undergoing chronic hemodialysis and 9/34 (26.4%) had died (unpublished data presented in the 19</w:t>
      </w:r>
      <w:r w:rsidRPr="000A7851">
        <w:rPr>
          <w:rFonts w:ascii="Book Antiqua" w:hAnsi="Book Antiqua" w:cs="Times New Roman"/>
          <w:sz w:val="24"/>
          <w:szCs w:val="24"/>
          <w:vertAlign w:val="superscript"/>
          <w:lang w:val="en-US"/>
        </w:rPr>
        <w:t>th</w:t>
      </w:r>
      <w:r w:rsidRPr="000A7851">
        <w:rPr>
          <w:rFonts w:ascii="Book Antiqua" w:hAnsi="Book Antiqua" w:cs="Times New Roman"/>
          <w:sz w:val="24"/>
          <w:szCs w:val="24"/>
          <w:lang w:val="en-US"/>
        </w:rPr>
        <w:t xml:space="preserve"> PanHellenic Congress of Nephrology)</w:t>
      </w:r>
      <w:r w:rsidR="00C97DE1"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The International Mycophenolate Mofetil Protocol to Reduce Outbreaks of </w:t>
      </w:r>
      <w:proofErr w:type="spellStart"/>
      <w:r w:rsidRPr="000A7851">
        <w:rPr>
          <w:rFonts w:ascii="Book Antiqua" w:hAnsi="Book Antiqua" w:cs="Times New Roman"/>
          <w:sz w:val="24"/>
          <w:szCs w:val="24"/>
          <w:lang w:val="en-US"/>
        </w:rPr>
        <w:t>Vasculitides</w:t>
      </w:r>
      <w:proofErr w:type="spellEnd"/>
      <w:r w:rsidRPr="000A7851">
        <w:rPr>
          <w:rFonts w:ascii="Book Antiqua" w:hAnsi="Book Antiqua" w:cs="Times New Roman"/>
          <w:sz w:val="24"/>
          <w:szCs w:val="24"/>
          <w:lang w:val="en-US"/>
        </w:rPr>
        <w:t xml:space="preserve"> study was an open label randomized controlled trial in AAV</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including 156 newly diagnosed patients with either WG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100) or MPA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56)</w:t>
      </w:r>
      <w:r w:rsidRPr="000A7851">
        <w:rPr>
          <w:rFonts w:ascii="Book Antiqua" w:hAnsi="Book Antiqua" w:cs="Times New Roman"/>
          <w:sz w:val="24"/>
          <w:szCs w:val="24"/>
          <w:vertAlign w:val="superscript"/>
          <w:lang w:val="en-US"/>
        </w:rPr>
        <w:t>[14]</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corticosteroids were administered for induction of remission. For maintenance of remission</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patients were randomized to receive azathioprine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80) or mycophenolate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76). It should be noted that prednisolone dose was 15 mg/d beginning the remission </w:t>
      </w:r>
      <w:proofErr w:type="gramStart"/>
      <w:r w:rsidRPr="000A7851">
        <w:rPr>
          <w:rFonts w:ascii="Book Antiqua" w:hAnsi="Book Antiqua" w:cs="Times New Roman"/>
          <w:sz w:val="24"/>
          <w:szCs w:val="24"/>
          <w:lang w:val="en-US"/>
        </w:rPr>
        <w:t>regimen,</w:t>
      </w:r>
      <w:proofErr w:type="gramEnd"/>
      <w:r w:rsidRPr="000A7851">
        <w:rPr>
          <w:rFonts w:ascii="Book Antiqua" w:hAnsi="Book Antiqua" w:cs="Times New Roman"/>
          <w:sz w:val="24"/>
          <w:szCs w:val="24"/>
          <w:lang w:val="en-US"/>
        </w:rPr>
        <w:t xml:space="preserve"> tapered to 5 mg/d at 12 mo</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discontinued at 24 mo. Follow-up was extended up to 42 mo. The overall relapse rate was 55% (42/76) in the mycophenolate group compared to 37.5% (30/80) in the azathioprine group. Correspondingly major relapses were more common in the mycophenolate treated patients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18) </w:t>
      </w:r>
      <w:r w:rsidRPr="000A7851">
        <w:rPr>
          <w:rFonts w:ascii="Book Antiqua" w:hAnsi="Book Antiqua" w:cs="Times New Roman"/>
          <w:i/>
          <w:iCs/>
          <w:sz w:val="24"/>
          <w:szCs w:val="24"/>
          <w:lang w:val="en-US"/>
        </w:rPr>
        <w:t>v</w:t>
      </w:r>
      <w:r w:rsidR="00D553DD" w:rsidRPr="000A7851">
        <w:rPr>
          <w:rFonts w:ascii="Book Antiqua" w:hAnsi="Book Antiqua" w:cs="Times New Roman"/>
          <w:i/>
          <w:iCs/>
          <w:sz w:val="24"/>
          <w:szCs w:val="24"/>
          <w:lang w:val="en-US"/>
        </w:rPr>
        <w:t>ersu</w:t>
      </w:r>
      <w:r w:rsidRPr="000A7851">
        <w:rPr>
          <w:rFonts w:ascii="Book Antiqua" w:hAnsi="Book Antiqua" w:cs="Times New Roman"/>
          <w:i/>
          <w:iCs/>
          <w:sz w:val="24"/>
          <w:szCs w:val="24"/>
          <w:lang w:val="en-US"/>
        </w:rPr>
        <w:t>s</w:t>
      </w:r>
      <w:r w:rsidRPr="000A7851">
        <w:rPr>
          <w:rFonts w:ascii="Book Antiqua" w:hAnsi="Book Antiqua" w:cs="Times New Roman"/>
          <w:sz w:val="24"/>
          <w:szCs w:val="24"/>
          <w:lang w:val="en-US"/>
        </w:rPr>
        <w:t xml:space="preserve"> the azathioprine group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10).</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MYCOPHENOLATE FOR INDUCTION AND MAINTENANCE OF REMISSION</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In addition to the evaluation of mycophenolate either as induction agent or as remission maintenance agent after induction of remission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there is a series of studies evaluating mycophenolate both as induction </w:t>
      </w:r>
      <w:r w:rsidR="00153F7A" w:rsidRPr="000A7851">
        <w:rPr>
          <w:rFonts w:ascii="Book Antiqua" w:hAnsi="Book Antiqua" w:cs="Times New Roman"/>
          <w:sz w:val="24"/>
          <w:szCs w:val="24"/>
          <w:lang w:val="en-US"/>
        </w:rPr>
        <w:t xml:space="preserve">(Table 1) </w:t>
      </w:r>
      <w:r w:rsidRPr="000A7851">
        <w:rPr>
          <w:rFonts w:ascii="Book Antiqua" w:hAnsi="Book Antiqua" w:cs="Times New Roman"/>
          <w:sz w:val="24"/>
          <w:szCs w:val="24"/>
          <w:lang w:val="en-US"/>
        </w:rPr>
        <w:t>and maintenance treatment</w:t>
      </w:r>
      <w:r w:rsidR="00153F7A" w:rsidRPr="000A7851">
        <w:rPr>
          <w:rFonts w:ascii="Book Antiqua" w:hAnsi="Book Antiqua" w:cs="Times New Roman"/>
          <w:sz w:val="24"/>
          <w:szCs w:val="24"/>
          <w:lang w:val="en-US"/>
        </w:rPr>
        <w:t xml:space="preserve"> (Table 2)</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A cohort of 32 AAV patients mostly with GPA (29/32) with active disease were treated with oral prednisolone in combination with mycophenolate for 12 mo as induction of remission and subsequently with tapered dose of mycophenolate until 24 mo</w:t>
      </w:r>
      <w:r w:rsidRPr="000A7851">
        <w:rPr>
          <w:rFonts w:ascii="Book Antiqua" w:hAnsi="Book Antiqua" w:cs="Times New Roman"/>
          <w:sz w:val="24"/>
          <w:szCs w:val="24"/>
          <w:vertAlign w:val="superscript"/>
          <w:lang w:val="en-US"/>
        </w:rPr>
        <w:t>[15]</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Complete or partial remission was induced in 78% (25/32) and 19% (6/32)</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respectively. The authors report </w:t>
      </w:r>
      <w:r w:rsidR="002E1AD0" w:rsidRPr="000A7851">
        <w:rPr>
          <w:rFonts w:ascii="Book Antiqua" w:hAnsi="Book Antiqua" w:cs="Times New Roman"/>
          <w:sz w:val="24"/>
          <w:szCs w:val="24"/>
          <w:lang w:val="en-US"/>
        </w:rPr>
        <w:t>1</w:t>
      </w:r>
      <w:r w:rsidRPr="000A7851">
        <w:rPr>
          <w:rFonts w:ascii="Book Antiqua" w:hAnsi="Book Antiqua" w:cs="Times New Roman"/>
          <w:sz w:val="24"/>
          <w:szCs w:val="24"/>
          <w:lang w:val="en-US"/>
        </w:rPr>
        <w:t>-</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3</w:t>
      </w:r>
      <w:r w:rsidRPr="000A7851">
        <w:rPr>
          <w:rFonts w:ascii="Book Antiqua" w:hAnsi="Book Antiqua" w:cs="Times New Roman"/>
          <w:sz w:val="24"/>
          <w:szCs w:val="24"/>
          <w:lang w:val="en-US"/>
        </w:rPr>
        <w:t>-</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r w:rsidR="002E1AD0" w:rsidRPr="000A7851">
        <w:rPr>
          <w:rFonts w:ascii="Book Antiqua" w:hAnsi="Book Antiqua" w:cs="Times New Roman"/>
          <w:sz w:val="24"/>
          <w:szCs w:val="24"/>
          <w:lang w:val="en-US"/>
        </w:rPr>
        <w:t>5</w:t>
      </w:r>
      <w:r w:rsidRPr="000A7851">
        <w:rPr>
          <w:rFonts w:ascii="Book Antiqua" w:hAnsi="Book Antiqua" w:cs="Times New Roman"/>
          <w:sz w:val="24"/>
          <w:szCs w:val="24"/>
          <w:lang w:val="en-US"/>
        </w:rPr>
        <w:t>-year free survival</w:t>
      </w:r>
      <w:r w:rsidR="002E1AD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63%, 38%</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27%</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accordingly correlating the rates of relapse to previous exposure to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Likewise</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another cohort of 17 MPA patients reported induction of remission with mycophenolate based treatment protocol in 76% (13/17) with prolonged remission at the end of follow</w:t>
      </w:r>
      <w:r w:rsidR="00481EB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at 18 mo in 70% (12/17)</w:t>
      </w:r>
      <w:r w:rsidRPr="000A7851">
        <w:rPr>
          <w:rFonts w:ascii="Book Antiqua" w:hAnsi="Book Antiqua" w:cs="Times New Roman"/>
          <w:sz w:val="24"/>
          <w:szCs w:val="24"/>
          <w:vertAlign w:val="superscript"/>
          <w:lang w:val="en-US"/>
        </w:rPr>
        <w:t>[16]</w:t>
      </w:r>
      <w:r w:rsidR="006E4A62"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retrospective study by Chen </w:t>
      </w:r>
      <w:r w:rsidRPr="000A7851">
        <w:rPr>
          <w:rFonts w:ascii="Book Antiqua" w:hAnsi="Book Antiqua" w:cs="Times New Roman"/>
          <w:i/>
          <w:iCs/>
          <w:sz w:val="24"/>
          <w:szCs w:val="24"/>
          <w:lang w:val="en-US"/>
        </w:rPr>
        <w:t xml:space="preserve">et </w:t>
      </w:r>
      <w:proofErr w:type="gramStart"/>
      <w:r w:rsidRPr="000A7851">
        <w:rPr>
          <w:rFonts w:ascii="Book Antiqua" w:hAnsi="Book Antiqua" w:cs="Times New Roman"/>
          <w:i/>
          <w:iCs/>
          <w:sz w:val="24"/>
          <w:szCs w:val="24"/>
          <w:lang w:val="en-US"/>
        </w:rPr>
        <w:t>al</w:t>
      </w:r>
      <w:r w:rsidR="00481EB8" w:rsidRPr="000A7851">
        <w:rPr>
          <w:rFonts w:ascii="Book Antiqua" w:hAnsi="Book Antiqua" w:cs="Times New Roman"/>
          <w:sz w:val="24"/>
          <w:szCs w:val="24"/>
          <w:vertAlign w:val="superscript"/>
          <w:lang w:val="en-US"/>
        </w:rPr>
        <w:t>[</w:t>
      </w:r>
      <w:proofErr w:type="gramEnd"/>
      <w:r w:rsidR="00481EB8" w:rsidRPr="000A7851">
        <w:rPr>
          <w:rFonts w:ascii="Book Antiqua" w:hAnsi="Book Antiqua" w:cs="Times New Roman"/>
          <w:sz w:val="24"/>
          <w:szCs w:val="24"/>
          <w:vertAlign w:val="superscript"/>
          <w:lang w:val="en-US"/>
        </w:rPr>
        <w:t>17]</w:t>
      </w:r>
      <w:r w:rsidRPr="000A7851">
        <w:rPr>
          <w:rFonts w:ascii="Book Antiqua" w:hAnsi="Book Antiqua" w:cs="Times New Roman"/>
          <w:sz w:val="24"/>
          <w:szCs w:val="24"/>
          <w:lang w:val="en-US"/>
        </w:rPr>
        <w:t xml:space="preserve"> evaluated mycophenolate as induction and maintenance treatment in 34 MPA patients with extended follow-up up to 7 years</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lastRenderedPageBreak/>
        <w:t xml:space="preserve">Chen </w:t>
      </w:r>
      <w:r w:rsidRPr="000A7851">
        <w:rPr>
          <w:rFonts w:ascii="Book Antiqua" w:hAnsi="Book Antiqua" w:cs="Times New Roman"/>
          <w:i/>
          <w:iCs/>
          <w:sz w:val="24"/>
          <w:szCs w:val="24"/>
          <w:lang w:val="en-US"/>
        </w:rPr>
        <w:t xml:space="preserve">et </w:t>
      </w:r>
      <w:proofErr w:type="gramStart"/>
      <w:r w:rsidRPr="000A7851">
        <w:rPr>
          <w:rFonts w:ascii="Book Antiqua" w:hAnsi="Book Antiqua" w:cs="Times New Roman"/>
          <w:i/>
          <w:iCs/>
          <w:sz w:val="24"/>
          <w:szCs w:val="24"/>
          <w:lang w:val="en-US"/>
        </w:rPr>
        <w:t>al</w:t>
      </w:r>
      <w:r w:rsidR="00481EB8" w:rsidRPr="000A7851">
        <w:rPr>
          <w:rFonts w:ascii="Book Antiqua" w:hAnsi="Book Antiqua" w:cs="Times New Roman"/>
          <w:sz w:val="24"/>
          <w:szCs w:val="24"/>
          <w:vertAlign w:val="superscript"/>
          <w:lang w:val="en-US"/>
        </w:rPr>
        <w:t>[</w:t>
      </w:r>
      <w:proofErr w:type="gramEnd"/>
      <w:r w:rsidR="00481EB8" w:rsidRPr="000A7851">
        <w:rPr>
          <w:rFonts w:ascii="Book Antiqua" w:hAnsi="Book Antiqua" w:cs="Times New Roman"/>
          <w:sz w:val="24"/>
          <w:szCs w:val="24"/>
          <w:vertAlign w:val="superscript"/>
          <w:lang w:val="en-US"/>
        </w:rPr>
        <w:t>17]</w:t>
      </w:r>
      <w:r w:rsidRPr="000A7851">
        <w:rPr>
          <w:rFonts w:ascii="Book Antiqua" w:hAnsi="Book Antiqua" w:cs="Times New Roman"/>
          <w:sz w:val="24"/>
          <w:szCs w:val="24"/>
          <w:lang w:val="en-US"/>
        </w:rPr>
        <w:t xml:space="preserve"> administered mycophenolate both for induction and remission regimen. Patients who achieved remission with mycophenolate continued treatment with mycophenolate and corticosteroids for a median period of 24 </w:t>
      </w:r>
      <w:proofErr w:type="spellStart"/>
      <w:proofErr w:type="gramStart"/>
      <w:r w:rsidRPr="000A7851">
        <w:rPr>
          <w:rFonts w:ascii="Book Antiqua" w:hAnsi="Book Antiqua" w:cs="Times New Roman"/>
          <w:sz w:val="24"/>
          <w:szCs w:val="24"/>
          <w:lang w:val="en-US"/>
        </w:rPr>
        <w:t>mo</w:t>
      </w:r>
      <w:proofErr w:type="spellEnd"/>
      <w:proofErr w:type="gramEnd"/>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interquartile range</w:t>
      </w:r>
      <w:r w:rsidRPr="000A7851">
        <w:rPr>
          <w:rFonts w:ascii="Book Antiqua" w:hAnsi="Book Antiqua" w:cs="Times New Roman"/>
          <w:sz w:val="24"/>
          <w:szCs w:val="24"/>
          <w:lang w:val="en-US"/>
        </w:rPr>
        <w:t xml:space="preserve"> 15-53 </w:t>
      </w:r>
      <w:proofErr w:type="spellStart"/>
      <w:r w:rsidRPr="000A7851">
        <w:rPr>
          <w:rFonts w:ascii="Book Antiqua" w:hAnsi="Book Antiqua" w:cs="Times New Roman"/>
          <w:sz w:val="24"/>
          <w:szCs w:val="24"/>
          <w:lang w:val="en-US"/>
        </w:rPr>
        <w:t>mo</w:t>
      </w:r>
      <w:proofErr w:type="spellEnd"/>
      <w:r w:rsidRPr="000A7851">
        <w:rPr>
          <w:rFonts w:ascii="Book Antiqua" w:hAnsi="Book Antiqua" w:cs="Times New Roman"/>
          <w:sz w:val="24"/>
          <w:szCs w:val="24"/>
          <w:lang w:val="en-US"/>
        </w:rPr>
        <w:t>). Relapse rate was 22.6% (7/31)</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with </w:t>
      </w:r>
      <w:r w:rsidR="002E1AD0"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median time to relapse</w:t>
      </w:r>
      <w:r w:rsidR="002E1AD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43 </w:t>
      </w:r>
      <w:proofErr w:type="spellStart"/>
      <w:proofErr w:type="gramStart"/>
      <w:r w:rsidRPr="000A7851">
        <w:rPr>
          <w:rFonts w:ascii="Book Antiqua" w:hAnsi="Book Antiqua" w:cs="Times New Roman"/>
          <w:sz w:val="24"/>
          <w:szCs w:val="24"/>
          <w:lang w:val="en-US"/>
        </w:rPr>
        <w:t>mo</w:t>
      </w:r>
      <w:proofErr w:type="spellEnd"/>
      <w:proofErr w:type="gramEnd"/>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interquartile range</w:t>
      </w:r>
      <w:r w:rsidRPr="000A7851">
        <w:rPr>
          <w:rFonts w:ascii="Book Antiqua" w:hAnsi="Book Antiqua" w:cs="Times New Roman"/>
          <w:sz w:val="24"/>
          <w:szCs w:val="24"/>
          <w:lang w:val="en-US"/>
        </w:rPr>
        <w:t xml:space="preserve"> 20-128 </w:t>
      </w:r>
      <w:proofErr w:type="spellStart"/>
      <w:r w:rsidRPr="000A7851">
        <w:rPr>
          <w:rFonts w:ascii="Book Antiqua" w:hAnsi="Book Antiqua" w:cs="Times New Roman"/>
          <w:sz w:val="24"/>
          <w:szCs w:val="24"/>
          <w:lang w:val="en-US"/>
        </w:rPr>
        <w:t>mo</w:t>
      </w:r>
      <w:proofErr w:type="spellEnd"/>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Spanish group reported their experience with mycophenolate as induction therapy in 29 patients and as maintenance treatment in 67 patients with </w:t>
      </w:r>
      <w:r w:rsidR="00481EB8" w:rsidRPr="000A7851">
        <w:rPr>
          <w:rFonts w:ascii="Book Antiqua" w:hAnsi="Book Antiqua" w:cs="Times New Roman"/>
          <w:sz w:val="24"/>
          <w:szCs w:val="24"/>
          <w:lang w:val="en-US"/>
        </w:rPr>
        <w:t>AAV</w:t>
      </w:r>
      <w:r w:rsidRPr="000A7851">
        <w:rPr>
          <w:rFonts w:ascii="Book Antiqua" w:hAnsi="Book Antiqua" w:cs="Times New Roman"/>
          <w:sz w:val="24"/>
          <w:szCs w:val="24"/>
          <w:lang w:val="en-US"/>
        </w:rPr>
        <w:t xml:space="preserve">, the majority MPO-ANCA </w:t>
      </w:r>
      <w:proofErr w:type="gramStart"/>
      <w:r w:rsidRPr="000A7851">
        <w:rPr>
          <w:rFonts w:ascii="Book Antiqua" w:hAnsi="Book Antiqua" w:cs="Times New Roman"/>
          <w:sz w:val="24"/>
          <w:szCs w:val="24"/>
          <w:lang w:val="en-US"/>
        </w:rPr>
        <w:t>positive</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18]</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Treatment plan consisted of 3 mo induction phase and then maintenance phase up to 24 </w:t>
      </w:r>
      <w:proofErr w:type="gramStart"/>
      <w:r w:rsidRPr="000A7851">
        <w:rPr>
          <w:rFonts w:ascii="Book Antiqua" w:hAnsi="Book Antiqua" w:cs="Times New Roman"/>
          <w:sz w:val="24"/>
          <w:szCs w:val="24"/>
          <w:lang w:val="en-US"/>
        </w:rPr>
        <w:t>mo</w:t>
      </w:r>
      <w:proofErr w:type="gramEnd"/>
      <w:r w:rsidRPr="000A7851">
        <w:rPr>
          <w:rFonts w:ascii="Book Antiqua" w:hAnsi="Book Antiqua" w:cs="Times New Roman"/>
          <w:sz w:val="24"/>
          <w:szCs w:val="24"/>
          <w:lang w:val="en-US"/>
        </w:rPr>
        <w:t xml:space="preserve"> while patients remained on low dose of prednisolone along with reduced dose of mycophenolate depending on disease activity. During the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up period six </w:t>
      </w:r>
      <w:proofErr w:type="gramStart"/>
      <w:r w:rsidRPr="000A7851">
        <w:rPr>
          <w:rFonts w:ascii="Book Antiqua" w:hAnsi="Book Antiqua" w:cs="Times New Roman"/>
          <w:sz w:val="24"/>
          <w:szCs w:val="24"/>
          <w:lang w:val="en-US"/>
        </w:rPr>
        <w:t>patients</w:t>
      </w:r>
      <w:proofErr w:type="gramEnd"/>
      <w:r w:rsidRPr="000A7851">
        <w:rPr>
          <w:rFonts w:ascii="Book Antiqua" w:hAnsi="Book Antiqua" w:cs="Times New Roman"/>
          <w:sz w:val="24"/>
          <w:szCs w:val="24"/>
          <w:lang w:val="en-US"/>
        </w:rPr>
        <w:t xml:space="preserve"> experienced renal relapse and two patients relapsed with cutaneous manifestations (in total 8/67, 11</w:t>
      </w:r>
      <w:r w:rsidR="00481EB8" w:rsidRPr="000A7851">
        <w:rPr>
          <w:rFonts w:ascii="Book Antiqua" w:hAnsi="Book Antiqua" w:cs="Times New Roman"/>
          <w:sz w:val="24"/>
          <w:szCs w:val="24"/>
          <w:lang w:val="en-US"/>
        </w:rPr>
        <w:t>.</w:t>
      </w:r>
      <w:r w:rsidRPr="000A7851">
        <w:rPr>
          <w:rFonts w:ascii="Book Antiqua" w:hAnsi="Book Antiqua" w:cs="Times New Roman"/>
          <w:sz w:val="24"/>
          <w:szCs w:val="24"/>
          <w:lang w:val="en-US"/>
        </w:rPr>
        <w:t>9%). In terms of initial regimen</w:t>
      </w:r>
      <w:r w:rsidR="005A389E" w:rsidRPr="000A7851">
        <w:rPr>
          <w:rFonts w:ascii="Book Antiqua" w:hAnsi="Book Antiqua" w:cs="Times New Roman"/>
          <w:sz w:val="24"/>
          <w:szCs w:val="24"/>
          <w:lang w:val="en-US"/>
        </w:rPr>
        <w:t>, three</w:t>
      </w:r>
      <w:r w:rsidRPr="000A7851">
        <w:rPr>
          <w:rFonts w:ascii="Book Antiqua" w:hAnsi="Book Antiqua" w:cs="Times New Roman"/>
          <w:sz w:val="24"/>
          <w:szCs w:val="24"/>
          <w:lang w:val="en-US"/>
        </w:rPr>
        <w:t xml:space="preserve"> subjects had been treated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w:t>
      </w:r>
      <w:r w:rsidR="005A389E"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with mycophenolate. During the maintenance period, </w:t>
      </w:r>
      <w:r w:rsidR="005A389E"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patients progressed to end stage renal disease requiring renal replacement therapy.</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MYCOPHENOLIC ACID IN RELAPSING OR REFRACTORY VASCULITIS</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pilot study of efficacy of mycophenolate in relapsing or resistant AAV included 10 patients with active disease evaluated with </w:t>
      </w:r>
      <w:r w:rsidR="00F23895" w:rsidRPr="000A7851">
        <w:rPr>
          <w:rFonts w:ascii="Book Antiqua" w:hAnsi="Book Antiqua" w:cs="Times New Roman"/>
          <w:sz w:val="24"/>
          <w:szCs w:val="24"/>
          <w:lang w:val="en-US"/>
        </w:rPr>
        <w:t>Birmingham Vasculitis Activity Score</w:t>
      </w:r>
      <w:r w:rsidRPr="000A7851">
        <w:rPr>
          <w:rFonts w:ascii="Book Antiqua" w:hAnsi="Book Antiqua" w:cs="Times New Roman"/>
          <w:sz w:val="24"/>
          <w:szCs w:val="24"/>
          <w:lang w:val="en-US"/>
        </w:rPr>
        <w:t xml:space="preserve">. Transient complete remission was accomplished in </w:t>
      </w:r>
      <w:r w:rsidR="005A389E" w:rsidRPr="000A7851">
        <w:rPr>
          <w:rFonts w:ascii="Book Antiqua" w:hAnsi="Book Antiqua" w:cs="Times New Roman"/>
          <w:sz w:val="24"/>
          <w:szCs w:val="24"/>
          <w:lang w:val="en-US"/>
        </w:rPr>
        <w:t>six</w:t>
      </w:r>
      <w:r w:rsidRPr="000A7851">
        <w:rPr>
          <w:rFonts w:ascii="Book Antiqua" w:hAnsi="Book Antiqua" w:cs="Times New Roman"/>
          <w:sz w:val="24"/>
          <w:szCs w:val="24"/>
          <w:lang w:val="en-US"/>
        </w:rPr>
        <w:t xml:space="preserve"> patients (60%)</w:t>
      </w:r>
      <w:r w:rsidR="005A389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while just </w:t>
      </w:r>
      <w:r w:rsidR="005A389E"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of them maintained long-lasting </w:t>
      </w:r>
      <w:proofErr w:type="gramStart"/>
      <w:r w:rsidRPr="000A7851">
        <w:rPr>
          <w:rFonts w:ascii="Book Antiqua" w:hAnsi="Book Antiqua" w:cs="Times New Roman"/>
          <w:sz w:val="24"/>
          <w:szCs w:val="24"/>
          <w:lang w:val="en-US"/>
        </w:rPr>
        <w:t>remission</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6]</w:t>
      </w:r>
      <w:r w:rsidR="006E4A62"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retrospective analysis of 22 patients with active or partially controlled AAV who received mycophenolate while on relatively low dose of prednisolone showed 81.8% (18/22) induction of </w:t>
      </w:r>
      <w:proofErr w:type="gramStart"/>
      <w:r w:rsidRPr="000A7851">
        <w:rPr>
          <w:rFonts w:ascii="Book Antiqua" w:hAnsi="Book Antiqua" w:cs="Times New Roman"/>
          <w:sz w:val="24"/>
          <w:szCs w:val="24"/>
          <w:lang w:val="en-US"/>
        </w:rPr>
        <w:t>remission</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12]</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481EB8" w:rsidRPr="000A7851">
        <w:rPr>
          <w:rFonts w:ascii="Book Antiqua" w:hAnsi="Book Antiqua" w:cs="Times New Roman"/>
          <w:sz w:val="24"/>
          <w:szCs w:val="24"/>
          <w:lang w:val="en-US"/>
        </w:rPr>
        <w:t>However,</w:t>
      </w:r>
      <w:r w:rsidRPr="000A7851">
        <w:rPr>
          <w:rFonts w:ascii="Book Antiqua" w:hAnsi="Book Antiqua" w:cs="Times New Roman"/>
          <w:sz w:val="24"/>
          <w:szCs w:val="24"/>
          <w:lang w:val="en-US"/>
        </w:rPr>
        <w:t xml:space="preserve"> the initial response was temporary with more than 50% relapse rate (55.6%, 10/18) through a period of 24 </w:t>
      </w:r>
      <w:proofErr w:type="gramStart"/>
      <w:r w:rsidRPr="000A7851">
        <w:rPr>
          <w:rFonts w:ascii="Book Antiqua" w:hAnsi="Book Antiqua" w:cs="Times New Roman"/>
          <w:sz w:val="24"/>
          <w:szCs w:val="24"/>
          <w:lang w:val="en-US"/>
        </w:rPr>
        <w:t>mo</w:t>
      </w:r>
      <w:proofErr w:type="gramEnd"/>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ADVERSE EVENTS WITH MYCOPHENOLATE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Adverse events related to mycophenolate treatment are associated with its mechanism of action. </w:t>
      </w:r>
      <w:r w:rsidR="00481EB8"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rapidly regenerated cells such as the gastrointestinal track are affected, along with the leucocytes </w:t>
      </w:r>
      <w:r w:rsidR="00B92FA5"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are the main site of drug’s action</w:t>
      </w:r>
      <w:r w:rsidR="004C5B02" w:rsidRPr="000A7851">
        <w:rPr>
          <w:rFonts w:ascii="Book Antiqua" w:hAnsi="Book Antiqua" w:cs="Times New Roman"/>
          <w:sz w:val="24"/>
          <w:szCs w:val="24"/>
          <w:lang w:val="en-US"/>
        </w:rPr>
        <w:t>. C</w:t>
      </w:r>
      <w:r w:rsidRPr="000A7851">
        <w:rPr>
          <w:rFonts w:ascii="Book Antiqua" w:hAnsi="Book Antiqua" w:cs="Times New Roman"/>
          <w:sz w:val="24"/>
          <w:szCs w:val="24"/>
          <w:lang w:val="en-US"/>
        </w:rPr>
        <w:t>ertainly</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as an immunosuppressant agent</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mycophenolate leads to increased risk of </w:t>
      </w:r>
      <w:r w:rsidRPr="000A7851">
        <w:rPr>
          <w:rFonts w:ascii="Book Antiqua" w:hAnsi="Book Antiqua" w:cs="Times New Roman"/>
          <w:sz w:val="24"/>
          <w:szCs w:val="24"/>
          <w:lang w:val="en-US"/>
        </w:rPr>
        <w:lastRenderedPageBreak/>
        <w:t xml:space="preserve">infections. </w:t>
      </w:r>
      <w:bookmarkStart w:id="209" w:name="OLE_LINK29"/>
      <w:bookmarkStart w:id="210" w:name="OLE_LINK30"/>
      <w:r w:rsidRPr="000A7851">
        <w:rPr>
          <w:rFonts w:ascii="Book Antiqua" w:hAnsi="Book Antiqua" w:cs="Times New Roman"/>
          <w:sz w:val="24"/>
          <w:szCs w:val="24"/>
          <w:lang w:val="en-US"/>
        </w:rPr>
        <w:t>In our case</w:t>
      </w:r>
      <w:r w:rsidR="0050392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series of 34 AAV patients treated with mycophenolate in accordance with published experience, mild gastrointestinal intolerance was reported in </w:t>
      </w:r>
      <w:r w:rsidR="00D97A93"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 increased serum amylase in </w:t>
      </w:r>
      <w:r w:rsidR="00D97A93"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leucopenia in </w:t>
      </w:r>
      <w:r w:rsidR="00D97A93"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herpes zoster infections in </w:t>
      </w:r>
      <w:r w:rsidR="00D97A93"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All adverse events resolved by reducing the dose of </w:t>
      </w:r>
      <w:r w:rsidR="003377B3" w:rsidRPr="000A7851">
        <w:rPr>
          <w:rFonts w:ascii="Book Antiqua" w:hAnsi="Book Antiqua"/>
          <w:sz w:val="24"/>
          <w:szCs w:val="24"/>
          <w:lang w:val="en-US"/>
        </w:rPr>
        <w:t>mycophenolate mofetil</w:t>
      </w:r>
      <w:r w:rsidRPr="000A7851">
        <w:rPr>
          <w:rFonts w:ascii="Book Antiqua" w:hAnsi="Book Antiqua" w:cs="Times New Roman"/>
          <w:sz w:val="24"/>
          <w:szCs w:val="24"/>
          <w:lang w:val="en-US"/>
        </w:rPr>
        <w:t>.</w:t>
      </w:r>
      <w:bookmarkEnd w:id="209"/>
      <w:bookmarkEnd w:id="210"/>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Among the commonest adverse events related to mycophenolate treatment regarding the gastrointestinal tract are diarrhea, nausea, bloating, vomiting, abdominal pain, </w:t>
      </w:r>
      <w:r w:rsidR="0046404B"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rectum bleeding. Another frequent side effect is leucopenia and seldom pancytopenia. Like all immunosuppressive agents, mycophenolate increases the possibility of infections through re-activation of latent viruses</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like herpes zoster or cytomegalovirus</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4B1A"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 xml:space="preserve">more commonly in transplanted population and respiratory infections. Further cognitive or psychological side effects have been reported in some </w:t>
      </w:r>
      <w:proofErr w:type="gramStart"/>
      <w:r w:rsidRPr="000A7851">
        <w:rPr>
          <w:rFonts w:ascii="Book Antiqua" w:hAnsi="Book Antiqua" w:cs="Times New Roman"/>
          <w:sz w:val="24"/>
          <w:szCs w:val="24"/>
          <w:lang w:val="en-US"/>
        </w:rPr>
        <w:t>studies</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6,12,16]</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 small number of cases with sleeping difficulties or insomnia, poor concentration, headache</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depression </w:t>
      </w:r>
      <w:r w:rsidR="009B4B1A" w:rsidRPr="000A7851">
        <w:rPr>
          <w:rFonts w:ascii="Book Antiqua" w:hAnsi="Book Antiqua" w:cs="Times New Roman"/>
          <w:sz w:val="24"/>
          <w:szCs w:val="24"/>
          <w:lang w:val="en-US"/>
        </w:rPr>
        <w:t>have been</w:t>
      </w:r>
      <w:r w:rsidRPr="000A7851">
        <w:rPr>
          <w:rFonts w:ascii="Book Antiqua" w:hAnsi="Book Antiqua" w:cs="Times New Roman"/>
          <w:sz w:val="24"/>
          <w:szCs w:val="24"/>
          <w:lang w:val="en-US"/>
        </w:rPr>
        <w:t xml:space="preserve"> described.</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All the studies conclude that most of the adverse events are temporary and reversible with dose reduction or rarely discontinuation of mycophenolate, which is considered a well tolerated with low toxicity </w:t>
      </w:r>
      <w:proofErr w:type="spellStart"/>
      <w:r w:rsidRPr="000A7851">
        <w:rPr>
          <w:rFonts w:ascii="Book Antiqua" w:hAnsi="Book Antiqua" w:cs="Times New Roman"/>
          <w:sz w:val="24"/>
          <w:szCs w:val="24"/>
          <w:lang w:val="en-US"/>
        </w:rPr>
        <w:t>immunomodulating</w:t>
      </w:r>
      <w:proofErr w:type="spellEnd"/>
      <w:r w:rsidRPr="000A7851">
        <w:rPr>
          <w:rFonts w:ascii="Book Antiqua" w:hAnsi="Book Antiqua" w:cs="Times New Roman"/>
          <w:sz w:val="24"/>
          <w:szCs w:val="24"/>
          <w:lang w:val="en-US"/>
        </w:rPr>
        <w:t xml:space="preserve"> drug.</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CONCLUSION</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This is a mini-review to summarize published clinical studies with mycophenolate in AAV and describe the experience of our cent</w:t>
      </w:r>
      <w:r w:rsidR="009F06C2" w:rsidRPr="000A7851">
        <w:rPr>
          <w:rFonts w:ascii="Book Antiqua" w:hAnsi="Book Antiqua" w:cs="Times New Roman"/>
          <w:sz w:val="24"/>
          <w:szCs w:val="24"/>
          <w:lang w:val="en-US"/>
        </w:rPr>
        <w:t>er</w:t>
      </w:r>
      <w:r w:rsidRPr="000A7851">
        <w:rPr>
          <w:rFonts w:ascii="Book Antiqua" w:hAnsi="Book Antiqua" w:cs="Times New Roman"/>
          <w:sz w:val="24"/>
          <w:szCs w:val="24"/>
          <w:lang w:val="en-US"/>
        </w:rPr>
        <w:t xml:space="preserve">. Mycophenolate </w:t>
      </w:r>
      <w:r w:rsidR="009F06C2" w:rsidRPr="000A7851">
        <w:rPr>
          <w:rFonts w:ascii="Book Antiqua" w:hAnsi="Book Antiqua" w:cs="Times New Roman"/>
          <w:sz w:val="24"/>
          <w:szCs w:val="24"/>
          <w:lang w:val="en-US"/>
        </w:rPr>
        <w:t>was</w:t>
      </w:r>
      <w:r w:rsidRPr="000A7851">
        <w:rPr>
          <w:rFonts w:ascii="Book Antiqua" w:hAnsi="Book Antiqua" w:cs="Times New Roman"/>
          <w:sz w:val="24"/>
          <w:szCs w:val="24"/>
          <w:lang w:val="en-US"/>
        </w:rPr>
        <w:t xml:space="preserve"> introduced in the therapeutics of AAV </w:t>
      </w:r>
      <w:r w:rsidR="009F06C2" w:rsidRPr="000A7851">
        <w:rPr>
          <w:rFonts w:ascii="Book Antiqua" w:hAnsi="Book Antiqua" w:cs="Times New Roman"/>
          <w:sz w:val="24"/>
          <w:szCs w:val="24"/>
          <w:lang w:val="en-US"/>
        </w:rPr>
        <w:t xml:space="preserve">in </w:t>
      </w:r>
      <w:r w:rsidRPr="000A7851">
        <w:rPr>
          <w:rFonts w:ascii="Book Antiqua" w:hAnsi="Book Antiqua" w:cs="Times New Roman"/>
          <w:sz w:val="24"/>
          <w:szCs w:val="24"/>
          <w:lang w:val="en-US"/>
        </w:rPr>
        <w:t xml:space="preserve">the middle of the </w:t>
      </w:r>
      <w:proofErr w:type="gramStart"/>
      <w:r w:rsidR="009F06C2" w:rsidRPr="000A7851">
        <w:rPr>
          <w:rFonts w:ascii="Book Antiqua" w:hAnsi="Book Antiqua" w:cs="Times New Roman"/>
          <w:sz w:val="24"/>
          <w:szCs w:val="24"/>
          <w:lang w:val="en-US"/>
        </w:rPr>
        <w:t>19</w:t>
      </w:r>
      <w:r w:rsidRPr="000A7851">
        <w:rPr>
          <w:rFonts w:ascii="Book Antiqua" w:hAnsi="Book Antiqua" w:cs="Times New Roman"/>
          <w:sz w:val="24"/>
          <w:szCs w:val="24"/>
          <w:lang w:val="en-US"/>
        </w:rPr>
        <w:t>90s</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10]</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Relatively few clinical studies have been published, usually as cohorts of patients, describing single</w:t>
      </w:r>
      <w:r w:rsidR="003377B3" w:rsidRPr="000A7851">
        <w:rPr>
          <w:rFonts w:ascii="Book Antiqua" w:hAnsi="Book Antiqua" w:cs="Times New Roman"/>
          <w:sz w:val="24"/>
          <w:szCs w:val="24"/>
          <w:lang w:val="en-US"/>
        </w:rPr>
        <w:t>-</w:t>
      </w:r>
      <w:r w:rsidR="009F06C2" w:rsidRPr="000A7851">
        <w:rPr>
          <w:rFonts w:ascii="Book Antiqua" w:hAnsi="Book Antiqua" w:cs="Times New Roman"/>
          <w:sz w:val="24"/>
          <w:szCs w:val="24"/>
          <w:lang w:val="en-US"/>
        </w:rPr>
        <w:t xml:space="preserve">center </w:t>
      </w:r>
      <w:r w:rsidRPr="000A7851">
        <w:rPr>
          <w:rFonts w:ascii="Book Antiqua" w:hAnsi="Book Antiqua" w:cs="Times New Roman"/>
          <w:sz w:val="24"/>
          <w:szCs w:val="24"/>
          <w:lang w:val="en-US"/>
        </w:rPr>
        <w:t>experience. The EUVAS study group has led important clinical trials, two of which concern the efficacy of mycophenolate as induction and as remission maintenance agent in AAV</w:t>
      </w:r>
      <w:r w:rsidR="009C200A" w:rsidRPr="000A7851">
        <w:rPr>
          <w:rFonts w:ascii="Book Antiqua" w:hAnsi="Book Antiqua" w:cs="Times New Roman"/>
          <w:sz w:val="24"/>
          <w:szCs w:val="24"/>
          <w:lang w:val="en-US"/>
        </w:rPr>
        <w:t xml:space="preserve"> and</w:t>
      </w:r>
      <w:r w:rsidRPr="000A7851">
        <w:rPr>
          <w:rFonts w:ascii="Book Antiqua" w:hAnsi="Book Antiqua" w:cs="Times New Roman"/>
          <w:sz w:val="24"/>
          <w:szCs w:val="24"/>
          <w:lang w:val="en-US"/>
        </w:rPr>
        <w:t xml:space="preserve"> includ</w:t>
      </w:r>
      <w:r w:rsidR="009C200A" w:rsidRPr="000A7851">
        <w:rPr>
          <w:rFonts w:ascii="Book Antiqua" w:hAnsi="Book Antiqua" w:cs="Times New Roman"/>
          <w:sz w:val="24"/>
          <w:szCs w:val="24"/>
          <w:lang w:val="en-US"/>
        </w:rPr>
        <w:t>e</w:t>
      </w:r>
      <w:r w:rsidRPr="000A7851">
        <w:rPr>
          <w:rFonts w:ascii="Book Antiqua" w:hAnsi="Book Antiqua" w:cs="Times New Roman"/>
          <w:sz w:val="24"/>
          <w:szCs w:val="24"/>
          <w:lang w:val="en-US"/>
        </w:rPr>
        <w:t xml:space="preserve"> a considerable number of </w:t>
      </w:r>
      <w:proofErr w:type="gramStart"/>
      <w:r w:rsidRPr="000A7851">
        <w:rPr>
          <w:rFonts w:ascii="Book Antiqua" w:hAnsi="Book Antiqua" w:cs="Times New Roman"/>
          <w:sz w:val="24"/>
          <w:szCs w:val="24"/>
          <w:lang w:val="en-US"/>
        </w:rPr>
        <w:t>patients</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9,14]</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Taken into account published studies</w:t>
      </w:r>
      <w:r w:rsidR="009C200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mycophenolate is an effective treatment for induction and maintenance of remission of AAV. In 2016, the European League Against Rheumatism and European Renal Association</w:t>
      </w:r>
      <w:r w:rsidR="003377B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European Dialysis and Transplant Association recommendations for the management of AAV state that mycophenolate could be used as remission induction of non-organ threatening vasculitis and as </w:t>
      </w:r>
      <w:r w:rsidRPr="000A7851">
        <w:rPr>
          <w:rFonts w:ascii="Book Antiqua" w:hAnsi="Book Antiqua" w:cs="Times New Roman"/>
          <w:sz w:val="24"/>
          <w:szCs w:val="24"/>
          <w:lang w:val="en-US"/>
        </w:rPr>
        <w:lastRenderedPageBreak/>
        <w:t xml:space="preserve">remission maintenance </w:t>
      </w:r>
      <w:proofErr w:type="gramStart"/>
      <w:r w:rsidRPr="000A7851">
        <w:rPr>
          <w:rFonts w:ascii="Book Antiqua" w:hAnsi="Book Antiqua" w:cs="Times New Roman"/>
          <w:sz w:val="24"/>
          <w:szCs w:val="24"/>
          <w:lang w:val="en-US"/>
        </w:rPr>
        <w:t>agent</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19]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For both </w:t>
      </w:r>
      <w:r w:rsidR="00481EB8" w:rsidRPr="000A7851">
        <w:rPr>
          <w:rFonts w:ascii="Book Antiqua" w:hAnsi="Book Antiqua" w:cs="Times New Roman"/>
          <w:sz w:val="24"/>
          <w:szCs w:val="24"/>
          <w:lang w:val="en-US"/>
        </w:rPr>
        <w:t>indications</w:t>
      </w:r>
      <w:r w:rsidRPr="000A7851">
        <w:rPr>
          <w:rFonts w:ascii="Book Antiqua" w:hAnsi="Book Antiqua" w:cs="Times New Roman"/>
          <w:sz w:val="24"/>
          <w:szCs w:val="24"/>
          <w:lang w:val="en-US"/>
        </w:rPr>
        <w:t xml:space="preserve"> mycophenolate is not the first choice as supported by published clinical trials. Published experience could not provide plausible explanations for the reasons that mycophenolate</w:t>
      </w:r>
      <w:r w:rsidR="00BC797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even though a potent immunosuppressive with great and superior efficacy in organ transplantation, was not superior to other treatment options in AAV. The hypothesis of inadequate dosing or the type of positivity of ANCA, PR3 or MPO, vasculitis </w:t>
      </w:r>
      <w:r w:rsidR="00481EB8" w:rsidRPr="000A7851">
        <w:rPr>
          <w:rFonts w:ascii="Book Antiqua" w:hAnsi="Book Antiqua" w:cs="Times New Roman"/>
          <w:sz w:val="24"/>
          <w:szCs w:val="24"/>
          <w:lang w:val="en-US"/>
        </w:rPr>
        <w:t>was</w:t>
      </w:r>
      <w:r w:rsidRPr="000A7851">
        <w:rPr>
          <w:rFonts w:ascii="Book Antiqua" w:hAnsi="Book Antiqua" w:cs="Times New Roman"/>
          <w:sz w:val="24"/>
          <w:szCs w:val="24"/>
          <w:lang w:val="en-US"/>
        </w:rPr>
        <w:t xml:space="preserve"> not proven or supported by clinical data. Mycophenolate’s efficacy in AAV is not doubted. So far it has been proven non</w:t>
      </w:r>
      <w:r w:rsidR="00BC797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inferior to other options like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or azathioprine</w:t>
      </w:r>
      <w:r w:rsidR="003377B3"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and should not be considered obsolete.</w:t>
      </w:r>
      <w:r w:rsidR="003377B3" w:rsidRPr="000A7851">
        <w:rPr>
          <w:rFonts w:ascii="Book Antiqua" w:hAnsi="Book Antiqua" w:cs="Times New Roman"/>
          <w:sz w:val="24"/>
          <w:szCs w:val="24"/>
          <w:lang w:val="en-US"/>
        </w:rPr>
        <w:t xml:space="preserve"> </w:t>
      </w:r>
      <w:r w:rsidR="00481EB8"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mycophenolate could still be a valuable alternative in cases of toxicity with life threatening side effects or intolerance to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or azathioprine, in cases with high cumulative dose of </w:t>
      </w:r>
      <w:r w:rsidR="00DB31D1" w:rsidRPr="000A7851">
        <w:rPr>
          <w:rFonts w:ascii="Book Antiqua" w:hAnsi="Book Antiqua" w:cs="Times New Roman"/>
          <w:sz w:val="24"/>
          <w:szCs w:val="24"/>
          <w:lang w:val="en-US"/>
        </w:rPr>
        <w:t>CYC</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1F7441" w:rsidRPr="000A7851">
        <w:rPr>
          <w:rFonts w:ascii="Book Antiqua" w:hAnsi="Book Antiqua" w:cs="Times New Roman"/>
          <w:sz w:val="24"/>
          <w:szCs w:val="24"/>
          <w:lang w:val="en-US"/>
        </w:rPr>
        <w:t>and</w:t>
      </w:r>
      <w:r w:rsidRPr="000A7851">
        <w:rPr>
          <w:rFonts w:ascii="Book Antiqua" w:hAnsi="Book Antiqua" w:cs="Times New Roman"/>
          <w:sz w:val="24"/>
          <w:szCs w:val="24"/>
          <w:lang w:val="en-US"/>
        </w:rPr>
        <w:t xml:space="preserve"> also in cases with insufficient response. Several studies have shown a higher relapse rate following discontinuation of mycophenolate or in mycophenolate treated subjects. The complicated course of AAV with relapsing</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remitting course requires treatments with long</w:t>
      </w:r>
      <w:r w:rsidR="003377B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term efficacy without significant side effects in order to minimize exposure to immunosuppression. Among the available options, rituximab may have potential both as induction and maintenance of remission </w:t>
      </w:r>
      <w:proofErr w:type="gramStart"/>
      <w:r w:rsidRPr="000A7851">
        <w:rPr>
          <w:rFonts w:ascii="Book Antiqua" w:hAnsi="Book Antiqua" w:cs="Times New Roman"/>
          <w:sz w:val="24"/>
          <w:szCs w:val="24"/>
          <w:lang w:val="en-US"/>
        </w:rPr>
        <w:t>agent</w:t>
      </w:r>
      <w:r w:rsidRPr="000A7851">
        <w:rPr>
          <w:rFonts w:ascii="Book Antiqua" w:hAnsi="Book Antiqua" w:cs="Times New Roman"/>
          <w:sz w:val="24"/>
          <w:szCs w:val="24"/>
          <w:vertAlign w:val="superscript"/>
          <w:lang w:val="en-US"/>
        </w:rPr>
        <w:t>[</w:t>
      </w:r>
      <w:proofErr w:type="gramEnd"/>
      <w:r w:rsidRPr="000A7851">
        <w:rPr>
          <w:rFonts w:ascii="Book Antiqua" w:hAnsi="Book Antiqua" w:cs="Times New Roman"/>
          <w:sz w:val="24"/>
          <w:szCs w:val="24"/>
          <w:vertAlign w:val="superscript"/>
          <w:lang w:val="en-US"/>
        </w:rPr>
        <w:t>20-22]</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Despite the recognized increased cost of rituximab, its efficacy could be proven superior and ultimately cost-effective</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therefore</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its role should be further investigated in AAV.</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81108" w:rsidRPr="000A7851" w:rsidRDefault="00981108">
      <w:pPr>
        <w:rPr>
          <w:rFonts w:ascii="Book Antiqua" w:hAnsi="Book Antiqua" w:cs="Times New Roman"/>
          <w:b/>
          <w:sz w:val="24"/>
          <w:szCs w:val="24"/>
          <w:lang w:val="en-US"/>
        </w:rPr>
      </w:pPr>
      <w:r w:rsidRPr="000A7851">
        <w:rPr>
          <w:rFonts w:ascii="Book Antiqua" w:hAnsi="Book Antiqua" w:cs="Times New Roman"/>
          <w:b/>
          <w:sz w:val="24"/>
          <w:szCs w:val="24"/>
          <w:lang w:val="en-US"/>
        </w:rPr>
        <w:br w:type="page"/>
      </w: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lastRenderedPageBreak/>
        <w:t>REFERENCES</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 </w:t>
      </w:r>
      <w:r w:rsidRPr="000A7851">
        <w:rPr>
          <w:rFonts w:ascii="Book Antiqua" w:hAnsi="Book Antiqua"/>
          <w:b/>
          <w:sz w:val="24"/>
          <w:szCs w:val="24"/>
          <w:lang w:val="en-US"/>
        </w:rPr>
        <w:t>Halloran P</w:t>
      </w:r>
      <w:r w:rsidRPr="000A7851">
        <w:rPr>
          <w:rFonts w:ascii="Book Antiqua" w:hAnsi="Book Antiqua"/>
          <w:sz w:val="24"/>
          <w:szCs w:val="24"/>
          <w:lang w:val="en-US"/>
        </w:rPr>
        <w:t xml:space="preserve">, Mathew T, </w:t>
      </w:r>
      <w:proofErr w:type="spellStart"/>
      <w:r w:rsidRPr="000A7851">
        <w:rPr>
          <w:rFonts w:ascii="Book Antiqua" w:hAnsi="Book Antiqua"/>
          <w:sz w:val="24"/>
          <w:szCs w:val="24"/>
          <w:lang w:val="en-US"/>
        </w:rPr>
        <w:t>Tomlanovich</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Groth</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Hooftman</w:t>
      </w:r>
      <w:proofErr w:type="spellEnd"/>
      <w:r w:rsidRPr="000A7851">
        <w:rPr>
          <w:rFonts w:ascii="Book Antiqua" w:hAnsi="Book Antiqua"/>
          <w:sz w:val="24"/>
          <w:szCs w:val="24"/>
          <w:lang w:val="en-US"/>
        </w:rPr>
        <w:t xml:space="preserve"> L, Barker C. Mycophenolate mofetil in renal allograft recipients: a pooled efficacy analysis of three randomized, double-blind, clinical studies in prevention of rejection. </w:t>
      </w:r>
      <w:proofErr w:type="gramStart"/>
      <w:r w:rsidRPr="000A7851">
        <w:rPr>
          <w:rFonts w:ascii="Book Antiqua" w:hAnsi="Book Antiqua"/>
          <w:sz w:val="24"/>
          <w:szCs w:val="24"/>
          <w:lang w:val="en-US"/>
        </w:rPr>
        <w:t>The International Mycophenolate Mofetil Renal Transplant Study Groups.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Transplantation</w:t>
      </w:r>
      <w:r w:rsidRPr="000A7851">
        <w:rPr>
          <w:rFonts w:ascii="Book Antiqua" w:hAnsi="Book Antiqua"/>
          <w:sz w:val="24"/>
          <w:szCs w:val="24"/>
          <w:lang w:val="en-US"/>
        </w:rPr>
        <w:t xml:space="preserve"> 1997; </w:t>
      </w:r>
      <w:r w:rsidRPr="000A7851">
        <w:rPr>
          <w:rFonts w:ascii="Book Antiqua" w:hAnsi="Book Antiqua"/>
          <w:b/>
          <w:sz w:val="24"/>
          <w:szCs w:val="24"/>
          <w:lang w:val="en-US"/>
        </w:rPr>
        <w:t>63</w:t>
      </w:r>
      <w:r w:rsidRPr="000A7851">
        <w:rPr>
          <w:rFonts w:ascii="Book Antiqua" w:hAnsi="Book Antiqua"/>
          <w:sz w:val="24"/>
          <w:szCs w:val="24"/>
          <w:lang w:val="en-US"/>
        </w:rPr>
        <w:t>: 39-47 [PMID: 9000658 DOI: 10.1097/00007890-199701150-00008]</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 </w:t>
      </w:r>
      <w:r w:rsidRPr="000A7851">
        <w:rPr>
          <w:rFonts w:ascii="Book Antiqua" w:hAnsi="Book Antiqua"/>
          <w:b/>
          <w:sz w:val="24"/>
          <w:szCs w:val="24"/>
          <w:lang w:val="en-US"/>
        </w:rPr>
        <w:t>Jayne D</w:t>
      </w:r>
      <w:r w:rsidRPr="000A7851">
        <w:rPr>
          <w:rFonts w:ascii="Book Antiqua" w:hAnsi="Book Antiqua"/>
          <w:sz w:val="24"/>
          <w:szCs w:val="24"/>
          <w:lang w:val="en-US"/>
        </w:rPr>
        <w:t xml:space="preserve">, Rasmussen N, Andrassy K, Bacon P,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w:t>
      </w:r>
      <w:proofErr w:type="spellStart"/>
      <w:r w:rsidRPr="000A7851">
        <w:rPr>
          <w:rFonts w:ascii="Book Antiqua" w:hAnsi="Book Antiqua"/>
          <w:sz w:val="24"/>
          <w:szCs w:val="24"/>
          <w:lang w:val="en-US"/>
        </w:rPr>
        <w:t>Dadoniené</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Ekstrand</w:t>
      </w:r>
      <w:proofErr w:type="spellEnd"/>
      <w:r w:rsidRPr="000A7851">
        <w:rPr>
          <w:rFonts w:ascii="Book Antiqua" w:hAnsi="Book Antiqua"/>
          <w:sz w:val="24"/>
          <w:szCs w:val="24"/>
          <w:lang w:val="en-US"/>
        </w:rPr>
        <w:t xml:space="preserve"> A, Gaskin G, </w:t>
      </w:r>
      <w:proofErr w:type="spellStart"/>
      <w:r w:rsidRPr="000A7851">
        <w:rPr>
          <w:rFonts w:ascii="Book Antiqua" w:hAnsi="Book Antiqua"/>
          <w:sz w:val="24"/>
          <w:szCs w:val="24"/>
          <w:lang w:val="en-US"/>
        </w:rPr>
        <w:t>Gregorini</w:t>
      </w:r>
      <w:proofErr w:type="spellEnd"/>
      <w:r w:rsidRPr="000A7851">
        <w:rPr>
          <w:rFonts w:ascii="Book Antiqua" w:hAnsi="Book Antiqua"/>
          <w:sz w:val="24"/>
          <w:szCs w:val="24"/>
          <w:lang w:val="en-US"/>
        </w:rPr>
        <w:t xml:space="preserve"> G, de Groot K, Gross W, Hagen EC, </w:t>
      </w:r>
      <w:proofErr w:type="spellStart"/>
      <w:r w:rsidRPr="000A7851">
        <w:rPr>
          <w:rFonts w:ascii="Book Antiqua" w:hAnsi="Book Antiqua"/>
          <w:sz w:val="24"/>
          <w:szCs w:val="24"/>
          <w:lang w:val="en-US"/>
        </w:rPr>
        <w:t>Mirapeix</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Pettersson</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Siegert</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Sinico</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Pusey C; European Vasculitis Study Group. A randomized trial of maintenance therapy for </w:t>
      </w:r>
      <w:proofErr w:type="spellStart"/>
      <w:r w:rsidRPr="000A7851">
        <w:rPr>
          <w:rFonts w:ascii="Book Antiqua" w:hAnsi="Book Antiqua"/>
          <w:sz w:val="24"/>
          <w:szCs w:val="24"/>
          <w:lang w:val="en-US"/>
        </w:rPr>
        <w:t>vasculitis</w:t>
      </w:r>
      <w:proofErr w:type="spellEnd"/>
      <w:r w:rsidRPr="000A7851">
        <w:rPr>
          <w:rFonts w:ascii="Book Antiqua" w:hAnsi="Book Antiqua"/>
          <w:sz w:val="24"/>
          <w:szCs w:val="24"/>
          <w:lang w:val="en-US"/>
        </w:rPr>
        <w:t xml:space="preserve"> associated with </w:t>
      </w:r>
      <w:proofErr w:type="spellStart"/>
      <w:r w:rsidRPr="000A7851">
        <w:rPr>
          <w:rFonts w:ascii="Book Antiqua" w:hAnsi="Book Antiqua"/>
          <w:sz w:val="24"/>
          <w:szCs w:val="24"/>
          <w:lang w:val="en-US"/>
        </w:rPr>
        <w:t>antineutrophil</w:t>
      </w:r>
      <w:proofErr w:type="spellEnd"/>
      <w:r w:rsidRPr="000A7851">
        <w:rPr>
          <w:rFonts w:ascii="Book Antiqua" w:hAnsi="Book Antiqua"/>
          <w:sz w:val="24"/>
          <w:szCs w:val="24"/>
          <w:lang w:val="en-US"/>
        </w:rPr>
        <w:t xml:space="preserve"> cytoplasmic autoantibodies.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2003; </w:t>
      </w:r>
      <w:r w:rsidRPr="000A7851">
        <w:rPr>
          <w:rFonts w:ascii="Book Antiqua" w:hAnsi="Book Antiqua"/>
          <w:b/>
          <w:sz w:val="24"/>
          <w:szCs w:val="24"/>
          <w:lang w:val="en-US"/>
        </w:rPr>
        <w:t>349</w:t>
      </w:r>
      <w:r w:rsidRPr="000A7851">
        <w:rPr>
          <w:rFonts w:ascii="Book Antiqua" w:hAnsi="Book Antiqua"/>
          <w:sz w:val="24"/>
          <w:szCs w:val="24"/>
          <w:lang w:val="en-US"/>
        </w:rPr>
        <w:t>: 36-44 [PMID: 12840090 DOI: 10.1056/NEJMoa020286]</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3 </w:t>
      </w:r>
      <w:r w:rsidRPr="000A7851">
        <w:rPr>
          <w:rFonts w:ascii="Book Antiqua" w:hAnsi="Book Antiqua"/>
          <w:b/>
          <w:sz w:val="24"/>
          <w:szCs w:val="24"/>
          <w:lang w:val="en-US"/>
        </w:rPr>
        <w:t>Allison AC</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Eugui</w:t>
      </w:r>
      <w:proofErr w:type="spellEnd"/>
      <w:r w:rsidRPr="000A7851">
        <w:rPr>
          <w:rFonts w:ascii="Book Antiqua" w:hAnsi="Book Antiqua"/>
          <w:sz w:val="24"/>
          <w:szCs w:val="24"/>
          <w:lang w:val="en-US"/>
        </w:rPr>
        <w:t xml:space="preserve"> EM. </w:t>
      </w:r>
      <w:proofErr w:type="gramStart"/>
      <w:r w:rsidRPr="000A7851">
        <w:rPr>
          <w:rFonts w:ascii="Book Antiqua" w:hAnsi="Book Antiqua"/>
          <w:sz w:val="24"/>
          <w:szCs w:val="24"/>
          <w:lang w:val="en-US"/>
        </w:rPr>
        <w:t>Mycophenolate mofetil and its mechanisms of action.</w:t>
      </w:r>
      <w:proofErr w:type="gramEnd"/>
      <w:r w:rsidRPr="000A7851">
        <w:rPr>
          <w:rFonts w:ascii="Book Antiqua" w:hAnsi="Book Antiqua"/>
          <w:sz w:val="24"/>
          <w:szCs w:val="24"/>
          <w:lang w:val="en-US"/>
        </w:rPr>
        <w:t xml:space="preserve"> </w:t>
      </w:r>
      <w:proofErr w:type="spellStart"/>
      <w:r w:rsidRPr="000A7851">
        <w:rPr>
          <w:rFonts w:ascii="Book Antiqua" w:hAnsi="Book Antiqua"/>
          <w:i/>
          <w:sz w:val="24"/>
          <w:szCs w:val="24"/>
          <w:lang w:val="en-US"/>
        </w:rPr>
        <w:t>Immunopharmacology</w:t>
      </w:r>
      <w:proofErr w:type="spellEnd"/>
      <w:r w:rsidRPr="000A7851">
        <w:rPr>
          <w:rFonts w:ascii="Book Antiqua" w:hAnsi="Book Antiqua"/>
          <w:sz w:val="24"/>
          <w:szCs w:val="24"/>
          <w:lang w:val="en-US"/>
        </w:rPr>
        <w:t xml:space="preserve"> 2000; </w:t>
      </w:r>
      <w:r w:rsidRPr="000A7851">
        <w:rPr>
          <w:rFonts w:ascii="Book Antiqua" w:hAnsi="Book Antiqua"/>
          <w:b/>
          <w:sz w:val="24"/>
          <w:szCs w:val="24"/>
          <w:lang w:val="en-US"/>
        </w:rPr>
        <w:t>47</w:t>
      </w:r>
      <w:r w:rsidRPr="000A7851">
        <w:rPr>
          <w:rFonts w:ascii="Book Antiqua" w:hAnsi="Book Antiqua"/>
          <w:sz w:val="24"/>
          <w:szCs w:val="24"/>
          <w:lang w:val="en-US"/>
        </w:rPr>
        <w:t>: 85-118 [PMID: 10878285 DOI: 10.1016/S0162-3109(00)00188-0]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4 </w:t>
      </w:r>
      <w:proofErr w:type="spellStart"/>
      <w:r w:rsidRPr="000A7851">
        <w:rPr>
          <w:rFonts w:ascii="Book Antiqua" w:hAnsi="Book Antiqua"/>
          <w:b/>
          <w:sz w:val="24"/>
          <w:szCs w:val="24"/>
          <w:lang w:val="en-US"/>
        </w:rPr>
        <w:t>Gu</w:t>
      </w:r>
      <w:proofErr w:type="spellEnd"/>
      <w:r w:rsidRPr="000A7851">
        <w:rPr>
          <w:rFonts w:ascii="Book Antiqua" w:hAnsi="Book Antiqua"/>
          <w:b/>
          <w:sz w:val="24"/>
          <w:szCs w:val="24"/>
          <w:lang w:val="en-US"/>
        </w:rPr>
        <w:t xml:space="preserve"> Z</w:t>
      </w:r>
      <w:r w:rsidRPr="000A7851">
        <w:rPr>
          <w:rFonts w:ascii="Book Antiqua" w:hAnsi="Book Antiqua"/>
          <w:sz w:val="24"/>
          <w:szCs w:val="24"/>
          <w:lang w:val="en-US"/>
        </w:rPr>
        <w:t xml:space="preserve">, Chen B, Song Y, Shen B, Zhu Z, Zhang W, </w:t>
      </w:r>
      <w:proofErr w:type="spellStart"/>
      <w:r w:rsidRPr="000A7851">
        <w:rPr>
          <w:rFonts w:ascii="Book Antiqua" w:hAnsi="Book Antiqua"/>
          <w:sz w:val="24"/>
          <w:szCs w:val="24"/>
          <w:lang w:val="en-US"/>
        </w:rPr>
        <w:t>Xie</w:t>
      </w:r>
      <w:proofErr w:type="spellEnd"/>
      <w:r w:rsidRPr="000A7851">
        <w:rPr>
          <w:rFonts w:ascii="Book Antiqua" w:hAnsi="Book Antiqua"/>
          <w:sz w:val="24"/>
          <w:szCs w:val="24"/>
          <w:lang w:val="en-US"/>
        </w:rPr>
        <w:t xml:space="preserve"> J, Deng X, Peng C, Fan Q, Chen H. Pharmacokinetics of free mycophenolic acid and limited sampling strategy for the estimation of area under the curve in liver transplant patients. </w:t>
      </w:r>
      <w:proofErr w:type="spellStart"/>
      <w:r w:rsidRPr="000A7851">
        <w:rPr>
          <w:rFonts w:ascii="Book Antiqua" w:hAnsi="Book Antiqua"/>
          <w:i/>
          <w:sz w:val="24"/>
          <w:szCs w:val="24"/>
          <w:lang w:val="en-US"/>
        </w:rPr>
        <w:t>Eur</w:t>
      </w:r>
      <w:proofErr w:type="spellEnd"/>
      <w:r w:rsidRPr="000A7851">
        <w:rPr>
          <w:rFonts w:ascii="Book Antiqua" w:hAnsi="Book Antiqua"/>
          <w:i/>
          <w:sz w:val="24"/>
          <w:szCs w:val="24"/>
          <w:lang w:val="en-US"/>
        </w:rPr>
        <w:t xml:space="preserve"> J Pharm </w:t>
      </w:r>
      <w:proofErr w:type="spellStart"/>
      <w:r w:rsidRPr="000A7851">
        <w:rPr>
          <w:rFonts w:ascii="Book Antiqua" w:hAnsi="Book Antiqua"/>
          <w:i/>
          <w:sz w:val="24"/>
          <w:szCs w:val="24"/>
          <w:lang w:val="en-US"/>
        </w:rPr>
        <w:t>Sci</w:t>
      </w:r>
      <w:proofErr w:type="spellEnd"/>
      <w:r w:rsidRPr="000A7851">
        <w:rPr>
          <w:rFonts w:ascii="Book Antiqua" w:hAnsi="Book Antiqua"/>
          <w:sz w:val="24"/>
          <w:szCs w:val="24"/>
          <w:lang w:val="en-US"/>
        </w:rPr>
        <w:t xml:space="preserve"> 2012; </w:t>
      </w:r>
      <w:r w:rsidRPr="000A7851">
        <w:rPr>
          <w:rFonts w:ascii="Book Antiqua" w:hAnsi="Book Antiqua"/>
          <w:b/>
          <w:sz w:val="24"/>
          <w:szCs w:val="24"/>
          <w:lang w:val="en-US"/>
        </w:rPr>
        <w:t>47</w:t>
      </w:r>
      <w:r w:rsidRPr="000A7851">
        <w:rPr>
          <w:rFonts w:ascii="Book Antiqua" w:hAnsi="Book Antiqua"/>
          <w:sz w:val="24"/>
          <w:szCs w:val="24"/>
          <w:lang w:val="en-US"/>
        </w:rPr>
        <w:t>: 636-641 [PMID: 22917640 DOI: 10.1016/j.ejps.2012.08.001]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5 </w:t>
      </w:r>
      <w:r w:rsidRPr="000A7851">
        <w:rPr>
          <w:rFonts w:ascii="Book Antiqua" w:hAnsi="Book Antiqua"/>
          <w:b/>
          <w:sz w:val="24"/>
          <w:szCs w:val="24"/>
          <w:lang w:val="en-US"/>
        </w:rPr>
        <w:t>Sherwin CM</w:t>
      </w:r>
      <w:r w:rsidRPr="000A7851">
        <w:rPr>
          <w:rFonts w:ascii="Book Antiqua" w:hAnsi="Book Antiqua"/>
          <w:sz w:val="24"/>
          <w:szCs w:val="24"/>
          <w:lang w:val="en-US"/>
        </w:rPr>
        <w:t xml:space="preserve">, Fukuda T, Brunner HI, Goebel J, </w:t>
      </w:r>
      <w:proofErr w:type="spellStart"/>
      <w:r w:rsidRPr="000A7851">
        <w:rPr>
          <w:rFonts w:ascii="Book Antiqua" w:hAnsi="Book Antiqua"/>
          <w:sz w:val="24"/>
          <w:szCs w:val="24"/>
          <w:lang w:val="en-US"/>
        </w:rPr>
        <w:t>Vinks</w:t>
      </w:r>
      <w:proofErr w:type="spellEnd"/>
      <w:r w:rsidRPr="000A7851">
        <w:rPr>
          <w:rFonts w:ascii="Book Antiqua" w:hAnsi="Book Antiqua"/>
          <w:sz w:val="24"/>
          <w:szCs w:val="24"/>
          <w:lang w:val="en-US"/>
        </w:rPr>
        <w:t xml:space="preserve"> AA. </w:t>
      </w:r>
      <w:proofErr w:type="gramStart"/>
      <w:r w:rsidRPr="000A7851">
        <w:rPr>
          <w:rFonts w:ascii="Book Antiqua" w:hAnsi="Book Antiqua"/>
          <w:sz w:val="24"/>
          <w:szCs w:val="24"/>
          <w:lang w:val="en-US"/>
        </w:rPr>
        <w:t>The evolution of population pharmacokinetic models to describe the enterohepatic recycling of mycophenolic acid in solid organ transplantation and autoimmune disease.</w:t>
      </w:r>
      <w:proofErr w:type="gramEnd"/>
      <w:r w:rsidRPr="000A7851">
        <w:rPr>
          <w:rFonts w:ascii="Book Antiqua" w:hAnsi="Book Antiqua"/>
          <w:sz w:val="24"/>
          <w:szCs w:val="24"/>
          <w:lang w:val="en-US"/>
        </w:rPr>
        <w:t xml:space="preserve">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Pharmacokinet</w:t>
      </w:r>
      <w:proofErr w:type="spellEnd"/>
      <w:r w:rsidRPr="000A7851">
        <w:rPr>
          <w:rFonts w:ascii="Book Antiqua" w:hAnsi="Book Antiqua"/>
          <w:sz w:val="24"/>
          <w:szCs w:val="24"/>
          <w:lang w:val="en-US"/>
        </w:rPr>
        <w:t xml:space="preserve"> 2011; </w:t>
      </w:r>
      <w:r w:rsidRPr="000A7851">
        <w:rPr>
          <w:rFonts w:ascii="Book Antiqua" w:hAnsi="Book Antiqua"/>
          <w:b/>
          <w:sz w:val="24"/>
          <w:szCs w:val="24"/>
          <w:lang w:val="en-US"/>
        </w:rPr>
        <w:t>50</w:t>
      </w:r>
      <w:r w:rsidRPr="000A7851">
        <w:rPr>
          <w:rFonts w:ascii="Book Antiqua" w:hAnsi="Book Antiqua"/>
          <w:sz w:val="24"/>
          <w:szCs w:val="24"/>
          <w:lang w:val="en-US"/>
        </w:rPr>
        <w:t>: 1-24 [PMID: 21142265 DOI: 10.2165/11536640-000000000-00000]</w:t>
      </w:r>
    </w:p>
    <w:p w:rsidR="00481EB8" w:rsidRPr="000A7851" w:rsidRDefault="00481EB8" w:rsidP="005F021A">
      <w:pPr>
        <w:snapToGrid w:val="0"/>
        <w:spacing w:after="0" w:line="360" w:lineRule="auto"/>
        <w:jc w:val="both"/>
        <w:rPr>
          <w:rFonts w:ascii="Book Antiqua" w:hAnsi="Book Antiqua"/>
          <w:sz w:val="24"/>
          <w:szCs w:val="24"/>
          <w:lang w:val="en-US"/>
        </w:rPr>
      </w:pPr>
      <w:proofErr w:type="gramStart"/>
      <w:r w:rsidRPr="000A7851">
        <w:rPr>
          <w:rFonts w:ascii="Book Antiqua" w:hAnsi="Book Antiqua"/>
          <w:sz w:val="24"/>
          <w:szCs w:val="24"/>
          <w:lang w:val="en-US"/>
        </w:rPr>
        <w:t xml:space="preserve">6 </w:t>
      </w:r>
      <w:r w:rsidRPr="000A7851">
        <w:rPr>
          <w:rFonts w:ascii="Book Antiqua" w:hAnsi="Book Antiqua"/>
          <w:b/>
          <w:sz w:val="24"/>
          <w:szCs w:val="24"/>
          <w:lang w:val="en-US"/>
        </w:rPr>
        <w:t>Joy MS</w:t>
      </w:r>
      <w:r w:rsidRPr="000A7851">
        <w:rPr>
          <w:rFonts w:ascii="Book Antiqua" w:hAnsi="Book Antiqua"/>
          <w:sz w:val="24"/>
          <w:szCs w:val="24"/>
          <w:lang w:val="en-US"/>
        </w:rPr>
        <w:t xml:space="preserve">, Hogan SL, </w:t>
      </w:r>
      <w:proofErr w:type="spellStart"/>
      <w:r w:rsidRPr="000A7851">
        <w:rPr>
          <w:rFonts w:ascii="Book Antiqua" w:hAnsi="Book Antiqua"/>
          <w:sz w:val="24"/>
          <w:szCs w:val="24"/>
          <w:lang w:val="en-US"/>
        </w:rPr>
        <w:t>Jennette</w:t>
      </w:r>
      <w:proofErr w:type="spellEnd"/>
      <w:r w:rsidRPr="000A7851">
        <w:rPr>
          <w:rFonts w:ascii="Book Antiqua" w:hAnsi="Book Antiqua"/>
          <w:sz w:val="24"/>
          <w:szCs w:val="24"/>
          <w:lang w:val="en-US"/>
        </w:rPr>
        <w:t xml:space="preserve"> JC, Falk RJ, </w:t>
      </w:r>
      <w:proofErr w:type="spellStart"/>
      <w:r w:rsidRPr="000A7851">
        <w:rPr>
          <w:rFonts w:ascii="Book Antiqua" w:hAnsi="Book Antiqua"/>
          <w:sz w:val="24"/>
          <w:szCs w:val="24"/>
          <w:lang w:val="en-US"/>
        </w:rPr>
        <w:t>Nachman</w:t>
      </w:r>
      <w:proofErr w:type="spellEnd"/>
      <w:r w:rsidRPr="000A7851">
        <w:rPr>
          <w:rFonts w:ascii="Book Antiqua" w:hAnsi="Book Antiqua"/>
          <w:sz w:val="24"/>
          <w:szCs w:val="24"/>
          <w:lang w:val="en-US"/>
        </w:rPr>
        <w:t xml:space="preserve"> PH.</w:t>
      </w:r>
      <w:proofErr w:type="gramEnd"/>
      <w:r w:rsidRPr="000A7851">
        <w:rPr>
          <w:rFonts w:ascii="Book Antiqua" w:hAnsi="Book Antiqua"/>
          <w:sz w:val="24"/>
          <w:szCs w:val="24"/>
          <w:lang w:val="en-US"/>
        </w:rPr>
        <w:t xml:space="preserve"> </w:t>
      </w:r>
      <w:proofErr w:type="gramStart"/>
      <w:r w:rsidRPr="000A7851">
        <w:rPr>
          <w:rFonts w:ascii="Book Antiqua" w:hAnsi="Book Antiqua"/>
          <w:sz w:val="24"/>
          <w:szCs w:val="24"/>
          <w:lang w:val="en-US"/>
        </w:rPr>
        <w:t>A pilot study using mycophenolate mofetil in relapsing or resistant ANCA small vessel vasculitis.</w:t>
      </w:r>
      <w:proofErr w:type="gramEnd"/>
      <w:r w:rsidRPr="000A7851">
        <w:rPr>
          <w:rFonts w:ascii="Book Antiqua" w:hAnsi="Book Antiqua"/>
          <w:sz w:val="24"/>
          <w:szCs w:val="24"/>
          <w:lang w:val="en-US"/>
        </w:rPr>
        <w:t xml:space="preserve">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2005; </w:t>
      </w:r>
      <w:r w:rsidRPr="000A7851">
        <w:rPr>
          <w:rFonts w:ascii="Book Antiqua" w:hAnsi="Book Antiqua"/>
          <w:b/>
          <w:sz w:val="24"/>
          <w:szCs w:val="24"/>
          <w:lang w:val="en-US"/>
        </w:rPr>
        <w:t>20</w:t>
      </w:r>
      <w:r w:rsidRPr="000A7851">
        <w:rPr>
          <w:rFonts w:ascii="Book Antiqua" w:hAnsi="Book Antiqua"/>
          <w:sz w:val="24"/>
          <w:szCs w:val="24"/>
          <w:lang w:val="en-US"/>
        </w:rPr>
        <w:t>: 2725-2732 [PMID: 16188901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/gfi117]</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7 </w:t>
      </w:r>
      <w:r w:rsidRPr="000A7851">
        <w:rPr>
          <w:rFonts w:ascii="Book Antiqua" w:hAnsi="Book Antiqua"/>
          <w:b/>
          <w:sz w:val="24"/>
          <w:szCs w:val="24"/>
          <w:lang w:val="en-US"/>
        </w:rPr>
        <w:t>Hu W</w:t>
      </w:r>
      <w:r w:rsidRPr="000A7851">
        <w:rPr>
          <w:rFonts w:ascii="Book Antiqua" w:hAnsi="Book Antiqua"/>
          <w:sz w:val="24"/>
          <w:szCs w:val="24"/>
          <w:lang w:val="en-US"/>
        </w:rPr>
        <w:t xml:space="preserve">, Liu C, </w:t>
      </w:r>
      <w:proofErr w:type="spellStart"/>
      <w:r w:rsidRPr="000A7851">
        <w:rPr>
          <w:rFonts w:ascii="Book Antiqua" w:hAnsi="Book Antiqua"/>
          <w:sz w:val="24"/>
          <w:szCs w:val="24"/>
          <w:lang w:val="en-US"/>
        </w:rPr>
        <w:t>Xie</w:t>
      </w:r>
      <w:proofErr w:type="spellEnd"/>
      <w:r w:rsidRPr="000A7851">
        <w:rPr>
          <w:rFonts w:ascii="Book Antiqua" w:hAnsi="Book Antiqua"/>
          <w:sz w:val="24"/>
          <w:szCs w:val="24"/>
          <w:lang w:val="en-US"/>
        </w:rPr>
        <w:t xml:space="preserve"> H, Chen H, Liu Z, Li L. Mycophenolate mofetil versus cyclophosphamide for inducing remission of ANCA vasculitis with moderate renal </w:t>
      </w:r>
      <w:r w:rsidRPr="000A7851">
        <w:rPr>
          <w:rFonts w:ascii="Book Antiqua" w:hAnsi="Book Antiqua"/>
          <w:sz w:val="24"/>
          <w:szCs w:val="24"/>
          <w:lang w:val="en-US"/>
        </w:rPr>
        <w:lastRenderedPageBreak/>
        <w:t xml:space="preserve">involvement.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2008; </w:t>
      </w:r>
      <w:r w:rsidRPr="000A7851">
        <w:rPr>
          <w:rFonts w:ascii="Book Antiqua" w:hAnsi="Book Antiqua"/>
          <w:b/>
          <w:sz w:val="24"/>
          <w:szCs w:val="24"/>
          <w:lang w:val="en-US"/>
        </w:rPr>
        <w:t>23</w:t>
      </w:r>
      <w:r w:rsidRPr="000A7851">
        <w:rPr>
          <w:rFonts w:ascii="Book Antiqua" w:hAnsi="Book Antiqua"/>
          <w:sz w:val="24"/>
          <w:szCs w:val="24"/>
          <w:lang w:val="en-US"/>
        </w:rPr>
        <w:t>: 1307-1312 [PMID: 18065810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/gfm780]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8 </w:t>
      </w:r>
      <w:r w:rsidRPr="000A7851">
        <w:rPr>
          <w:rFonts w:ascii="Book Antiqua" w:hAnsi="Book Antiqua"/>
          <w:b/>
          <w:sz w:val="24"/>
          <w:szCs w:val="24"/>
          <w:lang w:val="en-US"/>
        </w:rPr>
        <w:t>Han F</w:t>
      </w:r>
      <w:r w:rsidRPr="000A7851">
        <w:rPr>
          <w:rFonts w:ascii="Book Antiqua" w:hAnsi="Book Antiqua"/>
          <w:sz w:val="24"/>
          <w:szCs w:val="24"/>
          <w:lang w:val="en-US"/>
        </w:rPr>
        <w:t xml:space="preserve">, Liu G, Zhang X, Li X, He Q, He X, Li Q, Wang S, Wang H, Chen J. Effects of mycophenolate mofetil combined with corticosteroids for induction therapy of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Am J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2011; </w:t>
      </w:r>
      <w:r w:rsidRPr="000A7851">
        <w:rPr>
          <w:rFonts w:ascii="Book Antiqua" w:hAnsi="Book Antiqua"/>
          <w:b/>
          <w:sz w:val="24"/>
          <w:szCs w:val="24"/>
          <w:lang w:val="en-US"/>
        </w:rPr>
        <w:t>33</w:t>
      </w:r>
      <w:r w:rsidRPr="000A7851">
        <w:rPr>
          <w:rFonts w:ascii="Book Antiqua" w:hAnsi="Book Antiqua"/>
          <w:sz w:val="24"/>
          <w:szCs w:val="24"/>
          <w:lang w:val="en-US"/>
        </w:rPr>
        <w:t>: 185-192 [PMID: 21311184 DOI: 10.1159/000324364]</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9 </w:t>
      </w:r>
      <w:r w:rsidRPr="000A7851">
        <w:rPr>
          <w:rFonts w:ascii="Book Antiqua" w:hAnsi="Book Antiqua"/>
          <w:b/>
          <w:sz w:val="24"/>
          <w:szCs w:val="24"/>
          <w:lang w:val="en-US"/>
        </w:rPr>
        <w:t>Jones RB</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Hiemstra</w:t>
      </w:r>
      <w:proofErr w:type="spellEnd"/>
      <w:r w:rsidRPr="000A7851">
        <w:rPr>
          <w:rFonts w:ascii="Book Antiqua" w:hAnsi="Book Antiqua"/>
          <w:sz w:val="24"/>
          <w:szCs w:val="24"/>
          <w:lang w:val="en-US"/>
        </w:rPr>
        <w:t xml:space="preserve"> TF, </w:t>
      </w:r>
      <w:proofErr w:type="spellStart"/>
      <w:r w:rsidRPr="000A7851">
        <w:rPr>
          <w:rFonts w:ascii="Book Antiqua" w:hAnsi="Book Antiqua"/>
          <w:sz w:val="24"/>
          <w:szCs w:val="24"/>
          <w:lang w:val="en-US"/>
        </w:rPr>
        <w:t>Ballarin</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Blockmans</w:t>
      </w:r>
      <w:proofErr w:type="spellEnd"/>
      <w:r w:rsidRPr="000A7851">
        <w:rPr>
          <w:rFonts w:ascii="Book Antiqua" w:hAnsi="Book Antiqua"/>
          <w:sz w:val="24"/>
          <w:szCs w:val="24"/>
          <w:lang w:val="en-US"/>
        </w:rPr>
        <w:t xml:space="preserve"> DE, Brogan P, </w:t>
      </w:r>
      <w:proofErr w:type="spellStart"/>
      <w:r w:rsidRPr="000A7851">
        <w:rPr>
          <w:rFonts w:ascii="Book Antiqua" w:hAnsi="Book Antiqua"/>
          <w:sz w:val="24"/>
          <w:szCs w:val="24"/>
          <w:lang w:val="en-US"/>
        </w:rPr>
        <w:t>Bruchfeld</w:t>
      </w:r>
      <w:proofErr w:type="spellEnd"/>
      <w:r w:rsidRPr="000A7851">
        <w:rPr>
          <w:rFonts w:ascii="Book Antiqua" w:hAnsi="Book Antiqua"/>
          <w:sz w:val="24"/>
          <w:szCs w:val="24"/>
          <w:lang w:val="en-US"/>
        </w:rPr>
        <w:t xml:space="preserve"> A, Cid MC, </w:t>
      </w:r>
      <w:proofErr w:type="spellStart"/>
      <w:r w:rsidRPr="000A7851">
        <w:rPr>
          <w:rFonts w:ascii="Book Antiqua" w:hAnsi="Book Antiqua"/>
          <w:sz w:val="24"/>
          <w:szCs w:val="24"/>
          <w:lang w:val="en-US"/>
        </w:rPr>
        <w:t>Dahlsveen</w:t>
      </w:r>
      <w:proofErr w:type="spellEnd"/>
      <w:r w:rsidRPr="000A7851">
        <w:rPr>
          <w:rFonts w:ascii="Book Antiqua" w:hAnsi="Book Antiqua"/>
          <w:sz w:val="24"/>
          <w:szCs w:val="24"/>
          <w:lang w:val="en-US"/>
        </w:rPr>
        <w:t xml:space="preserve"> K, de </w:t>
      </w:r>
      <w:proofErr w:type="spellStart"/>
      <w:r w:rsidRPr="000A7851">
        <w:rPr>
          <w:rFonts w:ascii="Book Antiqua" w:hAnsi="Book Antiqua"/>
          <w:sz w:val="24"/>
          <w:szCs w:val="24"/>
          <w:lang w:val="en-US"/>
        </w:rPr>
        <w:t>Zoysa</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Espigol-Frigolé</w:t>
      </w:r>
      <w:proofErr w:type="spellEnd"/>
      <w:r w:rsidRPr="000A7851">
        <w:rPr>
          <w:rFonts w:ascii="Book Antiqua" w:hAnsi="Book Antiqua"/>
          <w:sz w:val="24"/>
          <w:szCs w:val="24"/>
          <w:lang w:val="en-US"/>
        </w:rPr>
        <w:t xml:space="preserve"> G, Lanyon P, </w:t>
      </w:r>
      <w:proofErr w:type="spellStart"/>
      <w:r w:rsidRPr="000A7851">
        <w:rPr>
          <w:rFonts w:ascii="Book Antiqua" w:hAnsi="Book Antiqua"/>
          <w:sz w:val="24"/>
          <w:szCs w:val="24"/>
          <w:lang w:val="en-US"/>
        </w:rPr>
        <w:t>Peh</w:t>
      </w:r>
      <w:proofErr w:type="spellEnd"/>
      <w:r w:rsidRPr="000A7851">
        <w:rPr>
          <w:rFonts w:ascii="Book Antiqua" w:hAnsi="Book Antiqua"/>
          <w:sz w:val="24"/>
          <w:szCs w:val="24"/>
          <w:lang w:val="en-US"/>
        </w:rPr>
        <w:t xml:space="preserve"> CA,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Vaglio</w:t>
      </w:r>
      <w:proofErr w:type="spellEnd"/>
      <w:r w:rsidRPr="000A7851">
        <w:rPr>
          <w:rFonts w:ascii="Book Antiqua" w:hAnsi="Book Antiqua"/>
          <w:sz w:val="24"/>
          <w:szCs w:val="24"/>
          <w:lang w:val="en-US"/>
        </w:rPr>
        <w:t xml:space="preserve"> A, Walsh M, Walsh D, Walters G, Harper L, Jayne D; European Vasculitis Study Group (EUVAS). Mycophenolate mofetil versus cyclophosphamide for remission induction in ANCA-associated </w:t>
      </w:r>
      <w:proofErr w:type="spellStart"/>
      <w:r w:rsidRPr="000A7851">
        <w:rPr>
          <w:rFonts w:ascii="Book Antiqua" w:hAnsi="Book Antiqua"/>
          <w:sz w:val="24"/>
          <w:szCs w:val="24"/>
          <w:lang w:val="en-US"/>
        </w:rPr>
        <w:t>vasculitis</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randomised</w:t>
      </w:r>
      <w:proofErr w:type="spellEnd"/>
      <w:r w:rsidRPr="000A7851">
        <w:rPr>
          <w:rFonts w:ascii="Book Antiqua" w:hAnsi="Book Antiqua"/>
          <w:sz w:val="24"/>
          <w:szCs w:val="24"/>
          <w:lang w:val="en-US"/>
        </w:rPr>
        <w:t xml:space="preserve">, non-inferiority trial.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2019; </w:t>
      </w:r>
      <w:r w:rsidRPr="000A7851">
        <w:rPr>
          <w:rFonts w:ascii="Book Antiqua" w:hAnsi="Book Antiqua"/>
          <w:b/>
          <w:sz w:val="24"/>
          <w:szCs w:val="24"/>
          <w:lang w:val="en-US"/>
        </w:rPr>
        <w:t>78</w:t>
      </w:r>
      <w:r w:rsidRPr="000A7851">
        <w:rPr>
          <w:rFonts w:ascii="Book Antiqua" w:hAnsi="Book Antiqua"/>
          <w:sz w:val="24"/>
          <w:szCs w:val="24"/>
          <w:lang w:val="en-US"/>
        </w:rPr>
        <w:t>: 399-405 [PMID: 30612116 DOI: 10.1136/annrheumdis-2018-214245]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10 </w:t>
      </w:r>
      <w:proofErr w:type="spellStart"/>
      <w:r w:rsidRPr="000A7851">
        <w:rPr>
          <w:rFonts w:ascii="Book Antiqua" w:hAnsi="Book Antiqua"/>
          <w:b/>
          <w:sz w:val="24"/>
          <w:szCs w:val="24"/>
          <w:lang w:val="en-US"/>
        </w:rPr>
        <w:t>Nowack</w:t>
      </w:r>
      <w:proofErr w:type="spellEnd"/>
      <w:r w:rsidRPr="000A7851">
        <w:rPr>
          <w:rFonts w:ascii="Book Antiqua" w:hAnsi="Book Antiqua"/>
          <w:b/>
          <w:sz w:val="24"/>
          <w:szCs w:val="24"/>
          <w:lang w:val="en-US"/>
        </w:rPr>
        <w:t xml:space="preserve"> R</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Göbel</w:t>
      </w:r>
      <w:proofErr w:type="spellEnd"/>
      <w:r w:rsidRPr="000A7851">
        <w:rPr>
          <w:rFonts w:ascii="Book Antiqua" w:hAnsi="Book Antiqua"/>
          <w:sz w:val="24"/>
          <w:szCs w:val="24"/>
          <w:lang w:val="en-US"/>
        </w:rPr>
        <w:t xml:space="preserve"> U, </w:t>
      </w:r>
      <w:proofErr w:type="spellStart"/>
      <w:r w:rsidRPr="000A7851">
        <w:rPr>
          <w:rFonts w:ascii="Book Antiqua" w:hAnsi="Book Antiqua"/>
          <w:sz w:val="24"/>
          <w:szCs w:val="24"/>
          <w:lang w:val="en-US"/>
        </w:rPr>
        <w:t>Klooker</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Hergesell</w:t>
      </w:r>
      <w:proofErr w:type="spellEnd"/>
      <w:r w:rsidRPr="000A7851">
        <w:rPr>
          <w:rFonts w:ascii="Book Antiqua" w:hAnsi="Book Antiqua"/>
          <w:sz w:val="24"/>
          <w:szCs w:val="24"/>
          <w:lang w:val="en-US"/>
        </w:rPr>
        <w:t xml:space="preserve"> O, Andrassy K, van der </w:t>
      </w:r>
      <w:proofErr w:type="spellStart"/>
      <w:r w:rsidRPr="000A7851">
        <w:rPr>
          <w:rFonts w:ascii="Book Antiqua" w:hAnsi="Book Antiqua"/>
          <w:sz w:val="24"/>
          <w:szCs w:val="24"/>
          <w:lang w:val="en-US"/>
        </w:rPr>
        <w:t>Woude</w:t>
      </w:r>
      <w:proofErr w:type="spellEnd"/>
      <w:r w:rsidRPr="000A7851">
        <w:rPr>
          <w:rFonts w:ascii="Book Antiqua" w:hAnsi="Book Antiqua"/>
          <w:sz w:val="24"/>
          <w:szCs w:val="24"/>
          <w:lang w:val="en-US"/>
        </w:rPr>
        <w:t xml:space="preserve"> FJ. Mycophenolate mofetil for maintenance therapy of Wegener's </w:t>
      </w:r>
      <w:proofErr w:type="spellStart"/>
      <w:r w:rsidRPr="000A7851">
        <w:rPr>
          <w:rFonts w:ascii="Book Antiqua" w:hAnsi="Book Antiqua"/>
          <w:sz w:val="24"/>
          <w:szCs w:val="24"/>
          <w:lang w:val="en-US"/>
        </w:rPr>
        <w:t>granulomatosis</w:t>
      </w:r>
      <w:proofErr w:type="spellEnd"/>
      <w:r w:rsidRPr="000A7851">
        <w:rPr>
          <w:rFonts w:ascii="Book Antiqua" w:hAnsi="Book Antiqua"/>
          <w:sz w:val="24"/>
          <w:szCs w:val="24"/>
          <w:lang w:val="en-US"/>
        </w:rPr>
        <w:t xml:space="preserve"> and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a pilot study in 11 patients with renal involvement. </w:t>
      </w:r>
      <w:r w:rsidRPr="000A7851">
        <w:rPr>
          <w:rFonts w:ascii="Book Antiqua" w:hAnsi="Book Antiqua"/>
          <w:i/>
          <w:sz w:val="24"/>
          <w:szCs w:val="24"/>
          <w:lang w:val="en-US"/>
        </w:rPr>
        <w:t xml:space="preserve">J Am </w:t>
      </w:r>
      <w:proofErr w:type="spellStart"/>
      <w:r w:rsidRPr="000A7851">
        <w:rPr>
          <w:rFonts w:ascii="Book Antiqua" w:hAnsi="Book Antiqua"/>
          <w:i/>
          <w:sz w:val="24"/>
          <w:szCs w:val="24"/>
          <w:lang w:val="en-US"/>
        </w:rPr>
        <w:t>Soc</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1999; </w:t>
      </w:r>
      <w:r w:rsidRPr="000A7851">
        <w:rPr>
          <w:rFonts w:ascii="Book Antiqua" w:hAnsi="Book Antiqua"/>
          <w:b/>
          <w:sz w:val="24"/>
          <w:szCs w:val="24"/>
          <w:lang w:val="en-US"/>
        </w:rPr>
        <w:t>10</w:t>
      </w:r>
      <w:r w:rsidRPr="000A7851">
        <w:rPr>
          <w:rFonts w:ascii="Book Antiqua" w:hAnsi="Book Antiqua"/>
          <w:sz w:val="24"/>
          <w:szCs w:val="24"/>
          <w:lang w:val="en-US"/>
        </w:rPr>
        <w:t>: 1965-1971 [PMID: 10477149]</w:t>
      </w:r>
    </w:p>
    <w:p w:rsidR="00481EB8" w:rsidRPr="000A7851" w:rsidRDefault="00481EB8" w:rsidP="005F021A">
      <w:pPr>
        <w:snapToGrid w:val="0"/>
        <w:spacing w:after="0" w:line="360" w:lineRule="auto"/>
        <w:jc w:val="both"/>
        <w:rPr>
          <w:rFonts w:ascii="Book Antiqua" w:hAnsi="Book Antiqua"/>
          <w:sz w:val="24"/>
          <w:szCs w:val="24"/>
          <w:lang w:val="en-US"/>
        </w:rPr>
      </w:pPr>
      <w:proofErr w:type="gramStart"/>
      <w:r w:rsidRPr="000A7851">
        <w:rPr>
          <w:rFonts w:ascii="Book Antiqua" w:hAnsi="Book Antiqua"/>
          <w:sz w:val="24"/>
          <w:szCs w:val="24"/>
          <w:lang w:val="en-US"/>
        </w:rPr>
        <w:t xml:space="preserve">11 </w:t>
      </w:r>
      <w:r w:rsidRPr="000A7851">
        <w:rPr>
          <w:rFonts w:ascii="Book Antiqua" w:hAnsi="Book Antiqua"/>
          <w:b/>
          <w:sz w:val="24"/>
          <w:szCs w:val="24"/>
          <w:lang w:val="en-US"/>
        </w:rPr>
        <w:t>Langford CA</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Talar</w:t>
      </w:r>
      <w:proofErr w:type="spellEnd"/>
      <w:r w:rsidRPr="000A7851">
        <w:rPr>
          <w:rFonts w:ascii="Book Antiqua" w:hAnsi="Book Antiqua"/>
          <w:sz w:val="24"/>
          <w:szCs w:val="24"/>
          <w:lang w:val="en-US"/>
        </w:rPr>
        <w:t xml:space="preserve">-Williams C, </w:t>
      </w:r>
      <w:proofErr w:type="spellStart"/>
      <w:r w:rsidRPr="000A7851">
        <w:rPr>
          <w:rFonts w:ascii="Book Antiqua" w:hAnsi="Book Antiqua"/>
          <w:sz w:val="24"/>
          <w:szCs w:val="24"/>
          <w:lang w:val="en-US"/>
        </w:rPr>
        <w:t>Sneller</w:t>
      </w:r>
      <w:proofErr w:type="spellEnd"/>
      <w:r w:rsidRPr="000A7851">
        <w:rPr>
          <w:rFonts w:ascii="Book Antiqua" w:hAnsi="Book Antiqua"/>
          <w:sz w:val="24"/>
          <w:szCs w:val="24"/>
          <w:lang w:val="en-US"/>
        </w:rPr>
        <w:t xml:space="preserve"> MC. Mycophenolate mofetil for remission maintenance in the treatment of Wegener's granulomatosis.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Arthritis Rheum</w:t>
      </w:r>
      <w:r w:rsidRPr="000A7851">
        <w:rPr>
          <w:rFonts w:ascii="Book Antiqua" w:hAnsi="Book Antiqua"/>
          <w:sz w:val="24"/>
          <w:szCs w:val="24"/>
          <w:lang w:val="en-US"/>
        </w:rPr>
        <w:t xml:space="preserve"> 2004; </w:t>
      </w:r>
      <w:r w:rsidRPr="000A7851">
        <w:rPr>
          <w:rFonts w:ascii="Book Antiqua" w:hAnsi="Book Antiqua"/>
          <w:b/>
          <w:sz w:val="24"/>
          <w:szCs w:val="24"/>
          <w:lang w:val="en-US"/>
        </w:rPr>
        <w:t>51</w:t>
      </w:r>
      <w:r w:rsidRPr="000A7851">
        <w:rPr>
          <w:rFonts w:ascii="Book Antiqua" w:hAnsi="Book Antiqua"/>
          <w:sz w:val="24"/>
          <w:szCs w:val="24"/>
          <w:lang w:val="en-US"/>
        </w:rPr>
        <w:t>: 278-283 [PMID: 15077273 DOI: 10.1002/art.20240]</w:t>
      </w:r>
    </w:p>
    <w:p w:rsidR="00481EB8" w:rsidRPr="000A7851" w:rsidRDefault="00481EB8" w:rsidP="005F021A">
      <w:pPr>
        <w:snapToGrid w:val="0"/>
        <w:spacing w:after="0" w:line="360" w:lineRule="auto"/>
        <w:jc w:val="both"/>
        <w:rPr>
          <w:rFonts w:ascii="Book Antiqua" w:hAnsi="Book Antiqua"/>
          <w:sz w:val="24"/>
          <w:szCs w:val="24"/>
          <w:lang w:val="en-US"/>
        </w:rPr>
      </w:pPr>
      <w:proofErr w:type="gramStart"/>
      <w:r w:rsidRPr="000A7851">
        <w:rPr>
          <w:rFonts w:ascii="Book Antiqua" w:hAnsi="Book Antiqua"/>
          <w:sz w:val="24"/>
          <w:szCs w:val="24"/>
          <w:lang w:val="en-US"/>
        </w:rPr>
        <w:t xml:space="preserve">12 </w:t>
      </w:r>
      <w:r w:rsidRPr="000A7851">
        <w:rPr>
          <w:rFonts w:ascii="Book Antiqua" w:hAnsi="Book Antiqua"/>
          <w:b/>
          <w:sz w:val="24"/>
          <w:szCs w:val="24"/>
          <w:lang w:val="en-US"/>
        </w:rPr>
        <w:t>Koukoulaki M</w:t>
      </w:r>
      <w:r w:rsidRPr="000A7851">
        <w:rPr>
          <w:rFonts w:ascii="Book Antiqua" w:hAnsi="Book Antiqua"/>
          <w:sz w:val="24"/>
          <w:szCs w:val="24"/>
          <w:lang w:val="en-US"/>
        </w:rPr>
        <w:t>, Jayne DR. Mycophenolate mofetil in anti-neutrophil cytoplasm antibodies-associated systemic vasculitis.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Nephron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Pract</w:t>
      </w:r>
      <w:proofErr w:type="spellEnd"/>
      <w:r w:rsidRPr="000A7851">
        <w:rPr>
          <w:rFonts w:ascii="Book Antiqua" w:hAnsi="Book Antiqua"/>
          <w:sz w:val="24"/>
          <w:szCs w:val="24"/>
          <w:lang w:val="en-US"/>
        </w:rPr>
        <w:t xml:space="preserve"> 2006; </w:t>
      </w:r>
      <w:r w:rsidRPr="000A7851">
        <w:rPr>
          <w:rFonts w:ascii="Book Antiqua" w:hAnsi="Book Antiqua"/>
          <w:b/>
          <w:sz w:val="24"/>
          <w:szCs w:val="24"/>
          <w:lang w:val="en-US"/>
        </w:rPr>
        <w:t>102</w:t>
      </w:r>
      <w:r w:rsidRPr="000A7851">
        <w:rPr>
          <w:rFonts w:ascii="Book Antiqua" w:hAnsi="Book Antiqua"/>
          <w:sz w:val="24"/>
          <w:szCs w:val="24"/>
          <w:lang w:val="en-US"/>
        </w:rPr>
        <w:t>: c100-c107 [PMID: 16286784 DOI: 10.1159/000089667]</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13 </w:t>
      </w:r>
      <w:proofErr w:type="spellStart"/>
      <w:r w:rsidRPr="000A7851">
        <w:rPr>
          <w:rFonts w:ascii="Book Antiqua" w:hAnsi="Book Antiqua"/>
          <w:b/>
          <w:sz w:val="24"/>
          <w:szCs w:val="24"/>
          <w:lang w:val="en-US"/>
        </w:rPr>
        <w:t>Iatrou</w:t>
      </w:r>
      <w:proofErr w:type="spellEnd"/>
      <w:r w:rsidRPr="000A7851">
        <w:rPr>
          <w:rFonts w:ascii="Book Antiqua" w:hAnsi="Book Antiqua"/>
          <w:b/>
          <w:sz w:val="24"/>
          <w:szCs w:val="24"/>
          <w:lang w:val="en-US"/>
        </w:rPr>
        <w:t xml:space="preserve"> C</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Zerbala</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Revela</w:t>
      </w:r>
      <w:proofErr w:type="spellEnd"/>
      <w:r w:rsidRPr="000A7851">
        <w:rPr>
          <w:rFonts w:ascii="Book Antiqua" w:hAnsi="Book Antiqua"/>
          <w:sz w:val="24"/>
          <w:szCs w:val="24"/>
          <w:lang w:val="en-US"/>
        </w:rPr>
        <w:t xml:space="preserve"> I, </w:t>
      </w:r>
      <w:proofErr w:type="spellStart"/>
      <w:r w:rsidRPr="000A7851">
        <w:rPr>
          <w:rFonts w:ascii="Book Antiqua" w:hAnsi="Book Antiqua"/>
          <w:sz w:val="24"/>
          <w:szCs w:val="24"/>
          <w:lang w:val="en-US"/>
        </w:rPr>
        <w:t>Spanou</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Marinaki</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Nakopoulou</w:t>
      </w:r>
      <w:proofErr w:type="spellEnd"/>
      <w:r w:rsidRPr="000A7851">
        <w:rPr>
          <w:rFonts w:ascii="Book Antiqua" w:hAnsi="Book Antiqua"/>
          <w:sz w:val="24"/>
          <w:szCs w:val="24"/>
          <w:lang w:val="en-US"/>
        </w:rPr>
        <w:t xml:space="preserve"> L, Boletis J. Mycophenolate mofetil as maintenance therapy in patients with vasculitis and renal involvement.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2009; </w:t>
      </w:r>
      <w:r w:rsidRPr="000A7851">
        <w:rPr>
          <w:rFonts w:ascii="Book Antiqua" w:hAnsi="Book Antiqua"/>
          <w:b/>
          <w:sz w:val="24"/>
          <w:szCs w:val="24"/>
          <w:lang w:val="en-US"/>
        </w:rPr>
        <w:t>72</w:t>
      </w:r>
      <w:r w:rsidRPr="000A7851">
        <w:rPr>
          <w:rFonts w:ascii="Book Antiqua" w:hAnsi="Book Antiqua"/>
          <w:sz w:val="24"/>
          <w:szCs w:val="24"/>
          <w:lang w:val="en-US"/>
        </w:rPr>
        <w:t>: 31-37 [PMID: 19640385 DOI: 10.5414/CNP72031]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14 </w:t>
      </w:r>
      <w:proofErr w:type="spellStart"/>
      <w:r w:rsidRPr="000A7851">
        <w:rPr>
          <w:rFonts w:ascii="Book Antiqua" w:hAnsi="Book Antiqua"/>
          <w:b/>
          <w:sz w:val="24"/>
          <w:szCs w:val="24"/>
          <w:lang w:val="en-US"/>
        </w:rPr>
        <w:t>Hiemstra</w:t>
      </w:r>
      <w:proofErr w:type="spellEnd"/>
      <w:r w:rsidRPr="000A7851">
        <w:rPr>
          <w:rFonts w:ascii="Book Antiqua" w:hAnsi="Book Antiqua"/>
          <w:b/>
          <w:sz w:val="24"/>
          <w:szCs w:val="24"/>
          <w:lang w:val="en-US"/>
        </w:rPr>
        <w:t xml:space="preserve"> TF</w:t>
      </w:r>
      <w:r w:rsidRPr="000A7851">
        <w:rPr>
          <w:rFonts w:ascii="Book Antiqua" w:hAnsi="Book Antiqua"/>
          <w:sz w:val="24"/>
          <w:szCs w:val="24"/>
          <w:lang w:val="en-US"/>
        </w:rPr>
        <w:t xml:space="preserve">, Walsh M,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Savage CO, de Groot K, Harper L, Hauser T, Neumann I,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Wissing</w:t>
      </w:r>
      <w:proofErr w:type="spellEnd"/>
      <w:r w:rsidRPr="000A7851">
        <w:rPr>
          <w:rFonts w:ascii="Book Antiqua" w:hAnsi="Book Antiqua"/>
          <w:sz w:val="24"/>
          <w:szCs w:val="24"/>
          <w:lang w:val="en-US"/>
        </w:rPr>
        <w:t xml:space="preserve"> KM, </w:t>
      </w:r>
      <w:proofErr w:type="spellStart"/>
      <w:r w:rsidRPr="000A7851">
        <w:rPr>
          <w:rFonts w:ascii="Book Antiqua" w:hAnsi="Book Antiqua"/>
          <w:sz w:val="24"/>
          <w:szCs w:val="24"/>
          <w:lang w:val="en-US"/>
        </w:rPr>
        <w:t>Pagnoux</w:t>
      </w:r>
      <w:proofErr w:type="spellEnd"/>
      <w:r w:rsidRPr="000A7851">
        <w:rPr>
          <w:rFonts w:ascii="Book Antiqua" w:hAnsi="Book Antiqua"/>
          <w:sz w:val="24"/>
          <w:szCs w:val="24"/>
          <w:lang w:val="en-US"/>
        </w:rPr>
        <w:t xml:space="preserve"> C, Schmitt W, Jayne DR; European Vasculitis Study Group (EUVAS). Mycophenolate mofetil vs azathioprine for remission maintenance in </w:t>
      </w:r>
      <w:proofErr w:type="spellStart"/>
      <w:r w:rsidRPr="000A7851">
        <w:rPr>
          <w:rFonts w:ascii="Book Antiqua" w:hAnsi="Book Antiqua"/>
          <w:sz w:val="24"/>
          <w:szCs w:val="24"/>
          <w:lang w:val="en-US"/>
        </w:rPr>
        <w:t>antineutrophil</w:t>
      </w:r>
      <w:proofErr w:type="spellEnd"/>
      <w:r w:rsidRPr="000A7851">
        <w:rPr>
          <w:rFonts w:ascii="Book Antiqua" w:hAnsi="Book Antiqua"/>
          <w:sz w:val="24"/>
          <w:szCs w:val="24"/>
          <w:lang w:val="en-US"/>
        </w:rPr>
        <w:t xml:space="preserve"> cytoplasmic antibody-associated </w:t>
      </w:r>
      <w:proofErr w:type="spellStart"/>
      <w:r w:rsidRPr="000A7851">
        <w:rPr>
          <w:rFonts w:ascii="Book Antiqua" w:hAnsi="Book Antiqua"/>
          <w:sz w:val="24"/>
          <w:szCs w:val="24"/>
          <w:lang w:val="en-US"/>
        </w:rPr>
        <w:t>vasculitis</w:t>
      </w:r>
      <w:proofErr w:type="spellEnd"/>
      <w:r w:rsidRPr="000A7851">
        <w:rPr>
          <w:rFonts w:ascii="Book Antiqua" w:hAnsi="Book Antiqua"/>
          <w:sz w:val="24"/>
          <w:szCs w:val="24"/>
          <w:lang w:val="en-US"/>
        </w:rPr>
        <w:t xml:space="preserve">: a randomized controlled trial. </w:t>
      </w:r>
      <w:r w:rsidRPr="000A7851">
        <w:rPr>
          <w:rFonts w:ascii="Book Antiqua" w:hAnsi="Book Antiqua"/>
          <w:i/>
          <w:sz w:val="24"/>
          <w:szCs w:val="24"/>
          <w:lang w:val="en-US"/>
        </w:rPr>
        <w:t>JAMA</w:t>
      </w:r>
      <w:r w:rsidRPr="000A7851">
        <w:rPr>
          <w:rFonts w:ascii="Book Antiqua" w:hAnsi="Book Antiqua"/>
          <w:sz w:val="24"/>
          <w:szCs w:val="24"/>
          <w:lang w:val="en-US"/>
        </w:rPr>
        <w:t xml:space="preserve"> 2010; </w:t>
      </w:r>
      <w:r w:rsidRPr="000A7851">
        <w:rPr>
          <w:rFonts w:ascii="Book Antiqua" w:hAnsi="Book Antiqua"/>
          <w:b/>
          <w:sz w:val="24"/>
          <w:szCs w:val="24"/>
          <w:lang w:val="en-US"/>
        </w:rPr>
        <w:t>304</w:t>
      </w:r>
      <w:r w:rsidRPr="000A7851">
        <w:rPr>
          <w:rFonts w:ascii="Book Antiqua" w:hAnsi="Book Antiqua"/>
          <w:sz w:val="24"/>
          <w:szCs w:val="24"/>
          <w:lang w:val="en-US"/>
        </w:rPr>
        <w:t>: 2381-2388 [PMID: 21060104 DOI: 10.1001/jama.2010.1658]</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lastRenderedPageBreak/>
        <w:t xml:space="preserve">15 </w:t>
      </w:r>
      <w:r w:rsidRPr="000A7851">
        <w:rPr>
          <w:rFonts w:ascii="Book Antiqua" w:hAnsi="Book Antiqua"/>
          <w:b/>
          <w:sz w:val="24"/>
          <w:szCs w:val="24"/>
          <w:lang w:val="en-US"/>
        </w:rPr>
        <w:t>Stassen PM</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w:t>
      </w:r>
      <w:proofErr w:type="spellStart"/>
      <w:r w:rsidRPr="000A7851">
        <w:rPr>
          <w:rFonts w:ascii="Book Antiqua" w:hAnsi="Book Antiqua"/>
          <w:sz w:val="24"/>
          <w:szCs w:val="24"/>
          <w:lang w:val="en-US"/>
        </w:rPr>
        <w:t>Stegeman</w:t>
      </w:r>
      <w:proofErr w:type="spellEnd"/>
      <w:r w:rsidRPr="000A7851">
        <w:rPr>
          <w:rFonts w:ascii="Book Antiqua" w:hAnsi="Book Antiqua"/>
          <w:sz w:val="24"/>
          <w:szCs w:val="24"/>
          <w:lang w:val="en-US"/>
        </w:rPr>
        <w:t xml:space="preserve"> CA. Induction of remission in active anti-neutrophil cytoplasmic antibody-associated vasculitis with mycophenolate mofetil in patients who cannot be treated with cyclophosphamide.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2007; </w:t>
      </w:r>
      <w:r w:rsidRPr="000A7851">
        <w:rPr>
          <w:rFonts w:ascii="Book Antiqua" w:hAnsi="Book Antiqua"/>
          <w:b/>
          <w:sz w:val="24"/>
          <w:szCs w:val="24"/>
          <w:lang w:val="en-US"/>
        </w:rPr>
        <w:t>66</w:t>
      </w:r>
      <w:r w:rsidRPr="000A7851">
        <w:rPr>
          <w:rFonts w:ascii="Book Antiqua" w:hAnsi="Book Antiqua"/>
          <w:sz w:val="24"/>
          <w:szCs w:val="24"/>
          <w:lang w:val="en-US"/>
        </w:rPr>
        <w:t>: 798-802 [PMID: 17179175 DOI: 10.1136/ard.2006.060301]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16 </w:t>
      </w:r>
      <w:r w:rsidRPr="000A7851">
        <w:rPr>
          <w:rFonts w:ascii="Book Antiqua" w:hAnsi="Book Antiqua"/>
          <w:b/>
          <w:sz w:val="24"/>
          <w:szCs w:val="24"/>
          <w:lang w:val="en-US"/>
        </w:rPr>
        <w:t>Silva F</w:t>
      </w:r>
      <w:r w:rsidRPr="000A7851">
        <w:rPr>
          <w:rFonts w:ascii="Book Antiqua" w:hAnsi="Book Antiqua"/>
          <w:sz w:val="24"/>
          <w:szCs w:val="24"/>
          <w:lang w:val="en-US"/>
        </w:rPr>
        <w:t xml:space="preserve">, Specks U, </w:t>
      </w:r>
      <w:proofErr w:type="spellStart"/>
      <w:r w:rsidRPr="000A7851">
        <w:rPr>
          <w:rFonts w:ascii="Book Antiqua" w:hAnsi="Book Antiqua"/>
          <w:sz w:val="24"/>
          <w:szCs w:val="24"/>
          <w:lang w:val="en-US"/>
        </w:rPr>
        <w:t>Kalra</w:t>
      </w:r>
      <w:proofErr w:type="spellEnd"/>
      <w:r w:rsidRPr="000A7851">
        <w:rPr>
          <w:rFonts w:ascii="Book Antiqua" w:hAnsi="Book Antiqua"/>
          <w:sz w:val="24"/>
          <w:szCs w:val="24"/>
          <w:lang w:val="en-US"/>
        </w:rPr>
        <w:t xml:space="preserve"> S, Hogan MC, Leung N, </w:t>
      </w:r>
      <w:proofErr w:type="spellStart"/>
      <w:r w:rsidRPr="000A7851">
        <w:rPr>
          <w:rFonts w:ascii="Book Antiqua" w:hAnsi="Book Antiqua"/>
          <w:sz w:val="24"/>
          <w:szCs w:val="24"/>
          <w:lang w:val="en-US"/>
        </w:rPr>
        <w:t>Sethi</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Fervenza</w:t>
      </w:r>
      <w:proofErr w:type="spellEnd"/>
      <w:r w:rsidRPr="000A7851">
        <w:rPr>
          <w:rFonts w:ascii="Book Antiqua" w:hAnsi="Book Antiqua"/>
          <w:sz w:val="24"/>
          <w:szCs w:val="24"/>
          <w:lang w:val="en-US"/>
        </w:rPr>
        <w:t xml:space="preserve"> FC. </w:t>
      </w:r>
      <w:proofErr w:type="gramStart"/>
      <w:r w:rsidRPr="000A7851">
        <w:rPr>
          <w:rFonts w:ascii="Book Antiqua" w:hAnsi="Book Antiqua"/>
          <w:sz w:val="24"/>
          <w:szCs w:val="24"/>
          <w:lang w:val="en-US"/>
        </w:rPr>
        <w:t xml:space="preserve">Mycophenolate mofetil for induction and maintenance of remission in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with mild to moderate renal involvement--a prospective, open-label pilot trial.</w:t>
      </w:r>
      <w:proofErr w:type="gramEnd"/>
      <w:r w:rsidRPr="000A7851">
        <w:rPr>
          <w:rFonts w:ascii="Book Antiqua" w:hAnsi="Book Antiqua"/>
          <w:sz w:val="24"/>
          <w:szCs w:val="24"/>
          <w:lang w:val="en-US"/>
        </w:rPr>
        <w:t xml:space="preserve">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J Am </w:t>
      </w:r>
      <w:proofErr w:type="spellStart"/>
      <w:r w:rsidRPr="000A7851">
        <w:rPr>
          <w:rFonts w:ascii="Book Antiqua" w:hAnsi="Book Antiqua"/>
          <w:i/>
          <w:sz w:val="24"/>
          <w:szCs w:val="24"/>
          <w:lang w:val="en-US"/>
        </w:rPr>
        <w:t>Soc</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2010; </w:t>
      </w:r>
      <w:r w:rsidRPr="000A7851">
        <w:rPr>
          <w:rFonts w:ascii="Book Antiqua" w:hAnsi="Book Antiqua"/>
          <w:b/>
          <w:sz w:val="24"/>
          <w:szCs w:val="24"/>
          <w:lang w:val="en-US"/>
        </w:rPr>
        <w:t>5</w:t>
      </w:r>
      <w:r w:rsidRPr="000A7851">
        <w:rPr>
          <w:rFonts w:ascii="Book Antiqua" w:hAnsi="Book Antiqua"/>
          <w:sz w:val="24"/>
          <w:szCs w:val="24"/>
          <w:lang w:val="en-US"/>
        </w:rPr>
        <w:t>: 445-453 [PMID: 20093349 DOI: 10.2215/CJN.06010809]</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17 </w:t>
      </w:r>
      <w:r w:rsidRPr="000A7851">
        <w:rPr>
          <w:rFonts w:ascii="Book Antiqua" w:hAnsi="Book Antiqua"/>
          <w:b/>
          <w:sz w:val="24"/>
          <w:szCs w:val="24"/>
          <w:lang w:val="en-US"/>
        </w:rPr>
        <w:t>Chen Y</w:t>
      </w:r>
      <w:r w:rsidRPr="000A7851">
        <w:rPr>
          <w:rFonts w:ascii="Book Antiqua" w:hAnsi="Book Antiqua"/>
          <w:sz w:val="24"/>
          <w:szCs w:val="24"/>
          <w:lang w:val="en-US"/>
        </w:rPr>
        <w:t xml:space="preserve">, Gao E, Yang L, Liu X, Li K, Liu Z, Zeng C, Zhang H, Liu Z, Hu W. Long-term outcome of mycophenolate mofetil treatment for patients with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an observational study in Chinese patients. </w:t>
      </w:r>
      <w:proofErr w:type="spellStart"/>
      <w:r w:rsidRPr="000A7851">
        <w:rPr>
          <w:rFonts w:ascii="Book Antiqua" w:hAnsi="Book Antiqua"/>
          <w:i/>
          <w:sz w:val="24"/>
          <w:szCs w:val="24"/>
          <w:lang w:val="en-US"/>
        </w:rPr>
        <w:t>Rheumatol</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Int</w:t>
      </w:r>
      <w:proofErr w:type="spellEnd"/>
      <w:r w:rsidRPr="000A7851">
        <w:rPr>
          <w:rFonts w:ascii="Book Antiqua" w:hAnsi="Book Antiqua"/>
          <w:sz w:val="24"/>
          <w:szCs w:val="24"/>
          <w:lang w:val="en-US"/>
        </w:rPr>
        <w:t xml:space="preserve"> 2016; </w:t>
      </w:r>
      <w:r w:rsidRPr="000A7851">
        <w:rPr>
          <w:rFonts w:ascii="Book Antiqua" w:hAnsi="Book Antiqua"/>
          <w:b/>
          <w:sz w:val="24"/>
          <w:szCs w:val="24"/>
          <w:lang w:val="en-US"/>
        </w:rPr>
        <w:t>36</w:t>
      </w:r>
      <w:r w:rsidRPr="000A7851">
        <w:rPr>
          <w:rFonts w:ascii="Book Antiqua" w:hAnsi="Book Antiqua"/>
          <w:sz w:val="24"/>
          <w:szCs w:val="24"/>
          <w:lang w:val="en-US"/>
        </w:rPr>
        <w:t>: 967-974 [PMID: 27169414 DOI: 10.1007/s00296-016-3492-5]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18 </w:t>
      </w:r>
      <w:proofErr w:type="spellStart"/>
      <w:r w:rsidRPr="000A7851">
        <w:rPr>
          <w:rFonts w:ascii="Book Antiqua" w:hAnsi="Book Antiqua"/>
          <w:b/>
          <w:sz w:val="24"/>
          <w:szCs w:val="24"/>
          <w:lang w:val="en-US"/>
        </w:rPr>
        <w:t>Draibe</w:t>
      </w:r>
      <w:proofErr w:type="spellEnd"/>
      <w:r w:rsidRPr="000A7851">
        <w:rPr>
          <w:rFonts w:ascii="Book Antiqua" w:hAnsi="Book Antiqua"/>
          <w:b/>
          <w:sz w:val="24"/>
          <w:szCs w:val="24"/>
          <w:lang w:val="en-US"/>
        </w:rPr>
        <w:t xml:space="preserve"> J</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Poveda</w:t>
      </w:r>
      <w:proofErr w:type="spellEnd"/>
      <w:r w:rsidRPr="000A7851">
        <w:rPr>
          <w:rFonts w:ascii="Book Antiqua" w:hAnsi="Book Antiqua"/>
          <w:sz w:val="24"/>
          <w:szCs w:val="24"/>
          <w:lang w:val="en-US"/>
        </w:rPr>
        <w:t xml:space="preserve"> R, </w:t>
      </w:r>
      <w:proofErr w:type="spellStart"/>
      <w:r w:rsidRPr="000A7851">
        <w:rPr>
          <w:rFonts w:ascii="Book Antiqua" w:hAnsi="Book Antiqua"/>
          <w:sz w:val="24"/>
          <w:szCs w:val="24"/>
          <w:lang w:val="en-US"/>
        </w:rPr>
        <w:t>Fulladosa</w:t>
      </w:r>
      <w:proofErr w:type="spellEnd"/>
      <w:r w:rsidRPr="000A7851">
        <w:rPr>
          <w:rFonts w:ascii="Book Antiqua" w:hAnsi="Book Antiqua"/>
          <w:sz w:val="24"/>
          <w:szCs w:val="24"/>
          <w:lang w:val="en-US"/>
        </w:rPr>
        <w:t xml:space="preserve"> X, </w:t>
      </w:r>
      <w:proofErr w:type="spellStart"/>
      <w:r w:rsidRPr="000A7851">
        <w:rPr>
          <w:rFonts w:ascii="Book Antiqua" w:hAnsi="Book Antiqua"/>
          <w:sz w:val="24"/>
          <w:szCs w:val="24"/>
          <w:lang w:val="en-US"/>
        </w:rPr>
        <w:t>Vidaller</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Zulberti</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Gomà</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Pujol</w:t>
      </w:r>
      <w:proofErr w:type="spellEnd"/>
      <w:r w:rsidRPr="000A7851">
        <w:rPr>
          <w:rFonts w:ascii="Book Antiqua" w:hAnsi="Book Antiqua"/>
          <w:sz w:val="24"/>
          <w:szCs w:val="24"/>
          <w:lang w:val="en-US"/>
        </w:rPr>
        <w:t xml:space="preserve"> R, Ripoll È, </w:t>
      </w:r>
      <w:proofErr w:type="spellStart"/>
      <w:r w:rsidRPr="000A7851">
        <w:rPr>
          <w:rFonts w:ascii="Book Antiqua" w:hAnsi="Book Antiqua"/>
          <w:sz w:val="24"/>
          <w:szCs w:val="24"/>
          <w:lang w:val="en-US"/>
        </w:rPr>
        <w:t>Torras</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Grinyó</w:t>
      </w:r>
      <w:proofErr w:type="spellEnd"/>
      <w:r w:rsidRPr="000A7851">
        <w:rPr>
          <w:rFonts w:ascii="Book Antiqua" w:hAnsi="Book Antiqua"/>
          <w:sz w:val="24"/>
          <w:szCs w:val="24"/>
          <w:lang w:val="en-US"/>
        </w:rPr>
        <w:t xml:space="preserve"> JM. Use of mycophenolate in ANCA-associated renal vasculitis: 13 years of experience at a university hospital.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2015; </w:t>
      </w:r>
      <w:r w:rsidRPr="000A7851">
        <w:rPr>
          <w:rFonts w:ascii="Book Antiqua" w:hAnsi="Book Antiqua"/>
          <w:b/>
          <w:sz w:val="24"/>
          <w:szCs w:val="24"/>
          <w:lang w:val="en-US"/>
        </w:rPr>
        <w:t xml:space="preserve">30 </w:t>
      </w:r>
      <w:proofErr w:type="spellStart"/>
      <w:r w:rsidRPr="000A7851">
        <w:rPr>
          <w:rFonts w:ascii="Book Antiqua" w:hAnsi="Book Antiqua"/>
          <w:b/>
          <w:sz w:val="24"/>
          <w:szCs w:val="24"/>
          <w:lang w:val="en-US"/>
        </w:rPr>
        <w:t>Suppl</w:t>
      </w:r>
      <w:proofErr w:type="spellEnd"/>
      <w:r w:rsidRPr="000A7851">
        <w:rPr>
          <w:rFonts w:ascii="Book Antiqua" w:hAnsi="Book Antiqua"/>
          <w:b/>
          <w:sz w:val="24"/>
          <w:szCs w:val="24"/>
          <w:lang w:val="en-US"/>
        </w:rPr>
        <w:t xml:space="preserve"> 1</w:t>
      </w:r>
      <w:r w:rsidRPr="000A7851">
        <w:rPr>
          <w:rFonts w:ascii="Book Antiqua" w:hAnsi="Book Antiqua"/>
          <w:sz w:val="24"/>
          <w:szCs w:val="24"/>
          <w:lang w:val="en-US"/>
        </w:rPr>
        <w:t>: i132-i137 [PMID: 25805744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/gfv061]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19 </w:t>
      </w:r>
      <w:r w:rsidRPr="000A7851">
        <w:rPr>
          <w:rFonts w:ascii="Book Antiqua" w:hAnsi="Book Antiqua"/>
          <w:b/>
          <w:sz w:val="24"/>
          <w:szCs w:val="24"/>
          <w:lang w:val="en-US"/>
        </w:rPr>
        <w:t>Yates M</w:t>
      </w:r>
      <w:r w:rsidRPr="000A7851">
        <w:rPr>
          <w:rFonts w:ascii="Book Antiqua" w:hAnsi="Book Antiqua"/>
          <w:sz w:val="24"/>
          <w:szCs w:val="24"/>
          <w:lang w:val="en-US"/>
        </w:rPr>
        <w:t xml:space="preserve">, Watts RA, </w:t>
      </w:r>
      <w:proofErr w:type="spellStart"/>
      <w:r w:rsidRPr="000A7851">
        <w:rPr>
          <w:rFonts w:ascii="Book Antiqua" w:hAnsi="Book Antiqua"/>
          <w:sz w:val="24"/>
          <w:szCs w:val="24"/>
          <w:lang w:val="en-US"/>
        </w:rPr>
        <w:t>Bajema</w:t>
      </w:r>
      <w:proofErr w:type="spellEnd"/>
      <w:r w:rsidRPr="000A7851">
        <w:rPr>
          <w:rFonts w:ascii="Book Antiqua" w:hAnsi="Book Antiqua"/>
          <w:sz w:val="24"/>
          <w:szCs w:val="24"/>
          <w:lang w:val="en-US"/>
        </w:rPr>
        <w:t xml:space="preserve"> IM, Cid MC, </w:t>
      </w:r>
      <w:proofErr w:type="spellStart"/>
      <w:r w:rsidRPr="000A7851">
        <w:rPr>
          <w:rFonts w:ascii="Book Antiqua" w:hAnsi="Book Antiqua"/>
          <w:sz w:val="24"/>
          <w:szCs w:val="24"/>
          <w:lang w:val="en-US"/>
        </w:rPr>
        <w:t>Crestani</w:t>
      </w:r>
      <w:proofErr w:type="spellEnd"/>
      <w:r w:rsidRPr="000A7851">
        <w:rPr>
          <w:rFonts w:ascii="Book Antiqua" w:hAnsi="Book Antiqua"/>
          <w:sz w:val="24"/>
          <w:szCs w:val="24"/>
          <w:lang w:val="en-US"/>
        </w:rPr>
        <w:t xml:space="preserve"> B, Hauser T, </w:t>
      </w:r>
      <w:proofErr w:type="spellStart"/>
      <w:r w:rsidRPr="000A7851">
        <w:rPr>
          <w:rFonts w:ascii="Book Antiqua" w:hAnsi="Book Antiqua"/>
          <w:sz w:val="24"/>
          <w:szCs w:val="24"/>
          <w:lang w:val="en-US"/>
        </w:rPr>
        <w:t>Hellmich</w:t>
      </w:r>
      <w:proofErr w:type="spellEnd"/>
      <w:r w:rsidRPr="000A7851">
        <w:rPr>
          <w:rFonts w:ascii="Book Antiqua" w:hAnsi="Book Antiqua"/>
          <w:sz w:val="24"/>
          <w:szCs w:val="24"/>
          <w:lang w:val="en-US"/>
        </w:rPr>
        <w:t xml:space="preserve"> B, </w:t>
      </w:r>
      <w:proofErr w:type="spellStart"/>
      <w:r w:rsidRPr="000A7851">
        <w:rPr>
          <w:rFonts w:ascii="Book Antiqua" w:hAnsi="Book Antiqua"/>
          <w:sz w:val="24"/>
          <w:szCs w:val="24"/>
          <w:lang w:val="en-US"/>
        </w:rPr>
        <w:t>Holle</w:t>
      </w:r>
      <w:proofErr w:type="spellEnd"/>
      <w:r w:rsidRPr="000A7851">
        <w:rPr>
          <w:rFonts w:ascii="Book Antiqua" w:hAnsi="Book Antiqua"/>
          <w:sz w:val="24"/>
          <w:szCs w:val="24"/>
          <w:lang w:val="en-US"/>
        </w:rPr>
        <w:t xml:space="preserve"> JU, </w:t>
      </w:r>
      <w:proofErr w:type="spellStart"/>
      <w:r w:rsidRPr="000A7851">
        <w:rPr>
          <w:rFonts w:ascii="Book Antiqua" w:hAnsi="Book Antiqua"/>
          <w:sz w:val="24"/>
          <w:szCs w:val="24"/>
          <w:lang w:val="en-US"/>
        </w:rPr>
        <w:t>Laudien</w:t>
      </w:r>
      <w:proofErr w:type="spellEnd"/>
      <w:r w:rsidRPr="000A7851">
        <w:rPr>
          <w:rFonts w:ascii="Book Antiqua" w:hAnsi="Book Antiqua"/>
          <w:sz w:val="24"/>
          <w:szCs w:val="24"/>
          <w:lang w:val="en-US"/>
        </w:rPr>
        <w:t xml:space="preserve"> M, Little MA, </w:t>
      </w:r>
      <w:proofErr w:type="spellStart"/>
      <w:r w:rsidRPr="000A7851">
        <w:rPr>
          <w:rFonts w:ascii="Book Antiqua" w:hAnsi="Book Antiqua"/>
          <w:sz w:val="24"/>
          <w:szCs w:val="24"/>
          <w:lang w:val="en-US"/>
        </w:rPr>
        <w:t>Luqmani</w:t>
      </w:r>
      <w:proofErr w:type="spellEnd"/>
      <w:r w:rsidRPr="000A7851">
        <w:rPr>
          <w:rFonts w:ascii="Book Antiqua" w:hAnsi="Book Antiqua"/>
          <w:sz w:val="24"/>
          <w:szCs w:val="24"/>
          <w:lang w:val="en-US"/>
        </w:rPr>
        <w:t xml:space="preserve"> RA,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Merkel PA, Mills J, Mooney J, </w:t>
      </w:r>
      <w:proofErr w:type="spellStart"/>
      <w:r w:rsidRPr="000A7851">
        <w:rPr>
          <w:rFonts w:ascii="Book Antiqua" w:hAnsi="Book Antiqua"/>
          <w:sz w:val="24"/>
          <w:szCs w:val="24"/>
          <w:lang w:val="en-US"/>
        </w:rPr>
        <w:t>Segelmark</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w:t>
      </w:r>
      <w:proofErr w:type="spellStart"/>
      <w:r w:rsidRPr="000A7851">
        <w:rPr>
          <w:rFonts w:ascii="Book Antiqua" w:hAnsi="Book Antiqua"/>
          <w:sz w:val="24"/>
          <w:szCs w:val="24"/>
          <w:lang w:val="en-US"/>
        </w:rPr>
        <w:t>Vaglio</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Yalç</w:t>
      </w:r>
      <w:r w:rsidRPr="000A7851">
        <w:rPr>
          <w:rFonts w:ascii="Book Antiqua" w:hAnsi="Book Antiqua" w:cs="Cambria"/>
          <w:sz w:val="24"/>
          <w:szCs w:val="24"/>
          <w:lang w:val="en-US"/>
        </w:rPr>
        <w:t>ı</w:t>
      </w:r>
      <w:r w:rsidRPr="000A7851">
        <w:rPr>
          <w:rFonts w:ascii="Book Antiqua" w:hAnsi="Book Antiqua"/>
          <w:sz w:val="24"/>
          <w:szCs w:val="24"/>
          <w:lang w:val="en-US"/>
        </w:rPr>
        <w:t>nda</w:t>
      </w:r>
      <w:r w:rsidRPr="000A7851">
        <w:rPr>
          <w:rFonts w:ascii="Book Antiqua" w:hAnsi="Book Antiqua" w:cs="Cambria"/>
          <w:sz w:val="24"/>
          <w:szCs w:val="24"/>
          <w:lang w:val="en-US"/>
        </w:rPr>
        <w:t>ğ</w:t>
      </w:r>
      <w:proofErr w:type="spellEnd"/>
      <w:r w:rsidRPr="000A7851">
        <w:rPr>
          <w:rFonts w:ascii="Book Antiqua" w:hAnsi="Book Antiqua"/>
          <w:sz w:val="24"/>
          <w:szCs w:val="24"/>
          <w:lang w:val="en-US"/>
        </w:rPr>
        <w:t xml:space="preserve"> N, Jayne DR, </w:t>
      </w:r>
      <w:proofErr w:type="spellStart"/>
      <w:r w:rsidRPr="000A7851">
        <w:rPr>
          <w:rFonts w:ascii="Book Antiqua" w:hAnsi="Book Antiqua"/>
          <w:sz w:val="24"/>
          <w:szCs w:val="24"/>
          <w:lang w:val="en-US"/>
        </w:rPr>
        <w:t>Mukhtyar</w:t>
      </w:r>
      <w:proofErr w:type="spellEnd"/>
      <w:r w:rsidRPr="000A7851">
        <w:rPr>
          <w:rFonts w:ascii="Book Antiqua" w:hAnsi="Book Antiqua"/>
          <w:sz w:val="24"/>
          <w:szCs w:val="24"/>
          <w:lang w:val="en-US"/>
        </w:rPr>
        <w:t xml:space="preserve"> C. EULAR/ERA-EDTA recommendations for the management of ANCA-associated vasculitis.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2016; </w:t>
      </w:r>
      <w:r w:rsidRPr="000A7851">
        <w:rPr>
          <w:rFonts w:ascii="Book Antiqua" w:hAnsi="Book Antiqua"/>
          <w:b/>
          <w:sz w:val="24"/>
          <w:szCs w:val="24"/>
          <w:lang w:val="en-US"/>
        </w:rPr>
        <w:t>75</w:t>
      </w:r>
      <w:r w:rsidRPr="000A7851">
        <w:rPr>
          <w:rFonts w:ascii="Book Antiqua" w:hAnsi="Book Antiqua"/>
          <w:sz w:val="24"/>
          <w:szCs w:val="24"/>
          <w:lang w:val="en-US"/>
        </w:rPr>
        <w:t>: 1583-1594 [PMID: 27338776 DOI: 10.1136/annrheumdis-2016-209133]</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20 </w:t>
      </w:r>
      <w:r w:rsidRPr="000A7851">
        <w:rPr>
          <w:rFonts w:ascii="Book Antiqua" w:hAnsi="Book Antiqua"/>
          <w:b/>
          <w:sz w:val="24"/>
          <w:szCs w:val="24"/>
          <w:lang w:val="en-US"/>
        </w:rPr>
        <w:t>Jones RB</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Hauser T, </w:t>
      </w:r>
      <w:proofErr w:type="spellStart"/>
      <w:r w:rsidRPr="000A7851">
        <w:rPr>
          <w:rFonts w:ascii="Book Antiqua" w:hAnsi="Book Antiqua"/>
          <w:sz w:val="24"/>
          <w:szCs w:val="24"/>
          <w:lang w:val="en-US"/>
        </w:rPr>
        <w:t>Luqmani</w:t>
      </w:r>
      <w:proofErr w:type="spellEnd"/>
      <w:r w:rsidRPr="000A7851">
        <w:rPr>
          <w:rFonts w:ascii="Book Antiqua" w:hAnsi="Book Antiqua"/>
          <w:sz w:val="24"/>
          <w:szCs w:val="24"/>
          <w:lang w:val="en-US"/>
        </w:rPr>
        <w:t xml:space="preserve"> R, Morgan MD, </w:t>
      </w:r>
      <w:proofErr w:type="spellStart"/>
      <w:r w:rsidRPr="000A7851">
        <w:rPr>
          <w:rFonts w:ascii="Book Antiqua" w:hAnsi="Book Antiqua"/>
          <w:sz w:val="24"/>
          <w:szCs w:val="24"/>
          <w:lang w:val="en-US"/>
        </w:rPr>
        <w:t>Peh</w:t>
      </w:r>
      <w:proofErr w:type="spellEnd"/>
      <w:r w:rsidRPr="000A7851">
        <w:rPr>
          <w:rFonts w:ascii="Book Antiqua" w:hAnsi="Book Antiqua"/>
          <w:sz w:val="24"/>
          <w:szCs w:val="24"/>
          <w:lang w:val="en-US"/>
        </w:rPr>
        <w:t xml:space="preserve"> CA, Savage CO, </w:t>
      </w:r>
      <w:proofErr w:type="spellStart"/>
      <w:r w:rsidRPr="000A7851">
        <w:rPr>
          <w:rFonts w:ascii="Book Antiqua" w:hAnsi="Book Antiqua"/>
          <w:sz w:val="24"/>
          <w:szCs w:val="24"/>
          <w:lang w:val="en-US"/>
        </w:rPr>
        <w:t>Segelmark</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van </w:t>
      </w:r>
      <w:proofErr w:type="spellStart"/>
      <w:r w:rsidRPr="000A7851">
        <w:rPr>
          <w:rFonts w:ascii="Book Antiqua" w:hAnsi="Book Antiqua"/>
          <w:sz w:val="24"/>
          <w:szCs w:val="24"/>
          <w:lang w:val="en-US"/>
        </w:rPr>
        <w:t>Paassen</w:t>
      </w:r>
      <w:proofErr w:type="spellEnd"/>
      <w:r w:rsidRPr="000A7851">
        <w:rPr>
          <w:rFonts w:ascii="Book Antiqua" w:hAnsi="Book Antiqua"/>
          <w:sz w:val="24"/>
          <w:szCs w:val="24"/>
          <w:lang w:val="en-US"/>
        </w:rPr>
        <w:t xml:space="preserve"> P, Walsh D, Walsh M,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Jayne DR; European Vasculitis Study Group. </w:t>
      </w:r>
      <w:proofErr w:type="gramStart"/>
      <w:r w:rsidRPr="000A7851">
        <w:rPr>
          <w:rFonts w:ascii="Book Antiqua" w:hAnsi="Book Antiqua"/>
          <w:sz w:val="24"/>
          <w:szCs w:val="24"/>
          <w:lang w:val="en-US"/>
        </w:rPr>
        <w:t>Rituximab versus cyclophosphamide in ANCA-associated renal vasculitis.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2010; </w:t>
      </w:r>
      <w:r w:rsidRPr="000A7851">
        <w:rPr>
          <w:rFonts w:ascii="Book Antiqua" w:hAnsi="Book Antiqua"/>
          <w:b/>
          <w:sz w:val="24"/>
          <w:szCs w:val="24"/>
          <w:lang w:val="en-US"/>
        </w:rPr>
        <w:t>363</w:t>
      </w:r>
      <w:r w:rsidRPr="000A7851">
        <w:rPr>
          <w:rFonts w:ascii="Book Antiqua" w:hAnsi="Book Antiqua"/>
          <w:sz w:val="24"/>
          <w:szCs w:val="24"/>
          <w:lang w:val="en-US"/>
        </w:rPr>
        <w:t>: 211-220 [PMID: 20647198 DOI: 10.1056/NEJMoa0909169]</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21 </w:t>
      </w:r>
      <w:r w:rsidRPr="000A7851">
        <w:rPr>
          <w:rFonts w:ascii="Book Antiqua" w:hAnsi="Book Antiqua"/>
          <w:b/>
          <w:sz w:val="24"/>
          <w:szCs w:val="24"/>
          <w:lang w:val="en-US"/>
        </w:rPr>
        <w:t>Stone JH</w:t>
      </w:r>
      <w:r w:rsidRPr="000A7851">
        <w:rPr>
          <w:rFonts w:ascii="Book Antiqua" w:hAnsi="Book Antiqua"/>
          <w:sz w:val="24"/>
          <w:szCs w:val="24"/>
          <w:lang w:val="en-US"/>
        </w:rPr>
        <w:t xml:space="preserve">, Merkel PA, </w:t>
      </w:r>
      <w:proofErr w:type="spellStart"/>
      <w:r w:rsidRPr="000A7851">
        <w:rPr>
          <w:rFonts w:ascii="Book Antiqua" w:hAnsi="Book Antiqua"/>
          <w:sz w:val="24"/>
          <w:szCs w:val="24"/>
          <w:lang w:val="en-US"/>
        </w:rPr>
        <w:t>Spiera</w:t>
      </w:r>
      <w:proofErr w:type="spellEnd"/>
      <w:r w:rsidRPr="000A7851">
        <w:rPr>
          <w:rFonts w:ascii="Book Antiqua" w:hAnsi="Book Antiqua"/>
          <w:sz w:val="24"/>
          <w:szCs w:val="24"/>
          <w:lang w:val="en-US"/>
        </w:rPr>
        <w:t xml:space="preserve"> R, </w:t>
      </w:r>
      <w:proofErr w:type="spellStart"/>
      <w:r w:rsidRPr="000A7851">
        <w:rPr>
          <w:rFonts w:ascii="Book Antiqua" w:hAnsi="Book Antiqua"/>
          <w:sz w:val="24"/>
          <w:szCs w:val="24"/>
          <w:lang w:val="en-US"/>
        </w:rPr>
        <w:t>Seo</w:t>
      </w:r>
      <w:proofErr w:type="spellEnd"/>
      <w:r w:rsidRPr="000A7851">
        <w:rPr>
          <w:rFonts w:ascii="Book Antiqua" w:hAnsi="Book Antiqua"/>
          <w:sz w:val="24"/>
          <w:szCs w:val="24"/>
          <w:lang w:val="en-US"/>
        </w:rPr>
        <w:t xml:space="preserve"> P, Langford CA, Hoffman GS, Kallenberg CG, St Clair EW, </w:t>
      </w:r>
      <w:proofErr w:type="spellStart"/>
      <w:r w:rsidRPr="000A7851">
        <w:rPr>
          <w:rFonts w:ascii="Book Antiqua" w:hAnsi="Book Antiqua"/>
          <w:sz w:val="24"/>
          <w:szCs w:val="24"/>
          <w:lang w:val="en-US"/>
        </w:rPr>
        <w:t>Turkiewicz</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Tchao</w:t>
      </w:r>
      <w:proofErr w:type="spellEnd"/>
      <w:r w:rsidRPr="000A7851">
        <w:rPr>
          <w:rFonts w:ascii="Book Antiqua" w:hAnsi="Book Antiqua"/>
          <w:sz w:val="24"/>
          <w:szCs w:val="24"/>
          <w:lang w:val="en-US"/>
        </w:rPr>
        <w:t xml:space="preserve"> NK, Webber L, Ding L, </w:t>
      </w:r>
      <w:proofErr w:type="spellStart"/>
      <w:r w:rsidRPr="000A7851">
        <w:rPr>
          <w:rFonts w:ascii="Book Antiqua" w:hAnsi="Book Antiqua"/>
          <w:sz w:val="24"/>
          <w:szCs w:val="24"/>
          <w:lang w:val="en-US"/>
        </w:rPr>
        <w:t>Sejismundo</w:t>
      </w:r>
      <w:proofErr w:type="spellEnd"/>
      <w:r w:rsidRPr="000A7851">
        <w:rPr>
          <w:rFonts w:ascii="Book Antiqua" w:hAnsi="Book Antiqua"/>
          <w:sz w:val="24"/>
          <w:szCs w:val="24"/>
          <w:lang w:val="en-US"/>
        </w:rPr>
        <w:t xml:space="preserve"> LP, </w:t>
      </w:r>
      <w:proofErr w:type="spellStart"/>
      <w:r w:rsidRPr="000A7851">
        <w:rPr>
          <w:rFonts w:ascii="Book Antiqua" w:hAnsi="Book Antiqua"/>
          <w:sz w:val="24"/>
          <w:szCs w:val="24"/>
          <w:lang w:val="en-US"/>
        </w:rPr>
        <w:t>Mieras</w:t>
      </w:r>
      <w:proofErr w:type="spellEnd"/>
      <w:r w:rsidRPr="000A7851">
        <w:rPr>
          <w:rFonts w:ascii="Book Antiqua" w:hAnsi="Book Antiqua"/>
          <w:sz w:val="24"/>
          <w:szCs w:val="24"/>
          <w:lang w:val="en-US"/>
        </w:rPr>
        <w:t xml:space="preserve"> K, </w:t>
      </w:r>
      <w:proofErr w:type="spellStart"/>
      <w:r w:rsidRPr="000A7851">
        <w:rPr>
          <w:rFonts w:ascii="Book Antiqua" w:hAnsi="Book Antiqua"/>
          <w:sz w:val="24"/>
          <w:szCs w:val="24"/>
          <w:lang w:val="en-US"/>
        </w:rPr>
        <w:t>Weitzenkamp</w:t>
      </w:r>
      <w:proofErr w:type="spellEnd"/>
      <w:r w:rsidRPr="000A7851">
        <w:rPr>
          <w:rFonts w:ascii="Book Antiqua" w:hAnsi="Book Antiqua"/>
          <w:sz w:val="24"/>
          <w:szCs w:val="24"/>
          <w:lang w:val="en-US"/>
        </w:rPr>
        <w:t xml:space="preserve"> D, </w:t>
      </w:r>
      <w:proofErr w:type="spellStart"/>
      <w:r w:rsidRPr="000A7851">
        <w:rPr>
          <w:rFonts w:ascii="Book Antiqua" w:hAnsi="Book Antiqua"/>
          <w:sz w:val="24"/>
          <w:szCs w:val="24"/>
          <w:lang w:val="en-US"/>
        </w:rPr>
        <w:t>Ikle</w:t>
      </w:r>
      <w:proofErr w:type="spellEnd"/>
      <w:r w:rsidRPr="000A7851">
        <w:rPr>
          <w:rFonts w:ascii="Book Antiqua" w:hAnsi="Book Antiqua"/>
          <w:sz w:val="24"/>
          <w:szCs w:val="24"/>
          <w:lang w:val="en-US"/>
        </w:rPr>
        <w:t xml:space="preserve"> D, </w:t>
      </w:r>
      <w:proofErr w:type="spellStart"/>
      <w:r w:rsidRPr="000A7851">
        <w:rPr>
          <w:rFonts w:ascii="Book Antiqua" w:hAnsi="Book Antiqua"/>
          <w:sz w:val="24"/>
          <w:szCs w:val="24"/>
          <w:lang w:val="en-US"/>
        </w:rPr>
        <w:t>Seyfert</w:t>
      </w:r>
      <w:proofErr w:type="spellEnd"/>
      <w:r w:rsidRPr="000A7851">
        <w:rPr>
          <w:rFonts w:ascii="Book Antiqua" w:hAnsi="Book Antiqua"/>
          <w:sz w:val="24"/>
          <w:szCs w:val="24"/>
          <w:lang w:val="en-US"/>
        </w:rPr>
        <w:t xml:space="preserve">-Margolis V, Mueller M, </w:t>
      </w:r>
      <w:proofErr w:type="spellStart"/>
      <w:r w:rsidRPr="000A7851">
        <w:rPr>
          <w:rFonts w:ascii="Book Antiqua" w:hAnsi="Book Antiqua"/>
          <w:sz w:val="24"/>
          <w:szCs w:val="24"/>
          <w:lang w:val="en-US"/>
        </w:rPr>
        <w:t>Brunetta</w:t>
      </w:r>
      <w:proofErr w:type="spellEnd"/>
      <w:r w:rsidRPr="000A7851">
        <w:rPr>
          <w:rFonts w:ascii="Book Antiqua" w:hAnsi="Book Antiqua"/>
          <w:sz w:val="24"/>
          <w:szCs w:val="24"/>
          <w:lang w:val="en-US"/>
        </w:rPr>
        <w:t xml:space="preserve"> P, Allen NB, </w:t>
      </w:r>
      <w:proofErr w:type="spellStart"/>
      <w:r w:rsidRPr="000A7851">
        <w:rPr>
          <w:rFonts w:ascii="Book Antiqua" w:hAnsi="Book Antiqua"/>
          <w:sz w:val="24"/>
          <w:szCs w:val="24"/>
          <w:lang w:val="en-US"/>
        </w:rPr>
        <w:lastRenderedPageBreak/>
        <w:t>Fervenza</w:t>
      </w:r>
      <w:proofErr w:type="spellEnd"/>
      <w:r w:rsidRPr="000A7851">
        <w:rPr>
          <w:rFonts w:ascii="Book Antiqua" w:hAnsi="Book Antiqua"/>
          <w:sz w:val="24"/>
          <w:szCs w:val="24"/>
          <w:lang w:val="en-US"/>
        </w:rPr>
        <w:t xml:space="preserve"> FC, </w:t>
      </w:r>
      <w:proofErr w:type="spellStart"/>
      <w:r w:rsidRPr="000A7851">
        <w:rPr>
          <w:rFonts w:ascii="Book Antiqua" w:hAnsi="Book Antiqua"/>
          <w:sz w:val="24"/>
          <w:szCs w:val="24"/>
          <w:lang w:val="en-US"/>
        </w:rPr>
        <w:t>Geetha</w:t>
      </w:r>
      <w:proofErr w:type="spellEnd"/>
      <w:r w:rsidRPr="000A7851">
        <w:rPr>
          <w:rFonts w:ascii="Book Antiqua" w:hAnsi="Book Antiqua"/>
          <w:sz w:val="24"/>
          <w:szCs w:val="24"/>
          <w:lang w:val="en-US"/>
        </w:rPr>
        <w:t xml:space="preserve"> D, Keogh KA, </w:t>
      </w:r>
      <w:proofErr w:type="spellStart"/>
      <w:r w:rsidRPr="000A7851">
        <w:rPr>
          <w:rFonts w:ascii="Book Antiqua" w:hAnsi="Book Antiqua"/>
          <w:sz w:val="24"/>
          <w:szCs w:val="24"/>
          <w:lang w:val="en-US"/>
        </w:rPr>
        <w:t>Kissin</w:t>
      </w:r>
      <w:proofErr w:type="spellEnd"/>
      <w:r w:rsidRPr="000A7851">
        <w:rPr>
          <w:rFonts w:ascii="Book Antiqua" w:hAnsi="Book Antiqua"/>
          <w:sz w:val="24"/>
          <w:szCs w:val="24"/>
          <w:lang w:val="en-US"/>
        </w:rPr>
        <w:t xml:space="preserve"> EY, </w:t>
      </w:r>
      <w:proofErr w:type="spellStart"/>
      <w:r w:rsidRPr="000A7851">
        <w:rPr>
          <w:rFonts w:ascii="Book Antiqua" w:hAnsi="Book Antiqua"/>
          <w:sz w:val="24"/>
          <w:szCs w:val="24"/>
          <w:lang w:val="en-US"/>
        </w:rPr>
        <w:t>Monach</w:t>
      </w:r>
      <w:proofErr w:type="spellEnd"/>
      <w:r w:rsidRPr="000A7851">
        <w:rPr>
          <w:rFonts w:ascii="Book Antiqua" w:hAnsi="Book Antiqua"/>
          <w:sz w:val="24"/>
          <w:szCs w:val="24"/>
          <w:lang w:val="en-US"/>
        </w:rPr>
        <w:t xml:space="preserve"> PA, </w:t>
      </w:r>
      <w:proofErr w:type="spellStart"/>
      <w:r w:rsidRPr="000A7851">
        <w:rPr>
          <w:rFonts w:ascii="Book Antiqua" w:hAnsi="Book Antiqua"/>
          <w:sz w:val="24"/>
          <w:szCs w:val="24"/>
          <w:lang w:val="en-US"/>
        </w:rPr>
        <w:t>Peikert</w:t>
      </w:r>
      <w:proofErr w:type="spellEnd"/>
      <w:r w:rsidRPr="000A7851">
        <w:rPr>
          <w:rFonts w:ascii="Book Antiqua" w:hAnsi="Book Antiqua"/>
          <w:sz w:val="24"/>
          <w:szCs w:val="24"/>
          <w:lang w:val="en-US"/>
        </w:rPr>
        <w:t xml:space="preserve"> T, </w:t>
      </w:r>
      <w:proofErr w:type="spellStart"/>
      <w:r w:rsidRPr="000A7851">
        <w:rPr>
          <w:rFonts w:ascii="Book Antiqua" w:hAnsi="Book Antiqua"/>
          <w:sz w:val="24"/>
          <w:szCs w:val="24"/>
          <w:lang w:val="en-US"/>
        </w:rPr>
        <w:t>Stegeman</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Ytterberg</w:t>
      </w:r>
      <w:proofErr w:type="spellEnd"/>
      <w:r w:rsidRPr="000A7851">
        <w:rPr>
          <w:rFonts w:ascii="Book Antiqua" w:hAnsi="Book Antiqua"/>
          <w:sz w:val="24"/>
          <w:szCs w:val="24"/>
          <w:lang w:val="en-US"/>
        </w:rPr>
        <w:t xml:space="preserve"> SR, Specks U; RAVE-ITN Research Group. </w:t>
      </w:r>
      <w:proofErr w:type="gramStart"/>
      <w:r w:rsidRPr="000A7851">
        <w:rPr>
          <w:rFonts w:ascii="Book Antiqua" w:hAnsi="Book Antiqua"/>
          <w:sz w:val="24"/>
          <w:szCs w:val="24"/>
          <w:lang w:val="en-US"/>
        </w:rPr>
        <w:t>Rituximab versus cyclophosphamide for ANCA-associated vasculitis.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2010; </w:t>
      </w:r>
      <w:r w:rsidRPr="000A7851">
        <w:rPr>
          <w:rFonts w:ascii="Book Antiqua" w:hAnsi="Book Antiqua"/>
          <w:b/>
          <w:sz w:val="24"/>
          <w:szCs w:val="24"/>
          <w:lang w:val="en-US"/>
        </w:rPr>
        <w:t>363</w:t>
      </w:r>
      <w:r w:rsidRPr="000A7851">
        <w:rPr>
          <w:rFonts w:ascii="Book Antiqua" w:hAnsi="Book Antiqua"/>
          <w:sz w:val="24"/>
          <w:szCs w:val="24"/>
          <w:lang w:val="en-US"/>
        </w:rPr>
        <w:t>: 221-232 [PMID: 20647199 DOI: 10.1056/NEJMoa0909905]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22 </w:t>
      </w:r>
      <w:proofErr w:type="spellStart"/>
      <w:r w:rsidRPr="000A7851">
        <w:rPr>
          <w:rFonts w:ascii="Book Antiqua" w:hAnsi="Book Antiqua"/>
          <w:b/>
          <w:sz w:val="24"/>
          <w:szCs w:val="24"/>
          <w:lang w:val="en-US"/>
        </w:rPr>
        <w:t>Guillevin</w:t>
      </w:r>
      <w:proofErr w:type="spellEnd"/>
      <w:r w:rsidRPr="000A7851">
        <w:rPr>
          <w:rFonts w:ascii="Book Antiqua" w:hAnsi="Book Antiqua"/>
          <w:b/>
          <w:sz w:val="24"/>
          <w:szCs w:val="24"/>
          <w:lang w:val="en-US"/>
        </w:rPr>
        <w:t xml:space="preserve"> L</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Pagnoux</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Karras</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Khouatra</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Aumaître</w:t>
      </w:r>
      <w:proofErr w:type="spellEnd"/>
      <w:r w:rsidRPr="000A7851">
        <w:rPr>
          <w:rFonts w:ascii="Book Antiqua" w:hAnsi="Book Antiqua"/>
          <w:sz w:val="24"/>
          <w:szCs w:val="24"/>
          <w:lang w:val="en-US"/>
        </w:rPr>
        <w:t xml:space="preserve"> O, Cohen P, </w:t>
      </w:r>
      <w:proofErr w:type="spellStart"/>
      <w:r w:rsidRPr="000A7851">
        <w:rPr>
          <w:rFonts w:ascii="Book Antiqua" w:hAnsi="Book Antiqua"/>
          <w:sz w:val="24"/>
          <w:szCs w:val="24"/>
          <w:lang w:val="en-US"/>
        </w:rPr>
        <w:t>Maurier</w:t>
      </w:r>
      <w:proofErr w:type="spellEnd"/>
      <w:r w:rsidRPr="000A7851">
        <w:rPr>
          <w:rFonts w:ascii="Book Antiqua" w:hAnsi="Book Antiqua"/>
          <w:sz w:val="24"/>
          <w:szCs w:val="24"/>
          <w:lang w:val="en-US"/>
        </w:rPr>
        <w:t xml:space="preserve"> F, </w:t>
      </w:r>
      <w:proofErr w:type="spellStart"/>
      <w:r w:rsidRPr="000A7851">
        <w:rPr>
          <w:rFonts w:ascii="Book Antiqua" w:hAnsi="Book Antiqua"/>
          <w:sz w:val="24"/>
          <w:szCs w:val="24"/>
          <w:lang w:val="en-US"/>
        </w:rPr>
        <w:t>Decaux</w:t>
      </w:r>
      <w:proofErr w:type="spellEnd"/>
      <w:r w:rsidRPr="000A7851">
        <w:rPr>
          <w:rFonts w:ascii="Book Antiqua" w:hAnsi="Book Antiqua"/>
          <w:sz w:val="24"/>
          <w:szCs w:val="24"/>
          <w:lang w:val="en-US"/>
        </w:rPr>
        <w:t xml:space="preserve"> O, </w:t>
      </w:r>
      <w:proofErr w:type="spellStart"/>
      <w:r w:rsidRPr="000A7851">
        <w:rPr>
          <w:rFonts w:ascii="Book Antiqua" w:hAnsi="Book Antiqua"/>
          <w:sz w:val="24"/>
          <w:szCs w:val="24"/>
          <w:lang w:val="en-US"/>
        </w:rPr>
        <w:t>Ninet</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Gobert</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Quémeneur</w:t>
      </w:r>
      <w:proofErr w:type="spellEnd"/>
      <w:r w:rsidRPr="000A7851">
        <w:rPr>
          <w:rFonts w:ascii="Book Antiqua" w:hAnsi="Book Antiqua"/>
          <w:sz w:val="24"/>
          <w:szCs w:val="24"/>
          <w:lang w:val="en-US"/>
        </w:rPr>
        <w:t xml:space="preserve"> T, Blanchard-Delaunay C, </w:t>
      </w:r>
      <w:proofErr w:type="spellStart"/>
      <w:r w:rsidRPr="000A7851">
        <w:rPr>
          <w:rFonts w:ascii="Book Antiqua" w:hAnsi="Book Antiqua"/>
          <w:sz w:val="24"/>
          <w:szCs w:val="24"/>
          <w:lang w:val="en-US"/>
        </w:rPr>
        <w:t>Godmer</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Puéchal</w:t>
      </w:r>
      <w:proofErr w:type="spellEnd"/>
      <w:r w:rsidRPr="000A7851">
        <w:rPr>
          <w:rFonts w:ascii="Book Antiqua" w:hAnsi="Book Antiqua"/>
          <w:sz w:val="24"/>
          <w:szCs w:val="24"/>
          <w:lang w:val="en-US"/>
        </w:rPr>
        <w:t xml:space="preserve"> X, Carron PL, </w:t>
      </w:r>
      <w:proofErr w:type="spellStart"/>
      <w:r w:rsidRPr="000A7851">
        <w:rPr>
          <w:rFonts w:ascii="Book Antiqua" w:hAnsi="Book Antiqua"/>
          <w:sz w:val="24"/>
          <w:szCs w:val="24"/>
          <w:lang w:val="en-US"/>
        </w:rPr>
        <w:t>Hatron</w:t>
      </w:r>
      <w:proofErr w:type="spellEnd"/>
      <w:r w:rsidRPr="000A7851">
        <w:rPr>
          <w:rFonts w:ascii="Book Antiqua" w:hAnsi="Book Antiqua"/>
          <w:sz w:val="24"/>
          <w:szCs w:val="24"/>
          <w:lang w:val="en-US"/>
        </w:rPr>
        <w:t xml:space="preserve"> PY, </w:t>
      </w:r>
      <w:proofErr w:type="spellStart"/>
      <w:r w:rsidRPr="000A7851">
        <w:rPr>
          <w:rFonts w:ascii="Book Antiqua" w:hAnsi="Book Antiqua"/>
          <w:sz w:val="24"/>
          <w:szCs w:val="24"/>
          <w:lang w:val="en-US"/>
        </w:rPr>
        <w:t>Limal</w:t>
      </w:r>
      <w:proofErr w:type="spellEnd"/>
      <w:r w:rsidRPr="000A7851">
        <w:rPr>
          <w:rFonts w:ascii="Book Antiqua" w:hAnsi="Book Antiqua"/>
          <w:sz w:val="24"/>
          <w:szCs w:val="24"/>
          <w:lang w:val="en-US"/>
        </w:rPr>
        <w:t xml:space="preserve"> N, </w:t>
      </w:r>
      <w:proofErr w:type="spellStart"/>
      <w:r w:rsidRPr="000A7851">
        <w:rPr>
          <w:rFonts w:ascii="Book Antiqua" w:hAnsi="Book Antiqua"/>
          <w:sz w:val="24"/>
          <w:szCs w:val="24"/>
          <w:lang w:val="en-US"/>
        </w:rPr>
        <w:t>Hamidou</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Ducret</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Daugas</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Papo</w:t>
      </w:r>
      <w:proofErr w:type="spellEnd"/>
      <w:r w:rsidRPr="000A7851">
        <w:rPr>
          <w:rFonts w:ascii="Book Antiqua" w:hAnsi="Book Antiqua"/>
          <w:sz w:val="24"/>
          <w:szCs w:val="24"/>
          <w:lang w:val="en-US"/>
        </w:rPr>
        <w:t xml:space="preserve"> T, </w:t>
      </w:r>
      <w:proofErr w:type="spellStart"/>
      <w:r w:rsidRPr="000A7851">
        <w:rPr>
          <w:rFonts w:ascii="Book Antiqua" w:hAnsi="Book Antiqua"/>
          <w:sz w:val="24"/>
          <w:szCs w:val="24"/>
          <w:lang w:val="en-US"/>
        </w:rPr>
        <w:t>Bonnotte</w:t>
      </w:r>
      <w:proofErr w:type="spellEnd"/>
      <w:r w:rsidRPr="000A7851">
        <w:rPr>
          <w:rFonts w:ascii="Book Antiqua" w:hAnsi="Book Antiqua"/>
          <w:sz w:val="24"/>
          <w:szCs w:val="24"/>
          <w:lang w:val="en-US"/>
        </w:rPr>
        <w:t xml:space="preserve"> B,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Ravaud</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Mouthon</w:t>
      </w:r>
      <w:proofErr w:type="spellEnd"/>
      <w:r w:rsidRPr="000A7851">
        <w:rPr>
          <w:rFonts w:ascii="Book Antiqua" w:hAnsi="Book Antiqua"/>
          <w:sz w:val="24"/>
          <w:szCs w:val="24"/>
          <w:lang w:val="en-US"/>
        </w:rPr>
        <w:t xml:space="preserve"> L; French Vasculitis Study Group. </w:t>
      </w:r>
      <w:proofErr w:type="gramStart"/>
      <w:r w:rsidRPr="000A7851">
        <w:rPr>
          <w:rFonts w:ascii="Book Antiqua" w:hAnsi="Book Antiqua"/>
          <w:sz w:val="24"/>
          <w:szCs w:val="24"/>
          <w:lang w:val="en-US"/>
        </w:rPr>
        <w:t>Rituximab versus azathioprine for maintenance in ANCA-associated vasculitis.</w:t>
      </w:r>
      <w:proofErr w:type="gram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2014; </w:t>
      </w:r>
      <w:r w:rsidRPr="000A7851">
        <w:rPr>
          <w:rFonts w:ascii="Book Antiqua" w:hAnsi="Book Antiqua"/>
          <w:b/>
          <w:sz w:val="24"/>
          <w:szCs w:val="24"/>
          <w:lang w:val="en-US"/>
        </w:rPr>
        <w:t>371</w:t>
      </w:r>
      <w:r w:rsidRPr="000A7851">
        <w:rPr>
          <w:rFonts w:ascii="Book Antiqua" w:hAnsi="Book Antiqua"/>
          <w:sz w:val="24"/>
          <w:szCs w:val="24"/>
          <w:lang w:val="en-US"/>
        </w:rPr>
        <w:t>: 1771-1780 [PMID: 25372085 DOI: 10.1056/NEJMoa1404231]</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A5773B" w:rsidRPr="000A7851" w:rsidRDefault="00A5773B" w:rsidP="005F021A">
      <w:pPr>
        <w:suppressAutoHyphens/>
        <w:snapToGrid w:val="0"/>
        <w:spacing w:after="0" w:line="360" w:lineRule="auto"/>
        <w:ind w:right="120"/>
        <w:jc w:val="right"/>
        <w:rPr>
          <w:rFonts w:ascii="Book Antiqua" w:hAnsi="Book Antiqua" w:cs="Mangal"/>
          <w:b/>
          <w:bCs/>
          <w:kern w:val="2"/>
          <w:sz w:val="24"/>
          <w:szCs w:val="24"/>
          <w:lang w:val="en-US" w:eastAsia="zh-CN" w:bidi="hi-IN"/>
        </w:rPr>
      </w:pPr>
      <w:bookmarkStart w:id="211" w:name="OLE_LINK502"/>
      <w:bookmarkStart w:id="212" w:name="OLE_LINK480"/>
      <w:bookmarkStart w:id="213" w:name="OLE_LINK2090"/>
      <w:bookmarkStart w:id="214" w:name="OLE_LINK2200"/>
      <w:bookmarkStart w:id="215" w:name="OLE_LINK2199"/>
      <w:bookmarkStart w:id="216" w:name="OLE_LINK2198"/>
      <w:bookmarkStart w:id="217" w:name="OLE_LINK2162"/>
      <w:bookmarkStart w:id="218" w:name="OLE_LINK1964"/>
      <w:bookmarkStart w:id="219" w:name="OLE_LINK1963"/>
      <w:bookmarkStart w:id="220" w:name="OLE_LINK1962"/>
      <w:bookmarkStart w:id="221" w:name="OLE_LINK1813"/>
      <w:bookmarkStart w:id="222" w:name="OLE_LINK1812"/>
      <w:bookmarkStart w:id="223" w:name="OLE_LINK1811"/>
      <w:bookmarkStart w:id="224" w:name="OLE_LINK1807"/>
      <w:bookmarkStart w:id="225" w:name="OLE_LINK1806"/>
      <w:bookmarkStart w:id="226" w:name="OLE_LINK1755"/>
      <w:bookmarkStart w:id="227" w:name="OLE_LINK1636"/>
      <w:bookmarkStart w:id="228" w:name="OLE_LINK1845"/>
      <w:bookmarkStart w:id="229" w:name="OLE_LINK1844"/>
      <w:bookmarkStart w:id="230" w:name="OLE_LINK1843"/>
      <w:bookmarkStart w:id="231" w:name="OLE_LINK1803"/>
      <w:bookmarkStart w:id="232" w:name="OLE_LINK1802"/>
      <w:bookmarkStart w:id="233" w:name="OLE_LINK1801"/>
      <w:bookmarkStart w:id="234" w:name="OLE_LINK1800"/>
      <w:bookmarkStart w:id="235" w:name="OLE_LINK1282"/>
      <w:bookmarkStart w:id="236" w:name="OLE_LINK1266"/>
      <w:bookmarkStart w:id="237" w:name="OLE_LINK1265"/>
      <w:bookmarkStart w:id="238" w:name="OLE_LINK1264"/>
      <w:bookmarkStart w:id="239" w:name="OLE_LINK1261"/>
      <w:bookmarkStart w:id="240" w:name="OLE_LINK1260"/>
      <w:bookmarkStart w:id="241" w:name="OLE_LINK968"/>
      <w:bookmarkStart w:id="242" w:name="OLE_LINK1072"/>
      <w:bookmarkStart w:id="243" w:name="OLE_LINK1071"/>
      <w:bookmarkStart w:id="244" w:name="OLE_LINK1044"/>
      <w:bookmarkStart w:id="245" w:name="OLE_LINK1043"/>
      <w:bookmarkStart w:id="246" w:name="OLE_LINK1042"/>
      <w:bookmarkStart w:id="247" w:name="OLE_LINK1041"/>
      <w:bookmarkStart w:id="248" w:name="OLE_LINK1040"/>
      <w:bookmarkStart w:id="249" w:name="OLE_LINK1039"/>
      <w:bookmarkStart w:id="250" w:name="OLE_LINK1038"/>
      <w:bookmarkStart w:id="251" w:name="OLE_LINK1037"/>
      <w:bookmarkStart w:id="252" w:name="OLE_LINK1036"/>
      <w:bookmarkStart w:id="253" w:name="OLE_LINK1035"/>
      <w:bookmarkStart w:id="254" w:name="OLE_LINK987"/>
      <w:bookmarkStart w:id="255" w:name="OLE_LINK947"/>
      <w:bookmarkStart w:id="256" w:name="OLE_LINK946"/>
      <w:bookmarkStart w:id="257" w:name="OLE_LINK945"/>
      <w:bookmarkStart w:id="258" w:name="OLE_LINK1127"/>
      <w:bookmarkStart w:id="259" w:name="OLE_LINK962"/>
      <w:bookmarkStart w:id="260" w:name="OLE_LINK959"/>
      <w:bookmarkStart w:id="261" w:name="OLE_LINK958"/>
      <w:bookmarkStart w:id="262" w:name="OLE_LINK1185"/>
      <w:bookmarkStart w:id="263" w:name="OLE_LINK1159"/>
      <w:bookmarkStart w:id="264" w:name="OLE_LINK1158"/>
      <w:bookmarkStart w:id="265" w:name="OLE_LINK1157"/>
      <w:bookmarkStart w:id="266" w:name="OLE_LINK1156"/>
      <w:bookmarkStart w:id="267" w:name="OLE_LINK1065"/>
      <w:bookmarkStart w:id="268" w:name="OLE_LINK1064"/>
      <w:bookmarkStart w:id="269" w:name="OLE_LINK1023"/>
      <w:bookmarkStart w:id="270" w:name="OLE_LINK1022"/>
      <w:bookmarkStart w:id="271" w:name="OLE_LINK1021"/>
      <w:bookmarkStart w:id="272" w:name="OLE_LINK2183"/>
      <w:bookmarkStart w:id="273" w:name="OLE_LINK2182"/>
      <w:bookmarkStart w:id="274" w:name="OLE_LINK2181"/>
      <w:r w:rsidRPr="000A7851">
        <w:rPr>
          <w:rFonts w:ascii="Book Antiqua" w:eastAsia="Lucida Sans Unicode" w:hAnsi="Book Antiqua" w:cs="Arial"/>
          <w:b/>
          <w:kern w:val="2"/>
          <w:sz w:val="24"/>
          <w:szCs w:val="24"/>
          <w:lang w:val="en-US" w:eastAsia="hi-IN" w:bidi="hi-IN"/>
        </w:rPr>
        <w:t>P-Reviewer</w:t>
      </w:r>
      <w:r w:rsidRPr="000A7851">
        <w:rPr>
          <w:rFonts w:ascii="Book Antiqua" w:hAnsi="Book Antiqua" w:cs="Arial"/>
          <w:b/>
          <w:kern w:val="2"/>
          <w:sz w:val="24"/>
          <w:szCs w:val="24"/>
          <w:lang w:val="en-US" w:bidi="hi-IN"/>
        </w:rPr>
        <w:t>:</w:t>
      </w:r>
      <w:r w:rsidRPr="000A7851">
        <w:rPr>
          <w:rFonts w:ascii="Book Antiqua" w:eastAsia="Lucida Sans Unicode" w:hAnsi="Book Antiqua" w:cs="Mangal"/>
          <w:bCs/>
          <w:kern w:val="2"/>
          <w:sz w:val="24"/>
          <w:szCs w:val="24"/>
          <w:lang w:val="en-US" w:eastAsia="hi-IN" w:bidi="hi-IN"/>
        </w:rPr>
        <w:t xml:space="preserve"> </w:t>
      </w:r>
      <w:proofErr w:type="spellStart"/>
      <w:r w:rsidRPr="000A7851">
        <w:rPr>
          <w:rFonts w:ascii="Book Antiqua" w:hAnsi="Book Antiqua"/>
          <w:sz w:val="24"/>
          <w:szCs w:val="24"/>
          <w:lang w:val="en-US"/>
        </w:rPr>
        <w:t>Sheashaa</w:t>
      </w:r>
      <w:proofErr w:type="spellEnd"/>
      <w:r w:rsidRPr="000A7851">
        <w:rPr>
          <w:rFonts w:ascii="Book Antiqua" w:hAnsi="Book Antiqua"/>
          <w:sz w:val="24"/>
          <w:szCs w:val="24"/>
          <w:lang w:val="en-US"/>
        </w:rPr>
        <w:t xml:space="preserve"> HA, </w:t>
      </w:r>
      <w:proofErr w:type="spellStart"/>
      <w:r w:rsidRPr="000A7851">
        <w:rPr>
          <w:rFonts w:ascii="Book Antiqua" w:hAnsi="Book Antiqua"/>
          <w:sz w:val="24"/>
          <w:szCs w:val="24"/>
          <w:lang w:val="en-US"/>
        </w:rPr>
        <w:t>Ekpenyong</w:t>
      </w:r>
      <w:proofErr w:type="spellEnd"/>
      <w:r w:rsidRPr="000A7851">
        <w:rPr>
          <w:rFonts w:ascii="Book Antiqua" w:hAnsi="Book Antiqua"/>
          <w:sz w:val="24"/>
          <w:szCs w:val="24"/>
          <w:lang w:val="en-US"/>
        </w:rPr>
        <w:t xml:space="preserve"> CE</w:t>
      </w:r>
      <w:r w:rsidRPr="000A7851">
        <w:rPr>
          <w:rFonts w:ascii="Book Antiqua" w:eastAsia="Lucida Sans Unicode" w:hAnsi="Book Antiqua" w:cs="Mangal"/>
          <w:bCs/>
          <w:kern w:val="2"/>
          <w:sz w:val="24"/>
          <w:szCs w:val="24"/>
          <w:lang w:val="en-US" w:eastAsia="hi-IN" w:bidi="hi-IN"/>
        </w:rPr>
        <w:t xml:space="preserve"> </w:t>
      </w:r>
      <w:r w:rsidRPr="000A7851">
        <w:rPr>
          <w:rFonts w:ascii="Book Antiqua" w:eastAsia="Lucida Sans Unicode" w:hAnsi="Book Antiqua" w:cs="Mangal"/>
          <w:b/>
          <w:bCs/>
          <w:kern w:val="2"/>
          <w:sz w:val="24"/>
          <w:szCs w:val="24"/>
          <w:lang w:val="en-US" w:eastAsia="hi-IN" w:bidi="hi-IN"/>
        </w:rPr>
        <w:t>S-Editor</w:t>
      </w:r>
      <w:r w:rsidRPr="000A7851">
        <w:rPr>
          <w:rFonts w:ascii="Book Antiqua" w:hAnsi="Book Antiqua" w:cs="Mangal"/>
          <w:b/>
          <w:bCs/>
          <w:kern w:val="2"/>
          <w:sz w:val="24"/>
          <w:szCs w:val="24"/>
          <w:lang w:val="en-US" w:bidi="hi-IN"/>
        </w:rPr>
        <w:t>:</w:t>
      </w:r>
      <w:r w:rsidRPr="000A7851">
        <w:rPr>
          <w:rFonts w:ascii="Book Antiqua" w:eastAsia="Lucida Sans Unicode" w:hAnsi="Book Antiqua" w:cs="Mangal"/>
          <w:bCs/>
          <w:kern w:val="2"/>
          <w:sz w:val="24"/>
          <w:szCs w:val="24"/>
          <w:lang w:val="en-US" w:eastAsia="hi-IN" w:bidi="hi-IN"/>
        </w:rPr>
        <w:t xml:space="preserve"> </w:t>
      </w:r>
      <w:r w:rsidRPr="000A7851">
        <w:rPr>
          <w:rFonts w:ascii="Book Antiqua" w:hAnsi="Book Antiqua" w:cs="Mangal"/>
          <w:bCs/>
          <w:kern w:val="2"/>
          <w:sz w:val="24"/>
          <w:szCs w:val="24"/>
          <w:lang w:val="en-US" w:bidi="hi-IN"/>
        </w:rPr>
        <w:t>Dou Y</w:t>
      </w:r>
      <w:r w:rsidRPr="000A7851">
        <w:rPr>
          <w:rFonts w:ascii="Book Antiqua" w:eastAsia="Lucida Sans Unicode" w:hAnsi="Book Antiqua" w:cs="Mangal"/>
          <w:b/>
          <w:bCs/>
          <w:kern w:val="2"/>
          <w:sz w:val="24"/>
          <w:szCs w:val="24"/>
          <w:lang w:val="en-US" w:eastAsia="hi-IN" w:bidi="hi-IN"/>
        </w:rPr>
        <w:t xml:space="preserve"> L-Editor</w:t>
      </w:r>
      <w:r w:rsidRPr="000A7851">
        <w:rPr>
          <w:rFonts w:ascii="Book Antiqua" w:hAnsi="Book Antiqua" w:cs="Mangal"/>
          <w:b/>
          <w:bCs/>
          <w:kern w:val="2"/>
          <w:sz w:val="24"/>
          <w:szCs w:val="24"/>
          <w:lang w:val="en-US" w:bidi="hi-IN"/>
        </w:rPr>
        <w:t>:</w:t>
      </w:r>
      <w:r w:rsidRPr="000A7851">
        <w:rPr>
          <w:rFonts w:ascii="Book Antiqua" w:eastAsia="Lucida Sans Unicode" w:hAnsi="Book Antiqua" w:cs="Mangal"/>
          <w:b/>
          <w:bCs/>
          <w:kern w:val="2"/>
          <w:sz w:val="24"/>
          <w:szCs w:val="24"/>
          <w:lang w:val="en-US" w:eastAsia="hi-IN" w:bidi="hi-IN"/>
        </w:rPr>
        <w:t xml:space="preserve"> </w:t>
      </w:r>
      <w:proofErr w:type="spellStart"/>
      <w:r w:rsidR="00312F89" w:rsidRPr="000A7851">
        <w:rPr>
          <w:rFonts w:ascii="Book Antiqua" w:eastAsia="Lucida Sans Unicode" w:hAnsi="Book Antiqua" w:cs="Mangal"/>
          <w:bCs/>
          <w:kern w:val="2"/>
          <w:sz w:val="24"/>
          <w:szCs w:val="24"/>
          <w:lang w:val="en-US" w:eastAsia="hi-IN" w:bidi="hi-IN"/>
        </w:rPr>
        <w:t>Filipodia</w:t>
      </w:r>
      <w:proofErr w:type="spellEnd"/>
      <w:r w:rsidR="00312F89" w:rsidRPr="000A7851">
        <w:rPr>
          <w:rFonts w:ascii="Book Antiqua" w:eastAsia="Lucida Sans Unicode" w:hAnsi="Book Antiqua" w:cs="Mangal"/>
          <w:bCs/>
          <w:kern w:val="2"/>
          <w:sz w:val="24"/>
          <w:szCs w:val="24"/>
          <w:lang w:val="en-US" w:eastAsia="hi-IN" w:bidi="hi-IN"/>
        </w:rPr>
        <w:t xml:space="preserve"> </w:t>
      </w:r>
      <w:r w:rsidRPr="000A7851">
        <w:rPr>
          <w:rFonts w:ascii="Book Antiqua" w:eastAsia="Lucida Sans Unicode" w:hAnsi="Book Antiqua" w:cs="Mangal"/>
          <w:b/>
          <w:bCs/>
          <w:kern w:val="2"/>
          <w:sz w:val="24"/>
          <w:szCs w:val="24"/>
          <w:lang w:val="en-US" w:eastAsia="hi-IN" w:bidi="hi-IN"/>
        </w:rPr>
        <w:t>E-Editor</w:t>
      </w:r>
      <w:r w:rsidRPr="000A7851">
        <w:rPr>
          <w:rFonts w:ascii="Book Antiqua" w:hAnsi="Book Antiqua" w:cs="Mangal"/>
          <w:b/>
          <w:bCs/>
          <w:kern w:val="2"/>
          <w:sz w:val="24"/>
          <w:szCs w:val="24"/>
          <w:lang w:val="en-US" w:bidi="hi-IN"/>
        </w:rPr>
        <w:t>:</w:t>
      </w:r>
      <w:r w:rsidR="006D7603">
        <w:rPr>
          <w:rFonts w:ascii="Book Antiqua" w:hAnsi="Book Antiqua" w:cs="Mangal" w:hint="eastAsia"/>
          <w:b/>
          <w:bCs/>
          <w:kern w:val="2"/>
          <w:sz w:val="24"/>
          <w:szCs w:val="24"/>
          <w:lang w:val="en-US" w:eastAsia="zh-CN" w:bidi="hi-IN"/>
        </w:rPr>
        <w:t xml:space="preserve"> </w:t>
      </w:r>
      <w:r w:rsidR="006D7603" w:rsidRPr="006D7603">
        <w:rPr>
          <w:rFonts w:ascii="Book Antiqua" w:hAnsi="Book Antiqua" w:cs="Mangal" w:hint="eastAsia"/>
          <w:bCs/>
          <w:kern w:val="2"/>
          <w:sz w:val="24"/>
          <w:szCs w:val="24"/>
          <w:lang w:val="en-US" w:eastAsia="zh-CN" w:bidi="hi-IN"/>
        </w:rPr>
        <w:t>Li Xiang</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 xml:space="preserve">Specialty type: </w:t>
      </w:r>
      <w:r w:rsidRPr="000A7851">
        <w:rPr>
          <w:rFonts w:ascii="Book Antiqua" w:eastAsia="微软雅黑" w:hAnsi="Book Antiqua" w:cs="宋体"/>
          <w:sz w:val="24"/>
          <w:szCs w:val="24"/>
          <w:lang w:val="en-US"/>
        </w:rPr>
        <w:t>Urology and nephrology</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 xml:space="preserve">Country of origin: </w:t>
      </w:r>
      <w:r w:rsidRPr="000A7851">
        <w:rPr>
          <w:rFonts w:ascii="Book Antiqua" w:hAnsi="Book Antiqua" w:cs="Helvetica"/>
          <w:kern w:val="2"/>
          <w:sz w:val="24"/>
          <w:szCs w:val="24"/>
          <w:lang w:val="en-US"/>
        </w:rPr>
        <w:t>Greece</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Peer-review report classification</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 xml:space="preserve">Grade </w:t>
      </w:r>
      <w:proofErr w:type="gramStart"/>
      <w:r w:rsidRPr="000A7851">
        <w:rPr>
          <w:rFonts w:ascii="Book Antiqua" w:hAnsi="Book Antiqua" w:cs="Helvetica"/>
          <w:kern w:val="2"/>
          <w:sz w:val="24"/>
          <w:szCs w:val="24"/>
          <w:lang w:val="en-US"/>
        </w:rPr>
        <w:t>A</w:t>
      </w:r>
      <w:proofErr w:type="gramEnd"/>
      <w:r w:rsidRPr="000A7851">
        <w:rPr>
          <w:rFonts w:ascii="Book Antiqua" w:hAnsi="Book Antiqua" w:cs="Helvetica"/>
          <w:kern w:val="2"/>
          <w:sz w:val="24"/>
          <w:szCs w:val="24"/>
          <w:lang w:val="en-US"/>
        </w:rPr>
        <w:t xml:space="preserve"> (Excellent): 0</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B (Very good): 0</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C (Good): C</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 xml:space="preserve">Grade D (Fair): </w:t>
      </w:r>
      <w:bookmarkEnd w:id="211"/>
      <w:bookmarkEnd w:id="212"/>
      <w:r w:rsidRPr="000A7851">
        <w:rPr>
          <w:rFonts w:ascii="Book Antiqua" w:hAnsi="Book Antiqua" w:cs="Helvetica"/>
          <w:kern w:val="2"/>
          <w:sz w:val="24"/>
          <w:szCs w:val="24"/>
          <w:lang w:val="en-US"/>
        </w:rPr>
        <w:t>D</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E (Poor): 0</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A5773B" w:rsidRPr="000A7851" w:rsidRDefault="00A5773B" w:rsidP="005F021A">
      <w:pPr>
        <w:snapToGrid w:val="0"/>
        <w:spacing w:after="0" w:line="360" w:lineRule="auto"/>
        <w:jc w:val="both"/>
        <w:rPr>
          <w:rFonts w:ascii="Book Antiqua" w:hAnsi="Book Antiqua" w:cs="Times New Roman"/>
          <w:sz w:val="24"/>
          <w:szCs w:val="24"/>
          <w:lang w:val="en-US"/>
        </w:rPr>
      </w:pPr>
    </w:p>
    <w:p w:rsidR="00481EB8" w:rsidRPr="000A7851" w:rsidRDefault="00481EB8"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br w:type="page"/>
      </w:r>
    </w:p>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lastRenderedPageBreak/>
        <w:t xml:space="preserve">Table 1 Mycophenolic acid for induction treatment in </w:t>
      </w:r>
      <w:proofErr w:type="spellStart"/>
      <w:r w:rsidR="00481EB8" w:rsidRPr="000A7851">
        <w:rPr>
          <w:rFonts w:ascii="Book Antiqua" w:eastAsiaTheme="minorHAnsi" w:hAnsi="Book Antiqua" w:cs="Times New Roman"/>
          <w:b/>
          <w:sz w:val="24"/>
          <w:szCs w:val="24"/>
          <w:lang w:val="en-US" w:eastAsia="en-US"/>
        </w:rPr>
        <w:t>antineutrophil</w:t>
      </w:r>
      <w:proofErr w:type="spellEnd"/>
      <w:r w:rsidR="00481EB8" w:rsidRPr="000A7851">
        <w:rPr>
          <w:rFonts w:ascii="Book Antiqua" w:eastAsiaTheme="minorHAnsi" w:hAnsi="Book Antiqua" w:cs="Times New Roman"/>
          <w:b/>
          <w:sz w:val="24"/>
          <w:szCs w:val="24"/>
          <w:lang w:val="en-US" w:eastAsia="en-US"/>
        </w:rPr>
        <w:t xml:space="preserve"> cytoplasmic antibody</w:t>
      </w:r>
      <w:r w:rsidR="007A485D" w:rsidRPr="000A7851">
        <w:rPr>
          <w:rFonts w:ascii="Book Antiqua" w:eastAsiaTheme="minorHAnsi" w:hAnsi="Book Antiqua" w:cs="Times New Roman"/>
          <w:b/>
          <w:sz w:val="24"/>
          <w:szCs w:val="24"/>
          <w:lang w:val="en-US" w:eastAsia="en-US"/>
        </w:rPr>
        <w:t>-</w:t>
      </w:r>
      <w:r w:rsidR="00481EB8" w:rsidRPr="000A7851">
        <w:rPr>
          <w:rFonts w:ascii="Book Antiqua" w:eastAsiaTheme="minorHAnsi" w:hAnsi="Book Antiqua" w:cs="Times New Roman"/>
          <w:b/>
          <w:sz w:val="24"/>
          <w:szCs w:val="24"/>
          <w:lang w:val="en-US" w:eastAsia="en-US"/>
        </w:rPr>
        <w:t xml:space="preserve">associated </w:t>
      </w:r>
      <w:proofErr w:type="spellStart"/>
      <w:r w:rsidR="00481EB8" w:rsidRPr="000A7851">
        <w:rPr>
          <w:rFonts w:ascii="Book Antiqua" w:eastAsiaTheme="minorHAnsi" w:hAnsi="Book Antiqua" w:cs="Times New Roman"/>
          <w:b/>
          <w:sz w:val="24"/>
          <w:szCs w:val="24"/>
          <w:lang w:val="en-US" w:eastAsia="en-US"/>
        </w:rPr>
        <w:t>vasculitis</w:t>
      </w:r>
      <w:proofErr w:type="spellEnd"/>
    </w:p>
    <w:tbl>
      <w:tblPr>
        <w:tblStyle w:val="ac"/>
        <w:tblW w:w="5739"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885"/>
        <w:gridCol w:w="1570"/>
        <w:gridCol w:w="592"/>
        <w:gridCol w:w="1585"/>
        <w:gridCol w:w="1269"/>
        <w:gridCol w:w="1231"/>
        <w:gridCol w:w="1996"/>
      </w:tblGrid>
      <w:tr w:rsidR="005F021A" w:rsidRPr="000A7851" w:rsidTr="009B6ED3">
        <w:trPr>
          <w:trHeight w:val="576"/>
        </w:trPr>
        <w:tc>
          <w:tcPr>
            <w:tcW w:w="698"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bookmarkStart w:id="275" w:name="RANGE!A1:K14"/>
            <w:r w:rsidRPr="000A7851">
              <w:rPr>
                <w:rFonts w:ascii="Book Antiqua" w:hAnsi="Book Antiqua"/>
                <w:b/>
                <w:sz w:val="24"/>
                <w:szCs w:val="24"/>
                <w:lang w:val="en-US"/>
              </w:rPr>
              <w:t>A</w:t>
            </w:r>
            <w:bookmarkEnd w:id="275"/>
            <w:r w:rsidR="007F08EE" w:rsidRPr="000A7851">
              <w:rPr>
                <w:rFonts w:ascii="Book Antiqua" w:hAnsi="Book Antiqua"/>
                <w:b/>
                <w:sz w:val="24"/>
                <w:szCs w:val="24"/>
                <w:lang w:val="en-US"/>
              </w:rPr>
              <w:t>uthors</w:t>
            </w:r>
          </w:p>
        </w:tc>
        <w:tc>
          <w:tcPr>
            <w:tcW w:w="417"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Y</w:t>
            </w:r>
            <w:r w:rsidR="007F08EE" w:rsidRPr="000A7851">
              <w:rPr>
                <w:rFonts w:ascii="Book Antiqua" w:hAnsi="Book Antiqua"/>
                <w:b/>
                <w:sz w:val="24"/>
                <w:szCs w:val="24"/>
                <w:lang w:val="en-US"/>
              </w:rPr>
              <w:t>r</w:t>
            </w:r>
          </w:p>
        </w:tc>
        <w:tc>
          <w:tcPr>
            <w:tcW w:w="740"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Study </w:t>
            </w:r>
            <w:r w:rsidR="00E1542E" w:rsidRPr="000A7851">
              <w:rPr>
                <w:rFonts w:ascii="Book Antiqua" w:hAnsi="Book Antiqua"/>
                <w:b/>
                <w:sz w:val="24"/>
                <w:szCs w:val="24"/>
                <w:lang w:val="en-US"/>
              </w:rPr>
              <w:t>d</w:t>
            </w:r>
            <w:r w:rsidRPr="000A7851">
              <w:rPr>
                <w:rFonts w:ascii="Book Antiqua" w:hAnsi="Book Antiqua"/>
                <w:b/>
                <w:sz w:val="24"/>
                <w:szCs w:val="24"/>
                <w:lang w:val="en-US"/>
              </w:rPr>
              <w:t>esign</w:t>
            </w:r>
          </w:p>
        </w:tc>
        <w:tc>
          <w:tcPr>
            <w:tcW w:w="279"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No Pt</w:t>
            </w:r>
          </w:p>
        </w:tc>
        <w:tc>
          <w:tcPr>
            <w:tcW w:w="747"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D</w:t>
            </w:r>
            <w:r w:rsidR="007F08EE" w:rsidRPr="000A7851">
              <w:rPr>
                <w:rFonts w:ascii="Book Antiqua" w:hAnsi="Book Antiqua"/>
                <w:b/>
                <w:sz w:val="24"/>
                <w:szCs w:val="24"/>
                <w:lang w:val="en-US"/>
              </w:rPr>
              <w:t>iagnosis</w:t>
            </w:r>
          </w:p>
        </w:tc>
        <w:tc>
          <w:tcPr>
            <w:tcW w:w="598" w:type="pct"/>
            <w:tcBorders>
              <w:top w:val="single" w:sz="4" w:space="0" w:color="auto"/>
              <w:bottom w:val="single" w:sz="4" w:space="0" w:color="auto"/>
            </w:tcBorders>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ANCA</w:t>
            </w:r>
          </w:p>
        </w:tc>
        <w:tc>
          <w:tcPr>
            <w:tcW w:w="580" w:type="pct"/>
            <w:tcBorders>
              <w:top w:val="single" w:sz="4" w:space="0" w:color="auto"/>
              <w:bottom w:val="single" w:sz="4" w:space="0" w:color="auto"/>
            </w:tcBorders>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Follow-up</w:t>
            </w:r>
            <w:r w:rsidR="00B51294" w:rsidRPr="000A7851">
              <w:rPr>
                <w:rFonts w:ascii="Book Antiqua" w:hAnsi="Book Antiqua"/>
                <w:b/>
                <w:sz w:val="24"/>
                <w:szCs w:val="24"/>
                <w:lang w:val="en-US"/>
              </w:rPr>
              <w:t xml:space="preserve"> </w:t>
            </w:r>
            <w:r w:rsidR="00981108" w:rsidRPr="000A7851">
              <w:rPr>
                <w:rFonts w:ascii="Book Antiqua" w:hAnsi="Book Antiqua"/>
                <w:b/>
                <w:sz w:val="24"/>
                <w:szCs w:val="24"/>
                <w:lang w:val="en-US"/>
              </w:rPr>
              <w:t xml:space="preserve">in </w:t>
            </w:r>
            <w:r w:rsidR="00B51294" w:rsidRPr="000A7851">
              <w:rPr>
                <w:rFonts w:ascii="Book Antiqua" w:hAnsi="Book Antiqua"/>
                <w:b/>
                <w:sz w:val="24"/>
                <w:szCs w:val="24"/>
                <w:lang w:val="en-US"/>
              </w:rPr>
              <w:t>mo</w:t>
            </w:r>
          </w:p>
        </w:tc>
        <w:tc>
          <w:tcPr>
            <w:tcW w:w="941"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Remission </w:t>
            </w:r>
            <w:r w:rsidR="00981108" w:rsidRPr="000A7851">
              <w:rPr>
                <w:rFonts w:ascii="Book Antiqua" w:hAnsi="Book Antiqua"/>
                <w:b/>
                <w:sz w:val="24"/>
                <w:szCs w:val="24"/>
                <w:lang w:val="en-US"/>
              </w:rPr>
              <w:t>r</w:t>
            </w:r>
            <w:r w:rsidRPr="000A7851">
              <w:rPr>
                <w:rFonts w:ascii="Book Antiqua" w:hAnsi="Book Antiqua"/>
                <w:b/>
                <w:sz w:val="24"/>
                <w:szCs w:val="24"/>
                <w:lang w:val="en-US"/>
              </w:rPr>
              <w:t>ate</w:t>
            </w:r>
          </w:p>
        </w:tc>
      </w:tr>
      <w:tr w:rsidR="005F021A" w:rsidRPr="000A7851" w:rsidTr="009B6ED3">
        <w:trPr>
          <w:trHeight w:val="864"/>
        </w:trPr>
        <w:tc>
          <w:tcPr>
            <w:tcW w:w="698" w:type="pct"/>
            <w:tcBorders>
              <w:top w:val="single" w:sz="4" w:space="0" w:color="auto"/>
            </w:tcBorders>
            <w:hideMark/>
          </w:tcPr>
          <w:p w:rsidR="00B51294" w:rsidRPr="000A7851" w:rsidRDefault="00C97DE1"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Joy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[6]</w:t>
            </w:r>
          </w:p>
        </w:tc>
        <w:tc>
          <w:tcPr>
            <w:tcW w:w="417"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2005</w:t>
            </w:r>
          </w:p>
        </w:tc>
        <w:tc>
          <w:tcPr>
            <w:tcW w:w="740"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79"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12</w:t>
            </w:r>
          </w:p>
        </w:tc>
        <w:tc>
          <w:tcPr>
            <w:tcW w:w="747"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7, MPA: 2, R</w:t>
            </w:r>
            <w:r w:rsidR="007F08EE" w:rsidRPr="000A7851">
              <w:rPr>
                <w:rFonts w:ascii="Book Antiqua" w:hAnsi="Book Antiqua"/>
                <w:bCs/>
                <w:sz w:val="24"/>
                <w:szCs w:val="24"/>
                <w:lang w:val="en-US"/>
              </w:rPr>
              <w:t xml:space="preserve">enal </w:t>
            </w:r>
            <w:r w:rsidRPr="000A7851">
              <w:rPr>
                <w:rFonts w:ascii="Book Antiqua" w:hAnsi="Book Antiqua"/>
                <w:bCs/>
                <w:sz w:val="24"/>
                <w:szCs w:val="24"/>
                <w:lang w:val="en-US"/>
              </w:rPr>
              <w:t>L</w:t>
            </w:r>
            <w:r w:rsidR="007F08EE" w:rsidRPr="000A7851">
              <w:rPr>
                <w:rFonts w:ascii="Book Antiqua" w:hAnsi="Book Antiqua"/>
                <w:bCs/>
                <w:sz w:val="24"/>
                <w:szCs w:val="24"/>
                <w:lang w:val="en-US"/>
              </w:rPr>
              <w:t>imited</w:t>
            </w:r>
            <w:r w:rsidRPr="000A7851">
              <w:rPr>
                <w:rFonts w:ascii="Book Antiqua" w:hAnsi="Book Antiqua"/>
                <w:bCs/>
                <w:sz w:val="24"/>
                <w:szCs w:val="24"/>
                <w:lang w:val="en-US"/>
              </w:rPr>
              <w:t>: 2</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CS:1</w:t>
            </w:r>
          </w:p>
        </w:tc>
        <w:tc>
          <w:tcPr>
            <w:tcW w:w="598"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 PR3: 9</w:t>
            </w:r>
          </w:p>
        </w:tc>
        <w:tc>
          <w:tcPr>
            <w:tcW w:w="580"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12 </w:t>
            </w:r>
          </w:p>
        </w:tc>
        <w:tc>
          <w:tcPr>
            <w:tcW w:w="941"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6/10 - 60% </w:t>
            </w:r>
          </w:p>
        </w:tc>
      </w:tr>
      <w:tr w:rsidR="005F021A" w:rsidRPr="000A7851" w:rsidTr="009B6ED3">
        <w:trPr>
          <w:trHeight w:val="288"/>
        </w:trPr>
        <w:tc>
          <w:tcPr>
            <w:tcW w:w="698"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Koukoulaki </w:t>
            </w:r>
            <w:r w:rsidR="00481EB8"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[12]</w:t>
            </w:r>
          </w:p>
        </w:tc>
        <w:tc>
          <w:tcPr>
            <w:tcW w:w="417"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2006</w:t>
            </w:r>
          </w:p>
        </w:tc>
        <w:tc>
          <w:tcPr>
            <w:tcW w:w="740"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79"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22</w:t>
            </w:r>
          </w:p>
          <w:p w:rsidR="007F08EE" w:rsidRPr="000A7851" w:rsidRDefault="007F08EE" w:rsidP="005F021A">
            <w:pPr>
              <w:snapToGrid w:val="0"/>
              <w:spacing w:line="360" w:lineRule="auto"/>
              <w:jc w:val="both"/>
              <w:rPr>
                <w:rFonts w:ascii="Book Antiqua" w:hAnsi="Book Antiqua"/>
                <w:bCs/>
                <w:sz w:val="24"/>
                <w:szCs w:val="24"/>
                <w:lang w:val="en-US"/>
              </w:rPr>
            </w:pPr>
          </w:p>
        </w:tc>
        <w:tc>
          <w:tcPr>
            <w:tcW w:w="747" w:type="pct"/>
            <w:hideMark/>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98" w:type="pct"/>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80" w:type="pct"/>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24 </w:t>
            </w:r>
          </w:p>
        </w:tc>
        <w:tc>
          <w:tcPr>
            <w:tcW w:w="941"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18/22 – 81</w:t>
            </w:r>
            <w:r w:rsidR="00481EB8" w:rsidRPr="000A7851">
              <w:rPr>
                <w:rFonts w:ascii="Book Antiqua" w:hAnsi="Book Antiqua"/>
                <w:bCs/>
                <w:sz w:val="24"/>
                <w:szCs w:val="24"/>
                <w:lang w:val="en-US"/>
              </w:rPr>
              <w:t>.</w:t>
            </w:r>
            <w:r w:rsidRPr="000A7851">
              <w:rPr>
                <w:rFonts w:ascii="Book Antiqua" w:hAnsi="Book Antiqua"/>
                <w:bCs/>
                <w:sz w:val="24"/>
                <w:szCs w:val="24"/>
                <w:lang w:val="en-US"/>
              </w:rPr>
              <w:t>8%</w:t>
            </w:r>
          </w:p>
        </w:tc>
      </w:tr>
      <w:tr w:rsidR="005F021A" w:rsidRPr="000A7851" w:rsidTr="009B6ED3">
        <w:trPr>
          <w:trHeight w:val="65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Stassen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[15]</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2007</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WG: 29</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29</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48</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Complete remission: 25/32 - 78%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Partial remission: 6/32 - 19%</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Hu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[7]</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2008</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35</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28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PR3: 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77.8% (14/18)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 61.5% (8/13)</w:t>
            </w:r>
          </w:p>
        </w:tc>
      </w:tr>
      <w:tr w:rsidR="005F021A" w:rsidRPr="00612FDA" w:rsidTr="009B6ED3">
        <w:trPr>
          <w:trHeight w:val="620"/>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Silva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w:t>
            </w:r>
            <w:r w:rsidR="00481EB8" w:rsidRPr="000A7851">
              <w:rPr>
                <w:rFonts w:ascii="Book Antiqua" w:hAnsi="Book Antiqua"/>
                <w:bCs/>
                <w:sz w:val="24"/>
                <w:szCs w:val="24"/>
                <w:vertAlign w:val="superscript"/>
                <w:lang w:val="en-US"/>
              </w:rPr>
              <w:t>6</w:t>
            </w:r>
            <w:r w:rsidRPr="000A7851">
              <w:rPr>
                <w:rFonts w:ascii="Book Antiqua" w:hAnsi="Book Antiqua"/>
                <w:bCs/>
                <w:sz w:val="24"/>
                <w:szCs w:val="24"/>
                <w:vertAlign w:val="superscript"/>
                <w:lang w:val="en-US"/>
              </w:rPr>
              <w:t>]</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17</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17</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17</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18 </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Remission at 6 mo: 13/17 - 76%</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Sustained remission at 18 mo: 12/17 - 70%</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Han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[8]</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2011</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42</w:t>
            </w:r>
          </w:p>
        </w:tc>
        <w:tc>
          <w:tcPr>
            <w:tcW w:w="747" w:type="pct"/>
            <w:hideMark/>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42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78.9% (14/18)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 63.6% (8/13)</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lastRenderedPageBreak/>
              <w:t xml:space="preserve">Jones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[9]</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2018</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140</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49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GPA: 91</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53</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82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67% (47/70)</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CYC:61% (43/70)</w:t>
            </w:r>
          </w:p>
        </w:tc>
      </w:tr>
      <w:tr w:rsidR="005F021A" w:rsidRPr="000A7851" w:rsidTr="009B6ED3">
        <w:trPr>
          <w:trHeight w:val="418"/>
        </w:trPr>
        <w:tc>
          <w:tcPr>
            <w:tcW w:w="698" w:type="pct"/>
            <w:hideMark/>
          </w:tcPr>
          <w:p w:rsidR="00B51294" w:rsidRPr="000A7851" w:rsidRDefault="00481EB8"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Chen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[17]</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2016</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34</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34</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34</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86 </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31/34 - 91.2%</w:t>
            </w:r>
          </w:p>
        </w:tc>
      </w:tr>
    </w:tbl>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sz w:val="24"/>
          <w:szCs w:val="24"/>
          <w:lang w:val="en-US" w:eastAsia="en-US"/>
        </w:rPr>
        <w:t xml:space="preserve">ANCA: </w:t>
      </w:r>
      <w:proofErr w:type="spellStart"/>
      <w:r w:rsidR="009B6ED3" w:rsidRPr="000A7851">
        <w:rPr>
          <w:rFonts w:ascii="Book Antiqua" w:eastAsiaTheme="minorHAnsi" w:hAnsi="Book Antiqua"/>
          <w:sz w:val="24"/>
          <w:szCs w:val="24"/>
          <w:lang w:val="en-US" w:eastAsia="en-US"/>
        </w:rPr>
        <w:t>Antineutrophil</w:t>
      </w:r>
      <w:proofErr w:type="spellEnd"/>
      <w:r w:rsidR="009B6ED3"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cytoplasmic antibody</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AZA: </w:t>
      </w:r>
      <w:r w:rsidR="009B6ED3" w:rsidRPr="000A7851">
        <w:rPr>
          <w:rFonts w:ascii="Book Antiqua" w:eastAsiaTheme="minorHAnsi" w:hAnsi="Book Antiqua"/>
          <w:sz w:val="24"/>
          <w:szCs w:val="24"/>
          <w:lang w:val="en-US" w:eastAsia="en-US"/>
        </w:rPr>
        <w:t>Azathioprine;</w:t>
      </w:r>
      <w:r w:rsidRPr="000A7851">
        <w:rPr>
          <w:rFonts w:ascii="Book Antiqua" w:eastAsiaTheme="minorHAnsi" w:hAnsi="Book Antiqua"/>
          <w:sz w:val="24"/>
          <w:szCs w:val="24"/>
          <w:lang w:val="en-US" w:eastAsia="en-US"/>
        </w:rPr>
        <w:t xml:space="preserve"> CYC: </w:t>
      </w:r>
      <w:r w:rsidR="009B6ED3" w:rsidRPr="000A7851">
        <w:rPr>
          <w:rFonts w:ascii="Book Antiqua" w:eastAsiaTheme="minorHAnsi" w:hAnsi="Book Antiqua"/>
          <w:sz w:val="24"/>
          <w:szCs w:val="24"/>
          <w:lang w:val="en-US" w:eastAsia="en-US"/>
        </w:rPr>
        <w:t>Cyclophosphamide;</w:t>
      </w:r>
      <w:r w:rsidRPr="000A7851">
        <w:rPr>
          <w:rFonts w:ascii="Book Antiqua" w:eastAsiaTheme="minorHAnsi" w:hAnsi="Book Antiqua"/>
          <w:sz w:val="24"/>
          <w:szCs w:val="24"/>
          <w:lang w:val="en-US" w:eastAsia="en-US"/>
        </w:rPr>
        <w:t xml:space="preserve"> MPA: </w:t>
      </w:r>
      <w:r w:rsidR="009B6ED3" w:rsidRPr="000A7851">
        <w:rPr>
          <w:rFonts w:ascii="Book Antiqua" w:eastAsiaTheme="minorHAnsi" w:hAnsi="Book Antiqua"/>
          <w:sz w:val="24"/>
          <w:szCs w:val="24"/>
          <w:lang w:val="en-US" w:eastAsia="en-US"/>
        </w:rPr>
        <w:t xml:space="preserve">Microscopic </w:t>
      </w:r>
      <w:proofErr w:type="spellStart"/>
      <w:r w:rsidRPr="000A7851">
        <w:rPr>
          <w:rFonts w:ascii="Book Antiqua" w:eastAsiaTheme="minorHAnsi" w:hAnsi="Book Antiqua"/>
          <w:sz w:val="24"/>
          <w:szCs w:val="24"/>
          <w:lang w:val="en-US" w:eastAsia="en-US"/>
        </w:rPr>
        <w:t>polyangiitis</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MPO: </w:t>
      </w:r>
      <w:r w:rsidR="009B6ED3" w:rsidRPr="000A7851">
        <w:rPr>
          <w:rFonts w:ascii="Book Antiqua" w:eastAsiaTheme="minorHAnsi" w:hAnsi="Book Antiqua"/>
          <w:sz w:val="24"/>
          <w:szCs w:val="24"/>
          <w:lang w:val="en-US" w:eastAsia="en-US"/>
        </w:rPr>
        <w:t>Myeloperoxidase;</w:t>
      </w:r>
      <w:r w:rsidRPr="000A7851">
        <w:rPr>
          <w:rFonts w:ascii="Book Antiqua" w:eastAsiaTheme="minorHAnsi" w:hAnsi="Book Antiqua"/>
          <w:sz w:val="24"/>
          <w:szCs w:val="24"/>
          <w:lang w:val="en-US" w:eastAsia="en-US"/>
        </w:rPr>
        <w:t xml:space="preserve"> No: </w:t>
      </w:r>
      <w:r w:rsidR="009B6ED3" w:rsidRPr="000A7851">
        <w:rPr>
          <w:rFonts w:ascii="Book Antiqua" w:eastAsiaTheme="minorHAnsi" w:hAnsi="Book Antiqua"/>
          <w:sz w:val="24"/>
          <w:szCs w:val="24"/>
          <w:lang w:val="en-US" w:eastAsia="en-US"/>
        </w:rPr>
        <w:t>Number;</w:t>
      </w:r>
      <w:r w:rsidRPr="000A7851">
        <w:rPr>
          <w:rFonts w:ascii="Book Antiqua" w:eastAsiaTheme="minorHAnsi" w:hAnsi="Book Antiqua"/>
          <w:sz w:val="24"/>
          <w:szCs w:val="24"/>
          <w:lang w:val="en-US" w:eastAsia="en-US"/>
        </w:rPr>
        <w:t xml:space="preserve"> </w:t>
      </w:r>
      <w:r w:rsidR="007F08EE" w:rsidRPr="000A7851">
        <w:rPr>
          <w:rFonts w:ascii="Book Antiqua" w:hAnsi="Book Antiqua"/>
          <w:bCs/>
          <w:sz w:val="24"/>
          <w:szCs w:val="24"/>
          <w:lang w:val="en-US"/>
        </w:rPr>
        <w:t>N/A</w:t>
      </w:r>
      <w:r w:rsidR="007F08EE" w:rsidRPr="000A7851">
        <w:rPr>
          <w:rFonts w:ascii="Book Antiqua" w:eastAsiaTheme="minorHAnsi" w:hAnsi="Book Antiqua"/>
          <w:sz w:val="24"/>
          <w:szCs w:val="24"/>
          <w:lang w:val="en-US" w:eastAsia="en-US"/>
        </w:rPr>
        <w:t xml:space="preserve">: </w:t>
      </w:r>
      <w:r w:rsidR="009B6ED3" w:rsidRPr="000A7851">
        <w:rPr>
          <w:rFonts w:ascii="Book Antiqua" w:eastAsiaTheme="minorHAnsi" w:hAnsi="Book Antiqua"/>
          <w:sz w:val="24"/>
          <w:szCs w:val="24"/>
          <w:lang w:val="en-US" w:eastAsia="en-US"/>
        </w:rPr>
        <w:t xml:space="preserve">Not </w:t>
      </w:r>
      <w:r w:rsidR="007F08EE" w:rsidRPr="000A7851">
        <w:rPr>
          <w:rFonts w:ascii="Book Antiqua" w:eastAsiaTheme="minorHAnsi" w:hAnsi="Book Antiqua"/>
          <w:sz w:val="24"/>
          <w:szCs w:val="24"/>
          <w:lang w:val="en-US" w:eastAsia="en-US"/>
        </w:rPr>
        <w:t>available</w:t>
      </w:r>
      <w:r w:rsidR="009B6ED3" w:rsidRPr="000A7851">
        <w:rPr>
          <w:rFonts w:ascii="Book Antiqua" w:eastAsiaTheme="minorHAnsi" w:hAnsi="Book Antiqua"/>
          <w:sz w:val="24"/>
          <w:szCs w:val="24"/>
          <w:lang w:val="en-US" w:eastAsia="en-US"/>
        </w:rPr>
        <w:t>;</w:t>
      </w:r>
      <w:r w:rsidR="007F08EE"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 xml:space="preserve">PR3: </w:t>
      </w:r>
      <w:r w:rsidR="009B6ED3" w:rsidRPr="000A7851">
        <w:rPr>
          <w:rFonts w:ascii="Book Antiqua" w:eastAsiaTheme="minorHAnsi" w:hAnsi="Book Antiqua"/>
          <w:sz w:val="24"/>
          <w:szCs w:val="24"/>
          <w:lang w:val="en-US" w:eastAsia="en-US"/>
        </w:rPr>
        <w:t xml:space="preserve">Proteinase </w:t>
      </w:r>
      <w:r w:rsidRPr="000A7851">
        <w:rPr>
          <w:rFonts w:ascii="Book Antiqua" w:eastAsiaTheme="minorHAnsi" w:hAnsi="Book Antiqua"/>
          <w:sz w:val="24"/>
          <w:szCs w:val="24"/>
          <w:lang w:val="en-US" w:eastAsia="en-US"/>
        </w:rPr>
        <w:t>3</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Pt: </w:t>
      </w:r>
      <w:r w:rsidR="009B6ED3" w:rsidRPr="000A7851">
        <w:rPr>
          <w:rFonts w:ascii="Book Antiqua" w:eastAsiaTheme="minorHAnsi" w:hAnsi="Book Antiqua"/>
          <w:sz w:val="24"/>
          <w:szCs w:val="24"/>
          <w:lang w:val="en-US" w:eastAsia="en-US"/>
        </w:rPr>
        <w:t>Patients;</w:t>
      </w:r>
      <w:r w:rsidRPr="000A7851">
        <w:rPr>
          <w:rFonts w:ascii="Book Antiqua" w:eastAsiaTheme="minorHAnsi" w:hAnsi="Book Antiqua"/>
          <w:sz w:val="24"/>
          <w:szCs w:val="24"/>
          <w:lang w:val="en-US" w:eastAsia="en-US"/>
        </w:rPr>
        <w:t xml:space="preserve"> WG: Wegener’s </w:t>
      </w:r>
      <w:r w:rsidR="0038304D" w:rsidRPr="000A7851">
        <w:rPr>
          <w:rFonts w:ascii="Book Antiqua" w:eastAsiaTheme="minorHAnsi" w:hAnsi="Book Antiqua"/>
          <w:sz w:val="24"/>
          <w:szCs w:val="24"/>
          <w:lang w:val="en-US" w:eastAsia="en-US"/>
        </w:rPr>
        <w:t>granulomatosis</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w:t>
      </w:r>
    </w:p>
    <w:p w:rsidR="009B6ED3" w:rsidRPr="000A7851" w:rsidRDefault="009B6ED3" w:rsidP="005F021A">
      <w:pPr>
        <w:snapToGrid w:val="0"/>
        <w:spacing w:after="0" w:line="360" w:lineRule="auto"/>
        <w:jc w:val="both"/>
        <w:rPr>
          <w:rFonts w:ascii="Book Antiqua" w:eastAsiaTheme="minorHAnsi" w:hAnsi="Book Antiqua" w:cs="Times New Roman"/>
          <w:b/>
          <w:sz w:val="24"/>
          <w:szCs w:val="24"/>
          <w:lang w:val="en-US" w:eastAsia="en-US"/>
        </w:rPr>
      </w:pPr>
    </w:p>
    <w:p w:rsidR="009B6ED3" w:rsidRPr="000A7851" w:rsidRDefault="009B6ED3"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br w:type="page"/>
      </w:r>
    </w:p>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lastRenderedPageBreak/>
        <w:t xml:space="preserve">Table 2 Mycophenolic acid for remission maintenance treatment in </w:t>
      </w:r>
      <w:proofErr w:type="spellStart"/>
      <w:r w:rsidR="009B6ED3" w:rsidRPr="000A7851">
        <w:rPr>
          <w:rFonts w:ascii="Book Antiqua" w:eastAsiaTheme="minorHAnsi" w:hAnsi="Book Antiqua" w:cs="Times New Roman"/>
          <w:b/>
          <w:sz w:val="24"/>
          <w:szCs w:val="24"/>
          <w:lang w:val="en-US" w:eastAsia="en-US"/>
        </w:rPr>
        <w:t>antineutrophil</w:t>
      </w:r>
      <w:proofErr w:type="spellEnd"/>
      <w:r w:rsidR="009B6ED3" w:rsidRPr="000A7851">
        <w:rPr>
          <w:rFonts w:ascii="Book Antiqua" w:eastAsiaTheme="minorHAnsi" w:hAnsi="Book Antiqua" w:cs="Times New Roman"/>
          <w:b/>
          <w:sz w:val="24"/>
          <w:szCs w:val="24"/>
          <w:lang w:val="en-US" w:eastAsia="en-US"/>
        </w:rPr>
        <w:t xml:space="preserve"> cytoplasmic antibody</w:t>
      </w:r>
      <w:r w:rsidR="00823F01" w:rsidRPr="000A7851">
        <w:rPr>
          <w:rFonts w:ascii="Book Antiqua" w:eastAsiaTheme="minorHAnsi" w:hAnsi="Book Antiqua" w:cs="Times New Roman"/>
          <w:b/>
          <w:sz w:val="24"/>
          <w:szCs w:val="24"/>
          <w:lang w:val="en-US" w:eastAsia="en-US"/>
        </w:rPr>
        <w:t>-</w:t>
      </w:r>
      <w:r w:rsidR="009B6ED3" w:rsidRPr="000A7851">
        <w:rPr>
          <w:rFonts w:ascii="Book Antiqua" w:eastAsiaTheme="minorHAnsi" w:hAnsi="Book Antiqua" w:cs="Times New Roman"/>
          <w:b/>
          <w:sz w:val="24"/>
          <w:szCs w:val="24"/>
          <w:lang w:val="en-US" w:eastAsia="en-US"/>
        </w:rPr>
        <w:t xml:space="preserve">associated </w:t>
      </w:r>
      <w:proofErr w:type="spellStart"/>
      <w:r w:rsidR="009B6ED3" w:rsidRPr="000A7851">
        <w:rPr>
          <w:rFonts w:ascii="Book Antiqua" w:eastAsiaTheme="minorHAnsi" w:hAnsi="Book Antiqua" w:cs="Times New Roman"/>
          <w:b/>
          <w:sz w:val="24"/>
          <w:szCs w:val="24"/>
          <w:lang w:val="en-US" w:eastAsia="en-US"/>
        </w:rPr>
        <w:t>vasculitis</w:t>
      </w:r>
      <w:proofErr w:type="spellEnd"/>
    </w:p>
    <w:tbl>
      <w:tblPr>
        <w:tblStyle w:val="ac"/>
        <w:tblW w:w="5655"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738"/>
        <w:gridCol w:w="1077"/>
        <w:gridCol w:w="615"/>
        <w:gridCol w:w="1380"/>
        <w:gridCol w:w="1231"/>
        <w:gridCol w:w="1691"/>
        <w:gridCol w:w="2611"/>
      </w:tblGrid>
      <w:tr w:rsidR="005F021A" w:rsidRPr="000A7851" w:rsidTr="009B6ED3">
        <w:trPr>
          <w:trHeight w:val="576"/>
        </w:trPr>
        <w:tc>
          <w:tcPr>
            <w:tcW w:w="531"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Authors</w:t>
            </w:r>
          </w:p>
        </w:tc>
        <w:tc>
          <w:tcPr>
            <w:tcW w:w="353"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proofErr w:type="spellStart"/>
            <w:r w:rsidRPr="000A7851">
              <w:rPr>
                <w:rFonts w:ascii="Book Antiqua" w:hAnsi="Book Antiqua"/>
                <w:b/>
                <w:sz w:val="24"/>
                <w:szCs w:val="24"/>
                <w:lang w:val="en-US"/>
              </w:rPr>
              <w:t>Yr</w:t>
            </w:r>
            <w:proofErr w:type="spellEnd"/>
          </w:p>
        </w:tc>
        <w:tc>
          <w:tcPr>
            <w:tcW w:w="515"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Study </w:t>
            </w:r>
            <w:r w:rsidR="00E1542E" w:rsidRPr="000A7851">
              <w:rPr>
                <w:rFonts w:ascii="Book Antiqua" w:hAnsi="Book Antiqua"/>
                <w:b/>
                <w:sz w:val="24"/>
                <w:szCs w:val="24"/>
                <w:lang w:val="en-US"/>
              </w:rPr>
              <w:t>d</w:t>
            </w:r>
            <w:r w:rsidRPr="000A7851">
              <w:rPr>
                <w:rFonts w:ascii="Book Antiqua" w:hAnsi="Book Antiqua"/>
                <w:b/>
                <w:sz w:val="24"/>
                <w:szCs w:val="24"/>
                <w:lang w:val="en-US"/>
              </w:rPr>
              <w:t xml:space="preserve">esign </w:t>
            </w:r>
          </w:p>
        </w:tc>
        <w:tc>
          <w:tcPr>
            <w:tcW w:w="294"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No Pt</w:t>
            </w:r>
          </w:p>
        </w:tc>
        <w:tc>
          <w:tcPr>
            <w:tcW w:w="660"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Diagnosis</w:t>
            </w:r>
          </w:p>
        </w:tc>
        <w:tc>
          <w:tcPr>
            <w:tcW w:w="589" w:type="pct"/>
            <w:tcBorders>
              <w:top w:val="single" w:sz="4" w:space="0" w:color="auto"/>
              <w:bottom w:val="single" w:sz="4" w:space="0" w:color="auto"/>
            </w:tcBorders>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ANCA</w:t>
            </w:r>
          </w:p>
        </w:tc>
        <w:tc>
          <w:tcPr>
            <w:tcW w:w="809" w:type="pct"/>
            <w:tcBorders>
              <w:top w:val="single" w:sz="4" w:space="0" w:color="auto"/>
              <w:bottom w:val="single" w:sz="4" w:space="0" w:color="auto"/>
            </w:tcBorders>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Follow-up</w:t>
            </w:r>
            <w:r w:rsidR="00DB1E98" w:rsidRPr="000A7851">
              <w:rPr>
                <w:rFonts w:ascii="Book Antiqua" w:hAnsi="Book Antiqua"/>
                <w:b/>
                <w:sz w:val="24"/>
                <w:szCs w:val="24"/>
                <w:lang w:val="en-US"/>
              </w:rPr>
              <w:t xml:space="preserve"> in</w:t>
            </w:r>
            <w:r w:rsidR="00B51294" w:rsidRPr="000A7851">
              <w:rPr>
                <w:rFonts w:ascii="Book Antiqua" w:hAnsi="Book Antiqua"/>
                <w:b/>
                <w:sz w:val="24"/>
                <w:szCs w:val="24"/>
                <w:lang w:val="en-US"/>
              </w:rPr>
              <w:t xml:space="preserve"> mo</w:t>
            </w:r>
          </w:p>
        </w:tc>
        <w:tc>
          <w:tcPr>
            <w:tcW w:w="1249"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Relapse </w:t>
            </w:r>
            <w:r w:rsidR="00DB1E98" w:rsidRPr="000A7851">
              <w:rPr>
                <w:rFonts w:ascii="Book Antiqua" w:hAnsi="Book Antiqua"/>
                <w:b/>
                <w:sz w:val="24"/>
                <w:szCs w:val="24"/>
                <w:lang w:val="en-US"/>
              </w:rPr>
              <w:t>r</w:t>
            </w:r>
            <w:r w:rsidRPr="000A7851">
              <w:rPr>
                <w:rFonts w:ascii="Book Antiqua" w:hAnsi="Book Antiqua"/>
                <w:b/>
                <w:sz w:val="24"/>
                <w:szCs w:val="24"/>
                <w:lang w:val="en-US"/>
              </w:rPr>
              <w:t>ate</w:t>
            </w:r>
          </w:p>
        </w:tc>
      </w:tr>
      <w:tr w:rsidR="005F021A" w:rsidRPr="000A7851" w:rsidTr="009B6ED3">
        <w:trPr>
          <w:trHeight w:val="576"/>
        </w:trPr>
        <w:tc>
          <w:tcPr>
            <w:tcW w:w="531"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No</w:t>
            </w:r>
            <w:r w:rsidR="009B6ED3" w:rsidRPr="000A7851">
              <w:rPr>
                <w:rFonts w:ascii="Book Antiqua" w:hAnsi="Book Antiqua"/>
                <w:bCs/>
                <w:sz w:val="24"/>
                <w:szCs w:val="24"/>
                <w:lang w:val="en-US"/>
              </w:rPr>
              <w:t>w</w:t>
            </w:r>
            <w:r w:rsidRPr="000A7851">
              <w:rPr>
                <w:rFonts w:ascii="Book Antiqua" w:hAnsi="Book Antiqua"/>
                <w:bCs/>
                <w:sz w:val="24"/>
                <w:szCs w:val="24"/>
                <w:lang w:val="en-US"/>
              </w:rPr>
              <w:t>ack</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[10]</w:t>
            </w:r>
          </w:p>
        </w:tc>
        <w:tc>
          <w:tcPr>
            <w:tcW w:w="353"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1999</w:t>
            </w:r>
          </w:p>
        </w:tc>
        <w:tc>
          <w:tcPr>
            <w:tcW w:w="515"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94"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11</w:t>
            </w:r>
          </w:p>
        </w:tc>
        <w:tc>
          <w:tcPr>
            <w:tcW w:w="660"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9</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MPA: 2</w:t>
            </w:r>
          </w:p>
        </w:tc>
        <w:tc>
          <w:tcPr>
            <w:tcW w:w="589"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PR3: 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MPO: 2</w:t>
            </w:r>
          </w:p>
        </w:tc>
        <w:tc>
          <w:tcPr>
            <w:tcW w:w="809"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 </w:t>
            </w:r>
          </w:p>
        </w:tc>
        <w:tc>
          <w:tcPr>
            <w:tcW w:w="1249" w:type="pct"/>
            <w:tcBorders>
              <w:top w:val="single" w:sz="4" w:space="0" w:color="auto"/>
            </w:tcBorders>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1/11 – 9% time to relapse 14 mo</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Langford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[11]</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2004</w:t>
            </w:r>
          </w:p>
        </w:tc>
        <w:tc>
          <w:tcPr>
            <w:tcW w:w="515"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cANCA</w:t>
            </w:r>
            <w:proofErr w:type="spellEnd"/>
            <w:r w:rsidRPr="000A7851">
              <w:rPr>
                <w:rFonts w:ascii="Book Antiqua" w:hAnsi="Book Antiqua"/>
                <w:bCs/>
                <w:sz w:val="24"/>
                <w:szCs w:val="24"/>
                <w:lang w:val="en-US"/>
              </w:rPr>
              <w:t>: 13</w:t>
            </w:r>
            <w:r w:rsidR="009B6ED3" w:rsidRPr="000A7851">
              <w:rPr>
                <w:rFonts w:ascii="Book Antiqua" w:eastAsiaTheme="minorEastAsia" w:hAnsi="Book Antiqua"/>
                <w:bCs/>
                <w:sz w:val="24"/>
                <w:szCs w:val="24"/>
                <w:lang w:val="en-US" w:eastAsia="zh-CN"/>
              </w:rPr>
              <w:t xml:space="preserve">; </w:t>
            </w:r>
            <w:proofErr w:type="spellStart"/>
            <w:r w:rsidRPr="000A7851">
              <w:rPr>
                <w:rFonts w:ascii="Book Antiqua" w:hAnsi="Book Antiqua"/>
                <w:bCs/>
                <w:sz w:val="24"/>
                <w:szCs w:val="24"/>
                <w:lang w:val="en-US"/>
              </w:rPr>
              <w:t>pANCA</w:t>
            </w:r>
            <w:proofErr w:type="spellEnd"/>
            <w:r w:rsidRPr="000A7851">
              <w:rPr>
                <w:rFonts w:ascii="Book Antiqua" w:hAnsi="Book Antiqua"/>
                <w:bCs/>
                <w:sz w:val="24"/>
                <w:szCs w:val="24"/>
                <w:lang w:val="en-US"/>
              </w:rPr>
              <w:t>: 1</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Median 18 (range 1-50) </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6/14 - 43% median time to relapse 10 mo</w:t>
            </w:r>
          </w:p>
        </w:tc>
      </w:tr>
      <w:tr w:rsidR="005F021A" w:rsidRPr="000A7851" w:rsidTr="009B6ED3">
        <w:trPr>
          <w:trHeight w:val="288"/>
        </w:trPr>
        <w:tc>
          <w:tcPr>
            <w:tcW w:w="531"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Koukoulaki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[12]</w:t>
            </w:r>
          </w:p>
        </w:tc>
        <w:tc>
          <w:tcPr>
            <w:tcW w:w="353"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2006</w:t>
            </w:r>
          </w:p>
        </w:tc>
        <w:tc>
          <w:tcPr>
            <w:tcW w:w="515"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94"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29</w:t>
            </w:r>
          </w:p>
        </w:tc>
        <w:tc>
          <w:tcPr>
            <w:tcW w:w="660" w:type="pct"/>
            <w:hideMark/>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89" w:type="pct"/>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809" w:type="pct"/>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24 </w:t>
            </w:r>
          </w:p>
        </w:tc>
        <w:tc>
          <w:tcPr>
            <w:tcW w:w="1249"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14/29 – 48</w:t>
            </w:r>
            <w:r w:rsidR="009B6ED3" w:rsidRPr="000A7851">
              <w:rPr>
                <w:rFonts w:ascii="Book Antiqua" w:hAnsi="Book Antiqua"/>
                <w:bCs/>
                <w:sz w:val="24"/>
                <w:szCs w:val="24"/>
                <w:lang w:val="en-US"/>
              </w:rPr>
              <w:t>.</w:t>
            </w:r>
            <w:r w:rsidRPr="000A7851">
              <w:rPr>
                <w:rFonts w:ascii="Book Antiqua" w:hAnsi="Book Antiqua"/>
                <w:bCs/>
                <w:sz w:val="24"/>
                <w:szCs w:val="24"/>
                <w:lang w:val="en-US"/>
              </w:rPr>
              <w:t xml:space="preserve">3% </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Stassen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[15]</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2007</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29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 xml:space="preserve">MPA: 3 </w:t>
            </w:r>
          </w:p>
          <w:p w:rsidR="00B51294" w:rsidRPr="000A7851" w:rsidRDefault="00B51294" w:rsidP="005F021A">
            <w:pPr>
              <w:snapToGrid w:val="0"/>
              <w:spacing w:line="360" w:lineRule="auto"/>
              <w:jc w:val="both"/>
              <w:rPr>
                <w:rFonts w:ascii="Book Antiqua" w:hAnsi="Book Antiqua"/>
                <w:bCs/>
                <w:sz w:val="24"/>
                <w:szCs w:val="24"/>
                <w:lang w:val="en-US"/>
              </w:rPr>
            </w:pP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PR3: 29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MPO: 3</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48</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Median time to relapse: 16 mo</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Relapse free survival 1-yr: 63%, 3-yr: 38%, 5-yr: 27%</w:t>
            </w:r>
          </w:p>
        </w:tc>
      </w:tr>
      <w:tr w:rsidR="005F021A" w:rsidRPr="00612FDA" w:rsidTr="009B6ED3">
        <w:trPr>
          <w:trHeight w:val="864"/>
        </w:trPr>
        <w:tc>
          <w:tcPr>
            <w:tcW w:w="531" w:type="pct"/>
            <w:hideMark/>
          </w:tcPr>
          <w:p w:rsidR="00B51294" w:rsidRPr="000A7851" w:rsidRDefault="00C97DE1"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cs="Times New Roman"/>
                <w:sz w:val="24"/>
                <w:szCs w:val="24"/>
                <w:lang w:val="en-US"/>
              </w:rPr>
              <w:t>Iatrou</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[13]</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2009</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22</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16</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WG: 4, RENAL LIMITED: 1</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CSS: 1</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18</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4</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18 </w:t>
            </w:r>
          </w:p>
        </w:tc>
        <w:tc>
          <w:tcPr>
            <w:tcW w:w="124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6/19 - 31.58% - median time to relapse 21.5 mo (range 18-60 mo)</w:t>
            </w:r>
          </w:p>
        </w:tc>
      </w:tr>
      <w:tr w:rsidR="005F021A" w:rsidRPr="000A7851"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Silva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[16]</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13</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13</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13</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1/13 – 7.7% </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Hiemstra</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[14]</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515"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156</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90</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MPA: 56</w:t>
            </w:r>
          </w:p>
          <w:p w:rsidR="00B51294" w:rsidRPr="000A7851" w:rsidRDefault="00B51294" w:rsidP="005F021A">
            <w:pPr>
              <w:snapToGrid w:val="0"/>
              <w:spacing w:line="360" w:lineRule="auto"/>
              <w:jc w:val="both"/>
              <w:rPr>
                <w:rFonts w:ascii="Book Antiqua" w:hAnsi="Book Antiqua"/>
                <w:bCs/>
                <w:sz w:val="24"/>
                <w:szCs w:val="24"/>
                <w:lang w:val="en-US"/>
              </w:rPr>
            </w:pP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51</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90</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39</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GROUP 42/76 - 55% (18 major, 24 minor relapses)</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 xml:space="preserve">AZA 30/80 </w:t>
            </w:r>
            <w:r w:rsidR="009B6ED3" w:rsidRPr="000A7851">
              <w:rPr>
                <w:rFonts w:ascii="Book Antiqua" w:hAnsi="Book Antiqua"/>
                <w:bCs/>
                <w:sz w:val="24"/>
                <w:szCs w:val="24"/>
                <w:lang w:val="en-US"/>
              </w:rPr>
              <w:t>-</w:t>
            </w:r>
            <w:r w:rsidRPr="000A7851">
              <w:rPr>
                <w:rFonts w:ascii="Book Antiqua" w:hAnsi="Book Antiqua"/>
                <w:bCs/>
                <w:sz w:val="24"/>
                <w:szCs w:val="24"/>
                <w:lang w:val="en-US"/>
              </w:rPr>
              <w:t xml:space="preserve"> 37</w:t>
            </w:r>
            <w:r w:rsidR="009B6ED3" w:rsidRPr="000A7851">
              <w:rPr>
                <w:rFonts w:ascii="Book Antiqua" w:hAnsi="Book Antiqua"/>
                <w:bCs/>
                <w:sz w:val="24"/>
                <w:szCs w:val="24"/>
                <w:lang w:val="en-US"/>
              </w:rPr>
              <w:t>.</w:t>
            </w:r>
            <w:r w:rsidRPr="000A7851">
              <w:rPr>
                <w:rFonts w:ascii="Book Antiqua" w:hAnsi="Book Antiqua"/>
                <w:bCs/>
                <w:sz w:val="24"/>
                <w:szCs w:val="24"/>
                <w:lang w:val="en-US"/>
              </w:rPr>
              <w:t>5% (10 major, 20 minor relapses)</w:t>
            </w:r>
          </w:p>
        </w:tc>
      </w:tr>
      <w:tr w:rsidR="005F021A" w:rsidRPr="000A7851"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lastRenderedPageBreak/>
              <w:t>Draibe</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[18]</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2015</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Case series</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w:t>
            </w:r>
          </w:p>
        </w:tc>
        <w:tc>
          <w:tcPr>
            <w:tcW w:w="660" w:type="pct"/>
            <w:hideMark/>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18</w:t>
            </w:r>
          </w:p>
        </w:tc>
        <w:tc>
          <w:tcPr>
            <w:tcW w:w="809" w:type="pct"/>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3/20 – 16% (time to relapse 18</w:t>
            </w:r>
            <w:r w:rsidR="009B6ED3" w:rsidRPr="000A7851">
              <w:rPr>
                <w:rFonts w:ascii="Book Antiqua" w:hAnsi="Book Antiqua"/>
                <w:bCs/>
                <w:sz w:val="24"/>
                <w:szCs w:val="24"/>
                <w:lang w:val="en-US"/>
              </w:rPr>
              <w:t>-</w:t>
            </w:r>
            <w:r w:rsidRPr="000A7851">
              <w:rPr>
                <w:rFonts w:ascii="Book Antiqua" w:hAnsi="Book Antiqua"/>
                <w:bCs/>
                <w:sz w:val="24"/>
                <w:szCs w:val="24"/>
                <w:lang w:val="en-US"/>
              </w:rPr>
              <w:t>23 mo)</w:t>
            </w:r>
          </w:p>
        </w:tc>
      </w:tr>
      <w:tr w:rsidR="005F021A" w:rsidRPr="00612FDA" w:rsidTr="009B6ED3">
        <w:trPr>
          <w:trHeight w:val="576"/>
        </w:trPr>
        <w:tc>
          <w:tcPr>
            <w:tcW w:w="531" w:type="pct"/>
            <w:hideMark/>
          </w:tcPr>
          <w:p w:rsidR="00B51294" w:rsidRPr="000A7851" w:rsidRDefault="00481EB8"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Chen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[17]</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2016</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31</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31</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31</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86</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7/31 – 22</w:t>
            </w:r>
            <w:r w:rsidR="009B6ED3" w:rsidRPr="000A7851">
              <w:rPr>
                <w:rFonts w:ascii="Book Antiqua" w:hAnsi="Book Antiqua"/>
                <w:bCs/>
                <w:sz w:val="24"/>
                <w:szCs w:val="24"/>
                <w:lang w:val="en-US"/>
              </w:rPr>
              <w:t>.</w:t>
            </w:r>
            <w:r w:rsidRPr="000A7851">
              <w:rPr>
                <w:rFonts w:ascii="Book Antiqua" w:hAnsi="Book Antiqua"/>
                <w:bCs/>
                <w:sz w:val="24"/>
                <w:szCs w:val="24"/>
                <w:lang w:val="en-US"/>
              </w:rPr>
              <w:t>6% median time to relapse 43 mo (IQR 10-128 mo)</w:t>
            </w:r>
          </w:p>
        </w:tc>
      </w:tr>
    </w:tbl>
    <w:p w:rsidR="00B51294" w:rsidRPr="000A7851" w:rsidRDefault="00B51294" w:rsidP="005F021A">
      <w:pPr>
        <w:snapToGrid w:val="0"/>
        <w:spacing w:after="0" w:line="360" w:lineRule="auto"/>
        <w:jc w:val="both"/>
        <w:rPr>
          <w:rFonts w:ascii="Book Antiqua" w:eastAsiaTheme="minorHAnsi" w:hAnsi="Book Antiqua"/>
          <w:sz w:val="24"/>
          <w:szCs w:val="24"/>
          <w:lang w:val="en-US" w:eastAsia="en-US"/>
        </w:rPr>
      </w:pPr>
      <w:r w:rsidRPr="000A7851">
        <w:rPr>
          <w:rFonts w:ascii="Book Antiqua" w:eastAsiaTheme="minorHAnsi" w:hAnsi="Book Antiqua"/>
          <w:sz w:val="24"/>
          <w:szCs w:val="24"/>
          <w:lang w:val="en-US" w:eastAsia="en-US"/>
        </w:rPr>
        <w:t xml:space="preserve">ANCA: </w:t>
      </w:r>
      <w:proofErr w:type="spellStart"/>
      <w:r w:rsidR="009B6ED3" w:rsidRPr="000A7851">
        <w:rPr>
          <w:rFonts w:ascii="Book Antiqua" w:eastAsiaTheme="minorHAnsi" w:hAnsi="Book Antiqua"/>
          <w:sz w:val="24"/>
          <w:szCs w:val="24"/>
          <w:lang w:val="en-US" w:eastAsia="en-US"/>
        </w:rPr>
        <w:t>Antineutrophil</w:t>
      </w:r>
      <w:proofErr w:type="spellEnd"/>
      <w:r w:rsidR="009B6ED3"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cytoplasmic antibody</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AZA: </w:t>
      </w:r>
      <w:r w:rsidR="009B6ED3" w:rsidRPr="000A7851">
        <w:rPr>
          <w:rFonts w:ascii="Book Antiqua" w:eastAsiaTheme="minorHAnsi" w:hAnsi="Book Antiqua"/>
          <w:sz w:val="24"/>
          <w:szCs w:val="24"/>
          <w:lang w:val="en-US" w:eastAsia="en-US"/>
        </w:rPr>
        <w:t>Azathioprine;</w:t>
      </w:r>
      <w:r w:rsidRPr="000A7851">
        <w:rPr>
          <w:rFonts w:ascii="Book Antiqua" w:eastAsiaTheme="minorHAnsi" w:hAnsi="Book Antiqua"/>
          <w:sz w:val="24"/>
          <w:szCs w:val="24"/>
          <w:lang w:val="en-US" w:eastAsia="en-US"/>
        </w:rPr>
        <w:t xml:space="preserve"> CYC: </w:t>
      </w:r>
      <w:r w:rsidR="009B6ED3" w:rsidRPr="000A7851">
        <w:rPr>
          <w:rFonts w:ascii="Book Antiqua" w:eastAsiaTheme="minorHAnsi" w:hAnsi="Book Antiqua"/>
          <w:sz w:val="24"/>
          <w:szCs w:val="24"/>
          <w:lang w:val="en-US" w:eastAsia="en-US"/>
        </w:rPr>
        <w:t>Cyclophosphamide;</w:t>
      </w:r>
      <w:r w:rsidRPr="000A7851">
        <w:rPr>
          <w:rFonts w:ascii="Book Antiqua" w:eastAsiaTheme="minorHAnsi" w:hAnsi="Book Antiqua"/>
          <w:sz w:val="24"/>
          <w:szCs w:val="24"/>
          <w:lang w:val="en-US" w:eastAsia="en-US"/>
        </w:rPr>
        <w:t xml:space="preserve"> </w:t>
      </w:r>
      <w:r w:rsidR="00E1542E" w:rsidRPr="000A7851">
        <w:rPr>
          <w:rFonts w:ascii="Book Antiqua" w:eastAsiaTheme="minorHAnsi" w:hAnsi="Book Antiqua"/>
          <w:sz w:val="24"/>
          <w:szCs w:val="24"/>
          <w:lang w:val="en-US" w:eastAsia="en-US"/>
        </w:rPr>
        <w:t xml:space="preserve">IQR: Interquartile range; </w:t>
      </w:r>
      <w:r w:rsidRPr="000A7851">
        <w:rPr>
          <w:rFonts w:ascii="Book Antiqua" w:eastAsiaTheme="minorHAnsi" w:hAnsi="Book Antiqua"/>
          <w:sz w:val="24"/>
          <w:szCs w:val="24"/>
          <w:lang w:val="en-US" w:eastAsia="en-US"/>
        </w:rPr>
        <w:t xml:space="preserve">MPA: </w:t>
      </w:r>
      <w:r w:rsidR="009B6ED3" w:rsidRPr="000A7851">
        <w:rPr>
          <w:rFonts w:ascii="Book Antiqua" w:eastAsiaTheme="minorHAnsi" w:hAnsi="Book Antiqua"/>
          <w:sz w:val="24"/>
          <w:szCs w:val="24"/>
          <w:lang w:val="en-US" w:eastAsia="en-US"/>
        </w:rPr>
        <w:t xml:space="preserve">Microscopic </w:t>
      </w:r>
      <w:proofErr w:type="spellStart"/>
      <w:r w:rsidRPr="000A7851">
        <w:rPr>
          <w:rFonts w:ascii="Book Antiqua" w:eastAsiaTheme="minorHAnsi" w:hAnsi="Book Antiqua"/>
          <w:sz w:val="24"/>
          <w:szCs w:val="24"/>
          <w:lang w:val="en-US" w:eastAsia="en-US"/>
        </w:rPr>
        <w:t>polyangiitis</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MPO: </w:t>
      </w:r>
      <w:r w:rsidR="009B6ED3" w:rsidRPr="000A7851">
        <w:rPr>
          <w:rFonts w:ascii="Book Antiqua" w:eastAsiaTheme="minorHAnsi" w:hAnsi="Book Antiqua"/>
          <w:sz w:val="24"/>
          <w:szCs w:val="24"/>
          <w:lang w:val="en-US" w:eastAsia="en-US"/>
        </w:rPr>
        <w:t>Myeloperoxidase;</w:t>
      </w:r>
      <w:r w:rsidR="0038304D" w:rsidRPr="000A7851">
        <w:rPr>
          <w:rFonts w:ascii="Book Antiqua" w:eastAsiaTheme="minorHAnsi" w:hAnsi="Book Antiqua"/>
          <w:sz w:val="24"/>
          <w:szCs w:val="24"/>
          <w:lang w:val="en-US" w:eastAsia="en-US"/>
        </w:rPr>
        <w:t xml:space="preserve"> CSS: </w:t>
      </w:r>
      <w:r w:rsidR="0038304D" w:rsidRPr="000A7851">
        <w:rPr>
          <w:rFonts w:ascii="Book Antiqua" w:hAnsi="Book Antiqua" w:cs="Times New Roman"/>
          <w:sz w:val="24"/>
          <w:szCs w:val="24"/>
          <w:lang w:val="en-US"/>
        </w:rPr>
        <w:t>Churg-Strauss syndrome;</w:t>
      </w:r>
      <w:r w:rsidRPr="000A7851">
        <w:rPr>
          <w:rFonts w:ascii="Book Antiqua" w:eastAsiaTheme="minorHAnsi" w:hAnsi="Book Antiqua"/>
          <w:sz w:val="24"/>
          <w:szCs w:val="24"/>
          <w:lang w:val="en-US" w:eastAsia="en-US"/>
        </w:rPr>
        <w:t xml:space="preserve"> No: </w:t>
      </w:r>
      <w:r w:rsidR="009B6ED3" w:rsidRPr="000A7851">
        <w:rPr>
          <w:rFonts w:ascii="Book Antiqua" w:eastAsiaTheme="minorHAnsi" w:hAnsi="Book Antiqua"/>
          <w:sz w:val="24"/>
          <w:szCs w:val="24"/>
          <w:lang w:val="en-US" w:eastAsia="en-US"/>
        </w:rPr>
        <w:t>Number;</w:t>
      </w:r>
      <w:r w:rsidRPr="000A7851">
        <w:rPr>
          <w:rFonts w:ascii="Book Antiqua" w:eastAsiaTheme="minorHAnsi" w:hAnsi="Book Antiqua"/>
          <w:sz w:val="24"/>
          <w:szCs w:val="24"/>
          <w:lang w:val="en-US" w:eastAsia="en-US"/>
        </w:rPr>
        <w:t xml:space="preserve"> </w:t>
      </w:r>
      <w:r w:rsidR="007F08EE" w:rsidRPr="000A7851">
        <w:rPr>
          <w:rFonts w:ascii="Book Antiqua" w:hAnsi="Book Antiqua"/>
          <w:bCs/>
          <w:sz w:val="24"/>
          <w:szCs w:val="24"/>
          <w:lang w:val="en-US"/>
        </w:rPr>
        <w:t>N/A</w:t>
      </w:r>
      <w:r w:rsidR="007F08EE" w:rsidRPr="000A7851">
        <w:rPr>
          <w:rFonts w:ascii="Book Antiqua" w:eastAsiaTheme="minorHAnsi" w:hAnsi="Book Antiqua"/>
          <w:sz w:val="24"/>
          <w:szCs w:val="24"/>
          <w:lang w:val="en-US" w:eastAsia="en-US"/>
        </w:rPr>
        <w:t xml:space="preserve">: </w:t>
      </w:r>
      <w:r w:rsidR="009B6ED3" w:rsidRPr="000A7851">
        <w:rPr>
          <w:rFonts w:ascii="Book Antiqua" w:eastAsiaTheme="minorHAnsi" w:hAnsi="Book Antiqua"/>
          <w:sz w:val="24"/>
          <w:szCs w:val="24"/>
          <w:lang w:val="en-US" w:eastAsia="en-US"/>
        </w:rPr>
        <w:t xml:space="preserve">Not </w:t>
      </w:r>
      <w:r w:rsidR="007F08EE" w:rsidRPr="000A7851">
        <w:rPr>
          <w:rFonts w:ascii="Book Antiqua" w:eastAsiaTheme="minorHAnsi" w:hAnsi="Book Antiqua"/>
          <w:sz w:val="24"/>
          <w:szCs w:val="24"/>
          <w:lang w:val="en-US" w:eastAsia="en-US"/>
        </w:rPr>
        <w:t>available</w:t>
      </w:r>
      <w:r w:rsidR="009B6ED3" w:rsidRPr="000A7851">
        <w:rPr>
          <w:rFonts w:ascii="Book Antiqua" w:eastAsiaTheme="minorHAnsi" w:hAnsi="Book Antiqua"/>
          <w:sz w:val="24"/>
          <w:szCs w:val="24"/>
          <w:lang w:val="en-US" w:eastAsia="en-US"/>
        </w:rPr>
        <w:t>;</w:t>
      </w:r>
      <w:r w:rsidR="007F08EE"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 xml:space="preserve">PR3: </w:t>
      </w:r>
      <w:r w:rsidR="009B6ED3" w:rsidRPr="000A7851">
        <w:rPr>
          <w:rFonts w:ascii="Book Antiqua" w:eastAsiaTheme="minorHAnsi" w:hAnsi="Book Antiqua"/>
          <w:sz w:val="24"/>
          <w:szCs w:val="24"/>
          <w:lang w:val="en-US" w:eastAsia="en-US"/>
        </w:rPr>
        <w:t xml:space="preserve">Proteinase </w:t>
      </w:r>
      <w:r w:rsidRPr="000A7851">
        <w:rPr>
          <w:rFonts w:ascii="Book Antiqua" w:eastAsiaTheme="minorHAnsi" w:hAnsi="Book Antiqua"/>
          <w:sz w:val="24"/>
          <w:szCs w:val="24"/>
          <w:lang w:val="en-US" w:eastAsia="en-US"/>
        </w:rPr>
        <w:t>3</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Pt: </w:t>
      </w:r>
      <w:r w:rsidR="009B6ED3" w:rsidRPr="000A7851">
        <w:rPr>
          <w:rFonts w:ascii="Book Antiqua" w:eastAsiaTheme="minorHAnsi" w:hAnsi="Book Antiqua"/>
          <w:sz w:val="24"/>
          <w:szCs w:val="24"/>
          <w:lang w:val="en-US" w:eastAsia="en-US"/>
        </w:rPr>
        <w:t>Patients;</w:t>
      </w:r>
      <w:r w:rsidRPr="000A7851">
        <w:rPr>
          <w:rFonts w:ascii="Book Antiqua" w:eastAsiaTheme="minorHAnsi" w:hAnsi="Book Antiqua"/>
          <w:sz w:val="24"/>
          <w:szCs w:val="24"/>
          <w:lang w:val="en-US" w:eastAsia="en-US"/>
        </w:rPr>
        <w:t xml:space="preserve"> WG: Wegener’s </w:t>
      </w:r>
      <w:r w:rsidR="0038304D" w:rsidRPr="000A7851">
        <w:rPr>
          <w:rFonts w:ascii="Book Antiqua" w:eastAsiaTheme="minorHAnsi" w:hAnsi="Book Antiqua"/>
          <w:sz w:val="24"/>
          <w:szCs w:val="24"/>
          <w:lang w:val="en-US" w:eastAsia="en-US"/>
        </w:rPr>
        <w:t>granulomatosis</w:t>
      </w:r>
      <w:r w:rsidR="009B6ED3" w:rsidRPr="000A7851">
        <w:rPr>
          <w:rFonts w:ascii="Book Antiqua" w:eastAsiaTheme="minorHAnsi" w:hAnsi="Book Antiqua"/>
          <w:sz w:val="24"/>
          <w:szCs w:val="24"/>
          <w:lang w:val="en-US" w:eastAsia="en-US"/>
        </w:rPr>
        <w:t>.</w:t>
      </w:r>
    </w:p>
    <w:p w:rsidR="00B51294" w:rsidRPr="000A7851" w:rsidRDefault="00B51294" w:rsidP="005F021A">
      <w:pPr>
        <w:snapToGrid w:val="0"/>
        <w:spacing w:after="0" w:line="360" w:lineRule="auto"/>
        <w:jc w:val="both"/>
        <w:rPr>
          <w:rFonts w:ascii="Book Antiqua" w:hAnsi="Book Antiqua"/>
          <w:sz w:val="24"/>
          <w:szCs w:val="24"/>
          <w:lang w:val="en-US"/>
        </w:rPr>
      </w:pPr>
    </w:p>
    <w:sectPr w:rsidR="00B51294" w:rsidRPr="000A7851" w:rsidSect="005F021A">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82" w:rsidRDefault="00086982">
      <w:pPr>
        <w:spacing w:after="0" w:line="240" w:lineRule="auto"/>
      </w:pPr>
      <w:r>
        <w:separator/>
      </w:r>
    </w:p>
  </w:endnote>
  <w:endnote w:type="continuationSeparator" w:id="0">
    <w:p w:rsidR="00086982" w:rsidRDefault="0008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00000000"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99184"/>
      <w:docPartObj>
        <w:docPartGallery w:val="Page Numbers (Bottom of Page)"/>
        <w:docPartUnique/>
      </w:docPartObj>
    </w:sdtPr>
    <w:sdtEndPr>
      <w:rPr>
        <w:rFonts w:ascii="Book Antiqua" w:hAnsi="Book Antiqua"/>
        <w:noProof/>
        <w:sz w:val="24"/>
        <w:szCs w:val="24"/>
      </w:rPr>
    </w:sdtEndPr>
    <w:sdtContent>
      <w:p w:rsidR="00B40B33" w:rsidRPr="00B40B33" w:rsidRDefault="00F0568C">
        <w:pPr>
          <w:pStyle w:val="a5"/>
          <w:jc w:val="center"/>
          <w:rPr>
            <w:rFonts w:ascii="Book Antiqua" w:hAnsi="Book Antiqua"/>
            <w:sz w:val="24"/>
            <w:szCs w:val="24"/>
          </w:rPr>
        </w:pPr>
        <w:r w:rsidRPr="00F0568C">
          <w:rPr>
            <w:rFonts w:ascii="Book Antiqua" w:hAnsi="Book Antiqua"/>
            <w:sz w:val="24"/>
            <w:szCs w:val="24"/>
          </w:rPr>
          <w:fldChar w:fldCharType="begin"/>
        </w:r>
        <w:r w:rsidRPr="00F0568C">
          <w:rPr>
            <w:rFonts w:ascii="Book Antiqua" w:hAnsi="Book Antiqua"/>
            <w:sz w:val="24"/>
            <w:szCs w:val="24"/>
          </w:rPr>
          <w:instrText xml:space="preserve"> PAGE   \* MERGEFORMAT </w:instrText>
        </w:r>
        <w:r w:rsidRPr="00F0568C">
          <w:rPr>
            <w:rFonts w:ascii="Book Antiqua" w:hAnsi="Book Antiqua"/>
            <w:sz w:val="24"/>
            <w:szCs w:val="24"/>
          </w:rPr>
          <w:fldChar w:fldCharType="separate"/>
        </w:r>
        <w:r w:rsidR="001D65E5">
          <w:rPr>
            <w:rFonts w:ascii="Book Antiqua" w:hAnsi="Book Antiqua"/>
            <w:noProof/>
            <w:sz w:val="24"/>
            <w:szCs w:val="24"/>
          </w:rPr>
          <w:t>3</w:t>
        </w:r>
        <w:r w:rsidRPr="00F0568C">
          <w:rPr>
            <w:rFonts w:ascii="Book Antiqua" w:hAnsi="Book Antiqua"/>
            <w:noProof/>
            <w:sz w:val="24"/>
            <w:szCs w:val="24"/>
          </w:rPr>
          <w:fldChar w:fldCharType="end"/>
        </w:r>
      </w:p>
    </w:sdtContent>
  </w:sdt>
  <w:p w:rsidR="0038304D" w:rsidRPr="00A32D73" w:rsidRDefault="0038304D" w:rsidP="0038304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82" w:rsidRDefault="00086982">
      <w:pPr>
        <w:spacing w:after="0" w:line="240" w:lineRule="auto"/>
      </w:pPr>
      <w:r>
        <w:separator/>
      </w:r>
    </w:p>
  </w:footnote>
  <w:footnote w:type="continuationSeparator" w:id="0">
    <w:p w:rsidR="00086982" w:rsidRDefault="00086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F0EF8"/>
    <w:multiLevelType w:val="multilevel"/>
    <w:tmpl w:val="E8E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D2764"/>
    <w:multiLevelType w:val="multilevel"/>
    <w:tmpl w:val="B30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9B2E6A"/>
    <w:rsid w:val="00011EDB"/>
    <w:rsid w:val="0004174B"/>
    <w:rsid w:val="00060955"/>
    <w:rsid w:val="00067473"/>
    <w:rsid w:val="00086982"/>
    <w:rsid w:val="00094480"/>
    <w:rsid w:val="000949E2"/>
    <w:rsid w:val="000A2C7B"/>
    <w:rsid w:val="000A7507"/>
    <w:rsid w:val="000A7851"/>
    <w:rsid w:val="000F4B6C"/>
    <w:rsid w:val="001202E2"/>
    <w:rsid w:val="00127E3B"/>
    <w:rsid w:val="00153F7A"/>
    <w:rsid w:val="001541EB"/>
    <w:rsid w:val="00173114"/>
    <w:rsid w:val="001A2C87"/>
    <w:rsid w:val="001A799E"/>
    <w:rsid w:val="001D4B3E"/>
    <w:rsid w:val="001D65E5"/>
    <w:rsid w:val="001D7782"/>
    <w:rsid w:val="001F7441"/>
    <w:rsid w:val="001F796C"/>
    <w:rsid w:val="00236E9C"/>
    <w:rsid w:val="00247F27"/>
    <w:rsid w:val="00256634"/>
    <w:rsid w:val="002740D8"/>
    <w:rsid w:val="002A3420"/>
    <w:rsid w:val="002A5536"/>
    <w:rsid w:val="002A56EE"/>
    <w:rsid w:val="002B0F88"/>
    <w:rsid w:val="002E1AD0"/>
    <w:rsid w:val="002F28BD"/>
    <w:rsid w:val="00303496"/>
    <w:rsid w:val="00312F89"/>
    <w:rsid w:val="00321D73"/>
    <w:rsid w:val="00331893"/>
    <w:rsid w:val="00331AFD"/>
    <w:rsid w:val="00334D8F"/>
    <w:rsid w:val="003377B3"/>
    <w:rsid w:val="0038304D"/>
    <w:rsid w:val="003903F9"/>
    <w:rsid w:val="003C480C"/>
    <w:rsid w:val="004168A4"/>
    <w:rsid w:val="004525C5"/>
    <w:rsid w:val="0046404B"/>
    <w:rsid w:val="00466A8D"/>
    <w:rsid w:val="00481EB8"/>
    <w:rsid w:val="004C4FD8"/>
    <w:rsid w:val="004C5B02"/>
    <w:rsid w:val="0050392E"/>
    <w:rsid w:val="00520815"/>
    <w:rsid w:val="00533C67"/>
    <w:rsid w:val="00584E72"/>
    <w:rsid w:val="005867DD"/>
    <w:rsid w:val="005A389E"/>
    <w:rsid w:val="005D2C6B"/>
    <w:rsid w:val="005E27A5"/>
    <w:rsid w:val="005F021A"/>
    <w:rsid w:val="00612FDA"/>
    <w:rsid w:val="00620AE3"/>
    <w:rsid w:val="0065077B"/>
    <w:rsid w:val="006671D0"/>
    <w:rsid w:val="00680929"/>
    <w:rsid w:val="0068422A"/>
    <w:rsid w:val="006D7603"/>
    <w:rsid w:val="006E4A62"/>
    <w:rsid w:val="006E63A8"/>
    <w:rsid w:val="00751C38"/>
    <w:rsid w:val="0078230B"/>
    <w:rsid w:val="00791540"/>
    <w:rsid w:val="00796B28"/>
    <w:rsid w:val="007A485D"/>
    <w:rsid w:val="007B216E"/>
    <w:rsid w:val="007D2445"/>
    <w:rsid w:val="007F08EE"/>
    <w:rsid w:val="00806E30"/>
    <w:rsid w:val="00823F01"/>
    <w:rsid w:val="00825D02"/>
    <w:rsid w:val="00855DF5"/>
    <w:rsid w:val="008F250A"/>
    <w:rsid w:val="00970634"/>
    <w:rsid w:val="00981108"/>
    <w:rsid w:val="009B1BD6"/>
    <w:rsid w:val="009B2E6A"/>
    <w:rsid w:val="009B4B1A"/>
    <w:rsid w:val="009B6ED3"/>
    <w:rsid w:val="009C200A"/>
    <w:rsid w:val="009C464D"/>
    <w:rsid w:val="009C7AB5"/>
    <w:rsid w:val="009D0717"/>
    <w:rsid w:val="009D7319"/>
    <w:rsid w:val="009F06C2"/>
    <w:rsid w:val="009F13A2"/>
    <w:rsid w:val="009F4E17"/>
    <w:rsid w:val="00A444E8"/>
    <w:rsid w:val="00A5773B"/>
    <w:rsid w:val="00A60760"/>
    <w:rsid w:val="00B25F03"/>
    <w:rsid w:val="00B40B33"/>
    <w:rsid w:val="00B43F70"/>
    <w:rsid w:val="00B51294"/>
    <w:rsid w:val="00B92FA5"/>
    <w:rsid w:val="00BA2F78"/>
    <w:rsid w:val="00BC797A"/>
    <w:rsid w:val="00BF0444"/>
    <w:rsid w:val="00BF1185"/>
    <w:rsid w:val="00BF1CBA"/>
    <w:rsid w:val="00C06DD6"/>
    <w:rsid w:val="00C47B57"/>
    <w:rsid w:val="00C56B9E"/>
    <w:rsid w:val="00C80B81"/>
    <w:rsid w:val="00C97DE1"/>
    <w:rsid w:val="00CC0E1A"/>
    <w:rsid w:val="00CD2BEE"/>
    <w:rsid w:val="00D52310"/>
    <w:rsid w:val="00D553DD"/>
    <w:rsid w:val="00D82157"/>
    <w:rsid w:val="00D825A6"/>
    <w:rsid w:val="00D97A93"/>
    <w:rsid w:val="00DB1E98"/>
    <w:rsid w:val="00DB31D1"/>
    <w:rsid w:val="00DC63E8"/>
    <w:rsid w:val="00DE2420"/>
    <w:rsid w:val="00E1542E"/>
    <w:rsid w:val="00E30373"/>
    <w:rsid w:val="00E6290A"/>
    <w:rsid w:val="00ED364B"/>
    <w:rsid w:val="00EE3CAB"/>
    <w:rsid w:val="00F0568C"/>
    <w:rsid w:val="00F22FCA"/>
    <w:rsid w:val="00F23895"/>
    <w:rsid w:val="00FD2198"/>
    <w:rsid w:val="00FE0E3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E6A"/>
    <w:rPr>
      <w:color w:val="0000FF" w:themeColor="hyperlink"/>
      <w:u w:val="single"/>
    </w:rPr>
  </w:style>
  <w:style w:type="paragraph" w:styleId="a4">
    <w:name w:val="header"/>
    <w:basedOn w:val="a"/>
    <w:link w:val="Char"/>
    <w:uiPriority w:val="99"/>
    <w:unhideWhenUsed/>
    <w:rsid w:val="009B2E6A"/>
    <w:pPr>
      <w:tabs>
        <w:tab w:val="center" w:pos="4153"/>
        <w:tab w:val="right" w:pos="8306"/>
      </w:tabs>
      <w:spacing w:after="0" w:line="240" w:lineRule="auto"/>
    </w:pPr>
  </w:style>
  <w:style w:type="character" w:customStyle="1" w:styleId="Char">
    <w:name w:val="页眉 Char"/>
    <w:basedOn w:val="a0"/>
    <w:link w:val="a4"/>
    <w:uiPriority w:val="99"/>
    <w:rsid w:val="009B2E6A"/>
    <w:rPr>
      <w:rFonts w:eastAsiaTheme="minorEastAsia"/>
    </w:rPr>
  </w:style>
  <w:style w:type="paragraph" w:styleId="a5">
    <w:name w:val="footer"/>
    <w:basedOn w:val="a"/>
    <w:link w:val="Char0"/>
    <w:uiPriority w:val="99"/>
    <w:unhideWhenUsed/>
    <w:rsid w:val="009B2E6A"/>
    <w:pPr>
      <w:tabs>
        <w:tab w:val="center" w:pos="4153"/>
        <w:tab w:val="right" w:pos="8306"/>
      </w:tabs>
      <w:spacing w:after="0" w:line="240" w:lineRule="auto"/>
    </w:pPr>
  </w:style>
  <w:style w:type="character" w:customStyle="1" w:styleId="Char0">
    <w:name w:val="页脚 Char"/>
    <w:basedOn w:val="a0"/>
    <w:link w:val="a5"/>
    <w:uiPriority w:val="99"/>
    <w:rsid w:val="009B2E6A"/>
    <w:rPr>
      <w:rFonts w:eastAsiaTheme="minorEastAsia"/>
    </w:rPr>
  </w:style>
  <w:style w:type="character" w:styleId="a6">
    <w:name w:val="annotation reference"/>
    <w:basedOn w:val="a0"/>
    <w:uiPriority w:val="99"/>
    <w:unhideWhenUsed/>
    <w:rsid w:val="009B2E6A"/>
    <w:rPr>
      <w:sz w:val="21"/>
      <w:szCs w:val="21"/>
    </w:rPr>
  </w:style>
  <w:style w:type="paragraph" w:styleId="a7">
    <w:name w:val="annotation text"/>
    <w:basedOn w:val="a"/>
    <w:link w:val="Char1"/>
    <w:uiPriority w:val="99"/>
    <w:unhideWhenUsed/>
    <w:qFormat/>
    <w:rsid w:val="009B2E6A"/>
  </w:style>
  <w:style w:type="character" w:customStyle="1" w:styleId="Char1">
    <w:name w:val="批注文字 Char"/>
    <w:basedOn w:val="a0"/>
    <w:link w:val="a7"/>
    <w:uiPriority w:val="99"/>
    <w:rsid w:val="009B2E6A"/>
    <w:rPr>
      <w:rFonts w:eastAsiaTheme="minorEastAsia"/>
    </w:rPr>
  </w:style>
  <w:style w:type="paragraph" w:styleId="a8">
    <w:name w:val="annotation subject"/>
    <w:basedOn w:val="a7"/>
    <w:next w:val="a7"/>
    <w:link w:val="Char2"/>
    <w:uiPriority w:val="99"/>
    <w:semiHidden/>
    <w:unhideWhenUsed/>
    <w:rsid w:val="009B2E6A"/>
    <w:rPr>
      <w:b/>
      <w:bCs/>
    </w:rPr>
  </w:style>
  <w:style w:type="character" w:customStyle="1" w:styleId="Char2">
    <w:name w:val="批注主题 Char"/>
    <w:basedOn w:val="Char1"/>
    <w:link w:val="a8"/>
    <w:uiPriority w:val="99"/>
    <w:semiHidden/>
    <w:rsid w:val="009B2E6A"/>
    <w:rPr>
      <w:rFonts w:eastAsiaTheme="minorEastAsia"/>
      <w:b/>
      <w:bCs/>
    </w:rPr>
  </w:style>
  <w:style w:type="paragraph" w:styleId="a9">
    <w:name w:val="Balloon Text"/>
    <w:basedOn w:val="a"/>
    <w:link w:val="Char3"/>
    <w:uiPriority w:val="99"/>
    <w:semiHidden/>
    <w:unhideWhenUsed/>
    <w:rsid w:val="009B2E6A"/>
    <w:pPr>
      <w:spacing w:after="0" w:line="240" w:lineRule="auto"/>
    </w:pPr>
    <w:rPr>
      <w:sz w:val="18"/>
      <w:szCs w:val="18"/>
    </w:rPr>
  </w:style>
  <w:style w:type="character" w:customStyle="1" w:styleId="Char3">
    <w:name w:val="批注框文本 Char"/>
    <w:basedOn w:val="a0"/>
    <w:link w:val="a9"/>
    <w:uiPriority w:val="99"/>
    <w:semiHidden/>
    <w:rsid w:val="009B2E6A"/>
    <w:rPr>
      <w:rFonts w:eastAsiaTheme="minorEastAsia"/>
      <w:sz w:val="18"/>
      <w:szCs w:val="18"/>
    </w:rPr>
  </w:style>
  <w:style w:type="paragraph" w:customStyle="1" w:styleId="src">
    <w:name w:val="src"/>
    <w:basedOn w:val="a"/>
    <w:rsid w:val="009B2E6A"/>
    <w:pPr>
      <w:spacing w:before="100" w:beforeAutospacing="1" w:after="100" w:afterAutospacing="1" w:line="240" w:lineRule="auto"/>
    </w:pPr>
    <w:rPr>
      <w:rFonts w:ascii="宋体" w:eastAsia="宋体" w:hAnsi="宋体" w:cs="宋体"/>
      <w:sz w:val="24"/>
      <w:szCs w:val="24"/>
      <w:lang w:val="en-US" w:eastAsia="zh-CN"/>
    </w:rPr>
  </w:style>
  <w:style w:type="paragraph" w:customStyle="1" w:styleId="1">
    <w:name w:val="正文1"/>
    <w:uiPriority w:val="99"/>
    <w:rsid w:val="009B2E6A"/>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9B2E6A"/>
    <w:rPr>
      <w:rFonts w:eastAsiaTheme="minorEastAsia"/>
      <w:kern w:val="2"/>
      <w:sz w:val="21"/>
    </w:rPr>
  </w:style>
  <w:style w:type="paragraph" w:styleId="aa">
    <w:name w:val="List Paragraph"/>
    <w:basedOn w:val="a"/>
    <w:uiPriority w:val="34"/>
    <w:qFormat/>
    <w:rsid w:val="009B2E6A"/>
    <w:pPr>
      <w:ind w:left="720"/>
      <w:contextualSpacing/>
    </w:pPr>
    <w:rPr>
      <w:rFonts w:asciiTheme="majorHAnsi" w:eastAsia="宋体" w:hAnsiTheme="majorHAnsi"/>
      <w:lang w:val="en-US" w:eastAsia="zh-CN"/>
    </w:rPr>
  </w:style>
  <w:style w:type="paragraph" w:customStyle="1" w:styleId="EndNoteBibliographyTitle">
    <w:name w:val="EndNote Bibliography Title"/>
    <w:basedOn w:val="a"/>
    <w:link w:val="EndNoteBibliographyTitleChar"/>
    <w:rsid w:val="009B2E6A"/>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9B2E6A"/>
    <w:rPr>
      <w:rFonts w:ascii="Calibri" w:eastAsiaTheme="minorEastAsia" w:hAnsi="Calibri"/>
      <w:noProof/>
      <w:lang w:val="en-US"/>
    </w:rPr>
  </w:style>
  <w:style w:type="paragraph" w:customStyle="1" w:styleId="EndNoteBibliography">
    <w:name w:val="EndNote Bibliography"/>
    <w:basedOn w:val="a"/>
    <w:link w:val="EndNoteBibliographyChar"/>
    <w:rsid w:val="009B2E6A"/>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9B2E6A"/>
    <w:rPr>
      <w:rFonts w:ascii="Calibri" w:eastAsiaTheme="minorEastAsia" w:hAnsi="Calibri"/>
      <w:noProof/>
      <w:lang w:val="en-US"/>
    </w:rPr>
  </w:style>
  <w:style w:type="character" w:styleId="ab">
    <w:name w:val="FollowedHyperlink"/>
    <w:basedOn w:val="a0"/>
    <w:uiPriority w:val="99"/>
    <w:semiHidden/>
    <w:unhideWhenUsed/>
    <w:rsid w:val="009B2E6A"/>
    <w:rPr>
      <w:color w:val="800080" w:themeColor="followedHyperlink"/>
      <w:u w:val="single"/>
    </w:rPr>
  </w:style>
  <w:style w:type="table" w:styleId="ac">
    <w:name w:val="Table Grid"/>
    <w:basedOn w:val="a1"/>
    <w:uiPriority w:val="59"/>
    <w:rsid w:val="00B512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E6A"/>
    <w:rPr>
      <w:color w:val="0000FF" w:themeColor="hyperlink"/>
      <w:u w:val="single"/>
    </w:rPr>
  </w:style>
  <w:style w:type="paragraph" w:styleId="a4">
    <w:name w:val="header"/>
    <w:basedOn w:val="a"/>
    <w:link w:val="Char"/>
    <w:uiPriority w:val="99"/>
    <w:unhideWhenUsed/>
    <w:rsid w:val="009B2E6A"/>
    <w:pPr>
      <w:tabs>
        <w:tab w:val="center" w:pos="4153"/>
        <w:tab w:val="right" w:pos="8306"/>
      </w:tabs>
      <w:spacing w:after="0" w:line="240" w:lineRule="auto"/>
    </w:pPr>
  </w:style>
  <w:style w:type="character" w:customStyle="1" w:styleId="Char">
    <w:name w:val="Κεφαλίδα Char"/>
    <w:basedOn w:val="a0"/>
    <w:link w:val="a4"/>
    <w:uiPriority w:val="99"/>
    <w:rsid w:val="009B2E6A"/>
    <w:rPr>
      <w:rFonts w:eastAsiaTheme="minorEastAsia"/>
    </w:rPr>
  </w:style>
  <w:style w:type="paragraph" w:styleId="a5">
    <w:name w:val="footer"/>
    <w:basedOn w:val="a"/>
    <w:link w:val="Char0"/>
    <w:uiPriority w:val="99"/>
    <w:unhideWhenUsed/>
    <w:rsid w:val="009B2E6A"/>
    <w:pPr>
      <w:tabs>
        <w:tab w:val="center" w:pos="4153"/>
        <w:tab w:val="right" w:pos="8306"/>
      </w:tabs>
      <w:spacing w:after="0" w:line="240" w:lineRule="auto"/>
    </w:pPr>
  </w:style>
  <w:style w:type="character" w:customStyle="1" w:styleId="Char0">
    <w:name w:val="Υποσέλιδο Char"/>
    <w:basedOn w:val="a0"/>
    <w:link w:val="a5"/>
    <w:uiPriority w:val="99"/>
    <w:rsid w:val="009B2E6A"/>
    <w:rPr>
      <w:rFonts w:eastAsiaTheme="minorEastAsia"/>
    </w:rPr>
  </w:style>
  <w:style w:type="character" w:styleId="a6">
    <w:name w:val="annotation reference"/>
    <w:basedOn w:val="a0"/>
    <w:uiPriority w:val="99"/>
    <w:unhideWhenUsed/>
    <w:rsid w:val="009B2E6A"/>
    <w:rPr>
      <w:sz w:val="21"/>
      <w:szCs w:val="21"/>
    </w:rPr>
  </w:style>
  <w:style w:type="paragraph" w:styleId="a7">
    <w:name w:val="annotation text"/>
    <w:basedOn w:val="a"/>
    <w:link w:val="Char1"/>
    <w:uiPriority w:val="99"/>
    <w:unhideWhenUsed/>
    <w:qFormat/>
    <w:rsid w:val="009B2E6A"/>
  </w:style>
  <w:style w:type="character" w:customStyle="1" w:styleId="Char1">
    <w:name w:val="Κείμενο σχολίου Char"/>
    <w:basedOn w:val="a0"/>
    <w:link w:val="a7"/>
    <w:uiPriority w:val="99"/>
    <w:rsid w:val="009B2E6A"/>
    <w:rPr>
      <w:rFonts w:eastAsiaTheme="minorEastAsia"/>
    </w:rPr>
  </w:style>
  <w:style w:type="paragraph" w:styleId="a8">
    <w:name w:val="annotation subject"/>
    <w:basedOn w:val="a7"/>
    <w:next w:val="a7"/>
    <w:link w:val="Char2"/>
    <w:uiPriority w:val="99"/>
    <w:semiHidden/>
    <w:unhideWhenUsed/>
    <w:rsid w:val="009B2E6A"/>
    <w:rPr>
      <w:b/>
      <w:bCs/>
    </w:rPr>
  </w:style>
  <w:style w:type="character" w:customStyle="1" w:styleId="Char2">
    <w:name w:val="Θέμα σχολίου Char"/>
    <w:basedOn w:val="Char1"/>
    <w:link w:val="a8"/>
    <w:uiPriority w:val="99"/>
    <w:semiHidden/>
    <w:rsid w:val="009B2E6A"/>
    <w:rPr>
      <w:rFonts w:eastAsiaTheme="minorEastAsia"/>
      <w:b/>
      <w:bCs/>
    </w:rPr>
  </w:style>
  <w:style w:type="paragraph" w:styleId="a9">
    <w:name w:val="Balloon Text"/>
    <w:basedOn w:val="a"/>
    <w:link w:val="Char3"/>
    <w:uiPriority w:val="99"/>
    <w:semiHidden/>
    <w:unhideWhenUsed/>
    <w:rsid w:val="009B2E6A"/>
    <w:pPr>
      <w:spacing w:after="0" w:line="240" w:lineRule="auto"/>
    </w:pPr>
    <w:rPr>
      <w:sz w:val="18"/>
      <w:szCs w:val="18"/>
    </w:rPr>
  </w:style>
  <w:style w:type="character" w:customStyle="1" w:styleId="Char3">
    <w:name w:val="Κείμενο πλαισίου Char"/>
    <w:basedOn w:val="a0"/>
    <w:link w:val="a9"/>
    <w:uiPriority w:val="99"/>
    <w:semiHidden/>
    <w:rsid w:val="009B2E6A"/>
    <w:rPr>
      <w:rFonts w:eastAsiaTheme="minorEastAsia"/>
      <w:sz w:val="18"/>
      <w:szCs w:val="18"/>
    </w:rPr>
  </w:style>
  <w:style w:type="paragraph" w:customStyle="1" w:styleId="src">
    <w:name w:val="src"/>
    <w:basedOn w:val="a"/>
    <w:rsid w:val="009B2E6A"/>
    <w:pPr>
      <w:spacing w:before="100" w:beforeAutospacing="1" w:after="100" w:afterAutospacing="1" w:line="240" w:lineRule="auto"/>
    </w:pPr>
    <w:rPr>
      <w:rFonts w:ascii="宋体" w:eastAsia="宋体" w:hAnsi="宋体" w:cs="宋体"/>
      <w:sz w:val="24"/>
      <w:szCs w:val="24"/>
      <w:lang w:val="en-US" w:eastAsia="zh-CN"/>
    </w:rPr>
  </w:style>
  <w:style w:type="paragraph" w:customStyle="1" w:styleId="1">
    <w:name w:val="正文1"/>
    <w:uiPriority w:val="99"/>
    <w:rsid w:val="009B2E6A"/>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9B2E6A"/>
    <w:rPr>
      <w:rFonts w:eastAsiaTheme="minorEastAsia"/>
      <w:kern w:val="2"/>
      <w:sz w:val="21"/>
    </w:rPr>
  </w:style>
  <w:style w:type="paragraph" w:styleId="aa">
    <w:name w:val="List Paragraph"/>
    <w:basedOn w:val="a"/>
    <w:uiPriority w:val="34"/>
    <w:qFormat/>
    <w:rsid w:val="009B2E6A"/>
    <w:pPr>
      <w:ind w:left="720"/>
      <w:contextualSpacing/>
    </w:pPr>
    <w:rPr>
      <w:rFonts w:asciiTheme="majorHAnsi" w:eastAsia="宋体" w:hAnsiTheme="majorHAnsi"/>
      <w:lang w:val="en-US" w:eastAsia="zh-CN"/>
    </w:rPr>
  </w:style>
  <w:style w:type="paragraph" w:customStyle="1" w:styleId="EndNoteBibliographyTitle">
    <w:name w:val="EndNote Bibliography Title"/>
    <w:basedOn w:val="a"/>
    <w:link w:val="EndNoteBibliographyTitleChar"/>
    <w:rsid w:val="009B2E6A"/>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9B2E6A"/>
    <w:rPr>
      <w:rFonts w:ascii="Calibri" w:eastAsiaTheme="minorEastAsia" w:hAnsi="Calibri"/>
      <w:noProof/>
      <w:lang w:val="en-US"/>
    </w:rPr>
  </w:style>
  <w:style w:type="paragraph" w:customStyle="1" w:styleId="EndNoteBibliography">
    <w:name w:val="EndNote Bibliography"/>
    <w:basedOn w:val="a"/>
    <w:link w:val="EndNoteBibliographyChar"/>
    <w:rsid w:val="009B2E6A"/>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9B2E6A"/>
    <w:rPr>
      <w:rFonts w:ascii="Calibri" w:eastAsiaTheme="minorEastAsia" w:hAnsi="Calibri"/>
      <w:noProof/>
      <w:lang w:val="en-US"/>
    </w:rPr>
  </w:style>
  <w:style w:type="character" w:styleId="ab">
    <w:name w:val="FollowedHyperlink"/>
    <w:basedOn w:val="a0"/>
    <w:uiPriority w:val="99"/>
    <w:semiHidden/>
    <w:unhideWhenUsed/>
    <w:rsid w:val="009B2E6A"/>
    <w:rPr>
      <w:color w:val="800080" w:themeColor="followedHyperlink"/>
      <w:u w:val="single"/>
    </w:rPr>
  </w:style>
  <w:style w:type="table" w:styleId="ac">
    <w:name w:val="Table Grid"/>
    <w:basedOn w:val="a1"/>
    <w:uiPriority w:val="59"/>
    <w:rsid w:val="00B512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892">
      <w:bodyDiv w:val="1"/>
      <w:marLeft w:val="0"/>
      <w:marRight w:val="0"/>
      <w:marTop w:val="0"/>
      <w:marBottom w:val="0"/>
      <w:divBdr>
        <w:top w:val="none" w:sz="0" w:space="0" w:color="auto"/>
        <w:left w:val="none" w:sz="0" w:space="0" w:color="auto"/>
        <w:bottom w:val="none" w:sz="0" w:space="0" w:color="auto"/>
        <w:right w:val="none" w:sz="0" w:space="0" w:color="auto"/>
      </w:divBdr>
    </w:div>
    <w:div w:id="116878567">
      <w:bodyDiv w:val="1"/>
      <w:marLeft w:val="0"/>
      <w:marRight w:val="0"/>
      <w:marTop w:val="0"/>
      <w:marBottom w:val="0"/>
      <w:divBdr>
        <w:top w:val="none" w:sz="0" w:space="0" w:color="auto"/>
        <w:left w:val="none" w:sz="0" w:space="0" w:color="auto"/>
        <w:bottom w:val="none" w:sz="0" w:space="0" w:color="auto"/>
        <w:right w:val="none" w:sz="0" w:space="0" w:color="auto"/>
      </w:divBdr>
      <w:divsChild>
        <w:div w:id="2000572969">
          <w:marLeft w:val="0"/>
          <w:marRight w:val="0"/>
          <w:marTop w:val="0"/>
          <w:marBottom w:val="0"/>
          <w:divBdr>
            <w:top w:val="none" w:sz="0" w:space="0" w:color="auto"/>
            <w:left w:val="none" w:sz="0" w:space="0" w:color="auto"/>
            <w:bottom w:val="none" w:sz="0" w:space="0" w:color="auto"/>
            <w:right w:val="none" w:sz="0" w:space="0" w:color="auto"/>
          </w:divBdr>
        </w:div>
      </w:divsChild>
    </w:div>
    <w:div w:id="165363396">
      <w:bodyDiv w:val="1"/>
      <w:marLeft w:val="0"/>
      <w:marRight w:val="0"/>
      <w:marTop w:val="0"/>
      <w:marBottom w:val="0"/>
      <w:divBdr>
        <w:top w:val="none" w:sz="0" w:space="0" w:color="auto"/>
        <w:left w:val="none" w:sz="0" w:space="0" w:color="auto"/>
        <w:bottom w:val="none" w:sz="0" w:space="0" w:color="auto"/>
        <w:right w:val="none" w:sz="0" w:space="0" w:color="auto"/>
      </w:divBdr>
    </w:div>
    <w:div w:id="187914431">
      <w:bodyDiv w:val="1"/>
      <w:marLeft w:val="0"/>
      <w:marRight w:val="0"/>
      <w:marTop w:val="0"/>
      <w:marBottom w:val="0"/>
      <w:divBdr>
        <w:top w:val="none" w:sz="0" w:space="0" w:color="auto"/>
        <w:left w:val="none" w:sz="0" w:space="0" w:color="auto"/>
        <w:bottom w:val="none" w:sz="0" w:space="0" w:color="auto"/>
        <w:right w:val="none" w:sz="0" w:space="0" w:color="auto"/>
      </w:divBdr>
      <w:divsChild>
        <w:div w:id="1927422094">
          <w:marLeft w:val="0"/>
          <w:marRight w:val="0"/>
          <w:marTop w:val="0"/>
          <w:marBottom w:val="0"/>
          <w:divBdr>
            <w:top w:val="none" w:sz="0" w:space="0" w:color="auto"/>
            <w:left w:val="none" w:sz="0" w:space="0" w:color="auto"/>
            <w:bottom w:val="none" w:sz="0" w:space="0" w:color="auto"/>
            <w:right w:val="none" w:sz="0" w:space="0" w:color="auto"/>
          </w:divBdr>
        </w:div>
      </w:divsChild>
    </w:div>
    <w:div w:id="202139855">
      <w:bodyDiv w:val="1"/>
      <w:marLeft w:val="0"/>
      <w:marRight w:val="0"/>
      <w:marTop w:val="0"/>
      <w:marBottom w:val="0"/>
      <w:divBdr>
        <w:top w:val="none" w:sz="0" w:space="0" w:color="auto"/>
        <w:left w:val="none" w:sz="0" w:space="0" w:color="auto"/>
        <w:bottom w:val="none" w:sz="0" w:space="0" w:color="auto"/>
        <w:right w:val="none" w:sz="0" w:space="0" w:color="auto"/>
      </w:divBdr>
    </w:div>
    <w:div w:id="403380287">
      <w:bodyDiv w:val="1"/>
      <w:marLeft w:val="0"/>
      <w:marRight w:val="0"/>
      <w:marTop w:val="0"/>
      <w:marBottom w:val="0"/>
      <w:divBdr>
        <w:top w:val="none" w:sz="0" w:space="0" w:color="auto"/>
        <w:left w:val="none" w:sz="0" w:space="0" w:color="auto"/>
        <w:bottom w:val="none" w:sz="0" w:space="0" w:color="auto"/>
        <w:right w:val="none" w:sz="0" w:space="0" w:color="auto"/>
      </w:divBdr>
      <w:divsChild>
        <w:div w:id="456993439">
          <w:marLeft w:val="0"/>
          <w:marRight w:val="0"/>
          <w:marTop w:val="0"/>
          <w:marBottom w:val="0"/>
          <w:divBdr>
            <w:top w:val="none" w:sz="0" w:space="0" w:color="auto"/>
            <w:left w:val="none" w:sz="0" w:space="0" w:color="auto"/>
            <w:bottom w:val="none" w:sz="0" w:space="0" w:color="auto"/>
            <w:right w:val="none" w:sz="0" w:space="0" w:color="auto"/>
          </w:divBdr>
        </w:div>
      </w:divsChild>
    </w:div>
    <w:div w:id="465776158">
      <w:bodyDiv w:val="1"/>
      <w:marLeft w:val="0"/>
      <w:marRight w:val="0"/>
      <w:marTop w:val="0"/>
      <w:marBottom w:val="0"/>
      <w:divBdr>
        <w:top w:val="none" w:sz="0" w:space="0" w:color="auto"/>
        <w:left w:val="none" w:sz="0" w:space="0" w:color="auto"/>
        <w:bottom w:val="none" w:sz="0" w:space="0" w:color="auto"/>
        <w:right w:val="none" w:sz="0" w:space="0" w:color="auto"/>
      </w:divBdr>
      <w:divsChild>
        <w:div w:id="196283040">
          <w:marLeft w:val="0"/>
          <w:marRight w:val="0"/>
          <w:marTop w:val="0"/>
          <w:marBottom w:val="0"/>
          <w:divBdr>
            <w:top w:val="none" w:sz="0" w:space="0" w:color="auto"/>
            <w:left w:val="none" w:sz="0" w:space="0" w:color="auto"/>
            <w:bottom w:val="none" w:sz="0" w:space="0" w:color="auto"/>
            <w:right w:val="none" w:sz="0" w:space="0" w:color="auto"/>
          </w:divBdr>
        </w:div>
      </w:divsChild>
    </w:div>
    <w:div w:id="588201928">
      <w:bodyDiv w:val="1"/>
      <w:marLeft w:val="0"/>
      <w:marRight w:val="0"/>
      <w:marTop w:val="0"/>
      <w:marBottom w:val="0"/>
      <w:divBdr>
        <w:top w:val="none" w:sz="0" w:space="0" w:color="auto"/>
        <w:left w:val="none" w:sz="0" w:space="0" w:color="auto"/>
        <w:bottom w:val="none" w:sz="0" w:space="0" w:color="auto"/>
        <w:right w:val="none" w:sz="0" w:space="0" w:color="auto"/>
      </w:divBdr>
      <w:divsChild>
        <w:div w:id="1201625729">
          <w:marLeft w:val="0"/>
          <w:marRight w:val="0"/>
          <w:marTop w:val="0"/>
          <w:marBottom w:val="0"/>
          <w:divBdr>
            <w:top w:val="none" w:sz="0" w:space="0" w:color="auto"/>
            <w:left w:val="none" w:sz="0" w:space="0" w:color="auto"/>
            <w:bottom w:val="none" w:sz="0" w:space="0" w:color="auto"/>
            <w:right w:val="none" w:sz="0" w:space="0" w:color="auto"/>
          </w:divBdr>
        </w:div>
      </w:divsChild>
    </w:div>
    <w:div w:id="658853089">
      <w:bodyDiv w:val="1"/>
      <w:marLeft w:val="0"/>
      <w:marRight w:val="0"/>
      <w:marTop w:val="0"/>
      <w:marBottom w:val="0"/>
      <w:divBdr>
        <w:top w:val="none" w:sz="0" w:space="0" w:color="auto"/>
        <w:left w:val="none" w:sz="0" w:space="0" w:color="auto"/>
        <w:bottom w:val="none" w:sz="0" w:space="0" w:color="auto"/>
        <w:right w:val="none" w:sz="0" w:space="0" w:color="auto"/>
      </w:divBdr>
      <w:divsChild>
        <w:div w:id="841623889">
          <w:marLeft w:val="0"/>
          <w:marRight w:val="0"/>
          <w:marTop w:val="0"/>
          <w:marBottom w:val="0"/>
          <w:divBdr>
            <w:top w:val="none" w:sz="0" w:space="0" w:color="auto"/>
            <w:left w:val="none" w:sz="0" w:space="0" w:color="auto"/>
            <w:bottom w:val="none" w:sz="0" w:space="0" w:color="auto"/>
            <w:right w:val="none" w:sz="0" w:space="0" w:color="auto"/>
          </w:divBdr>
        </w:div>
      </w:divsChild>
    </w:div>
    <w:div w:id="698359905">
      <w:bodyDiv w:val="1"/>
      <w:marLeft w:val="0"/>
      <w:marRight w:val="0"/>
      <w:marTop w:val="0"/>
      <w:marBottom w:val="0"/>
      <w:divBdr>
        <w:top w:val="none" w:sz="0" w:space="0" w:color="auto"/>
        <w:left w:val="none" w:sz="0" w:space="0" w:color="auto"/>
        <w:bottom w:val="none" w:sz="0" w:space="0" w:color="auto"/>
        <w:right w:val="none" w:sz="0" w:space="0" w:color="auto"/>
      </w:divBdr>
      <w:divsChild>
        <w:div w:id="1377974087">
          <w:marLeft w:val="0"/>
          <w:marRight w:val="0"/>
          <w:marTop w:val="0"/>
          <w:marBottom w:val="0"/>
          <w:divBdr>
            <w:top w:val="none" w:sz="0" w:space="0" w:color="auto"/>
            <w:left w:val="none" w:sz="0" w:space="0" w:color="auto"/>
            <w:bottom w:val="none" w:sz="0" w:space="0" w:color="auto"/>
            <w:right w:val="none" w:sz="0" w:space="0" w:color="auto"/>
          </w:divBdr>
        </w:div>
      </w:divsChild>
    </w:div>
    <w:div w:id="712080163">
      <w:bodyDiv w:val="1"/>
      <w:marLeft w:val="0"/>
      <w:marRight w:val="0"/>
      <w:marTop w:val="0"/>
      <w:marBottom w:val="0"/>
      <w:divBdr>
        <w:top w:val="none" w:sz="0" w:space="0" w:color="auto"/>
        <w:left w:val="none" w:sz="0" w:space="0" w:color="auto"/>
        <w:bottom w:val="none" w:sz="0" w:space="0" w:color="auto"/>
        <w:right w:val="none" w:sz="0" w:space="0" w:color="auto"/>
      </w:divBdr>
    </w:div>
    <w:div w:id="719087087">
      <w:bodyDiv w:val="1"/>
      <w:marLeft w:val="0"/>
      <w:marRight w:val="0"/>
      <w:marTop w:val="0"/>
      <w:marBottom w:val="0"/>
      <w:divBdr>
        <w:top w:val="none" w:sz="0" w:space="0" w:color="auto"/>
        <w:left w:val="none" w:sz="0" w:space="0" w:color="auto"/>
        <w:bottom w:val="none" w:sz="0" w:space="0" w:color="auto"/>
        <w:right w:val="none" w:sz="0" w:space="0" w:color="auto"/>
      </w:divBdr>
      <w:divsChild>
        <w:div w:id="1409885951">
          <w:marLeft w:val="0"/>
          <w:marRight w:val="0"/>
          <w:marTop w:val="0"/>
          <w:marBottom w:val="0"/>
          <w:divBdr>
            <w:top w:val="none" w:sz="0" w:space="0" w:color="auto"/>
            <w:left w:val="none" w:sz="0" w:space="0" w:color="auto"/>
            <w:bottom w:val="none" w:sz="0" w:space="0" w:color="auto"/>
            <w:right w:val="none" w:sz="0" w:space="0" w:color="auto"/>
          </w:divBdr>
        </w:div>
      </w:divsChild>
    </w:div>
    <w:div w:id="822962684">
      <w:bodyDiv w:val="1"/>
      <w:marLeft w:val="0"/>
      <w:marRight w:val="0"/>
      <w:marTop w:val="0"/>
      <w:marBottom w:val="0"/>
      <w:divBdr>
        <w:top w:val="none" w:sz="0" w:space="0" w:color="auto"/>
        <w:left w:val="none" w:sz="0" w:space="0" w:color="auto"/>
        <w:bottom w:val="none" w:sz="0" w:space="0" w:color="auto"/>
        <w:right w:val="none" w:sz="0" w:space="0" w:color="auto"/>
      </w:divBdr>
      <w:divsChild>
        <w:div w:id="864320835">
          <w:marLeft w:val="0"/>
          <w:marRight w:val="0"/>
          <w:marTop w:val="0"/>
          <w:marBottom w:val="0"/>
          <w:divBdr>
            <w:top w:val="none" w:sz="0" w:space="0" w:color="auto"/>
            <w:left w:val="none" w:sz="0" w:space="0" w:color="auto"/>
            <w:bottom w:val="none" w:sz="0" w:space="0" w:color="auto"/>
            <w:right w:val="none" w:sz="0" w:space="0" w:color="auto"/>
          </w:divBdr>
        </w:div>
      </w:divsChild>
    </w:div>
    <w:div w:id="829178370">
      <w:bodyDiv w:val="1"/>
      <w:marLeft w:val="0"/>
      <w:marRight w:val="0"/>
      <w:marTop w:val="0"/>
      <w:marBottom w:val="0"/>
      <w:divBdr>
        <w:top w:val="none" w:sz="0" w:space="0" w:color="auto"/>
        <w:left w:val="none" w:sz="0" w:space="0" w:color="auto"/>
        <w:bottom w:val="none" w:sz="0" w:space="0" w:color="auto"/>
        <w:right w:val="none" w:sz="0" w:space="0" w:color="auto"/>
      </w:divBdr>
      <w:divsChild>
        <w:div w:id="1352609666">
          <w:marLeft w:val="0"/>
          <w:marRight w:val="0"/>
          <w:marTop w:val="0"/>
          <w:marBottom w:val="0"/>
          <w:divBdr>
            <w:top w:val="none" w:sz="0" w:space="0" w:color="auto"/>
            <w:left w:val="none" w:sz="0" w:space="0" w:color="auto"/>
            <w:bottom w:val="none" w:sz="0" w:space="0" w:color="auto"/>
            <w:right w:val="none" w:sz="0" w:space="0" w:color="auto"/>
          </w:divBdr>
        </w:div>
      </w:divsChild>
    </w:div>
    <w:div w:id="943533151">
      <w:bodyDiv w:val="1"/>
      <w:marLeft w:val="0"/>
      <w:marRight w:val="0"/>
      <w:marTop w:val="0"/>
      <w:marBottom w:val="0"/>
      <w:divBdr>
        <w:top w:val="none" w:sz="0" w:space="0" w:color="auto"/>
        <w:left w:val="none" w:sz="0" w:space="0" w:color="auto"/>
        <w:bottom w:val="none" w:sz="0" w:space="0" w:color="auto"/>
        <w:right w:val="none" w:sz="0" w:space="0" w:color="auto"/>
      </w:divBdr>
      <w:divsChild>
        <w:div w:id="252788074">
          <w:marLeft w:val="0"/>
          <w:marRight w:val="0"/>
          <w:marTop w:val="0"/>
          <w:marBottom w:val="0"/>
          <w:divBdr>
            <w:top w:val="none" w:sz="0" w:space="0" w:color="auto"/>
            <w:left w:val="none" w:sz="0" w:space="0" w:color="auto"/>
            <w:bottom w:val="none" w:sz="0" w:space="0" w:color="auto"/>
            <w:right w:val="none" w:sz="0" w:space="0" w:color="auto"/>
          </w:divBdr>
        </w:div>
      </w:divsChild>
    </w:div>
    <w:div w:id="998118805">
      <w:bodyDiv w:val="1"/>
      <w:marLeft w:val="0"/>
      <w:marRight w:val="0"/>
      <w:marTop w:val="0"/>
      <w:marBottom w:val="0"/>
      <w:divBdr>
        <w:top w:val="none" w:sz="0" w:space="0" w:color="auto"/>
        <w:left w:val="none" w:sz="0" w:space="0" w:color="auto"/>
        <w:bottom w:val="none" w:sz="0" w:space="0" w:color="auto"/>
        <w:right w:val="none" w:sz="0" w:space="0" w:color="auto"/>
      </w:divBdr>
      <w:divsChild>
        <w:div w:id="1461459581">
          <w:marLeft w:val="0"/>
          <w:marRight w:val="0"/>
          <w:marTop w:val="0"/>
          <w:marBottom w:val="0"/>
          <w:divBdr>
            <w:top w:val="none" w:sz="0" w:space="0" w:color="auto"/>
            <w:left w:val="none" w:sz="0" w:space="0" w:color="auto"/>
            <w:bottom w:val="none" w:sz="0" w:space="0" w:color="auto"/>
            <w:right w:val="none" w:sz="0" w:space="0" w:color="auto"/>
          </w:divBdr>
        </w:div>
      </w:divsChild>
    </w:div>
    <w:div w:id="1012756274">
      <w:bodyDiv w:val="1"/>
      <w:marLeft w:val="0"/>
      <w:marRight w:val="0"/>
      <w:marTop w:val="0"/>
      <w:marBottom w:val="0"/>
      <w:divBdr>
        <w:top w:val="none" w:sz="0" w:space="0" w:color="auto"/>
        <w:left w:val="none" w:sz="0" w:space="0" w:color="auto"/>
        <w:bottom w:val="none" w:sz="0" w:space="0" w:color="auto"/>
        <w:right w:val="none" w:sz="0" w:space="0" w:color="auto"/>
      </w:divBdr>
      <w:divsChild>
        <w:div w:id="1069960162">
          <w:marLeft w:val="0"/>
          <w:marRight w:val="0"/>
          <w:marTop w:val="0"/>
          <w:marBottom w:val="0"/>
          <w:divBdr>
            <w:top w:val="none" w:sz="0" w:space="0" w:color="auto"/>
            <w:left w:val="none" w:sz="0" w:space="0" w:color="auto"/>
            <w:bottom w:val="none" w:sz="0" w:space="0" w:color="auto"/>
            <w:right w:val="none" w:sz="0" w:space="0" w:color="auto"/>
          </w:divBdr>
        </w:div>
      </w:divsChild>
    </w:div>
    <w:div w:id="1047752667">
      <w:bodyDiv w:val="1"/>
      <w:marLeft w:val="0"/>
      <w:marRight w:val="0"/>
      <w:marTop w:val="0"/>
      <w:marBottom w:val="0"/>
      <w:divBdr>
        <w:top w:val="none" w:sz="0" w:space="0" w:color="auto"/>
        <w:left w:val="none" w:sz="0" w:space="0" w:color="auto"/>
        <w:bottom w:val="none" w:sz="0" w:space="0" w:color="auto"/>
        <w:right w:val="none" w:sz="0" w:space="0" w:color="auto"/>
      </w:divBdr>
      <w:divsChild>
        <w:div w:id="1292007731">
          <w:marLeft w:val="0"/>
          <w:marRight w:val="0"/>
          <w:marTop w:val="0"/>
          <w:marBottom w:val="0"/>
          <w:divBdr>
            <w:top w:val="none" w:sz="0" w:space="0" w:color="auto"/>
            <w:left w:val="none" w:sz="0" w:space="0" w:color="auto"/>
            <w:bottom w:val="none" w:sz="0" w:space="0" w:color="auto"/>
            <w:right w:val="none" w:sz="0" w:space="0" w:color="auto"/>
          </w:divBdr>
        </w:div>
      </w:divsChild>
    </w:div>
    <w:div w:id="1170876637">
      <w:bodyDiv w:val="1"/>
      <w:marLeft w:val="0"/>
      <w:marRight w:val="0"/>
      <w:marTop w:val="0"/>
      <w:marBottom w:val="0"/>
      <w:divBdr>
        <w:top w:val="none" w:sz="0" w:space="0" w:color="auto"/>
        <w:left w:val="none" w:sz="0" w:space="0" w:color="auto"/>
        <w:bottom w:val="none" w:sz="0" w:space="0" w:color="auto"/>
        <w:right w:val="none" w:sz="0" w:space="0" w:color="auto"/>
      </w:divBdr>
    </w:div>
    <w:div w:id="1208949555">
      <w:bodyDiv w:val="1"/>
      <w:marLeft w:val="0"/>
      <w:marRight w:val="0"/>
      <w:marTop w:val="0"/>
      <w:marBottom w:val="0"/>
      <w:divBdr>
        <w:top w:val="none" w:sz="0" w:space="0" w:color="auto"/>
        <w:left w:val="none" w:sz="0" w:space="0" w:color="auto"/>
        <w:bottom w:val="none" w:sz="0" w:space="0" w:color="auto"/>
        <w:right w:val="none" w:sz="0" w:space="0" w:color="auto"/>
      </w:divBdr>
      <w:divsChild>
        <w:div w:id="456414109">
          <w:marLeft w:val="0"/>
          <w:marRight w:val="0"/>
          <w:marTop w:val="0"/>
          <w:marBottom w:val="0"/>
          <w:divBdr>
            <w:top w:val="none" w:sz="0" w:space="0" w:color="auto"/>
            <w:left w:val="none" w:sz="0" w:space="0" w:color="auto"/>
            <w:bottom w:val="none" w:sz="0" w:space="0" w:color="auto"/>
            <w:right w:val="none" w:sz="0" w:space="0" w:color="auto"/>
          </w:divBdr>
        </w:div>
      </w:divsChild>
    </w:div>
    <w:div w:id="1626041716">
      <w:bodyDiv w:val="1"/>
      <w:marLeft w:val="0"/>
      <w:marRight w:val="0"/>
      <w:marTop w:val="0"/>
      <w:marBottom w:val="0"/>
      <w:divBdr>
        <w:top w:val="none" w:sz="0" w:space="0" w:color="auto"/>
        <w:left w:val="none" w:sz="0" w:space="0" w:color="auto"/>
        <w:bottom w:val="none" w:sz="0" w:space="0" w:color="auto"/>
        <w:right w:val="none" w:sz="0" w:space="0" w:color="auto"/>
      </w:divBdr>
      <w:divsChild>
        <w:div w:id="326832048">
          <w:marLeft w:val="0"/>
          <w:marRight w:val="0"/>
          <w:marTop w:val="0"/>
          <w:marBottom w:val="0"/>
          <w:divBdr>
            <w:top w:val="none" w:sz="0" w:space="0" w:color="auto"/>
            <w:left w:val="none" w:sz="0" w:space="0" w:color="auto"/>
            <w:bottom w:val="none" w:sz="0" w:space="0" w:color="auto"/>
            <w:right w:val="none" w:sz="0" w:space="0" w:color="auto"/>
          </w:divBdr>
        </w:div>
      </w:divsChild>
    </w:div>
    <w:div w:id="1641224323">
      <w:bodyDiv w:val="1"/>
      <w:marLeft w:val="0"/>
      <w:marRight w:val="0"/>
      <w:marTop w:val="0"/>
      <w:marBottom w:val="0"/>
      <w:divBdr>
        <w:top w:val="none" w:sz="0" w:space="0" w:color="auto"/>
        <w:left w:val="none" w:sz="0" w:space="0" w:color="auto"/>
        <w:bottom w:val="none" w:sz="0" w:space="0" w:color="auto"/>
        <w:right w:val="none" w:sz="0" w:space="0" w:color="auto"/>
      </w:divBdr>
    </w:div>
    <w:div w:id="1721829142">
      <w:bodyDiv w:val="1"/>
      <w:marLeft w:val="0"/>
      <w:marRight w:val="0"/>
      <w:marTop w:val="0"/>
      <w:marBottom w:val="0"/>
      <w:divBdr>
        <w:top w:val="none" w:sz="0" w:space="0" w:color="auto"/>
        <w:left w:val="none" w:sz="0" w:space="0" w:color="auto"/>
        <w:bottom w:val="none" w:sz="0" w:space="0" w:color="auto"/>
        <w:right w:val="none" w:sz="0" w:space="0" w:color="auto"/>
      </w:divBdr>
      <w:divsChild>
        <w:div w:id="663509094">
          <w:marLeft w:val="0"/>
          <w:marRight w:val="0"/>
          <w:marTop w:val="0"/>
          <w:marBottom w:val="0"/>
          <w:divBdr>
            <w:top w:val="none" w:sz="0" w:space="0" w:color="auto"/>
            <w:left w:val="none" w:sz="0" w:space="0" w:color="auto"/>
            <w:bottom w:val="none" w:sz="0" w:space="0" w:color="auto"/>
            <w:right w:val="none" w:sz="0" w:space="0" w:color="auto"/>
          </w:divBdr>
        </w:div>
      </w:divsChild>
    </w:div>
    <w:div w:id="1747190362">
      <w:bodyDiv w:val="1"/>
      <w:marLeft w:val="0"/>
      <w:marRight w:val="0"/>
      <w:marTop w:val="0"/>
      <w:marBottom w:val="0"/>
      <w:divBdr>
        <w:top w:val="none" w:sz="0" w:space="0" w:color="auto"/>
        <w:left w:val="none" w:sz="0" w:space="0" w:color="auto"/>
        <w:bottom w:val="none" w:sz="0" w:space="0" w:color="auto"/>
        <w:right w:val="none" w:sz="0" w:space="0" w:color="auto"/>
      </w:divBdr>
    </w:div>
    <w:div w:id="1927953082">
      <w:bodyDiv w:val="1"/>
      <w:marLeft w:val="0"/>
      <w:marRight w:val="0"/>
      <w:marTop w:val="0"/>
      <w:marBottom w:val="0"/>
      <w:divBdr>
        <w:top w:val="none" w:sz="0" w:space="0" w:color="auto"/>
        <w:left w:val="none" w:sz="0" w:space="0" w:color="auto"/>
        <w:bottom w:val="none" w:sz="0" w:space="0" w:color="auto"/>
        <w:right w:val="none" w:sz="0" w:space="0" w:color="auto"/>
      </w:divBdr>
    </w:div>
    <w:div w:id="1961063867">
      <w:bodyDiv w:val="1"/>
      <w:marLeft w:val="0"/>
      <w:marRight w:val="0"/>
      <w:marTop w:val="0"/>
      <w:marBottom w:val="0"/>
      <w:divBdr>
        <w:top w:val="none" w:sz="0" w:space="0" w:color="auto"/>
        <w:left w:val="none" w:sz="0" w:space="0" w:color="auto"/>
        <w:bottom w:val="none" w:sz="0" w:space="0" w:color="auto"/>
        <w:right w:val="none" w:sz="0" w:space="0" w:color="auto"/>
      </w:divBdr>
      <w:divsChild>
        <w:div w:id="1936016558">
          <w:marLeft w:val="0"/>
          <w:marRight w:val="0"/>
          <w:marTop w:val="0"/>
          <w:marBottom w:val="0"/>
          <w:divBdr>
            <w:top w:val="none" w:sz="0" w:space="0" w:color="auto"/>
            <w:left w:val="none" w:sz="0" w:space="0" w:color="auto"/>
            <w:bottom w:val="none" w:sz="0" w:space="0" w:color="auto"/>
            <w:right w:val="none" w:sz="0" w:space="0" w:color="auto"/>
          </w:divBdr>
        </w:div>
      </w:divsChild>
    </w:div>
    <w:div w:id="1984500547">
      <w:bodyDiv w:val="1"/>
      <w:marLeft w:val="0"/>
      <w:marRight w:val="0"/>
      <w:marTop w:val="0"/>
      <w:marBottom w:val="0"/>
      <w:divBdr>
        <w:top w:val="none" w:sz="0" w:space="0" w:color="auto"/>
        <w:left w:val="none" w:sz="0" w:space="0" w:color="auto"/>
        <w:bottom w:val="none" w:sz="0" w:space="0" w:color="auto"/>
        <w:right w:val="none" w:sz="0" w:space="0" w:color="auto"/>
      </w:divBdr>
      <w:divsChild>
        <w:div w:id="977221789">
          <w:marLeft w:val="0"/>
          <w:marRight w:val="0"/>
          <w:marTop w:val="0"/>
          <w:marBottom w:val="0"/>
          <w:divBdr>
            <w:top w:val="none" w:sz="0" w:space="0" w:color="auto"/>
            <w:left w:val="none" w:sz="0" w:space="0" w:color="auto"/>
            <w:bottom w:val="none" w:sz="0" w:space="0" w:color="auto"/>
            <w:right w:val="none" w:sz="0" w:space="0" w:color="auto"/>
          </w:divBdr>
        </w:div>
      </w:divsChild>
    </w:div>
    <w:div w:id="1990211722">
      <w:bodyDiv w:val="1"/>
      <w:marLeft w:val="0"/>
      <w:marRight w:val="0"/>
      <w:marTop w:val="0"/>
      <w:marBottom w:val="0"/>
      <w:divBdr>
        <w:top w:val="none" w:sz="0" w:space="0" w:color="auto"/>
        <w:left w:val="none" w:sz="0" w:space="0" w:color="auto"/>
        <w:bottom w:val="none" w:sz="0" w:space="0" w:color="auto"/>
        <w:right w:val="none" w:sz="0" w:space="0" w:color="auto"/>
      </w:divBdr>
      <w:divsChild>
        <w:div w:id="1021971123">
          <w:marLeft w:val="0"/>
          <w:marRight w:val="0"/>
          <w:marTop w:val="0"/>
          <w:marBottom w:val="0"/>
          <w:divBdr>
            <w:top w:val="none" w:sz="0" w:space="0" w:color="auto"/>
            <w:left w:val="none" w:sz="0" w:space="0" w:color="auto"/>
            <w:bottom w:val="none" w:sz="0" w:space="0" w:color="auto"/>
            <w:right w:val="none" w:sz="0" w:space="0" w:color="auto"/>
          </w:divBdr>
        </w:div>
      </w:divsChild>
    </w:div>
    <w:div w:id="2028634111">
      <w:bodyDiv w:val="1"/>
      <w:marLeft w:val="0"/>
      <w:marRight w:val="0"/>
      <w:marTop w:val="0"/>
      <w:marBottom w:val="0"/>
      <w:divBdr>
        <w:top w:val="none" w:sz="0" w:space="0" w:color="auto"/>
        <w:left w:val="none" w:sz="0" w:space="0" w:color="auto"/>
        <w:bottom w:val="none" w:sz="0" w:space="0" w:color="auto"/>
        <w:right w:val="none" w:sz="0" w:space="0" w:color="auto"/>
      </w:divBdr>
      <w:divsChild>
        <w:div w:id="18330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4809</Words>
  <Characters>27413</Characters>
  <Application>Microsoft Office Word</Application>
  <DocSecurity>0</DocSecurity>
  <Lines>228</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Koukoulaki</dc:creator>
  <cp:lastModifiedBy>Xiang Li</cp:lastModifiedBy>
  <cp:revision>13</cp:revision>
  <dcterms:created xsi:type="dcterms:W3CDTF">2019-07-23T08:04:00Z</dcterms:created>
  <dcterms:modified xsi:type="dcterms:W3CDTF">2019-08-23T04:29:00Z</dcterms:modified>
</cp:coreProperties>
</file>