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11E49" w14:textId="77777777" w:rsidR="005F4A40" w:rsidRPr="007F12AB" w:rsidRDefault="005F4A40" w:rsidP="0026431D">
      <w:pPr>
        <w:spacing w:line="360" w:lineRule="auto"/>
        <w:jc w:val="both"/>
        <w:rPr>
          <w:rFonts w:ascii="Book Antiqua" w:eastAsia="Book Antiqua" w:hAnsi="Book Antiqua" w:cs="Book Antiqua"/>
          <w:noProof/>
          <w:lang w:val="en-US"/>
        </w:rPr>
      </w:pPr>
      <w:r w:rsidRPr="007F12AB">
        <w:rPr>
          <w:rFonts w:ascii="Book Antiqua" w:eastAsia="Book Antiqua" w:hAnsi="Book Antiqua" w:cs="Book Antiqua"/>
          <w:b/>
          <w:noProof/>
          <w:color w:val="242021"/>
          <w:lang w:val="en-US"/>
        </w:rPr>
        <w:t>Name of Journal</w:t>
      </w:r>
      <w:r w:rsidRPr="007F12AB">
        <w:rPr>
          <w:rFonts w:ascii="Book Antiqua" w:eastAsia="Book Antiqua" w:hAnsi="Book Antiqua" w:cs="Book Antiqua"/>
          <w:noProof/>
          <w:color w:val="242021"/>
          <w:lang w:val="en-US"/>
        </w:rPr>
        <w:t xml:space="preserve">: </w:t>
      </w:r>
      <w:r w:rsidRPr="007F12AB">
        <w:rPr>
          <w:rFonts w:ascii="Book Antiqua" w:eastAsia="Book Antiqua" w:hAnsi="Book Antiqua" w:cs="Book Antiqua"/>
          <w:i/>
          <w:noProof/>
          <w:lang w:val="en-US"/>
        </w:rPr>
        <w:t>World Journal of Gastrointestinal Endoscopy</w:t>
      </w:r>
    </w:p>
    <w:p w14:paraId="21D3C198" w14:textId="5F7EE108" w:rsidR="005F4A40" w:rsidRPr="007F12AB" w:rsidRDefault="005F4A40" w:rsidP="0026431D">
      <w:pPr>
        <w:adjustRightInd w:val="0"/>
        <w:snapToGrid w:val="0"/>
        <w:spacing w:line="360" w:lineRule="auto"/>
        <w:jc w:val="both"/>
        <w:rPr>
          <w:rFonts w:ascii="Book Antiqua" w:hAnsi="Book Antiqua" w:cs="宋体"/>
          <w:noProof/>
          <w:color w:val="000000"/>
          <w:lang w:val="en-US"/>
        </w:rPr>
      </w:pPr>
      <w:bookmarkStart w:id="0" w:name="OLE_LINK806"/>
      <w:bookmarkStart w:id="1" w:name="OLE_LINK807"/>
      <w:bookmarkStart w:id="2" w:name="OLE_LINK1218"/>
      <w:bookmarkStart w:id="3" w:name="OLE_LINK1219"/>
      <w:bookmarkStart w:id="4" w:name="OLE_LINK675"/>
      <w:bookmarkStart w:id="5" w:name="OLE_LINK676"/>
      <w:bookmarkStart w:id="6" w:name="OLE_LINK706"/>
      <w:r w:rsidRPr="007F12AB">
        <w:rPr>
          <w:rFonts w:ascii="Book Antiqua" w:hAnsi="Book Antiqua" w:cs="Arial"/>
          <w:b/>
          <w:noProof/>
          <w:color w:val="000000"/>
          <w:lang w:val="en-US"/>
        </w:rPr>
        <w:t>Manuscript NO:</w:t>
      </w:r>
      <w:bookmarkEnd w:id="0"/>
      <w:bookmarkEnd w:id="1"/>
      <w:r w:rsidRPr="007F12AB">
        <w:rPr>
          <w:rFonts w:ascii="Book Antiqua" w:hAnsi="Book Antiqua" w:cs="Arial"/>
          <w:b/>
          <w:noProof/>
          <w:color w:val="000000"/>
          <w:lang w:val="en-US"/>
        </w:rPr>
        <w:t xml:space="preserve"> </w:t>
      </w:r>
      <w:bookmarkEnd w:id="2"/>
      <w:bookmarkEnd w:id="3"/>
      <w:bookmarkEnd w:id="4"/>
      <w:bookmarkEnd w:id="5"/>
      <w:bookmarkEnd w:id="6"/>
      <w:r w:rsidR="004248B7" w:rsidRPr="007F12AB">
        <w:rPr>
          <w:rFonts w:ascii="Book Antiqua" w:hAnsi="Book Antiqua" w:cs="Arial"/>
          <w:noProof/>
          <w:color w:val="000000"/>
          <w:lang w:val="en-US"/>
        </w:rPr>
        <w:t>47178</w:t>
      </w:r>
    </w:p>
    <w:p w14:paraId="53B6AD59" w14:textId="2B1B0E14" w:rsidR="005F4A40" w:rsidRPr="007F12AB" w:rsidRDefault="005F4A40" w:rsidP="0026431D">
      <w:pPr>
        <w:adjustRightInd w:val="0"/>
        <w:snapToGrid w:val="0"/>
        <w:spacing w:line="360" w:lineRule="auto"/>
        <w:jc w:val="both"/>
        <w:rPr>
          <w:rFonts w:ascii="Book Antiqua" w:hAnsi="Book Antiqua" w:cs="Arial"/>
          <w:noProof/>
          <w:color w:val="000000"/>
          <w:lang w:val="en-US" w:eastAsia="zh-CN"/>
        </w:rPr>
      </w:pPr>
      <w:r w:rsidRPr="007F12AB">
        <w:rPr>
          <w:rFonts w:ascii="Book Antiqua" w:eastAsia="Book Antiqua" w:hAnsi="Book Antiqua" w:cs="Book Antiqua"/>
          <w:b/>
          <w:noProof/>
          <w:color w:val="242021"/>
          <w:lang w:val="en-US"/>
        </w:rPr>
        <w:t>Manuscript Type:</w:t>
      </w:r>
      <w:r w:rsidRPr="007F12AB">
        <w:rPr>
          <w:rFonts w:ascii="Book Antiqua" w:eastAsia="Book Antiqua" w:hAnsi="Book Antiqua" w:cs="Book Antiqua"/>
          <w:noProof/>
          <w:color w:val="242021"/>
          <w:lang w:val="en-US"/>
        </w:rPr>
        <w:t xml:space="preserve"> </w:t>
      </w:r>
      <w:r w:rsidR="007C7532" w:rsidRPr="007F12AB">
        <w:rPr>
          <w:rFonts w:ascii="Book Antiqua" w:eastAsia="Book Antiqua" w:hAnsi="Book Antiqua" w:cs="Book Antiqua"/>
          <w:noProof/>
          <w:color w:val="000000"/>
          <w:lang w:val="en-US"/>
        </w:rPr>
        <w:t>EDITORIAL</w:t>
      </w:r>
    </w:p>
    <w:p w14:paraId="27DD4B01" w14:textId="77777777" w:rsidR="00513907" w:rsidRPr="007F12AB" w:rsidRDefault="00513907" w:rsidP="0026431D">
      <w:pPr>
        <w:spacing w:line="360" w:lineRule="auto"/>
        <w:jc w:val="both"/>
        <w:rPr>
          <w:rFonts w:ascii="Book Antiqua" w:eastAsia="Book Antiqua" w:hAnsi="Book Antiqua" w:cs="Book Antiqua"/>
          <w:noProof/>
          <w:color w:val="000000"/>
          <w:lang w:val="en-US"/>
        </w:rPr>
      </w:pPr>
    </w:p>
    <w:p w14:paraId="222513F6" w14:textId="7BE5543B" w:rsidR="005F4A40" w:rsidRPr="007F12AB" w:rsidRDefault="007C7532" w:rsidP="0026431D">
      <w:pPr>
        <w:spacing w:line="360" w:lineRule="auto"/>
        <w:jc w:val="both"/>
        <w:rPr>
          <w:rFonts w:ascii="Book Antiqua" w:hAnsi="Book Antiqua" w:cs="Book Antiqua"/>
          <w:b/>
          <w:noProof/>
          <w:lang w:val="en-US" w:eastAsia="zh-CN"/>
        </w:rPr>
      </w:pPr>
      <w:bookmarkStart w:id="7" w:name="OLE_LINK18"/>
      <w:r w:rsidRPr="007F12AB">
        <w:rPr>
          <w:rFonts w:ascii="Book Antiqua" w:eastAsia="Book Antiqua" w:hAnsi="Book Antiqua" w:cs="Book Antiqua"/>
          <w:b/>
          <w:noProof/>
          <w:lang w:val="en-US"/>
        </w:rPr>
        <w:t>Endoscopic sleeve gastroplasty: From whence we came and where we are going</w:t>
      </w:r>
    </w:p>
    <w:bookmarkEnd w:id="7"/>
    <w:p w14:paraId="037B9C0A" w14:textId="77777777" w:rsidR="005F4A40" w:rsidRPr="007F12AB" w:rsidRDefault="005F4A40" w:rsidP="0026431D">
      <w:pPr>
        <w:spacing w:line="360" w:lineRule="auto"/>
        <w:jc w:val="both"/>
        <w:rPr>
          <w:rFonts w:ascii="Book Antiqua" w:hAnsi="Book Antiqua" w:cs="Book Antiqua"/>
          <w:noProof/>
          <w:lang w:val="en-US" w:eastAsia="zh-CN"/>
        </w:rPr>
      </w:pPr>
    </w:p>
    <w:p w14:paraId="381DCCAD" w14:textId="0F5F2B1D" w:rsidR="005F4A40" w:rsidRPr="007F12AB" w:rsidRDefault="00513907" w:rsidP="0026431D">
      <w:pPr>
        <w:spacing w:line="360" w:lineRule="auto"/>
        <w:jc w:val="both"/>
        <w:rPr>
          <w:rFonts w:ascii="Book Antiqua" w:hAnsi="Book Antiqua" w:cs="Book Antiqua"/>
          <w:noProof/>
          <w:color w:val="000000"/>
          <w:lang w:eastAsia="zh-CN"/>
        </w:rPr>
      </w:pPr>
      <w:r w:rsidRPr="007F12AB">
        <w:rPr>
          <w:rFonts w:ascii="Book Antiqua" w:eastAsia="Book Antiqua" w:hAnsi="Book Antiqua" w:cs="Book Antiqua"/>
          <w:noProof/>
          <w:color w:val="000000"/>
        </w:rPr>
        <w:t xml:space="preserve">de </w:t>
      </w:r>
      <w:r w:rsidR="00016C4A" w:rsidRPr="007F12AB">
        <w:rPr>
          <w:rFonts w:ascii="Book Antiqua" w:eastAsia="Book Antiqua" w:hAnsi="Book Antiqua" w:cs="Book Antiqua"/>
          <w:noProof/>
          <w:color w:val="000000"/>
        </w:rPr>
        <w:t>Moura</w:t>
      </w:r>
      <w:r w:rsidRPr="007F12AB">
        <w:rPr>
          <w:rFonts w:ascii="Book Antiqua" w:eastAsia="Book Antiqua" w:hAnsi="Book Antiqua" w:cs="Book Antiqua"/>
          <w:noProof/>
          <w:color w:val="000000"/>
        </w:rPr>
        <w:t xml:space="preserve"> DTH</w:t>
      </w:r>
      <w:r w:rsidR="005F4A40" w:rsidRPr="007F12AB">
        <w:rPr>
          <w:rFonts w:ascii="Book Antiqua" w:hAnsi="Book Antiqua" w:cs="Book Antiqua"/>
          <w:noProof/>
          <w:color w:val="000000"/>
          <w:lang w:eastAsia="zh-CN"/>
        </w:rPr>
        <w:t xml:space="preserve"> </w:t>
      </w:r>
      <w:r w:rsidR="005F4A40" w:rsidRPr="007F12AB">
        <w:rPr>
          <w:rFonts w:ascii="Book Antiqua" w:hAnsi="Book Antiqua" w:cs="Book Antiqua"/>
          <w:i/>
          <w:noProof/>
          <w:color w:val="000000"/>
          <w:lang w:eastAsia="zh-CN"/>
        </w:rPr>
        <w:t>et al</w:t>
      </w:r>
      <w:r w:rsidR="00133E7C" w:rsidRPr="007F12AB">
        <w:rPr>
          <w:rFonts w:ascii="Book Antiqua" w:eastAsia="宋体" w:hAnsi="Book Antiqua" w:cs="宋体"/>
          <w:i/>
          <w:noProof/>
          <w:color w:val="000000"/>
          <w:lang w:eastAsia="zh-CN"/>
        </w:rPr>
        <w:t>.</w:t>
      </w:r>
      <w:r w:rsidR="005F4A40" w:rsidRPr="007F12AB">
        <w:rPr>
          <w:rFonts w:ascii="Book Antiqua" w:hAnsi="Book Antiqua" w:cs="Book Antiqua"/>
          <w:noProof/>
          <w:color w:val="000000"/>
          <w:lang w:eastAsia="zh-CN"/>
        </w:rPr>
        <w:t xml:space="preserve"> </w:t>
      </w:r>
      <w:bookmarkStart w:id="8" w:name="OLE_LINK19"/>
      <w:bookmarkStart w:id="9" w:name="OLE_LINK20"/>
      <w:r w:rsidR="00F31669" w:rsidRPr="007F12AB">
        <w:rPr>
          <w:rFonts w:ascii="Book Antiqua" w:hAnsi="Book Antiqua" w:cs="Book Antiqua"/>
          <w:noProof/>
          <w:color w:val="000000"/>
          <w:lang w:eastAsia="zh-CN"/>
        </w:rPr>
        <w:t>Endoscopic sleeve gastroplasty</w:t>
      </w:r>
      <w:bookmarkEnd w:id="8"/>
      <w:bookmarkEnd w:id="9"/>
    </w:p>
    <w:p w14:paraId="6A41E6A8" w14:textId="77777777" w:rsidR="005F4A40" w:rsidRPr="007F12AB" w:rsidRDefault="005F4A40" w:rsidP="0026431D">
      <w:pPr>
        <w:spacing w:line="360" w:lineRule="auto"/>
        <w:jc w:val="both"/>
        <w:rPr>
          <w:rFonts w:ascii="Book Antiqua" w:hAnsi="Book Antiqua" w:cs="Book Antiqua"/>
          <w:noProof/>
          <w:lang w:eastAsia="zh-CN"/>
        </w:rPr>
      </w:pPr>
    </w:p>
    <w:p w14:paraId="4DCF6544" w14:textId="55D7CB3C" w:rsidR="005F4A40" w:rsidRPr="007F12AB" w:rsidRDefault="005F4A40" w:rsidP="0026431D">
      <w:pPr>
        <w:spacing w:line="360" w:lineRule="auto"/>
        <w:jc w:val="both"/>
        <w:rPr>
          <w:rFonts w:ascii="Book Antiqua" w:eastAsia="Book Antiqua" w:hAnsi="Book Antiqua" w:cs="Book Antiqua"/>
          <w:noProof/>
          <w:color w:val="000000"/>
        </w:rPr>
      </w:pPr>
      <w:r w:rsidRPr="007F12AB">
        <w:rPr>
          <w:rFonts w:ascii="Book Antiqua" w:eastAsia="Book Antiqua" w:hAnsi="Book Antiqua" w:cs="Book Antiqua"/>
          <w:noProof/>
          <w:color w:val="000000"/>
        </w:rPr>
        <w:t xml:space="preserve">Diogo Turiani Hourneaux de Moura; </w:t>
      </w:r>
      <w:r w:rsidR="007C7532" w:rsidRPr="007F12AB">
        <w:rPr>
          <w:rFonts w:ascii="Book Antiqua" w:eastAsia="Book Antiqua" w:hAnsi="Book Antiqua" w:cs="Book Antiqua"/>
          <w:noProof/>
          <w:color w:val="000000"/>
        </w:rPr>
        <w:t>Eduardo Guimarães Hourneaux de Moura</w:t>
      </w:r>
      <w:r w:rsidR="00016C4A" w:rsidRPr="007F12AB">
        <w:rPr>
          <w:rFonts w:ascii="Book Antiqua" w:eastAsia="Book Antiqua" w:hAnsi="Book Antiqua" w:cs="Book Antiqua"/>
          <w:noProof/>
          <w:color w:val="000000"/>
        </w:rPr>
        <w:t>; Christopher C Thompson</w:t>
      </w:r>
    </w:p>
    <w:p w14:paraId="1C152AD9" w14:textId="21955971" w:rsidR="005F4A40" w:rsidRPr="007F12AB" w:rsidRDefault="005F4A40" w:rsidP="0026431D">
      <w:pPr>
        <w:spacing w:line="360" w:lineRule="auto"/>
        <w:jc w:val="both"/>
        <w:rPr>
          <w:rFonts w:ascii="Book Antiqua" w:hAnsi="Book Antiqua" w:cs="Book Antiqua"/>
          <w:noProof/>
          <w:color w:val="000000"/>
          <w:lang w:eastAsia="zh-CN"/>
        </w:rPr>
      </w:pPr>
    </w:p>
    <w:p w14:paraId="5A299D6A" w14:textId="4C0273FB" w:rsidR="00016C4A" w:rsidRPr="007F12AB" w:rsidRDefault="00016C4A" w:rsidP="0026431D">
      <w:pPr>
        <w:pBdr>
          <w:top w:val="nil"/>
          <w:left w:val="nil"/>
          <w:bottom w:val="nil"/>
          <w:right w:val="nil"/>
          <w:between w:val="nil"/>
        </w:pBdr>
        <w:spacing w:line="360" w:lineRule="auto"/>
        <w:contextualSpacing/>
        <w:jc w:val="both"/>
        <w:rPr>
          <w:rFonts w:ascii="Book Antiqua" w:eastAsia="Book Antiqua" w:hAnsi="Book Antiqua" w:cs="Book Antiqua"/>
          <w:noProof/>
          <w:color w:val="242021"/>
          <w:lang w:val="en-US"/>
        </w:rPr>
      </w:pPr>
      <w:r w:rsidRPr="007F12AB">
        <w:rPr>
          <w:rFonts w:ascii="Book Antiqua" w:eastAsia="Book Antiqua" w:hAnsi="Book Antiqua" w:cs="Book Antiqua"/>
          <w:b/>
          <w:noProof/>
          <w:color w:val="000000"/>
          <w:lang w:val="en-US"/>
        </w:rPr>
        <w:t>Diogo Turiani Hourneaux de Moura, Christopher C Thompson,</w:t>
      </w:r>
      <w:r w:rsidRPr="007F12AB">
        <w:rPr>
          <w:rFonts w:ascii="Book Antiqua" w:eastAsia="Book Antiqua" w:hAnsi="Book Antiqua" w:cs="Book Antiqua"/>
          <w:noProof/>
          <w:color w:val="242021"/>
          <w:lang w:val="en-US"/>
        </w:rPr>
        <w:t xml:space="preserve"> Division of Gastroenterology, Hepatology and Endoscopy</w:t>
      </w:r>
      <w:r w:rsidR="00513907" w:rsidRPr="007F12AB">
        <w:rPr>
          <w:rFonts w:ascii="Book Antiqua" w:eastAsia="Book Antiqua" w:hAnsi="Book Antiqua" w:cs="Book Antiqua"/>
          <w:noProof/>
          <w:color w:val="242021"/>
          <w:lang w:val="en-US"/>
        </w:rPr>
        <w:t>,</w:t>
      </w:r>
      <w:r w:rsidRPr="007F12AB">
        <w:rPr>
          <w:rFonts w:ascii="Book Antiqua" w:eastAsia="Book Antiqua" w:hAnsi="Book Antiqua" w:cs="Book Antiqua"/>
          <w:noProof/>
          <w:color w:val="242021"/>
          <w:lang w:val="en-US"/>
        </w:rPr>
        <w:t xml:space="preserve"> Brigham and Women’s Hospital</w:t>
      </w:r>
      <w:r w:rsidR="00513907" w:rsidRPr="007F12AB">
        <w:rPr>
          <w:rFonts w:ascii="Book Antiqua" w:eastAsia="Book Antiqua" w:hAnsi="Book Antiqua" w:cs="Book Antiqua"/>
          <w:noProof/>
          <w:color w:val="242021"/>
          <w:lang w:val="en-US"/>
        </w:rPr>
        <w:t>,</w:t>
      </w:r>
      <w:r w:rsidRPr="007F12AB">
        <w:rPr>
          <w:rFonts w:ascii="Book Antiqua" w:eastAsia="Book Antiqua" w:hAnsi="Book Antiqua" w:cs="Book Antiqua"/>
          <w:noProof/>
          <w:color w:val="242021"/>
          <w:lang w:val="en-US"/>
        </w:rPr>
        <w:t xml:space="preserve"> Harvard Medical Schoo</w:t>
      </w:r>
      <w:r w:rsidR="00867581" w:rsidRPr="007F12AB">
        <w:rPr>
          <w:rFonts w:ascii="Book Antiqua" w:eastAsia="Book Antiqua" w:hAnsi="Book Antiqua" w:cs="Book Antiqua"/>
          <w:noProof/>
          <w:color w:val="242021"/>
          <w:lang w:val="en-US"/>
        </w:rPr>
        <w:t>l</w:t>
      </w:r>
      <w:r w:rsidRPr="007F12AB">
        <w:rPr>
          <w:rFonts w:ascii="Book Antiqua" w:eastAsia="Book Antiqua" w:hAnsi="Book Antiqua" w:cs="Book Antiqua"/>
          <w:noProof/>
          <w:color w:val="242021"/>
          <w:lang w:val="en-US"/>
        </w:rPr>
        <w:t>, Boston, MA</w:t>
      </w:r>
      <w:r w:rsidR="00513907" w:rsidRPr="007F12AB">
        <w:rPr>
          <w:rFonts w:ascii="Book Antiqua" w:eastAsia="Book Antiqua" w:hAnsi="Book Antiqua" w:cs="Book Antiqua"/>
          <w:noProof/>
          <w:color w:val="242021"/>
          <w:lang w:val="en-US"/>
        </w:rPr>
        <w:t xml:space="preserve"> 02115</w:t>
      </w:r>
      <w:r w:rsidRPr="007F12AB">
        <w:rPr>
          <w:rFonts w:ascii="Book Antiqua" w:eastAsia="Book Antiqua" w:hAnsi="Book Antiqua" w:cs="Book Antiqua"/>
          <w:noProof/>
          <w:color w:val="242021"/>
          <w:lang w:val="en-US"/>
        </w:rPr>
        <w:t>, United States</w:t>
      </w:r>
    </w:p>
    <w:p w14:paraId="19161AC0" w14:textId="77777777" w:rsidR="00016C4A" w:rsidRPr="007F12AB" w:rsidRDefault="00016C4A" w:rsidP="0026431D">
      <w:pPr>
        <w:pBdr>
          <w:top w:val="nil"/>
          <w:left w:val="nil"/>
          <w:bottom w:val="nil"/>
          <w:right w:val="nil"/>
          <w:between w:val="nil"/>
        </w:pBdr>
        <w:spacing w:line="360" w:lineRule="auto"/>
        <w:contextualSpacing/>
        <w:jc w:val="both"/>
        <w:rPr>
          <w:rFonts w:ascii="Book Antiqua" w:hAnsi="Book Antiqua" w:cs="Book Antiqua"/>
          <w:noProof/>
          <w:color w:val="000000"/>
          <w:lang w:val="en-US" w:eastAsia="zh-CN"/>
        </w:rPr>
      </w:pPr>
    </w:p>
    <w:p w14:paraId="286CC3F0" w14:textId="4233F11F" w:rsidR="005F4A40" w:rsidRPr="007F12AB" w:rsidRDefault="005F4A40" w:rsidP="0026431D">
      <w:pPr>
        <w:spacing w:line="360" w:lineRule="auto"/>
        <w:jc w:val="both"/>
        <w:rPr>
          <w:rFonts w:ascii="Book Antiqua" w:hAnsi="Book Antiqua" w:cs="Book Antiqua"/>
          <w:noProof/>
          <w:color w:val="242021"/>
          <w:lang w:val="en-US" w:eastAsia="zh-CN"/>
        </w:rPr>
      </w:pPr>
      <w:r w:rsidRPr="007F12AB">
        <w:rPr>
          <w:rFonts w:ascii="Book Antiqua" w:eastAsia="Book Antiqua" w:hAnsi="Book Antiqua" w:cs="Book Antiqua"/>
          <w:b/>
          <w:noProof/>
          <w:color w:val="000000"/>
          <w:lang w:val="en-US"/>
        </w:rPr>
        <w:t>Diogo Turiani Hourneaux de Moura</w:t>
      </w:r>
      <w:r w:rsidR="00513907" w:rsidRPr="007F12AB">
        <w:rPr>
          <w:rFonts w:ascii="Book Antiqua" w:eastAsia="Book Antiqua" w:hAnsi="Book Antiqua" w:cs="Book Antiqua"/>
          <w:b/>
          <w:noProof/>
          <w:color w:val="000000"/>
          <w:lang w:val="en-US"/>
        </w:rPr>
        <w:t>,</w:t>
      </w:r>
      <w:r w:rsidRPr="007F12AB">
        <w:rPr>
          <w:rFonts w:ascii="Book Antiqua" w:eastAsia="Book Antiqua" w:hAnsi="Book Antiqua" w:cs="Book Antiqua"/>
          <w:b/>
          <w:noProof/>
          <w:color w:val="000000"/>
          <w:lang w:val="en-US"/>
        </w:rPr>
        <w:t xml:space="preserve"> Eduardo Guimarães Hourneaux de Moura</w:t>
      </w:r>
      <w:r w:rsidRPr="007F12AB">
        <w:rPr>
          <w:rFonts w:ascii="Book Antiqua" w:hAnsi="Book Antiqua" w:cs="Book Antiqua"/>
          <w:b/>
          <w:noProof/>
          <w:color w:val="000000"/>
          <w:lang w:val="en-US" w:eastAsia="zh-CN"/>
        </w:rPr>
        <w:t xml:space="preserve">, </w:t>
      </w:r>
      <w:r w:rsidRPr="007F12AB">
        <w:rPr>
          <w:rFonts w:ascii="Book Antiqua" w:eastAsia="Book Antiqua" w:hAnsi="Book Antiqua" w:cs="Book Antiqua"/>
          <w:noProof/>
          <w:color w:val="242021"/>
          <w:lang w:val="en-US"/>
        </w:rPr>
        <w:t xml:space="preserve">Department of Endoscopy of Clinics Hospital of </w:t>
      </w:r>
      <w:r w:rsidRPr="007F12AB">
        <w:rPr>
          <w:rFonts w:ascii="Book Antiqua" w:eastAsia="Book Antiqua" w:hAnsi="Book Antiqua" w:cs="Book Antiqua"/>
          <w:noProof/>
          <w:color w:val="000000"/>
          <w:lang w:val="en-US"/>
        </w:rPr>
        <w:t>São Paulo University</w:t>
      </w:r>
      <w:r w:rsidRPr="007F12AB">
        <w:rPr>
          <w:rFonts w:ascii="Book Antiqua" w:eastAsia="Book Antiqua" w:hAnsi="Book Antiqua" w:cs="Book Antiqua"/>
          <w:noProof/>
          <w:color w:val="242021"/>
          <w:lang w:val="en-US"/>
        </w:rPr>
        <w:t>, São Paulo 05403-00, Brazil</w:t>
      </w:r>
    </w:p>
    <w:p w14:paraId="1BC5941A" w14:textId="7F7C94C9" w:rsidR="005F4A40" w:rsidRPr="007F12AB" w:rsidRDefault="005F4A40" w:rsidP="0026431D">
      <w:pPr>
        <w:pBdr>
          <w:top w:val="nil"/>
          <w:left w:val="nil"/>
          <w:bottom w:val="nil"/>
          <w:right w:val="nil"/>
          <w:between w:val="nil"/>
        </w:pBdr>
        <w:spacing w:line="360" w:lineRule="auto"/>
        <w:contextualSpacing/>
        <w:jc w:val="both"/>
        <w:rPr>
          <w:rFonts w:ascii="Book Antiqua" w:eastAsia="Book Antiqua" w:hAnsi="Book Antiqua" w:cs="Book Antiqua"/>
          <w:b/>
          <w:noProof/>
          <w:color w:val="242021"/>
          <w:lang w:val="en-US"/>
        </w:rPr>
      </w:pPr>
    </w:p>
    <w:p w14:paraId="05CF7161" w14:textId="1CE5E0BC" w:rsidR="005F4A40" w:rsidRPr="007F12AB" w:rsidRDefault="00513907" w:rsidP="0026431D">
      <w:pPr>
        <w:spacing w:line="360" w:lineRule="auto"/>
        <w:jc w:val="both"/>
        <w:rPr>
          <w:rFonts w:ascii="Book Antiqua" w:hAnsi="Book Antiqua" w:cs="Book Antiqua"/>
          <w:lang w:val="en-US" w:eastAsia="zh-CN"/>
        </w:rPr>
      </w:pPr>
      <w:r w:rsidRPr="007F12AB">
        <w:rPr>
          <w:rFonts w:ascii="Book Antiqua" w:hAnsi="Book Antiqua"/>
          <w:b/>
        </w:rPr>
        <w:t>ORCID number:</w:t>
      </w:r>
      <w:r w:rsidRPr="007F12AB">
        <w:rPr>
          <w:rFonts w:ascii="Book Antiqua" w:hAnsi="Book Antiqua"/>
          <w:b/>
          <w:lang w:eastAsia="zh-CN"/>
        </w:rPr>
        <w:t xml:space="preserve"> </w:t>
      </w:r>
      <w:r w:rsidR="005F4A40" w:rsidRPr="007F12AB">
        <w:rPr>
          <w:rFonts w:ascii="Book Antiqua" w:eastAsia="Book Antiqua" w:hAnsi="Book Antiqua" w:cs="Book Antiqua"/>
          <w:noProof/>
          <w:lang w:val="en-US"/>
        </w:rPr>
        <w:t>Diogo Turiani Hourneaux de Moura (0000-0002-7446-0355);</w:t>
      </w:r>
      <w:r w:rsidR="007C7532" w:rsidRPr="007F12AB">
        <w:rPr>
          <w:rFonts w:ascii="Book Antiqua" w:eastAsia="Book Antiqua" w:hAnsi="Book Antiqua" w:cs="Book Antiqua"/>
          <w:noProof/>
          <w:color w:val="000000"/>
          <w:lang w:val="en-US"/>
        </w:rPr>
        <w:t xml:space="preserve"> </w:t>
      </w:r>
      <w:r w:rsidR="007C7532" w:rsidRPr="007F12AB">
        <w:rPr>
          <w:rFonts w:ascii="Book Antiqua" w:eastAsia="Book Antiqua" w:hAnsi="Book Antiqua" w:cs="Book Antiqua"/>
          <w:color w:val="000000"/>
          <w:lang w:val="en-US"/>
        </w:rPr>
        <w:t>Eduardo Guimarães Hourneaux de Moura (</w:t>
      </w:r>
      <w:r w:rsidR="007C7532" w:rsidRPr="007F12AB">
        <w:rPr>
          <w:rFonts w:ascii="Book Antiqua" w:eastAsia="Book Antiqua" w:hAnsi="Book Antiqua" w:cs="Book Antiqua"/>
          <w:lang w:val="en-US"/>
        </w:rPr>
        <w:t>0000-0002-8023-3722)</w:t>
      </w:r>
      <w:r w:rsidR="00867581" w:rsidRPr="007F12AB">
        <w:rPr>
          <w:rFonts w:ascii="Book Antiqua" w:eastAsia="Book Antiqua" w:hAnsi="Book Antiqua" w:cs="Book Antiqua"/>
          <w:noProof/>
          <w:color w:val="000000"/>
          <w:lang w:val="en-US"/>
        </w:rPr>
        <w:t xml:space="preserve">; </w:t>
      </w:r>
      <w:r w:rsidR="00867581" w:rsidRPr="007F12AB">
        <w:rPr>
          <w:rFonts w:ascii="Book Antiqua" w:eastAsia="Book Antiqua" w:hAnsi="Book Antiqua" w:cs="Book Antiqua"/>
          <w:color w:val="000000"/>
          <w:lang w:val="en-US"/>
        </w:rPr>
        <w:t>Christopher C Thompson (</w:t>
      </w:r>
      <w:r w:rsidR="00867581" w:rsidRPr="007F12AB">
        <w:rPr>
          <w:rFonts w:ascii="Book Antiqua" w:hAnsi="Book Antiqua" w:cs="Arial"/>
          <w:lang w:val="en-US"/>
        </w:rPr>
        <w:t>0000-0002-6105-5270</w:t>
      </w:r>
      <w:r w:rsidR="00867581" w:rsidRPr="007F12AB">
        <w:rPr>
          <w:rFonts w:ascii="Book Antiqua" w:eastAsia="Book Antiqua" w:hAnsi="Book Antiqua" w:cs="Book Antiqua"/>
          <w:color w:val="000000"/>
          <w:lang w:val="en-US"/>
        </w:rPr>
        <w:t>)</w:t>
      </w:r>
      <w:r w:rsidR="00F00538" w:rsidRPr="007F12AB">
        <w:rPr>
          <w:rFonts w:ascii="Book Antiqua" w:eastAsia="Book Antiqua" w:hAnsi="Book Antiqua" w:cs="Book Antiqua"/>
          <w:color w:val="000000"/>
          <w:lang w:val="en-US"/>
        </w:rPr>
        <w:t>.</w:t>
      </w:r>
    </w:p>
    <w:p w14:paraId="773F45D0" w14:textId="77777777" w:rsidR="001D568A" w:rsidRPr="007F12AB" w:rsidRDefault="001D568A" w:rsidP="0026431D">
      <w:pPr>
        <w:spacing w:line="360" w:lineRule="auto"/>
        <w:jc w:val="both"/>
        <w:rPr>
          <w:rFonts w:ascii="Book Antiqua" w:hAnsi="Book Antiqua" w:cs="Book Antiqua"/>
          <w:lang w:val="en-US" w:eastAsia="zh-CN"/>
        </w:rPr>
      </w:pPr>
    </w:p>
    <w:p w14:paraId="776DC4A7" w14:textId="146E45BE" w:rsidR="00F00538" w:rsidRPr="007F12AB" w:rsidRDefault="00513907" w:rsidP="0026431D">
      <w:pPr>
        <w:shd w:val="clear" w:color="auto" w:fill="FFFFFF"/>
        <w:spacing w:line="360" w:lineRule="auto"/>
        <w:jc w:val="both"/>
        <w:rPr>
          <w:rFonts w:ascii="Book Antiqua" w:hAnsi="Book Antiqua"/>
          <w:color w:val="000000"/>
          <w:lang w:val="en-US"/>
        </w:rPr>
      </w:pPr>
      <w:r w:rsidRPr="007F12AB">
        <w:rPr>
          <w:rFonts w:ascii="Book Antiqua" w:hAnsi="Book Antiqua"/>
          <w:b/>
        </w:rPr>
        <w:t>Author contributions:</w:t>
      </w:r>
      <w:r w:rsidRPr="007F12AB">
        <w:rPr>
          <w:rFonts w:ascii="Book Antiqua" w:eastAsia="Gulim" w:hAnsi="Book Antiqua"/>
          <w:b/>
          <w:bCs/>
        </w:rPr>
        <w:t xml:space="preserve"> </w:t>
      </w:r>
      <w:r w:rsidR="00F00538" w:rsidRPr="007F12AB">
        <w:rPr>
          <w:rFonts w:ascii="Book Antiqua" w:hAnsi="Book Antiqua"/>
          <w:color w:val="000000"/>
          <w:lang w:val="en-US"/>
        </w:rPr>
        <w:t>de Moura DTH</w:t>
      </w:r>
      <w:r w:rsidR="00F31669" w:rsidRPr="007F12AB">
        <w:rPr>
          <w:rFonts w:ascii="Book Antiqua" w:hAnsi="Book Antiqua"/>
          <w:color w:val="000000"/>
          <w:lang w:val="en-US"/>
        </w:rPr>
        <w:t xml:space="preserve"> and</w:t>
      </w:r>
      <w:r w:rsidR="00F00538" w:rsidRPr="007F12AB">
        <w:rPr>
          <w:rFonts w:ascii="Book Antiqua" w:hAnsi="Book Antiqua"/>
          <w:color w:val="000000"/>
          <w:lang w:val="en-US"/>
        </w:rPr>
        <w:t xml:space="preserve"> de Moura EGH </w:t>
      </w:r>
      <w:r w:rsidRPr="007F12AB">
        <w:rPr>
          <w:rFonts w:ascii="Book Antiqua" w:hAnsi="Book Antiqua"/>
          <w:color w:val="000000"/>
          <w:lang w:val="en-US"/>
        </w:rPr>
        <w:t xml:space="preserve">conceptualized </w:t>
      </w:r>
      <w:r w:rsidR="00F00538" w:rsidRPr="007F12AB">
        <w:rPr>
          <w:rFonts w:ascii="Book Antiqua" w:hAnsi="Book Antiqua"/>
          <w:color w:val="000000"/>
          <w:lang w:val="en-US"/>
        </w:rPr>
        <w:t xml:space="preserve">the study and wrote the manuscript. Thompson CC </w:t>
      </w:r>
      <w:r w:rsidRPr="007F12AB">
        <w:rPr>
          <w:rFonts w:ascii="Book Antiqua" w:hAnsi="Book Antiqua"/>
          <w:color w:val="000000"/>
          <w:lang w:val="en-US"/>
        </w:rPr>
        <w:t xml:space="preserve">critical </w:t>
      </w:r>
      <w:r w:rsidR="00F00538" w:rsidRPr="007F12AB">
        <w:rPr>
          <w:rFonts w:ascii="Book Antiqua" w:hAnsi="Book Antiqua"/>
          <w:color w:val="000000"/>
          <w:lang w:val="en-US"/>
        </w:rPr>
        <w:t>final review of manuscript/English review.</w:t>
      </w:r>
    </w:p>
    <w:p w14:paraId="65763BA0" w14:textId="77777777" w:rsidR="00513907" w:rsidRPr="007F12AB" w:rsidRDefault="00513907" w:rsidP="0026431D">
      <w:pPr>
        <w:shd w:val="clear" w:color="auto" w:fill="FFFFFF"/>
        <w:spacing w:line="360" w:lineRule="auto"/>
        <w:jc w:val="both"/>
        <w:rPr>
          <w:rFonts w:ascii="Book Antiqua" w:hAnsi="Book Antiqua"/>
          <w:color w:val="000000"/>
          <w:lang w:val="en-US"/>
        </w:rPr>
      </w:pPr>
    </w:p>
    <w:p w14:paraId="53C2C65B" w14:textId="4A92BF41" w:rsidR="00224174" w:rsidRPr="007F12AB" w:rsidRDefault="00513907" w:rsidP="0026431D">
      <w:pPr>
        <w:spacing w:line="360" w:lineRule="auto"/>
        <w:jc w:val="both"/>
        <w:rPr>
          <w:rFonts w:ascii="Book Antiqua" w:hAnsi="Book Antiqua" w:cs="TimesNewRomanPS-BoldItalicMT"/>
          <w:b/>
          <w:bCs/>
          <w:iCs/>
          <w:lang w:val="en-US"/>
        </w:rPr>
      </w:pPr>
      <w:r w:rsidRPr="007F12AB">
        <w:rPr>
          <w:rFonts w:ascii="Book Antiqua" w:eastAsia="Arial Unicode MS" w:hAnsi="Book Antiqua"/>
          <w:b/>
        </w:rPr>
        <w:t>Conflict-of-interest statement:</w:t>
      </w:r>
      <w:r w:rsidRPr="007F12AB">
        <w:rPr>
          <w:rFonts w:ascii="Book Antiqua" w:hAnsi="Book Antiqua"/>
          <w:b/>
        </w:rPr>
        <w:t xml:space="preserve"> </w:t>
      </w:r>
      <w:r w:rsidRPr="007F12AB">
        <w:rPr>
          <w:rFonts w:ascii="Book Antiqua" w:hAnsi="Book Antiqua"/>
          <w:color w:val="000000"/>
          <w:lang w:val="en-US"/>
        </w:rPr>
        <w:t>de Moura EGH</w:t>
      </w:r>
      <w:r w:rsidR="00F00538" w:rsidRPr="007F12AB">
        <w:rPr>
          <w:rFonts w:ascii="Book Antiqua" w:hAnsi="Book Antiqua" w:cs="Segoe UI"/>
          <w:color w:val="212121"/>
          <w:shd w:val="clear" w:color="auto" w:fill="FFFFFF"/>
          <w:lang w:val="en-US"/>
        </w:rPr>
        <w:t xml:space="preserve"> consultant for Boston Scientific and Olympus</w:t>
      </w:r>
      <w:r w:rsidRPr="007F12AB">
        <w:rPr>
          <w:rFonts w:ascii="Book Antiqua" w:hAnsi="Book Antiqua" w:cs="Segoe UI"/>
          <w:color w:val="212121"/>
          <w:shd w:val="clear" w:color="auto" w:fill="FFFFFF"/>
          <w:lang w:val="en-US"/>
        </w:rPr>
        <w:t>,</w:t>
      </w:r>
      <w:r w:rsidR="00F00538" w:rsidRPr="007F12AB">
        <w:rPr>
          <w:rFonts w:ascii="Book Antiqua" w:hAnsi="Book Antiqua"/>
          <w:lang w:val="en-US"/>
        </w:rPr>
        <w:t xml:space="preserve"> </w:t>
      </w:r>
      <w:r w:rsidRPr="007F12AB">
        <w:rPr>
          <w:rFonts w:ascii="Book Antiqua" w:hAnsi="Book Antiqua"/>
          <w:color w:val="000000"/>
          <w:lang w:val="en-US"/>
        </w:rPr>
        <w:t>de Moura EGH</w:t>
      </w:r>
      <w:r w:rsidR="00224174" w:rsidRPr="007F12AB">
        <w:rPr>
          <w:rFonts w:ascii="Book Antiqua" w:hAnsi="Book Antiqua"/>
          <w:lang w:val="en-US"/>
        </w:rPr>
        <w:t xml:space="preserve"> is a consultant to Boston Scientific.</w:t>
      </w:r>
      <w:r w:rsidRPr="007F12AB">
        <w:rPr>
          <w:rFonts w:ascii="Book Antiqua" w:eastAsia="宋体" w:hAnsi="Book Antiqua" w:cs="TimesNewRomanPS-BoldItalicMT"/>
          <w:b/>
          <w:bCs/>
          <w:iCs/>
          <w:lang w:val="en-US" w:eastAsia="zh-CN"/>
        </w:rPr>
        <w:t xml:space="preserve"> </w:t>
      </w:r>
      <w:r w:rsidRPr="007F12AB">
        <w:rPr>
          <w:rFonts w:ascii="Book Antiqua" w:hAnsi="Book Antiqua"/>
          <w:color w:val="000000"/>
          <w:lang w:val="en-US"/>
        </w:rPr>
        <w:t>Thompson CC</w:t>
      </w:r>
      <w:r w:rsidR="00F00538" w:rsidRPr="007F12AB">
        <w:rPr>
          <w:rFonts w:ascii="Book Antiqua" w:hAnsi="Book Antiqua" w:cs="Segoe UI"/>
          <w:color w:val="212121"/>
          <w:shd w:val="clear" w:color="auto" w:fill="FFFFFF"/>
          <w:lang w:val="en-US"/>
        </w:rPr>
        <w:t xml:space="preserve"> reports fee as a consultant for Boston Scientific and Medtronic; fees as </w:t>
      </w:r>
      <w:r w:rsidR="00F00538" w:rsidRPr="007F12AB">
        <w:rPr>
          <w:rFonts w:ascii="Book Antiqua" w:hAnsi="Book Antiqua" w:cs="Segoe UI"/>
          <w:color w:val="212121"/>
          <w:shd w:val="clear" w:color="auto" w:fill="FFFFFF"/>
          <w:lang w:val="en-US"/>
        </w:rPr>
        <w:lastRenderedPageBreak/>
        <w:t xml:space="preserve">consultant and institutional grants from USGE Medical, Olympus, and Apollo </w:t>
      </w:r>
      <w:proofErr w:type="spellStart"/>
      <w:r w:rsidR="00F00538" w:rsidRPr="007F12AB">
        <w:rPr>
          <w:rFonts w:ascii="Book Antiqua" w:hAnsi="Book Antiqua" w:cs="Segoe UI"/>
          <w:color w:val="212121"/>
          <w:shd w:val="clear" w:color="auto" w:fill="FFFFFF"/>
          <w:lang w:val="en-US"/>
        </w:rPr>
        <w:t>Endosurgery</w:t>
      </w:r>
      <w:proofErr w:type="spellEnd"/>
      <w:r w:rsidR="00F00538" w:rsidRPr="007F12AB">
        <w:rPr>
          <w:rFonts w:ascii="Book Antiqua" w:hAnsi="Book Antiqua" w:cs="Segoe UI"/>
          <w:color w:val="212121"/>
          <w:shd w:val="clear" w:color="auto" w:fill="FFFFFF"/>
          <w:lang w:val="en-US"/>
        </w:rPr>
        <w:t>.</w:t>
      </w:r>
      <w:r w:rsidRPr="007F12AB">
        <w:rPr>
          <w:rFonts w:ascii="Book Antiqua" w:eastAsia="宋体" w:hAnsi="Book Antiqua" w:cs="TimesNewRomanPS-BoldItalicMT"/>
          <w:b/>
          <w:bCs/>
          <w:iCs/>
          <w:lang w:val="en-US" w:eastAsia="zh-CN"/>
        </w:rPr>
        <w:t xml:space="preserve"> </w:t>
      </w:r>
      <w:r w:rsidR="00224174" w:rsidRPr="007F12AB">
        <w:rPr>
          <w:rFonts w:ascii="Book Antiqua" w:hAnsi="Book Antiqua"/>
          <w:lang w:val="en-US"/>
        </w:rPr>
        <w:t>All other authors declare that they have no conflict of interest.</w:t>
      </w:r>
    </w:p>
    <w:p w14:paraId="3DA426E1" w14:textId="77777777" w:rsidR="00513907" w:rsidRPr="007F12AB" w:rsidRDefault="00513907" w:rsidP="0026431D">
      <w:pPr>
        <w:tabs>
          <w:tab w:val="left" w:pos="6237"/>
        </w:tabs>
        <w:autoSpaceDE w:val="0"/>
        <w:autoSpaceDN w:val="0"/>
        <w:adjustRightInd w:val="0"/>
        <w:spacing w:line="360" w:lineRule="auto"/>
        <w:jc w:val="both"/>
        <w:rPr>
          <w:rFonts w:ascii="Book Antiqua" w:hAnsi="Book Antiqua"/>
          <w:lang w:val="en-US"/>
        </w:rPr>
      </w:pPr>
    </w:p>
    <w:p w14:paraId="4F0D6452" w14:textId="77777777" w:rsidR="00513907" w:rsidRPr="007F12AB" w:rsidRDefault="00513907" w:rsidP="0026431D">
      <w:pPr>
        <w:spacing w:line="360" w:lineRule="auto"/>
        <w:jc w:val="both"/>
        <w:rPr>
          <w:rStyle w:val="a4"/>
          <w:rFonts w:ascii="Book Antiqua" w:eastAsiaTheme="majorEastAsia" w:hAnsi="Book Antiqua"/>
          <w:bCs/>
          <w:color w:val="auto"/>
          <w:u w:val="none"/>
          <w:lang w:eastAsia="en-US"/>
        </w:rPr>
      </w:pPr>
      <w:r w:rsidRPr="007F12AB">
        <w:rPr>
          <w:rStyle w:val="a4"/>
          <w:rFonts w:ascii="Book Antiqua" w:eastAsiaTheme="majorEastAsia" w:hAnsi="Book Antiqua"/>
          <w:b/>
          <w:color w:val="auto"/>
          <w:u w:val="none"/>
          <w:lang w:eastAsia="zh-CN"/>
        </w:rPr>
        <w:t xml:space="preserve">Open-Access: </w:t>
      </w:r>
      <w:bookmarkStart w:id="10" w:name="OLE_LINK479"/>
      <w:bookmarkStart w:id="11" w:name="OLE_LINK496"/>
      <w:bookmarkStart w:id="12" w:name="OLE_LINK506"/>
      <w:bookmarkStart w:id="13" w:name="OLE_LINK507"/>
      <w:bookmarkStart w:id="14" w:name="OLE_LINK21"/>
      <w:r w:rsidRPr="007F12AB">
        <w:rPr>
          <w:rStyle w:val="a4"/>
          <w:rFonts w:ascii="Book Antiqua" w:eastAsiaTheme="majorEastAsia" w:hAnsi="Book Antiqua"/>
          <w:color w:val="auto"/>
          <w:u w:val="none"/>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7F12AB">
        <w:rPr>
          <w:rFonts w:ascii="Book Antiqua" w:hAnsi="Book Antiqua"/>
        </w:rPr>
        <w:fldChar w:fldCharType="begin"/>
      </w:r>
      <w:r w:rsidRPr="007F12AB">
        <w:rPr>
          <w:rFonts w:ascii="Book Antiqua" w:hAnsi="Book Antiqua"/>
        </w:rPr>
        <w:instrText xml:space="preserve"> HYPERLINK "http://creativecommons.org/licenses/by-nc/4.0/" </w:instrText>
      </w:r>
      <w:r w:rsidRPr="007F12AB">
        <w:rPr>
          <w:rFonts w:ascii="Book Antiqua" w:hAnsi="Book Antiqua"/>
        </w:rPr>
        <w:fldChar w:fldCharType="separate"/>
      </w:r>
      <w:r w:rsidRPr="007F12AB">
        <w:rPr>
          <w:rStyle w:val="a4"/>
          <w:rFonts w:ascii="Book Antiqua" w:eastAsiaTheme="majorEastAsia" w:hAnsi="Book Antiqua"/>
          <w:color w:val="auto"/>
          <w:u w:val="none"/>
          <w:lang w:eastAsia="zh-CN"/>
        </w:rPr>
        <w:t>http://creativecommons.org/licenses/by-nc/4.0/</w:t>
      </w:r>
      <w:r w:rsidRPr="007F12AB">
        <w:rPr>
          <w:rFonts w:ascii="Book Antiqua" w:hAnsi="Book Antiqua"/>
        </w:rPr>
        <w:fldChar w:fldCharType="end"/>
      </w:r>
      <w:bookmarkEnd w:id="10"/>
      <w:bookmarkEnd w:id="11"/>
      <w:bookmarkEnd w:id="12"/>
      <w:bookmarkEnd w:id="13"/>
    </w:p>
    <w:bookmarkEnd w:id="14"/>
    <w:p w14:paraId="4FCE8EC8" w14:textId="77777777" w:rsidR="00513907" w:rsidRPr="007F12AB" w:rsidRDefault="00513907" w:rsidP="0026431D">
      <w:pPr>
        <w:spacing w:line="360" w:lineRule="auto"/>
        <w:jc w:val="both"/>
        <w:rPr>
          <w:rStyle w:val="a4"/>
          <w:rFonts w:ascii="Book Antiqua" w:eastAsiaTheme="majorEastAsia" w:hAnsi="Book Antiqua"/>
          <w:bCs/>
          <w:lang w:eastAsia="zh-CN"/>
        </w:rPr>
      </w:pPr>
    </w:p>
    <w:p w14:paraId="42486533" w14:textId="77777777" w:rsidR="00513907" w:rsidRPr="007F12AB" w:rsidRDefault="00513907" w:rsidP="0026431D">
      <w:pPr>
        <w:spacing w:line="360" w:lineRule="auto"/>
        <w:contextualSpacing/>
        <w:jc w:val="both"/>
        <w:rPr>
          <w:rFonts w:ascii="Book Antiqua" w:eastAsia="Arial Unicode MS" w:hAnsi="Book Antiqua"/>
          <w:lang w:eastAsia="en-US"/>
        </w:rPr>
      </w:pPr>
      <w:r w:rsidRPr="007F12AB">
        <w:rPr>
          <w:rFonts w:ascii="Book Antiqua" w:eastAsia="Arial Unicode MS" w:hAnsi="Book Antiqua"/>
          <w:b/>
        </w:rPr>
        <w:t xml:space="preserve">Manuscript source: </w:t>
      </w:r>
      <w:r w:rsidRPr="007F12AB">
        <w:rPr>
          <w:rFonts w:ascii="Book Antiqua" w:eastAsia="Arial Unicode MS" w:hAnsi="Book Antiqua"/>
        </w:rPr>
        <w:t>Invited manuscript</w:t>
      </w:r>
    </w:p>
    <w:p w14:paraId="6E5F277F" w14:textId="77777777" w:rsidR="00513907" w:rsidRPr="007F12AB" w:rsidRDefault="00513907" w:rsidP="0026431D">
      <w:pPr>
        <w:spacing w:line="360" w:lineRule="auto"/>
        <w:jc w:val="both"/>
        <w:rPr>
          <w:rFonts w:ascii="Book Antiqua" w:eastAsia="宋体" w:hAnsi="Book Antiqua"/>
          <w:lang w:eastAsia="zh-CN"/>
        </w:rPr>
      </w:pPr>
    </w:p>
    <w:p w14:paraId="3A336850" w14:textId="5A98BAB4" w:rsidR="00F531CB" w:rsidRPr="007F12AB" w:rsidRDefault="00513907" w:rsidP="0026431D">
      <w:pPr>
        <w:spacing w:line="360" w:lineRule="auto"/>
        <w:jc w:val="both"/>
        <w:rPr>
          <w:rFonts w:ascii="Book Antiqua" w:hAnsi="Book Antiqua" w:cs="Book Antiqua"/>
          <w:color w:val="242021"/>
          <w:lang w:val="en-US" w:eastAsia="zh-CN"/>
        </w:rPr>
      </w:pPr>
      <w:r w:rsidRPr="007F12AB">
        <w:rPr>
          <w:rFonts w:ascii="Book Antiqua" w:eastAsia="Arial Unicode MS" w:hAnsi="Book Antiqua"/>
          <w:b/>
        </w:rPr>
        <w:t>Correspond</w:t>
      </w:r>
      <w:r w:rsidRPr="007F12AB">
        <w:rPr>
          <w:rFonts w:ascii="Book Antiqua" w:eastAsia="Arial Unicode MS" w:hAnsi="Book Antiqua"/>
          <w:b/>
          <w:lang w:eastAsia="zh-CN"/>
        </w:rPr>
        <w:t>ing author</w:t>
      </w:r>
      <w:r w:rsidRPr="007F12AB">
        <w:rPr>
          <w:rFonts w:ascii="Book Antiqua" w:eastAsia="Arial Unicode MS" w:hAnsi="Book Antiqua"/>
          <w:b/>
        </w:rPr>
        <w:t>:</w:t>
      </w:r>
      <w:r w:rsidRPr="007F12AB">
        <w:rPr>
          <w:rFonts w:ascii="Book Antiqua" w:eastAsia="Arial Unicode MS" w:hAnsi="Book Antiqua"/>
          <w:b/>
          <w:lang w:eastAsia="zh-CN"/>
        </w:rPr>
        <w:t xml:space="preserve"> </w:t>
      </w:r>
      <w:proofErr w:type="spellStart"/>
      <w:r w:rsidR="00F531CB" w:rsidRPr="007F12AB">
        <w:rPr>
          <w:rFonts w:ascii="Book Antiqua" w:eastAsia="Book Antiqua" w:hAnsi="Book Antiqua" w:cs="Book Antiqua"/>
          <w:b/>
          <w:color w:val="242021"/>
          <w:lang w:val="en-US"/>
        </w:rPr>
        <w:t>Diogo</w:t>
      </w:r>
      <w:proofErr w:type="spellEnd"/>
      <w:r w:rsidR="00F531CB" w:rsidRPr="007F12AB">
        <w:rPr>
          <w:rFonts w:ascii="Book Antiqua" w:eastAsia="Book Antiqua" w:hAnsi="Book Antiqua" w:cs="Book Antiqua"/>
          <w:b/>
          <w:color w:val="242021"/>
          <w:lang w:val="en-US"/>
        </w:rPr>
        <w:t xml:space="preserve"> </w:t>
      </w:r>
      <w:proofErr w:type="spellStart"/>
      <w:r w:rsidR="00F531CB" w:rsidRPr="007F12AB">
        <w:rPr>
          <w:rFonts w:ascii="Book Antiqua" w:eastAsia="Book Antiqua" w:hAnsi="Book Antiqua" w:cs="Book Antiqua"/>
          <w:b/>
          <w:color w:val="242021"/>
          <w:lang w:val="en-US"/>
        </w:rPr>
        <w:t>Turiani</w:t>
      </w:r>
      <w:proofErr w:type="spellEnd"/>
      <w:r w:rsidR="00F531CB" w:rsidRPr="007F12AB">
        <w:rPr>
          <w:rFonts w:ascii="Book Antiqua" w:eastAsia="Book Antiqua" w:hAnsi="Book Antiqua" w:cs="Book Antiqua"/>
          <w:b/>
          <w:color w:val="242021"/>
          <w:lang w:val="en-US"/>
        </w:rPr>
        <w:t xml:space="preserve"> </w:t>
      </w:r>
      <w:proofErr w:type="spellStart"/>
      <w:r w:rsidR="00F531CB" w:rsidRPr="007F12AB">
        <w:rPr>
          <w:rFonts w:ascii="Book Antiqua" w:eastAsia="Book Antiqua" w:hAnsi="Book Antiqua" w:cs="Book Antiqua"/>
          <w:b/>
          <w:color w:val="242021"/>
          <w:lang w:val="en-US"/>
        </w:rPr>
        <w:t>Hourneaux</w:t>
      </w:r>
      <w:proofErr w:type="spellEnd"/>
      <w:r w:rsidR="00F531CB" w:rsidRPr="007F12AB">
        <w:rPr>
          <w:rFonts w:ascii="Book Antiqua" w:eastAsia="Book Antiqua" w:hAnsi="Book Antiqua" w:cs="Book Antiqua"/>
          <w:b/>
          <w:color w:val="242021"/>
          <w:lang w:val="en-US"/>
        </w:rPr>
        <w:t xml:space="preserve"> de Moura, </w:t>
      </w:r>
      <w:r w:rsidRPr="007F12AB">
        <w:rPr>
          <w:rFonts w:ascii="Book Antiqua" w:eastAsia="Book Antiqua" w:hAnsi="Book Antiqua" w:cs="Book Antiqua"/>
          <w:b/>
          <w:color w:val="242021"/>
          <w:lang w:val="en-US"/>
        </w:rPr>
        <w:t>MD, MSc, PhD, Academic Fellow, Postdoctoral Fellow, Research Fellow, Surgeon,</w:t>
      </w:r>
      <w:r w:rsidR="00F531CB" w:rsidRPr="007F12AB">
        <w:rPr>
          <w:rFonts w:ascii="Book Antiqua" w:eastAsia="Book Antiqua" w:hAnsi="Book Antiqua" w:cs="Book Antiqua"/>
          <w:color w:val="242021"/>
          <w:lang w:val="en-US"/>
        </w:rPr>
        <w:t xml:space="preserve"> D</w:t>
      </w:r>
      <w:bookmarkStart w:id="15" w:name="OLE_LINK6"/>
      <w:r w:rsidR="00F531CB" w:rsidRPr="007F12AB">
        <w:rPr>
          <w:rFonts w:ascii="Book Antiqua" w:eastAsia="Book Antiqua" w:hAnsi="Book Antiqua" w:cs="Book Antiqua"/>
          <w:color w:val="242021"/>
          <w:lang w:val="en-US"/>
        </w:rPr>
        <w:t>ivision of Gastroenterology, Hepatology and Endoscopy, Brigham and Women’s Hospital</w:t>
      </w:r>
      <w:r w:rsidRPr="007F12AB">
        <w:rPr>
          <w:rFonts w:ascii="Book Antiqua" w:eastAsia="Book Antiqua" w:hAnsi="Book Antiqua" w:cs="Book Antiqua"/>
          <w:color w:val="242021"/>
          <w:lang w:val="en-US"/>
        </w:rPr>
        <w:t>,</w:t>
      </w:r>
      <w:r w:rsidR="00F531CB" w:rsidRPr="007F12AB">
        <w:rPr>
          <w:rFonts w:ascii="Book Antiqua" w:eastAsia="Book Antiqua" w:hAnsi="Book Antiqua" w:cs="Book Antiqua"/>
          <w:color w:val="242021"/>
          <w:lang w:val="en-US"/>
        </w:rPr>
        <w:t xml:space="preserve"> Harvard Medical Sc</w:t>
      </w:r>
      <w:bookmarkEnd w:id="15"/>
      <w:r w:rsidR="00F531CB" w:rsidRPr="007F12AB">
        <w:rPr>
          <w:rFonts w:ascii="Book Antiqua" w:eastAsia="Book Antiqua" w:hAnsi="Book Antiqua" w:cs="Book Antiqua"/>
          <w:color w:val="242021"/>
          <w:lang w:val="en-US"/>
        </w:rPr>
        <w:t xml:space="preserve">hool, </w:t>
      </w:r>
      <w:r w:rsidR="009B2D78" w:rsidRPr="007F12AB">
        <w:rPr>
          <w:rFonts w:ascii="Book Antiqua" w:eastAsia="Book Antiqua" w:hAnsi="Book Antiqua" w:cs="Book Antiqua"/>
          <w:color w:val="242021"/>
          <w:lang w:val="en-US"/>
        </w:rPr>
        <w:t xml:space="preserve">45 Francis St, </w:t>
      </w:r>
      <w:r w:rsidR="00F531CB" w:rsidRPr="007F12AB">
        <w:rPr>
          <w:rFonts w:ascii="Book Antiqua" w:eastAsia="Book Antiqua" w:hAnsi="Book Antiqua" w:cs="Book Antiqua"/>
          <w:color w:val="242021"/>
          <w:lang w:val="en-US"/>
        </w:rPr>
        <w:t>Boston, MA</w:t>
      </w:r>
      <w:r w:rsidRPr="007F12AB">
        <w:rPr>
          <w:rFonts w:ascii="Book Antiqua" w:eastAsia="Book Antiqua" w:hAnsi="Book Antiqua" w:cs="Book Antiqua"/>
          <w:color w:val="242021"/>
          <w:lang w:val="en-US"/>
        </w:rPr>
        <w:t xml:space="preserve"> 02115</w:t>
      </w:r>
      <w:r w:rsidR="00F531CB" w:rsidRPr="007F12AB">
        <w:rPr>
          <w:rFonts w:ascii="Book Antiqua" w:eastAsia="Book Antiqua" w:hAnsi="Book Antiqua" w:cs="Book Antiqua"/>
          <w:color w:val="242021"/>
          <w:lang w:val="en-US"/>
        </w:rPr>
        <w:t>, United States</w:t>
      </w:r>
      <w:r w:rsidR="001D568A" w:rsidRPr="007F12AB">
        <w:rPr>
          <w:rFonts w:ascii="Book Antiqua" w:hAnsi="Book Antiqua" w:cs="Book Antiqua"/>
          <w:color w:val="242021"/>
          <w:lang w:val="en-US" w:eastAsia="zh-CN"/>
        </w:rPr>
        <w:t>.</w:t>
      </w:r>
      <w:r w:rsidR="00F531CB" w:rsidRPr="007F12AB">
        <w:rPr>
          <w:rFonts w:ascii="Book Antiqua" w:hAnsi="Book Antiqua" w:cs="Book Antiqua"/>
          <w:color w:val="242021"/>
          <w:lang w:val="en-US" w:eastAsia="zh-CN"/>
        </w:rPr>
        <w:t xml:space="preserve"> </w:t>
      </w:r>
      <w:r w:rsidR="00F531CB" w:rsidRPr="007F12AB">
        <w:rPr>
          <w:rFonts w:ascii="Book Antiqua" w:hAnsi="Book Antiqua" w:cs="Book Antiqua"/>
          <w:color w:val="242021"/>
          <w:lang w:eastAsia="zh-CN"/>
        </w:rPr>
        <w:t>dthmoura@hotmail.com</w:t>
      </w:r>
    </w:p>
    <w:p w14:paraId="5F1BED0A" w14:textId="5BFDA47A" w:rsidR="001D568A" w:rsidRPr="007F12AB" w:rsidRDefault="001D568A" w:rsidP="0026431D">
      <w:pPr>
        <w:spacing w:line="360" w:lineRule="auto"/>
        <w:jc w:val="both"/>
        <w:rPr>
          <w:rFonts w:ascii="Book Antiqua" w:hAnsi="Book Antiqua"/>
        </w:rPr>
      </w:pPr>
      <w:r w:rsidRPr="007F12AB">
        <w:rPr>
          <w:rFonts w:ascii="Book Antiqua" w:eastAsia="Book Antiqua" w:hAnsi="Book Antiqua" w:cs="Book Antiqua"/>
          <w:b/>
          <w:color w:val="242021"/>
        </w:rPr>
        <w:t>Telephone</w:t>
      </w:r>
      <w:r w:rsidRPr="007F12AB">
        <w:rPr>
          <w:rFonts w:ascii="Book Antiqua" w:eastAsia="Book Antiqua" w:hAnsi="Book Antiqua" w:cs="Book Antiqua"/>
          <w:color w:val="000000"/>
        </w:rPr>
        <w:t xml:space="preserve">: </w:t>
      </w:r>
      <w:bdo w:val="ltr">
        <w:r w:rsidR="00F531CB" w:rsidRPr="007F12AB">
          <w:rPr>
            <w:rFonts w:ascii="Book Antiqua" w:eastAsia="Book Antiqua" w:hAnsi="Book Antiqua" w:cs="Book Antiqua"/>
            <w:color w:val="000000"/>
          </w:rPr>
          <w:t>+1</w:t>
        </w:r>
        <w:r w:rsidR="00133E7C" w:rsidRPr="007F12AB">
          <w:rPr>
            <w:rFonts w:ascii="Book Antiqua" w:eastAsia="Book Antiqua" w:hAnsi="Book Antiqua" w:cs="Book Antiqua"/>
            <w:color w:val="000000"/>
          </w:rPr>
          <w:t>-</w:t>
        </w:r>
        <w:r w:rsidR="00F531CB" w:rsidRPr="007F12AB">
          <w:rPr>
            <w:rFonts w:ascii="Book Antiqua" w:eastAsia="Book Antiqua" w:hAnsi="Book Antiqua" w:cs="Book Antiqua"/>
            <w:color w:val="000000"/>
          </w:rPr>
          <w:t>857</w:t>
        </w:r>
        <w:r w:rsidR="00133E7C" w:rsidRPr="007F12AB">
          <w:rPr>
            <w:rFonts w:ascii="Book Antiqua" w:eastAsia="Book Antiqua" w:hAnsi="Book Antiqua" w:cs="Book Antiqua"/>
            <w:color w:val="000000"/>
          </w:rPr>
          <w:t>-</w:t>
        </w:r>
        <w:r w:rsidR="00F531CB" w:rsidRPr="007F12AB">
          <w:rPr>
            <w:rFonts w:ascii="Book Antiqua" w:eastAsia="Book Antiqua" w:hAnsi="Book Antiqua" w:cs="Book Antiqua"/>
            <w:color w:val="000000"/>
          </w:rPr>
          <w:t>2509586</w:t>
        </w:r>
        <w:r w:rsidR="00F531CB" w:rsidRPr="007F12AB">
          <w:rPr>
            <w:rFonts w:eastAsia="MS Mincho"/>
            <w:color w:val="000000"/>
          </w:rPr>
          <w:t>‬</w:t>
        </w:r>
        <w:r w:rsidR="002E662A" w:rsidRPr="007F12AB">
          <w:t>‬</w:t>
        </w:r>
        <w:r w:rsidR="00E42C7D" w:rsidRPr="007F12AB">
          <w:t>‬</w:t>
        </w:r>
        <w:r w:rsidR="009705F0" w:rsidRPr="007F12AB">
          <w:t>‬</w:t>
        </w:r>
        <w:r w:rsidR="0079184A" w:rsidRPr="007F12AB">
          <w:t>‬</w:t>
        </w:r>
        <w:r w:rsidR="00FF2749" w:rsidRPr="007F12AB">
          <w:t>‬</w:t>
        </w:r>
        <w:r w:rsidR="009115D2" w:rsidRPr="007F12AB">
          <w:t>‬</w:t>
        </w:r>
        <w:r w:rsidR="003D4AB7" w:rsidRPr="007F12AB">
          <w:t>‬</w:t>
        </w:r>
      </w:bdo>
    </w:p>
    <w:p w14:paraId="2C9BD3AF" w14:textId="7114A19C" w:rsidR="00513907" w:rsidRPr="007F12AB" w:rsidRDefault="00513907" w:rsidP="0026431D">
      <w:pPr>
        <w:spacing w:line="360" w:lineRule="auto"/>
        <w:jc w:val="both"/>
        <w:rPr>
          <w:rFonts w:ascii="Book Antiqua" w:hAnsi="Book Antiqua"/>
        </w:rPr>
      </w:pPr>
    </w:p>
    <w:p w14:paraId="537F5447" w14:textId="21491351" w:rsidR="009B2D78" w:rsidRPr="007F12AB" w:rsidRDefault="009B2D78" w:rsidP="0026431D">
      <w:pPr>
        <w:snapToGrid w:val="0"/>
        <w:spacing w:line="360" w:lineRule="auto"/>
        <w:jc w:val="both"/>
        <w:rPr>
          <w:rFonts w:ascii="Book Antiqua" w:hAnsi="Book Antiqua"/>
          <w:lang w:eastAsia="zh-CN"/>
        </w:rPr>
      </w:pPr>
      <w:r w:rsidRPr="007F12AB">
        <w:rPr>
          <w:rFonts w:ascii="Book Antiqua" w:hAnsi="Book Antiqua"/>
          <w:b/>
        </w:rPr>
        <w:t xml:space="preserve">Received: </w:t>
      </w:r>
      <w:r w:rsidRPr="007F12AB">
        <w:rPr>
          <w:rFonts w:ascii="Book Antiqua" w:hAnsi="Book Antiqua"/>
          <w:lang w:eastAsia="zh-CN"/>
        </w:rPr>
        <w:t>March</w:t>
      </w:r>
      <w:r w:rsidRPr="007F12AB">
        <w:rPr>
          <w:rFonts w:ascii="Book Antiqua" w:hAnsi="Book Antiqua"/>
        </w:rPr>
        <w:t xml:space="preserve"> </w:t>
      </w:r>
      <w:r w:rsidRPr="007F12AB">
        <w:rPr>
          <w:rFonts w:ascii="Book Antiqua" w:hAnsi="Book Antiqua"/>
          <w:lang w:eastAsia="zh-CN"/>
        </w:rPr>
        <w:t>11</w:t>
      </w:r>
      <w:r w:rsidRPr="007F12AB">
        <w:rPr>
          <w:rFonts w:ascii="Book Antiqua" w:hAnsi="Book Antiqua"/>
        </w:rPr>
        <w:t>, 201</w:t>
      </w:r>
      <w:r w:rsidRPr="007F12AB">
        <w:rPr>
          <w:rFonts w:ascii="Book Antiqua" w:hAnsi="Book Antiqua"/>
          <w:lang w:eastAsia="zh-CN"/>
        </w:rPr>
        <w:t>9</w:t>
      </w:r>
    </w:p>
    <w:p w14:paraId="56D10D05" w14:textId="65E172C5" w:rsidR="009B2D78" w:rsidRPr="007F12AB" w:rsidRDefault="009B2D78" w:rsidP="0026431D">
      <w:pPr>
        <w:snapToGrid w:val="0"/>
        <w:spacing w:line="360" w:lineRule="auto"/>
        <w:jc w:val="both"/>
        <w:rPr>
          <w:rFonts w:ascii="Book Antiqua" w:hAnsi="Book Antiqua"/>
          <w:lang w:eastAsia="en-US"/>
        </w:rPr>
      </w:pPr>
      <w:r w:rsidRPr="007F12AB">
        <w:rPr>
          <w:rFonts w:ascii="Book Antiqua" w:hAnsi="Book Antiqua"/>
          <w:b/>
        </w:rPr>
        <w:t xml:space="preserve">Peer-review started: </w:t>
      </w:r>
      <w:r w:rsidRPr="007F12AB">
        <w:rPr>
          <w:rFonts w:ascii="Book Antiqua" w:hAnsi="Book Antiqua"/>
          <w:lang w:eastAsia="zh-CN"/>
        </w:rPr>
        <w:t>March</w:t>
      </w:r>
      <w:r w:rsidRPr="007F12AB">
        <w:rPr>
          <w:rFonts w:ascii="Book Antiqua" w:hAnsi="Book Antiqua"/>
        </w:rPr>
        <w:t xml:space="preserve"> </w:t>
      </w:r>
      <w:r w:rsidRPr="007F12AB">
        <w:rPr>
          <w:rFonts w:ascii="Book Antiqua" w:hAnsi="Book Antiqua"/>
          <w:lang w:eastAsia="zh-CN"/>
        </w:rPr>
        <w:t>12</w:t>
      </w:r>
      <w:r w:rsidRPr="007F12AB">
        <w:rPr>
          <w:rFonts w:ascii="Book Antiqua" w:hAnsi="Book Antiqua"/>
        </w:rPr>
        <w:t>, 201</w:t>
      </w:r>
      <w:r w:rsidRPr="007F12AB">
        <w:rPr>
          <w:rFonts w:ascii="Book Antiqua" w:hAnsi="Book Antiqua"/>
          <w:lang w:eastAsia="zh-CN"/>
        </w:rPr>
        <w:t>9</w:t>
      </w:r>
    </w:p>
    <w:p w14:paraId="2CED61DE" w14:textId="736E8603" w:rsidR="009B2D78" w:rsidRPr="007F12AB" w:rsidRDefault="009B2D78" w:rsidP="0026431D">
      <w:pPr>
        <w:snapToGrid w:val="0"/>
        <w:spacing w:line="360" w:lineRule="auto"/>
        <w:jc w:val="both"/>
        <w:rPr>
          <w:rFonts w:ascii="Book Antiqua" w:hAnsi="Book Antiqua"/>
        </w:rPr>
      </w:pPr>
      <w:r w:rsidRPr="007F12AB">
        <w:rPr>
          <w:rFonts w:ascii="Book Antiqua" w:hAnsi="Book Antiqua"/>
          <w:b/>
        </w:rPr>
        <w:t xml:space="preserve">First decision: </w:t>
      </w:r>
      <w:r w:rsidRPr="007F12AB">
        <w:rPr>
          <w:rFonts w:ascii="Book Antiqua" w:hAnsi="Book Antiqua"/>
          <w:lang w:eastAsia="zh-CN"/>
        </w:rPr>
        <w:t>April 13</w:t>
      </w:r>
      <w:r w:rsidRPr="007F12AB">
        <w:rPr>
          <w:rFonts w:ascii="Book Antiqua" w:hAnsi="Book Antiqua"/>
        </w:rPr>
        <w:t>, 201</w:t>
      </w:r>
      <w:r w:rsidRPr="007F12AB">
        <w:rPr>
          <w:rFonts w:ascii="Book Antiqua" w:hAnsi="Book Antiqua"/>
          <w:lang w:eastAsia="zh-CN"/>
        </w:rPr>
        <w:t>9</w:t>
      </w:r>
    </w:p>
    <w:p w14:paraId="29D04E74" w14:textId="47B75B5F" w:rsidR="009B2D78" w:rsidRPr="007F12AB" w:rsidRDefault="009B2D78" w:rsidP="0026431D">
      <w:pPr>
        <w:snapToGrid w:val="0"/>
        <w:spacing w:line="360" w:lineRule="auto"/>
        <w:jc w:val="both"/>
        <w:rPr>
          <w:rFonts w:ascii="Book Antiqua" w:hAnsi="Book Antiqua"/>
          <w:lang w:eastAsia="zh-CN"/>
        </w:rPr>
      </w:pPr>
      <w:r w:rsidRPr="007F12AB">
        <w:rPr>
          <w:rFonts w:ascii="Book Antiqua" w:hAnsi="Book Antiqua"/>
          <w:b/>
        </w:rPr>
        <w:t>Revised:</w:t>
      </w:r>
      <w:r w:rsidRPr="007F12AB">
        <w:rPr>
          <w:rFonts w:ascii="Book Antiqua" w:hAnsi="Book Antiqua"/>
          <w:lang w:eastAsia="zh-CN"/>
        </w:rPr>
        <w:t xml:space="preserve"> April 16</w:t>
      </w:r>
      <w:r w:rsidRPr="007F12AB">
        <w:rPr>
          <w:rFonts w:ascii="Book Antiqua" w:hAnsi="Book Antiqua"/>
        </w:rPr>
        <w:t>, 201</w:t>
      </w:r>
      <w:r w:rsidRPr="007F12AB">
        <w:rPr>
          <w:rFonts w:ascii="Book Antiqua" w:hAnsi="Book Antiqua"/>
          <w:lang w:eastAsia="zh-CN"/>
        </w:rPr>
        <w:t>9</w:t>
      </w:r>
    </w:p>
    <w:p w14:paraId="375E7296" w14:textId="5FCC1554" w:rsidR="009B2D78" w:rsidRPr="007F12AB" w:rsidRDefault="009B2D78" w:rsidP="0026431D">
      <w:pPr>
        <w:snapToGrid w:val="0"/>
        <w:spacing w:line="360" w:lineRule="auto"/>
        <w:jc w:val="both"/>
        <w:rPr>
          <w:rFonts w:ascii="Book Antiqua" w:hAnsi="Book Antiqua"/>
          <w:b/>
          <w:lang w:eastAsia="en-US"/>
        </w:rPr>
      </w:pPr>
      <w:r w:rsidRPr="007F12AB">
        <w:rPr>
          <w:rFonts w:ascii="Book Antiqua" w:hAnsi="Book Antiqua"/>
          <w:b/>
        </w:rPr>
        <w:t>Accepted:</w:t>
      </w:r>
      <w:r w:rsidR="00B123DE" w:rsidRPr="007F12AB">
        <w:t xml:space="preserve"> </w:t>
      </w:r>
      <w:r w:rsidR="00B123DE" w:rsidRPr="007F12AB">
        <w:rPr>
          <w:rFonts w:ascii="Book Antiqua" w:hAnsi="Book Antiqua"/>
        </w:rPr>
        <w:t>April 18, 2019</w:t>
      </w:r>
      <w:r w:rsidRPr="007F12AB">
        <w:rPr>
          <w:rFonts w:ascii="Book Antiqua" w:hAnsi="Book Antiqua"/>
        </w:rPr>
        <w:t xml:space="preserve"> </w:t>
      </w:r>
    </w:p>
    <w:p w14:paraId="3D5EB20B" w14:textId="28C012CA" w:rsidR="009B2D78" w:rsidRPr="007F12AB" w:rsidRDefault="009B2D78" w:rsidP="0026431D">
      <w:pPr>
        <w:snapToGrid w:val="0"/>
        <w:spacing w:line="360" w:lineRule="auto"/>
        <w:jc w:val="both"/>
        <w:rPr>
          <w:rFonts w:ascii="Book Antiqua" w:hAnsi="Book Antiqua"/>
          <w:b/>
        </w:rPr>
      </w:pPr>
      <w:r w:rsidRPr="007F12AB">
        <w:rPr>
          <w:rFonts w:ascii="Book Antiqua" w:hAnsi="Book Antiqua"/>
          <w:b/>
        </w:rPr>
        <w:t>Article in press:</w:t>
      </w:r>
      <w:r w:rsidR="007F12AB" w:rsidRPr="007F12AB">
        <w:rPr>
          <w:rFonts w:ascii="Book Antiqua" w:hAnsi="Book Antiqua"/>
        </w:rPr>
        <w:t xml:space="preserve"> </w:t>
      </w:r>
      <w:r w:rsidR="007F12AB" w:rsidRPr="007F12AB">
        <w:rPr>
          <w:rFonts w:ascii="Book Antiqua" w:hAnsi="Book Antiqua"/>
        </w:rPr>
        <w:t>April 18, 2019</w:t>
      </w:r>
    </w:p>
    <w:p w14:paraId="74E129C2" w14:textId="444CF208" w:rsidR="009B2D78" w:rsidRPr="007F12AB" w:rsidRDefault="009B2D78" w:rsidP="0026431D">
      <w:pPr>
        <w:snapToGrid w:val="0"/>
        <w:spacing w:line="360" w:lineRule="auto"/>
        <w:contextualSpacing/>
        <w:jc w:val="both"/>
        <w:rPr>
          <w:rFonts w:ascii="Book Antiqua" w:eastAsia="宋体" w:hAnsi="Book Antiqua" w:cs="Arial" w:hint="eastAsia"/>
          <w:b/>
          <w:lang w:val="pl-PL" w:eastAsia="zh-CN"/>
        </w:rPr>
      </w:pPr>
      <w:r w:rsidRPr="007F12AB">
        <w:rPr>
          <w:rFonts w:ascii="Book Antiqua" w:hAnsi="Book Antiqua" w:cs="Arial"/>
          <w:b/>
          <w:lang w:val="pl-PL" w:eastAsia="pl-PL"/>
        </w:rPr>
        <w:t>Published online:</w:t>
      </w:r>
      <w:r w:rsidR="007F12AB" w:rsidRPr="007F12AB">
        <w:rPr>
          <w:rFonts w:ascii="Book Antiqua" w:eastAsia="宋体" w:hAnsi="Book Antiqua" w:cs="Arial" w:hint="eastAsia"/>
          <w:lang w:val="pl-PL" w:eastAsia="zh-CN"/>
        </w:rPr>
        <w:t>May 16,</w:t>
      </w:r>
      <w:r w:rsidR="007F12AB" w:rsidRPr="007F12AB">
        <w:rPr>
          <w:rFonts w:ascii="Book Antiqua" w:hAnsi="Book Antiqua"/>
        </w:rPr>
        <w:t xml:space="preserve"> </w:t>
      </w:r>
      <w:r w:rsidR="007F12AB" w:rsidRPr="007F12AB">
        <w:rPr>
          <w:rFonts w:ascii="Book Antiqua" w:hAnsi="Book Antiqua"/>
        </w:rPr>
        <w:t>2019</w:t>
      </w:r>
    </w:p>
    <w:p w14:paraId="3F88D0FD" w14:textId="77777777" w:rsidR="00513907" w:rsidRPr="007F12AB" w:rsidRDefault="00513907" w:rsidP="0026431D">
      <w:pPr>
        <w:spacing w:line="360" w:lineRule="auto"/>
        <w:jc w:val="both"/>
        <w:rPr>
          <w:rFonts w:ascii="Book Antiqua" w:hAnsi="Book Antiqua" w:cs="Book Antiqua"/>
          <w:color w:val="000000"/>
          <w:lang w:val="pl-PL" w:eastAsia="zh-CN"/>
        </w:rPr>
      </w:pPr>
    </w:p>
    <w:p w14:paraId="0A463755" w14:textId="56EDFF96" w:rsidR="00F2644D" w:rsidRPr="007F12AB" w:rsidRDefault="00133E7C" w:rsidP="0026431D">
      <w:pPr>
        <w:spacing w:line="360" w:lineRule="auto"/>
        <w:jc w:val="both"/>
        <w:rPr>
          <w:rFonts w:ascii="Book Antiqua" w:eastAsia="BookAntiqua" w:hAnsi="Book Antiqua" w:cs="BookAntiqua"/>
          <w:b/>
          <w:lang w:val="en-US"/>
        </w:rPr>
      </w:pPr>
      <w:r w:rsidRPr="007F12AB">
        <w:rPr>
          <w:rFonts w:ascii="Book Antiqua" w:eastAsia="BookAntiqua" w:hAnsi="Book Antiqua" w:cs="BookAntiqua"/>
          <w:b/>
          <w:lang w:val="en-US"/>
        </w:rPr>
        <w:br w:type="page"/>
      </w:r>
      <w:r w:rsidRPr="007F12AB">
        <w:rPr>
          <w:rFonts w:ascii="Book Antiqua" w:eastAsia="BookAntiqua" w:hAnsi="Book Antiqua" w:cs="BookAntiqua"/>
          <w:b/>
          <w:lang w:val="en-US"/>
        </w:rPr>
        <w:lastRenderedPageBreak/>
        <w:t>Abstract</w:t>
      </w:r>
    </w:p>
    <w:p w14:paraId="4FB7C2AF" w14:textId="30256389" w:rsidR="00822D70" w:rsidRPr="007F12AB" w:rsidRDefault="00CB6256" w:rsidP="0026431D">
      <w:pPr>
        <w:spacing w:line="360" w:lineRule="auto"/>
        <w:jc w:val="both"/>
        <w:rPr>
          <w:rFonts w:ascii="Book Antiqua" w:eastAsiaTheme="majorEastAsia" w:hAnsi="Book Antiqua" w:cs="Calibri"/>
          <w:bCs/>
          <w:color w:val="000000" w:themeColor="text1"/>
          <w:lang w:val="en-US"/>
        </w:rPr>
      </w:pPr>
      <w:r w:rsidRPr="007F12AB">
        <w:rPr>
          <w:rFonts w:ascii="Book Antiqua" w:eastAsiaTheme="majorEastAsia" w:hAnsi="Book Antiqua" w:cs="Calibri"/>
          <w:bCs/>
          <w:color w:val="000000" w:themeColor="text1"/>
          <w:lang w:val="en-US"/>
        </w:rPr>
        <w:t>The most effective and durable treatment for obesity is bariatric surgery. However, less than 2% of eligible patients who fulfill the criteria for bariatric surgery undergo the procedure. As a result, there is a drive to develop less invasive therapies to combat obesity. Endoscopic bariatric therapies (EBT) for weight loss are important since they are more effective than pharmacological treatments and lifestyle changes and present lower adverse event rates compared to bariatric surgery. Endoscopic sleeve gastroplasty (ESG) is a minimally invasive EBT that involves remodeling of the greater curvature. ESG demonstrated favorable outcomes in several centers, with up to 20.9%</w:t>
      </w:r>
      <w:r w:rsidR="0034303D" w:rsidRPr="007F12AB">
        <w:rPr>
          <w:rFonts w:ascii="Book Antiqua" w:eastAsiaTheme="majorEastAsia" w:hAnsi="Book Antiqua" w:cs="Calibri"/>
          <w:bCs/>
          <w:color w:val="000000" w:themeColor="text1"/>
          <w:lang w:val="en-US"/>
        </w:rPr>
        <w:t xml:space="preserve"> </w:t>
      </w:r>
      <w:r w:rsidR="0034303D" w:rsidRPr="007F12AB">
        <w:rPr>
          <w:rFonts w:ascii="Book Antiqua" w:hAnsi="Book Antiqua" w:cs="Arial"/>
          <w:lang w:val="en-US"/>
        </w:rPr>
        <w:t>total body weight loss</w:t>
      </w:r>
      <w:r w:rsidRPr="007F12AB">
        <w:rPr>
          <w:rFonts w:ascii="Book Antiqua" w:eastAsiaTheme="majorEastAsia" w:hAnsi="Book Antiqua" w:cs="Calibri"/>
          <w:bCs/>
          <w:color w:val="000000" w:themeColor="text1"/>
          <w:lang w:val="en-US"/>
        </w:rPr>
        <w:t xml:space="preserve"> and 60.4%</w:t>
      </w:r>
      <w:r w:rsidR="0034303D" w:rsidRPr="007F12AB">
        <w:rPr>
          <w:rFonts w:ascii="Book Antiqua" w:eastAsiaTheme="majorEastAsia" w:hAnsi="Book Antiqua" w:cs="Calibri"/>
          <w:bCs/>
          <w:color w:val="000000" w:themeColor="text1"/>
          <w:lang w:val="en-US"/>
        </w:rPr>
        <w:t xml:space="preserve"> </w:t>
      </w:r>
      <w:r w:rsidR="00A40CA6" w:rsidRPr="007F12AB">
        <w:rPr>
          <w:rFonts w:ascii="Book Antiqua" w:hAnsi="Book Antiqua" w:cs="Arial"/>
          <w:lang w:val="en-US"/>
        </w:rPr>
        <w:t>excess weight loss (EWL)</w:t>
      </w:r>
      <w:r w:rsidRPr="007F12AB">
        <w:rPr>
          <w:rFonts w:ascii="Book Antiqua" w:eastAsiaTheme="majorEastAsia" w:hAnsi="Book Antiqua" w:cs="Calibri"/>
          <w:bCs/>
          <w:color w:val="000000" w:themeColor="text1"/>
          <w:lang w:val="en-US"/>
        </w:rPr>
        <w:t xml:space="preserve"> on 2-year follow-up, with a low rate of severe adverse events (SAE). As such, it could be considered safe and effective in light of ASGE/ASMBS thresholds of &gt; 25%</w:t>
      </w:r>
      <w:r w:rsidR="00A40CA6" w:rsidRPr="007F12AB">
        <w:rPr>
          <w:rFonts w:ascii="Book Antiqua" w:eastAsiaTheme="majorEastAsia" w:hAnsi="Book Antiqua" w:cs="Calibri"/>
          <w:bCs/>
          <w:color w:val="000000" w:themeColor="text1"/>
          <w:lang w:val="en-US"/>
        </w:rPr>
        <w:t xml:space="preserve"> </w:t>
      </w:r>
      <w:r w:rsidRPr="007F12AB">
        <w:rPr>
          <w:rFonts w:ascii="Book Antiqua" w:eastAsiaTheme="majorEastAsia" w:hAnsi="Book Antiqua" w:cs="Calibri"/>
          <w:bCs/>
          <w:color w:val="000000" w:themeColor="text1"/>
          <w:lang w:val="en-US"/>
        </w:rPr>
        <w:t xml:space="preserve">EWL and ≤ 5% SAE, although there are no comparative trials to support this. Additionally, ESG showed improvement in </w:t>
      </w:r>
      <w:r w:rsidR="00A40CA6" w:rsidRPr="007F12AB">
        <w:rPr>
          <w:rFonts w:ascii="Book Antiqua" w:eastAsiaTheme="majorEastAsia" w:hAnsi="Book Antiqua" w:cs="Calibri"/>
          <w:bCs/>
          <w:color w:val="000000" w:themeColor="text1"/>
          <w:lang w:val="en-US"/>
        </w:rPr>
        <w:t>diabetes mellitus type 2</w:t>
      </w:r>
      <w:r w:rsidRPr="007F12AB">
        <w:rPr>
          <w:rFonts w:ascii="Book Antiqua" w:eastAsiaTheme="majorEastAsia" w:hAnsi="Book Antiqua" w:cs="Calibri"/>
          <w:bCs/>
          <w:color w:val="000000" w:themeColor="text1"/>
          <w:lang w:val="en-US"/>
        </w:rPr>
        <w:t>, hypertension, and other obesity-related comorbidities. As this procedure continues to develop there are several areas that can be addressed to improve outcomes, including device improvements, technique standardization, patient selection, personalized medicine, combination therapies, and training standardization. In this editorial we discuss the origins of the ESG, current data, and future developments.</w:t>
      </w:r>
    </w:p>
    <w:p w14:paraId="04040894" w14:textId="77777777" w:rsidR="00CB6256" w:rsidRPr="007F12AB" w:rsidRDefault="00CB6256" w:rsidP="0026431D">
      <w:pPr>
        <w:spacing w:line="360" w:lineRule="auto"/>
        <w:jc w:val="both"/>
        <w:rPr>
          <w:rFonts w:ascii="Book Antiqua" w:hAnsi="Book Antiqua"/>
          <w:lang w:val="en-US"/>
        </w:rPr>
      </w:pPr>
    </w:p>
    <w:p w14:paraId="12B596E9" w14:textId="07AE916F" w:rsidR="005931EB" w:rsidRPr="007F12AB" w:rsidRDefault="00DF06E9" w:rsidP="0026431D">
      <w:pPr>
        <w:spacing w:line="360" w:lineRule="auto"/>
        <w:jc w:val="both"/>
        <w:rPr>
          <w:rFonts w:ascii="Book Antiqua" w:hAnsi="Book Antiqua"/>
          <w:lang w:val="en-US"/>
        </w:rPr>
      </w:pPr>
      <w:r w:rsidRPr="007F12AB">
        <w:rPr>
          <w:rFonts w:ascii="Book Antiqua" w:hAnsi="Book Antiqua"/>
          <w:b/>
        </w:rPr>
        <w:t>Key words:</w:t>
      </w:r>
      <w:r w:rsidRPr="007F12AB">
        <w:rPr>
          <w:rFonts w:ascii="Book Antiqua" w:hAnsi="Book Antiqua"/>
          <w:b/>
          <w:lang w:eastAsia="zh-CN"/>
        </w:rPr>
        <w:t xml:space="preserve"> </w:t>
      </w:r>
      <w:bookmarkStart w:id="16" w:name="OLE_LINK22"/>
      <w:r w:rsidR="00CB6256" w:rsidRPr="007F12AB">
        <w:rPr>
          <w:rFonts w:ascii="Book Antiqua" w:eastAsia="BookAntiqua" w:hAnsi="Book Antiqua" w:cs="BookAntiqua"/>
          <w:lang w:val="en-US"/>
        </w:rPr>
        <w:t xml:space="preserve">Endoscopy; Surgery; Bariatric; Obesity; Overweight; Comorbidities; Gastroplasty; Sleeve; </w:t>
      </w:r>
      <w:r w:rsidR="00A40CA6" w:rsidRPr="007F12AB">
        <w:rPr>
          <w:rFonts w:ascii="Book Antiqua" w:eastAsiaTheme="majorEastAsia" w:hAnsi="Book Antiqua" w:cs="Calibri"/>
          <w:bCs/>
          <w:color w:val="000000" w:themeColor="text1"/>
          <w:lang w:val="en-US"/>
        </w:rPr>
        <w:t>Endoscopic sleeve gastroplasty</w:t>
      </w:r>
      <w:r w:rsidR="00CB6256" w:rsidRPr="007F12AB">
        <w:rPr>
          <w:rFonts w:ascii="Book Antiqua" w:eastAsia="BookAntiqua" w:hAnsi="Book Antiqua" w:cs="BookAntiqua"/>
          <w:lang w:val="en-US"/>
        </w:rPr>
        <w:t>; Editorial</w:t>
      </w:r>
    </w:p>
    <w:bookmarkEnd w:id="16"/>
    <w:p w14:paraId="042DCC3F" w14:textId="2AEC946D" w:rsidR="00F25F54" w:rsidRPr="007F12AB" w:rsidRDefault="00F25F54" w:rsidP="0026431D">
      <w:pPr>
        <w:spacing w:line="360" w:lineRule="auto"/>
        <w:jc w:val="both"/>
        <w:rPr>
          <w:rFonts w:ascii="Book Antiqua" w:hAnsi="Book Antiqua"/>
          <w:lang w:val="en-US"/>
        </w:rPr>
      </w:pPr>
    </w:p>
    <w:p w14:paraId="5331A5AC" w14:textId="77777777" w:rsidR="00DF06E9" w:rsidRPr="007F12AB" w:rsidRDefault="00DF06E9" w:rsidP="0026431D">
      <w:pPr>
        <w:snapToGrid w:val="0"/>
        <w:spacing w:line="360" w:lineRule="auto"/>
        <w:jc w:val="both"/>
        <w:rPr>
          <w:rFonts w:ascii="Book Antiqua" w:hAnsi="Book Antiqua" w:cs="Book Antiqua"/>
          <w:b/>
          <w:bCs/>
          <w:lang w:eastAsia="zh-CN"/>
        </w:rPr>
      </w:pPr>
      <w:bookmarkStart w:id="17" w:name="OLE_LINK363"/>
      <w:bookmarkStart w:id="18" w:name="OLE_LINK364"/>
      <w:bookmarkStart w:id="19" w:name="OLE_LINK359"/>
      <w:bookmarkStart w:id="20" w:name="OLE_LINK1037"/>
      <w:bookmarkStart w:id="21" w:name="OLE_LINK1195"/>
      <w:bookmarkStart w:id="22" w:name="OLE_LINK1140"/>
      <w:bookmarkStart w:id="23" w:name="OLE_LINK1062"/>
      <w:bookmarkStart w:id="24" w:name="OLE_LINK500"/>
      <w:bookmarkStart w:id="25" w:name="OLE_LINK916"/>
      <w:bookmarkStart w:id="26" w:name="OLE_LINK956"/>
      <w:bookmarkStart w:id="27" w:name="OLE_LINK994"/>
      <w:r w:rsidRPr="007F12AB">
        <w:rPr>
          <w:rFonts w:ascii="Book Antiqua" w:hAnsi="Book Antiqua" w:cs="Book Antiqua"/>
          <w:b/>
          <w:bCs/>
        </w:rPr>
        <w:t>© The Author(s) 201</w:t>
      </w:r>
      <w:r w:rsidRPr="007F12AB">
        <w:rPr>
          <w:rFonts w:ascii="Book Antiqua" w:hAnsi="Book Antiqua" w:cs="Book Antiqua"/>
          <w:b/>
          <w:bCs/>
          <w:lang w:eastAsia="zh-CN"/>
        </w:rPr>
        <w:t>9</w:t>
      </w:r>
      <w:r w:rsidRPr="007F12AB">
        <w:rPr>
          <w:rFonts w:ascii="Book Antiqua" w:hAnsi="Book Antiqua" w:cs="Book Antiqua"/>
          <w:b/>
          <w:bCs/>
        </w:rPr>
        <w:t>.</w:t>
      </w:r>
      <w:r w:rsidRPr="007F12AB">
        <w:rPr>
          <w:rFonts w:ascii="Book Antiqua" w:hAnsi="Book Antiqua" w:cs="Book Antiqua"/>
          <w:bCs/>
        </w:rPr>
        <w:t xml:space="preserve"> Published by Baishideng Publishing Group Inc. All rights reserved.</w:t>
      </w:r>
      <w:bookmarkEnd w:id="17"/>
      <w:bookmarkEnd w:id="18"/>
      <w:bookmarkEnd w:id="19"/>
      <w:bookmarkEnd w:id="20"/>
      <w:bookmarkEnd w:id="21"/>
      <w:bookmarkEnd w:id="22"/>
      <w:bookmarkEnd w:id="23"/>
      <w:bookmarkEnd w:id="24"/>
      <w:bookmarkEnd w:id="25"/>
      <w:bookmarkEnd w:id="26"/>
      <w:bookmarkEnd w:id="27"/>
    </w:p>
    <w:p w14:paraId="32ADA87A" w14:textId="77777777" w:rsidR="00DF06E9" w:rsidRPr="007F12AB" w:rsidRDefault="00DF06E9" w:rsidP="0026431D">
      <w:pPr>
        <w:spacing w:line="360" w:lineRule="auto"/>
        <w:jc w:val="both"/>
        <w:rPr>
          <w:rFonts w:ascii="Book Antiqua" w:hAnsi="Book Antiqua"/>
          <w:lang w:eastAsia="en-US"/>
        </w:rPr>
      </w:pPr>
    </w:p>
    <w:p w14:paraId="5106EB58" w14:textId="1615EA3D" w:rsidR="00A40CA6" w:rsidRPr="007F12AB" w:rsidRDefault="00DF06E9" w:rsidP="0026431D">
      <w:pPr>
        <w:spacing w:line="360" w:lineRule="auto"/>
        <w:jc w:val="both"/>
        <w:rPr>
          <w:rFonts w:ascii="Book Antiqua" w:hAnsi="Book Antiqua"/>
          <w:lang w:val="en-US"/>
        </w:rPr>
      </w:pPr>
      <w:r w:rsidRPr="007F12AB">
        <w:rPr>
          <w:rFonts w:ascii="Book Antiqua" w:hAnsi="Book Antiqua"/>
          <w:b/>
        </w:rPr>
        <w:t>Core tip</w:t>
      </w:r>
      <w:r w:rsidRPr="007F12AB">
        <w:rPr>
          <w:rFonts w:ascii="Book Antiqua" w:hAnsi="Book Antiqua"/>
        </w:rPr>
        <w:t xml:space="preserve">: </w:t>
      </w:r>
      <w:bookmarkStart w:id="28" w:name="OLE_LINK23"/>
      <w:r w:rsidR="00A40CA6" w:rsidRPr="007F12AB">
        <w:rPr>
          <w:rFonts w:ascii="Book Antiqua" w:hAnsi="Book Antiqua" w:cs="Arial"/>
          <w:color w:val="000000" w:themeColor="text1"/>
          <w:lang w:val="en-US"/>
        </w:rPr>
        <w:t xml:space="preserve">Given the worsening obesity epidemic, there is increased demand for less invasive therapies. Considering the minimally invasive nature of Endoscopic sleeve gastroplasty (ESG), the reproducibility among centers, the favorable clinical outcomes in several studies, ESG could be regarded as safe </w:t>
      </w:r>
      <w:r w:rsidR="00A40CA6" w:rsidRPr="007F12AB">
        <w:rPr>
          <w:rFonts w:ascii="Book Antiqua" w:hAnsi="Book Antiqua" w:cs="Arial"/>
          <w:color w:val="000000" w:themeColor="text1"/>
          <w:lang w:val="en-US"/>
        </w:rPr>
        <w:lastRenderedPageBreak/>
        <w:t xml:space="preserve">and effective in light of ASGE/ASMBS thresholds of &gt; 25% </w:t>
      </w:r>
      <w:r w:rsidR="00A40CA6" w:rsidRPr="007F12AB">
        <w:rPr>
          <w:rFonts w:ascii="Book Antiqua" w:hAnsi="Book Antiqua" w:cs="Arial"/>
          <w:lang w:val="en-US"/>
        </w:rPr>
        <w:t>excess weight loss</w:t>
      </w:r>
      <w:r w:rsidR="00A40CA6" w:rsidRPr="007F12AB">
        <w:rPr>
          <w:rFonts w:ascii="Book Antiqua" w:hAnsi="Book Antiqua" w:cs="Arial"/>
          <w:color w:val="000000" w:themeColor="text1"/>
          <w:lang w:val="en-US"/>
        </w:rPr>
        <w:t xml:space="preserve"> and ≤ 5% severe adverse events, although there are no comparative trials to support this. As this procedure is more widely adopted, high standards of care must be maintained to guarantee satisfactory clinical outcomes. In this editorial we discuss the origins of the ESG, current data, and future developments.</w:t>
      </w:r>
    </w:p>
    <w:bookmarkEnd w:id="28"/>
    <w:p w14:paraId="0699F352" w14:textId="7AAD1CA2" w:rsidR="000F279A" w:rsidRPr="007F12AB" w:rsidRDefault="000F279A" w:rsidP="0026431D">
      <w:pPr>
        <w:spacing w:line="360" w:lineRule="auto"/>
        <w:jc w:val="both"/>
        <w:rPr>
          <w:rFonts w:ascii="Book Antiqua" w:hAnsi="Book Antiqua"/>
          <w:lang w:val="en-US"/>
        </w:rPr>
      </w:pPr>
    </w:p>
    <w:p w14:paraId="2615940D" w14:textId="361CA845" w:rsidR="000B1DF9" w:rsidRPr="00741C72" w:rsidRDefault="00741C72" w:rsidP="0026431D">
      <w:pPr>
        <w:spacing w:line="360" w:lineRule="auto"/>
        <w:jc w:val="both"/>
        <w:rPr>
          <w:rFonts w:ascii="Book Antiqua" w:eastAsia="宋体" w:hAnsi="Book Antiqua" w:cs="Book Antiqua" w:hint="eastAsia"/>
          <w:noProof/>
          <w:lang w:val="en-US" w:eastAsia="zh-CN"/>
        </w:rPr>
      </w:pPr>
      <w:bookmarkStart w:id="29" w:name="OLE_LINK1059"/>
      <w:bookmarkStart w:id="30" w:name="OLE_LINK1058"/>
      <w:bookmarkStart w:id="31" w:name="OLE_LINK1056"/>
      <w:bookmarkStart w:id="32" w:name="OLE_LINK464"/>
      <w:bookmarkStart w:id="33" w:name="OLE_LINK455"/>
      <w:bookmarkStart w:id="34" w:name="OLE_LINK130"/>
      <w:bookmarkStart w:id="35" w:name="OLE_LINK425"/>
      <w:bookmarkStart w:id="36" w:name="OLE_LINK247"/>
      <w:bookmarkStart w:id="37" w:name="OLE_LINK248"/>
      <w:bookmarkStart w:id="38" w:name="OLE_LINK264"/>
      <w:bookmarkStart w:id="39" w:name="OLE_LINK265"/>
      <w:bookmarkStart w:id="40" w:name="OLE_LINK266"/>
      <w:bookmarkStart w:id="41" w:name="OLE_LINK267"/>
      <w:bookmarkStart w:id="42" w:name="OLE_LINK271"/>
      <w:bookmarkStart w:id="43" w:name="OLE_LINK273"/>
      <w:bookmarkStart w:id="44" w:name="OLE_LINK277"/>
      <w:bookmarkStart w:id="45" w:name="OLE_LINK278"/>
      <w:bookmarkStart w:id="46" w:name="OLE_LINK279"/>
      <w:bookmarkStart w:id="47" w:name="OLE_LINK284"/>
      <w:bookmarkStart w:id="48" w:name="OLE_LINK286"/>
      <w:bookmarkStart w:id="49" w:name="OLE_LINK290"/>
      <w:bookmarkStart w:id="50" w:name="OLE_LINK298"/>
      <w:bookmarkStart w:id="51" w:name="OLE_LINK299"/>
      <w:bookmarkStart w:id="52" w:name="OLE_LINK326"/>
      <w:bookmarkStart w:id="53" w:name="OLE_LINK336"/>
      <w:bookmarkStart w:id="54" w:name="OLE_LINK339"/>
      <w:bookmarkStart w:id="55" w:name="OLE_LINK345"/>
      <w:bookmarkStart w:id="56" w:name="OLE_LINK348"/>
      <w:bookmarkStart w:id="57" w:name="OLE_LINK352"/>
      <w:bookmarkStart w:id="58" w:name="OLE_LINK362"/>
      <w:bookmarkStart w:id="59" w:name="OLE_LINK368"/>
      <w:bookmarkStart w:id="60" w:name="OLE_LINK370"/>
      <w:bookmarkStart w:id="61" w:name="OLE_LINK316"/>
      <w:bookmarkStart w:id="62" w:name="OLE_LINK317"/>
      <w:bookmarkStart w:id="63" w:name="OLE_LINK318"/>
      <w:bookmarkStart w:id="64" w:name="OLE_LINK811"/>
      <w:bookmarkStart w:id="65" w:name="OLE_LINK756"/>
      <w:bookmarkStart w:id="66" w:name="OLE_LINK757"/>
      <w:bookmarkStart w:id="67" w:name="OLE_LINK817"/>
      <w:bookmarkStart w:id="68" w:name="OLE_LINK781"/>
      <w:bookmarkStart w:id="69" w:name="OLE_LINK782"/>
      <w:bookmarkStart w:id="70" w:name="OLE_LINK937"/>
      <w:bookmarkStart w:id="71" w:name="OLE_LINK3"/>
      <w:r>
        <w:rPr>
          <w:rFonts w:ascii="Book Antiqua" w:hAnsi="Book Antiqua"/>
          <w:b/>
        </w:rPr>
        <w:t xml:space="preserve">Citation: </w:t>
      </w:r>
      <w:r w:rsidR="00A40CA6" w:rsidRPr="007F12AB">
        <w:rPr>
          <w:rFonts w:ascii="Book Antiqua" w:eastAsia="Book Antiqua" w:hAnsi="Book Antiqua" w:cs="Book Antiqua"/>
          <w:noProof/>
          <w:lang w:val="en-US"/>
        </w:rPr>
        <w:t>de Moura DTH, de Moura EGH, Thomspon CC. Endoscopic sleeve gastroplasty: From whence we came and where we are going.</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00A40CA6" w:rsidRPr="007F12AB">
        <w:rPr>
          <w:rFonts w:ascii="Book Antiqua" w:eastAsia="Book Antiqua" w:hAnsi="Book Antiqua" w:cs="Book Antiqua"/>
          <w:noProof/>
          <w:lang w:val="en-US"/>
        </w:rPr>
        <w:t xml:space="preserve"> </w:t>
      </w:r>
      <w:r w:rsidR="000B1DF9" w:rsidRPr="007F12AB">
        <w:rPr>
          <w:rStyle w:val="publisherid"/>
          <w:rFonts w:ascii="Book Antiqua" w:hAnsi="Book Antiqua"/>
          <w:i/>
          <w:lang w:val="en-US"/>
        </w:rPr>
        <w:t xml:space="preserve">World J </w:t>
      </w:r>
      <w:proofErr w:type="spellStart"/>
      <w:r w:rsidR="000B1DF9" w:rsidRPr="007F12AB">
        <w:rPr>
          <w:rStyle w:val="publisherid"/>
          <w:rFonts w:ascii="Book Antiqua" w:hAnsi="Book Antiqua"/>
          <w:i/>
          <w:lang w:val="en-US"/>
        </w:rPr>
        <w:t>Gastrointest</w:t>
      </w:r>
      <w:proofErr w:type="spellEnd"/>
      <w:r w:rsidR="000B1DF9" w:rsidRPr="007F12AB">
        <w:rPr>
          <w:rStyle w:val="publisherid"/>
          <w:rFonts w:ascii="Book Antiqua" w:hAnsi="Book Antiqua"/>
          <w:i/>
          <w:lang w:val="en-US"/>
        </w:rPr>
        <w:t xml:space="preserve"> </w:t>
      </w:r>
      <w:proofErr w:type="spellStart"/>
      <w:r w:rsidR="000B1DF9" w:rsidRPr="007F12AB">
        <w:rPr>
          <w:rStyle w:val="publisherid"/>
          <w:rFonts w:ascii="Book Antiqua" w:hAnsi="Book Antiqua"/>
          <w:i/>
          <w:lang w:val="en-US"/>
        </w:rPr>
        <w:t>Endosc</w:t>
      </w:r>
      <w:proofErr w:type="spellEnd"/>
      <w:r w:rsidR="000B1DF9" w:rsidRPr="007F12AB">
        <w:rPr>
          <w:rFonts w:ascii="Book Antiqua" w:hAnsi="Book Antiqua"/>
          <w:i/>
          <w:lang w:val="en-US"/>
        </w:rPr>
        <w:t xml:space="preserve"> </w:t>
      </w:r>
      <w:r w:rsidR="000B1DF9" w:rsidRPr="007F12AB">
        <w:rPr>
          <w:rFonts w:ascii="Book Antiqua" w:hAnsi="Book Antiqua"/>
          <w:lang w:val="en-US"/>
        </w:rPr>
        <w:t xml:space="preserve">2019; </w:t>
      </w:r>
      <w:r w:rsidR="00DE76F7">
        <w:rPr>
          <w:rFonts w:ascii="Book Antiqua" w:hAnsi="Book Antiqua"/>
        </w:rPr>
        <w:t>11(</w:t>
      </w:r>
      <w:r>
        <w:rPr>
          <w:rFonts w:ascii="Book Antiqua" w:eastAsia="宋体" w:hAnsi="Book Antiqua" w:hint="eastAsia"/>
          <w:lang w:eastAsia="zh-CN"/>
        </w:rPr>
        <w:t>5</w:t>
      </w:r>
      <w:r w:rsidR="00DE76F7">
        <w:rPr>
          <w:rFonts w:ascii="Book Antiqua" w:hAnsi="Book Antiqua"/>
        </w:rPr>
        <w:t xml:space="preserve">): </w:t>
      </w:r>
      <w:r>
        <w:rPr>
          <w:rFonts w:ascii="Book Antiqua" w:eastAsia="宋体" w:hAnsi="Book Antiqua" w:hint="eastAsia"/>
          <w:lang w:eastAsia="zh-CN"/>
        </w:rPr>
        <w:t>322</w:t>
      </w:r>
      <w:r w:rsidR="00DE76F7">
        <w:rPr>
          <w:rFonts w:ascii="Book Antiqua" w:hAnsi="Book Antiqua"/>
        </w:rPr>
        <w:t>-</w:t>
      </w:r>
      <w:r>
        <w:rPr>
          <w:rFonts w:ascii="Book Antiqua" w:eastAsia="宋体" w:hAnsi="Book Antiqua" w:hint="eastAsia"/>
          <w:lang w:eastAsia="zh-CN"/>
        </w:rPr>
        <w:t>328</w:t>
      </w:r>
    </w:p>
    <w:bookmarkEnd w:id="71"/>
    <w:p w14:paraId="2CBF1E98" w14:textId="4EA6F03C" w:rsidR="00741C72" w:rsidRDefault="00741C72" w:rsidP="00741C72">
      <w:pPr>
        <w:spacing w:line="360" w:lineRule="auto"/>
        <w:jc w:val="both"/>
        <w:rPr>
          <w:rFonts w:ascii="Book Antiqua" w:hAnsi="Book Antiqua"/>
        </w:rPr>
      </w:pPr>
      <w:r>
        <w:rPr>
          <w:rFonts w:ascii="Book Antiqua" w:hAnsi="Book Antiqua"/>
          <w:b/>
        </w:rPr>
        <w:t xml:space="preserve">URL: </w:t>
      </w:r>
      <w:r>
        <w:rPr>
          <w:rFonts w:ascii="Book Antiqua" w:hAnsi="Book Antiqua"/>
        </w:rPr>
        <w:t>https://www.wjgnet.com/1948-5190/full/v11/i</w:t>
      </w:r>
      <w:r>
        <w:rPr>
          <w:rFonts w:ascii="Book Antiqua" w:eastAsia="宋体" w:hAnsi="Book Antiqua" w:hint="eastAsia"/>
          <w:lang w:eastAsia="zh-CN"/>
        </w:rPr>
        <w:t>5</w:t>
      </w:r>
      <w:r>
        <w:rPr>
          <w:rFonts w:ascii="Book Antiqua" w:hAnsi="Book Antiqua"/>
        </w:rPr>
        <w:t>/</w:t>
      </w:r>
      <w:r>
        <w:rPr>
          <w:rFonts w:ascii="Book Antiqua" w:eastAsia="宋体" w:hAnsi="Book Antiqua" w:hint="eastAsia"/>
          <w:lang w:eastAsia="zh-CN"/>
        </w:rPr>
        <w:t>322</w:t>
      </w:r>
      <w:r>
        <w:rPr>
          <w:rFonts w:ascii="Book Antiqua" w:hAnsi="Book Antiqua"/>
        </w:rPr>
        <w:t xml:space="preserve">.htm  </w:t>
      </w:r>
    </w:p>
    <w:p w14:paraId="3B058915" w14:textId="5882104F" w:rsidR="00741C72" w:rsidRPr="00741C72" w:rsidRDefault="00741C72" w:rsidP="00741C72">
      <w:pPr>
        <w:spacing w:line="360" w:lineRule="auto"/>
        <w:jc w:val="both"/>
        <w:rPr>
          <w:rFonts w:ascii="Book Antiqua" w:eastAsia="宋体" w:hAnsi="Book Antiqua" w:hint="eastAsia"/>
          <w:color w:val="FF0000"/>
          <w:lang w:eastAsia="zh-CN"/>
        </w:rPr>
      </w:pPr>
      <w:r>
        <w:rPr>
          <w:rFonts w:ascii="Book Antiqua" w:hAnsi="Book Antiqua"/>
          <w:b/>
        </w:rPr>
        <w:t>DOI:</w:t>
      </w:r>
      <w:r>
        <w:rPr>
          <w:rFonts w:ascii="Book Antiqua" w:hAnsi="Book Antiqua"/>
        </w:rPr>
        <w:t xml:space="preserve"> https://dx.doi.org/10.4253/wjge.v11.i</w:t>
      </w:r>
      <w:r>
        <w:rPr>
          <w:rFonts w:ascii="Book Antiqua" w:eastAsia="宋体" w:hAnsi="Book Antiqua" w:hint="eastAsia"/>
          <w:lang w:eastAsia="zh-CN"/>
        </w:rPr>
        <w:t>5</w:t>
      </w:r>
      <w:r>
        <w:rPr>
          <w:rFonts w:ascii="Book Antiqua" w:hAnsi="Book Antiqua"/>
        </w:rPr>
        <w:t>.</w:t>
      </w:r>
      <w:r>
        <w:rPr>
          <w:rFonts w:ascii="Book Antiqua" w:eastAsia="宋体" w:hAnsi="Book Antiqua" w:hint="eastAsia"/>
          <w:lang w:eastAsia="zh-CN"/>
        </w:rPr>
        <w:t>322</w:t>
      </w:r>
    </w:p>
    <w:p w14:paraId="28744F6A" w14:textId="77777777" w:rsidR="00F2644D" w:rsidRPr="007F12AB" w:rsidRDefault="00F2644D" w:rsidP="0026431D">
      <w:pPr>
        <w:spacing w:line="360" w:lineRule="auto"/>
        <w:jc w:val="both"/>
        <w:rPr>
          <w:rFonts w:ascii="Book Antiqua" w:hAnsi="Book Antiqua"/>
          <w:lang w:val="en-US"/>
        </w:rPr>
      </w:pPr>
    </w:p>
    <w:p w14:paraId="24094E0F" w14:textId="40C249FD" w:rsidR="00CB6256" w:rsidRPr="007F12AB" w:rsidRDefault="00A40CA6" w:rsidP="00DE76F7">
      <w:pPr>
        <w:spacing w:line="360" w:lineRule="auto"/>
        <w:jc w:val="both"/>
        <w:rPr>
          <w:rFonts w:ascii="Book Antiqua" w:hAnsi="Book Antiqua" w:cs="Arial"/>
          <w:lang w:val="en-US"/>
        </w:rPr>
      </w:pPr>
      <w:r w:rsidRPr="007F12AB">
        <w:rPr>
          <w:rFonts w:ascii="Book Antiqua" w:eastAsia="BookAntiqua" w:hAnsi="Book Antiqua" w:cs="BookAntiqua"/>
          <w:b/>
          <w:lang w:val="en-US"/>
        </w:rPr>
        <w:br w:type="page"/>
      </w:r>
      <w:r w:rsidR="00CB6256" w:rsidRPr="007F12AB">
        <w:rPr>
          <w:rFonts w:ascii="Book Antiqua" w:hAnsi="Book Antiqua" w:cs="Arial"/>
          <w:lang w:val="en-US"/>
        </w:rPr>
        <w:lastRenderedPageBreak/>
        <w:t>Obesity is a disease that is characterized by inflammation of adipose tissue and increased levels of systemic inflammatory cytokines, which are associated with debilitating comorbidities. Obesity has been deemed a pandemic by the World Health Organization, effecting approximately 700 million adults worldwide with an additional 2 billion overweight. It is associated with metabolic conditions, such as type 2 diabetes, cardiovascular diseases, hyperlipidemia, fatty liver, hypertension, osteoporosis, and other diseases. Additionally, obesity is second only to tobacco as a preventable risk factor for a number of cancers</w:t>
      </w:r>
      <w:r w:rsidR="00A637CD" w:rsidRPr="007F12AB">
        <w:rPr>
          <w:rFonts w:ascii="Book Antiqua" w:hAnsi="Book Antiqua" w:cs="Arial"/>
          <w:lang w:val="en-US"/>
        </w:rPr>
        <w:fldChar w:fldCharType="begin" w:fldLock="1"/>
      </w:r>
      <w:r w:rsidR="00A637CD" w:rsidRPr="007F12AB">
        <w:rPr>
          <w:rFonts w:ascii="Book Antiqua" w:hAnsi="Book Antiqua" w:cs="Arial"/>
          <w:lang w:val="en-US"/>
        </w:rPr>
        <w:instrText>ADDIN CSL_CITATION {"citationItems":[{"id":"ITEM-1","itemData":{"URL":"http://www.who.int/news-room/fact-sheets/detail/obesity-and-overweight.","accessed":{"date-parts":[["2019","7","3"]]},"author":[{"dropping-particle":"","family":"WHO","given":"","non-dropping-particle":"","parse-names":false,"suffix":""}],"id":"ITEM-1","issued":{"date-parts":[["2018"]]},"title":"Obesity and overweight factsheet","type":"webpage"},"uris":["http://www.mendeley.com/documents/?uuid=4004421f-f4e9-4831-b9d6-d5e71a53a405"]},{"id":"ITEM-2","itemData":{"DOI":"10.1159/000494333","ISSN":"1662-4033","PMID":"30654360","abstract":"BACKGROUND Bariatric surgery is associated with greater and more sustainable weight loss compared with lifestyle intervention programs. On the other hand, bariatric surgery may also be associated with physical and psychosocial complications. The influence of psychological evaluation on treatment choice, however, is not known. We aimed to examine variables associated with treatment choice and, specifically, if self-reported lifetime adversity influenced obesity treatment, i.e. bariatric surgery, high-intensive lifestyle treatment or low-intensive lifestyle treatment in primary care. METHODS We consecutively included 924 patients from the registry study of patients with morbid obesity at Akershus University Hospital, Lørenskog, Norway. Treatment selection was made through a shared decision-making process. Self-reported lifetime adversity was registered by trained personnel. Logistic regression models were used to assess the associations between obesity treatment and possible predictors. RESULTS Patients who chose bariatric surgery were more likely to have type 2 diabetes (DM2) compared with patients who chose lifestyle treatment (bariatric surgery: 35%, high-intensive lifestyle treatment: 26%, and low-intensive lifestyle treatment: 26%; p = 0.035). Patients who chose bariatric surgery were less likely than patients who chose lifestyle intervention to report lifetime adversity (bariatric surgery: 39%, high-intensive lifestyle treatment: 47%, and low-intensive lifestyle treatment: 51%; p = 0.004). After multivariable adjustments, increasing BMI, having DM2, and joint pain were associated with choosing bariatric surgery over non-surgical obesity treatment (odds ratio [95% CI]: BMI 1.03 [1.01-1.06], DM2 1.47 [1.09-1.99], and joint pain 1.46 [1.08-1.96]). Self-reported lifetime adversity was furthermore associated with lower odds of choosing bariatric surgery in patients with morbid obesity (0.67 [0.51-0.89]). CONCLUSION This study shows that increasing BMI, DM2, and joint pain were all associated with treatment choice for obesity. In addition, self-reported lifetime adversity was associated with the patients' treatment choice for morbid obesity. Consequently, we suggest that decisions concerning obesity treatment should include dialogue-based assessments of the patients' lifetime adversity.","author":[{"dropping-particle":"","family":"Rønningen","given":"Reidun","non-dropping-particle":"","parse-names":false,"suffix":""},{"dropping-particle":"","family":"Wammer","given":"Anne Cathrine Parelius","non-dropping-particle":"","parse-names":false,"suffix":""},{"dropping-particle":"","family":"Grabner","given":"Nina Holte","non-dropping-particle":"","parse-names":false,"suffix":""},{"dropping-particle":"","family":"Valderhaug","given":"Tone Gretland","non-dropping-particle":"","parse-names":false,"suffix":""}],"container-title":"Obesity facts","id":"ITEM-2","issue":"1","issued":{"date-parts":[["2019","1","17"]]},"page":"1-13","title":"Associations between Lifetime Adversity and Obesity Treatment in Patients with Morbid Obesity.","type":"article-journal","volume":"12"},"uris":["http://www.mendeley.com/documents/?uuid=0640a2d4-c2be-431f-8953-854978c9c328"]}],"mendeley":{"formattedCitation":"&lt;sup&gt;[1,2]&lt;/sup&gt;","plainTextFormattedCitation":"[1,2]","previouslyFormattedCitation":"&lt;sup&gt;[1,2]&lt;/sup&gt;"},"properties":{"noteIndex":0},"schema":"https://github.com/citation-style-language/schema/raw/master/csl-citation.json"}</w:instrText>
      </w:r>
      <w:r w:rsidR="00A637CD" w:rsidRPr="007F12AB">
        <w:rPr>
          <w:rFonts w:ascii="Book Antiqua" w:hAnsi="Book Antiqua" w:cs="Arial"/>
          <w:lang w:val="en-US"/>
        </w:rPr>
        <w:fldChar w:fldCharType="separate"/>
      </w:r>
      <w:r w:rsidR="00A637CD" w:rsidRPr="007F12AB">
        <w:rPr>
          <w:rFonts w:ascii="Book Antiqua" w:hAnsi="Book Antiqua" w:cs="Arial"/>
          <w:noProof/>
          <w:vertAlign w:val="superscript"/>
          <w:lang w:val="en-US"/>
        </w:rPr>
        <w:t>[1,2]</w:t>
      </w:r>
      <w:r w:rsidR="00A637CD" w:rsidRPr="007F12AB">
        <w:rPr>
          <w:rFonts w:ascii="Book Antiqua" w:hAnsi="Book Antiqua" w:cs="Arial"/>
          <w:lang w:val="en-US"/>
        </w:rPr>
        <w:fldChar w:fldCharType="end"/>
      </w:r>
      <w:r w:rsidR="00CB6256" w:rsidRPr="007F12AB">
        <w:rPr>
          <w:rFonts w:ascii="Book Antiqua" w:hAnsi="Book Antiqua" w:cs="Arial"/>
          <w:lang w:val="en-US"/>
        </w:rPr>
        <w:t>. The most effective and durable treatment for obesity is bariatric and metabolic surgery</w:t>
      </w:r>
      <w:r w:rsidR="00A637CD" w:rsidRPr="007F12AB">
        <w:rPr>
          <w:rFonts w:ascii="Book Antiqua" w:hAnsi="Book Antiqua" w:cs="Arial"/>
          <w:lang w:val="en-US"/>
        </w:rPr>
        <w:fldChar w:fldCharType="begin" w:fldLock="1"/>
      </w:r>
      <w:r w:rsidR="00A637CD" w:rsidRPr="007F12AB">
        <w:rPr>
          <w:rFonts w:ascii="Book Antiqua" w:hAnsi="Book Antiqua" w:cs="Arial"/>
          <w:lang w:val="en-US"/>
        </w:rPr>
        <w:instrText>ADDIN CSL_CITATION {"citationItems":[{"id":"ITEM-1","itemData":{"DOI":"10.1016/j.soard.2018.10.016","ISSN":"1878-7533","PMID":"30514669","abstract":"The practice of metabolic and bariatric surgery for adolescents with severe obesity has been increasing, and evidence of the outcomes in the long term remains unclear. The aim of this study was to review and analyze the outcomes of this therapy in adolescents with a follow-up ≥5 years. MEDLINE, EMBASE, and Cochrane databases were systematically searched. Inclusion criteria were 10- to &lt; 20-year-old adolescents, 5 years minimum of follow-up, and a retention rate ≥70% at 5 years of follow-up. Adiposity indicators outcomes, co-morbidity remission, and complications were analyzed. A total of 10 studies met the inclusion criteria. Surgeries performed included gastric bypass, gastric band, and sleeve gastrectomy. The age of the participants ranged from 13 to 17 years. The longest follow-up after intervention was 156 months. Mean body mass index at baseline and follow-up was 47 and 32.4 kg/m 2 , respectively. Most of the studies reported weight regain within 1 to 12 years of follow-up. Remission rate of co-morbidities was 75% for dyslipidemia, 78% for musculoskeletal problems, 85% for hypertension, and 85% for type 2 diabetes. Not all studies stated that they were looking for all complications. Iron deficiency and anemia were high, ranging from 30% to 70% and 16% to 50%, respectively. The review indicates that there is low to moderate evidence that metabolic and bariatric surgery in adolescents with severe obesity after 5 years of follow-up results in substantial reduction in body mass index, and very low to low evidence in the resolution of related co-morbidities. Although long-term complications were inadequately reported or nonreported, a high prevalence of iron deficiency and anemia was found. Because maternal anemia might be implicated in deleterious effects for offspring, monitoring female patients for anemia after metabolic and bariatric surgery is strongly recommended. Further high-quality studies with long-term follow-up are warranted to assess related co-morbidities and long-term complications.","author":[{"dropping-particle":"","family":"Ruiz-Cota","given":"Patricia","non-dropping-particle":"","parse-names":false,"suffix":""},{"dropping-particle":"","family":"Bacardí-Gascón","given":"Montserrat","non-dropping-particle":"","parse-names":false,"suffix":""},{"dropping-particle":"","family":"Jiménez-Cruz","given":"Arturo","non-dropping-particle":"","parse-names":false,"suffix":""}],"container-title":"Surgery for obesity and related diseases : official journal of the American Society for Bariatric Surgery","id":"ITEM-1","issued":{"date-parts":[["2018","10","26"]]},"title":"Long-term outcomes of metabolic and bariatric surgery in adolescents with severe obesity with a follow-up of at least 5 years: A systematic review.","type":"article-journal"},"uris":["http://www.mendeley.com/documents/?uuid=55c04812-4073-47d9-9636-275e34048d7e"]},{"id":"ITEM-2","itemData":{"DOI":"10.1007/s11695-018-3550-z","ISSN":"0960-8923","author":[{"dropping-particle":"","family":"Khosravi-Largani","given":"Matin","non-dropping-particle":"","parse-names":false,"suffix":""},{"dropping-particle":"","family":"Nojomi","given":"Marzieh","non-dropping-particle":"","parse-names":false,"suffix":""},{"dropping-particle":"","family":"Aghili","given":"Rokhsareh","non-dropping-particle":"","parse-names":false,"suffix":""},{"dropping-particle":"","family":"Otaghvar","given":"Hamidreza Alizadeh","non-dropping-particle":"","parse-names":false,"suffix":""},{"dropping-particle":"","family":"Tanha","given":"Kiarash","non-dropping-particle":"","parse-names":false,"suffix":""},{"dropping-particle":"","family":"Seyedi","given":"Seyyed Hashem Sezavar","non-dropping-particle":"","parse-names":false,"suffix":""},{"dropping-particle":"","family":"Mottaghi","given":"Azadeh","non-dropping-particle":"","parse-names":false,"suffix":""}],"container-title":"Obesity Surgery","id":"ITEM-2","issue":"2","issued":{"date-parts":[["2019","2","16"]]},"page":"651-690","title":"Evaluation of all Types of Metabolic Bariatric Surgery and its Consequences: a Systematic Review and Meta-Analysis","type":"article-journal","volume":"29"},"uris":["http://www.mendeley.com/documents/?uuid=ef77559e-eb4b-49cb-bed6-3c74bd160345"]},{"id":"ITEM-3","itemData":{"DOI":"10.1007/s11695-018-3330-9","ISSN":"1708-0428","PMID":"29951784","abstract":"BACKGROUND Laparoscopic greater curvature plication (LGP) has recently emerged as a new bariatric procedure. This surgery provides gastric restriction without resection, which could potentially provide a lower risk alternative, with fewer complications. The real benefit of this technique in the short and long term is unknown. This systematic review aims to compare laparoscopic gastric plication and laparoscopic sleeve gastrectomy for obesity treatment. METHODS Clinical trials were identified in MEDLINE, Embase, Cochrane, LILACS, BVS, SCOPUS, and CINAHL databases. Comparison of LGP and laparoscopic sleeve gastrectomy (SG) included hospital stay, operative time, loss of hunger feeling, body mass index loss (BMIL), percentage of excess weight loss (%EWL), complications, symptoms in the postoperative period, and comorbidity remission or improvement. RESULTS This systematic review search included 17,423 records. Eight studies were selected for meta-analysis. There is no difference in operative time, hospital stay, and complications. Patients in the SG group had improved loss of hunger feeling. BMIL was better in the SG group at 12 and 24 months [mean difference (MD) - 2.19, 95% confidence interval (CI) - 3.10 to - 1.28, and MD - 4.59, 95% CI - 5.55 to - 3.63, respectively]. SG showed improved %EWL compared with gastric plication in 3, 6, 12, and 24 months. However, no difference was found in %EWL long-term results (24 and 36 months). Patients who underwent LGP had more sialorrhea. SG showed better results in diabetes remission. CONCLUSIONS SG showed improved weight loss when compared with LGP, with better satiety, fewer symptoms in the postoperative period, and improved diabetes remission.","author":[{"dropping-particle":"","family":"Barrichello","given":"Sergio","non-dropping-particle":"","parse-names":false,"suffix":""},{"dropping-particle":"","family":"Minata","given":"Mauricio Kazuyoshi","non-dropping-particle":"","parse-names":false,"suffix":""},{"dropping-particle":"","family":"García Ruiz de Gordejuela","given":"Amador","non-dropping-particle":"","parse-names":false,"suffix":""},{"dropping-particle":"","family":"Bernardo","given":"Wanderley Marques","non-dropping-particle":"","parse-names":false,"suffix":""},{"dropping-particle":"","family":"Souza","given":"Thiago Ferreira","non-dropping-particle":"de","parse-names":false,"suffix":""},{"dropping-particle":"","family":"Galvão Neto","given":"Manoel","non-dropping-particle":"","parse-names":false,"suffix":""},{"dropping-particle":"","family":"Hourneaux de Moura","given":"Diogo Turiani","non-dropping-particle":"","parse-names":false,"suffix":""},{"dropping-particle":"","family":"Santo","given":"Marco Aurélio","non-dropping-particle":"","parse-names":false,"suffix":""},{"dropping-particle":"","family":"Hourneaux de Moura","given":"Eduardo Guimarães","non-dropping-particle":"","parse-names":false,"suffix":""}],"container-title":"Obesity surgery","id":"ITEM-3","issue":"10","issued":{"date-parts":[["2018","10"]]},"page":"3199-3212","title":"Laparoscopic Greater Curvature Plication and Laparoscopic Sleeve Gastrectomy Treatments for Obesity: Systematic Review and Meta-Analysis of Short- and Mid-Term Results.","type":"article-journal","volume":"28"},"uris":["http://www.mendeley.com/documents/?uuid=d1831842-417b-4fea-b583-931b4b482b74"]}],"mendeley":{"formattedCitation":"&lt;sup&gt;[3–5]&lt;/sup&gt;","plainTextFormattedCitation":"[3–5]","previouslyFormattedCitation":"&lt;sup&gt;[3–5]&lt;/sup&gt;"},"properties":{"noteIndex":0},"schema":"https://github.com/citation-style-language/schema/raw/master/csl-citation.json"}</w:instrText>
      </w:r>
      <w:r w:rsidR="00A637CD" w:rsidRPr="007F12AB">
        <w:rPr>
          <w:rFonts w:ascii="Book Antiqua" w:hAnsi="Book Antiqua" w:cs="Arial"/>
          <w:lang w:val="en-US"/>
        </w:rPr>
        <w:fldChar w:fldCharType="separate"/>
      </w:r>
      <w:r w:rsidR="00A637CD" w:rsidRPr="007F12AB">
        <w:rPr>
          <w:rFonts w:ascii="Book Antiqua" w:hAnsi="Book Antiqua" w:cs="Arial"/>
          <w:noProof/>
          <w:vertAlign w:val="superscript"/>
          <w:lang w:val="en-US"/>
        </w:rPr>
        <w:t>[3</w:t>
      </w:r>
      <w:r w:rsidRPr="007F12AB">
        <w:rPr>
          <w:rFonts w:ascii="Book Antiqua" w:hAnsi="Book Antiqua" w:cs="Arial"/>
          <w:noProof/>
          <w:vertAlign w:val="superscript"/>
          <w:lang w:val="en-US"/>
        </w:rPr>
        <w:t>-</w:t>
      </w:r>
      <w:r w:rsidR="00A637CD" w:rsidRPr="007F12AB">
        <w:rPr>
          <w:rFonts w:ascii="Book Antiqua" w:hAnsi="Book Antiqua" w:cs="Arial"/>
          <w:noProof/>
          <w:vertAlign w:val="superscript"/>
          <w:lang w:val="en-US"/>
        </w:rPr>
        <w:t>5]</w:t>
      </w:r>
      <w:r w:rsidR="00A637CD" w:rsidRPr="007F12AB">
        <w:rPr>
          <w:rFonts w:ascii="Book Antiqua" w:hAnsi="Book Antiqua" w:cs="Arial"/>
          <w:lang w:val="en-US"/>
        </w:rPr>
        <w:fldChar w:fldCharType="end"/>
      </w:r>
      <w:r w:rsidR="00CB6256" w:rsidRPr="007F12AB">
        <w:rPr>
          <w:rFonts w:ascii="Book Antiqua" w:hAnsi="Book Antiqua" w:cs="Arial"/>
          <w:lang w:val="en-US"/>
        </w:rPr>
        <w:t>. However, disadvantages include the irreversible nature of the procedures and the non-negligible morbidity and mortality rates</w:t>
      </w:r>
      <w:r w:rsidR="00A637CD" w:rsidRPr="007F12AB">
        <w:rPr>
          <w:rFonts w:ascii="Book Antiqua" w:hAnsi="Book Antiqua" w:cs="Arial"/>
          <w:lang w:val="en-US"/>
        </w:rPr>
        <w:fldChar w:fldCharType="begin" w:fldLock="1"/>
      </w:r>
      <w:r w:rsidR="004B4BE6" w:rsidRPr="007F12AB">
        <w:rPr>
          <w:rFonts w:ascii="Book Antiqua" w:hAnsi="Book Antiqua" w:cs="Arial"/>
          <w:lang w:val="en-US"/>
        </w:rPr>
        <w:instrText>ADDIN CSL_CITATION {"citationItems":[{"id":"ITEM-1","itemData":{"DOI":"10.1056/NEJMoa0901836","ISSN":"1533-4406","PMID":"19641201","abstract":"BACKGROUND To improve decision making in the treatment of extreme obesity, the risks of bariatric surgical procedures require further characterization. METHODS We performed a prospective, multicenter, observational study of 30-day outcomes in consecutive patients undergoing bariatric surgical procedures at 10 clinical sites in the United States from 2005 through 2007. A composite end point of 30-day major adverse outcomes (including death; venous thromboembolism; percutaneous, endoscopic, or operative reintervention; and failure to be discharged from the hospital) was evaluated among patients undergoing first-time bariatric surgery. RESULTS There were 4776 patients who had a first-time bariatric procedure (mean age, 44.5 years; 21.1% men; 10.9% nonwhite; median body-mass index [the weight in kilograms divided by the square of the height in meters], 46.5). More than half had at least two coexisting conditions. A Roux-en-Y gastric bypass was performed in 3412 patients (with 87.2% of the procedures performed laparoscopically), and laparoscopic adjustable gastric banding was performed in 1198 patients; 166 patients underwent other procedures and were not included in the analysis. The 30-day rate of death among patients who underwent a Roux-en-Y gastric bypass or laparoscopic adjustable gastric banding was 0.3%; a total of 4.3% of patients had at least one major adverse outcome. A history of deep-vein thrombosis or pulmonary embolus, a diagnosis of obstructive sleep apnea, and impaired functional status were each independently associated with an increased risk of the composite end point. Extreme values of body-mass index were significantly associated with an increased risk of the composite end point, whereas age, sex, race, ethnic group, and other coexisting conditions were not. CONCLUSIONS The overall risk of death and other adverse outcomes after bariatric surgery was low and varied considerably according to patient characteristics. In helping patients make appropriate choices, short-term safety should be considered in conjunction with both the long-term effects of bariatric surgery and the risks associated with being extremely obese. (ClinicalTrials.gov number, NCT00433810.)","author":[{"dropping-particle":"","family":"Longitudinal Assessment of Bariatric Surgery (LABS) Consortium","given":"","non-dropping-particle":"","parse-names":false,"suffix":""},{"dropping-particle":"","family":"Flum","given":"David Reed","non-dropping-particle":"","parse-names":false,"suffix":""},{"dropping-particle":"","family":"Belle","given":"Steven H","non-dropping-particle":"","parse-names":false,"suffix":""},{"dropping-particle":"","family":"King","given":"Wendy C","non-dropping-particle":"","parse-names":false,"suffix":""},{"dropping-particle":"","family":"Wahed","given":"Abdus S","non-dropping-particle":"","parse-names":false,"suffix":""},{"dropping-particle":"","family":"Berk","given":"Paul","non-dropping-particle":"","parse-names":false,"suffix":""},{"dropping-particle":"","family":"Chapman","given":"William","non-dropping-particle":"","parse-names":false,"suffix":""},{"dropping-particle":"","family":"Pories","given":"Walter","non-dropping-particle":"","parse-names":false,"suffix":""},{"dropping-particle":"","family":"Courcoulas","given":"Anita","non-dropping-particle":"","parse-names":false,"suffix":""},{"dropping-particle":"","family":"McCloskey","given":"Carol","non-dropping-particle":"","parse-names":false,"suffix":""},{"dropping-particle":"","family":"Mitchell","given":"James","non-dropping-particle":"","parse-names":false,"suffix":""},{"dropping-particle":"","family":"Patterson","given":"Emma","non-dropping-particle":"","parse-names":false,"suffix":""},{"dropping-particle":"","family":"Pomp","given":"Alfons","non-dropping-particle":"","parse-names":false,"suffix":""},{"dropping-particle":"","family":"Staten","given":"Myrlene A","non-dropping-particle":"","parse-names":false,"suffix":""},{"dropping-particle":"","family":"Yanovski","given":"Susan Z","non-dropping-particle":"","parse-names":false,"suffix":""},{"dropping-particle":"","family":"Thirlby","given":"Richard","non-dropping-particle":"","parse-names":false,"suffix":""},{"dropping-particle":"","family":"Wolfe","given":"Bruce","non-dropping-particle":"","parse-names":false,"suffix":""}],"container-title":"The New England journal of medicine","id":"ITEM-1","issue":"5","issued":{"date-parts":[["2009","7","30"]]},"page":"445-54","title":"Perioperative safety in the longitudinal assessment of bariatric surgery.","type":"article-journal","volume":"361"},"uris":["http://www.mendeley.com/documents/?uuid=f5cc5f64-0a1d-49f4-b4ca-717045dfb45d"]},{"id":"ITEM-2","itemData":{"DOI":"10.1016/j.soard.2015.04.011","ISSN":"1878-7533","PMID":"26410537","abstract":"BACKGROUND Short- and mid-term data on Roux-en-Y gastric bypass (RYGB) indicate sustained weight loss and improvement in co-morbidities. Few long-term studies exist, some of which are outdated, based on open procedures or different techniques. OBJECTIVES To investigate long-term weight loss, co-morbidity remission, nutritional status, and complication rates among patients undergoing RYGB. SETTING An academic, university hospital in the United States. METHODS Between October 2000 and January 2004, patients who underwent RYGB≥10 years before study onset were eligible for chart review, office visits, and telephone interviews. Revisional surgery was an endpoint, ceasing eligibility for study follow-up. Outcomes included weight loss measures and rates of co-morbidity remission, complications, and nutritional deficiencies. RESULTS RYGB was performed in 328 patients with a mean preoperative body mass index of 47.5 kg/m(2). Of 294 eligible patients, 134 (46%) were contacted for follow-up at ≥ 10 years (10+Year follow-up). Mean percentage excess weight loss (%EWL) was 58.9% at 10+Year. Higher %EWL was achieved by non-super-obese versus super-obese (61.3% versus 52.9%, P = .034). Blood pressure, lipid panel, and hemoglobin A1c improved significantly. At 10 years, remission of co-morbidities was 46% for hypertension and hyperlipidemia and 58% for diabetes mellitus. Thirty patients (9%) had revisional surgery for weight regain. Sixty-four patients (19.5%) had long-term complications requiring surgery. All-cause mortality was 2.7%. Nutritional deficiencies were seen in 87% of patients. CONCLUSIONS Weight loss after RYGB appears to be significant and sustainable, especially in the non-super-obese. Co-morbidities are improved, with a substantial number in remission a decade later. Nutritional deficiencies are almost universal.","author":[{"dropping-particle":"","family":"Obeid","given":"Nabeel R","non-dropping-particle":"","parse-names":false,"suffix":""},{"dropping-particle":"","family":"Malick","given":"Waqas","non-dropping-particle":"","parse-names":false,"suffix":""},{"dropping-particle":"","family":"Concors","given":"Seth J","non-dropping-particle":"","parse-names":false,"suffix":""},{"dropping-particle":"","family":"Fielding","given":"George A","non-dropping-particle":"","parse-names":false,"suffix":""},{"dropping-particle":"","family":"Kurian","given":"Marina S","non-dropping-particle":"","parse-names":false,"suffix":""},{"dropping-particle":"","family":"Ren-Fielding","given":"Christine J","non-dropping-particle":"","parse-names":false,"suffix":""}],"container-title":"Surgery for obesity and related diseases : official journal of the American Society for Bariatric Surgery","id":"ITEM-2","issue":"1","issued":{"date-parts":[["2016","1"]]},"page":"11-20","title":"Long-term outcomes after Roux-en-Y gastric bypass: 10- to 13-year data.","type":"article-journal","volume":"12"},"uris":["http://www.mendeley.com/documents/?uuid=7809bb4f-bea2-46f2-a2d8-f95b54558452"]},{"id":"ITEM-3","itemData":{"DOI":"10.1055/a-0842-6287","ISBN":"0930-2794","ISSN":"1438-8812","PMID":"30791049","abstract":"BACKGROUND: Peroral esophageal myotomy (POEM) is a new endoscopic operation for the treatment of achalasia. Here, we report 1-year physiologic and symptomatic outcomes following the procedure.\\n\\nMETHODS: POEM patients from a single-institution series who were more than 1 year removed from surgery were studied. Eckardt and GerdQ scores were obtained to assess symptoms. High-resolution manometry (HRM), timed barium esophagram (TBE), and upper endoscopy were preformed preoperatively and at 1-year follow-up. 24-h pH monitoring was also performed at 1 year follow-up.\\n\\nRESULTS: The study population was comprised of 41 patients who were more than 1 year post-POEM. One (2 %) major complication, a contained leak at the EGJ requiring re-operation, and 7 (17 %) minor complications occurred. Mean length of stay was 1.4 days. At mean 15-month follow-up, Eckardt scores improved from pre-POEM 7 ± 2 to post-POEM 1 ± 2, (scale 0-12, p &lt; .001), and 92 % of patients achieved treatment success (Eckardt score &lt;4). Two of the three treatment failures in the series occurred in the initial three patients. 15 % of patients had post-POEM symptoms suggestive of gastroesophageal reflux (GerdQ &gt;7). On follow-up HRM, esophagogastric junction integrated relaxation pressure was decreased significantly (pre-POEM 28 ± 12 mmHg vs. post-POEM 11 ± 4 mmHg, p &lt; .001), and 47 % of patients studied had partial recovery of peristalsis. On follow-up TBE, barium column heights were decreased compared with preoperatively. Postoperative upper endoscopy revealed esophagitis in 59 % of patients (11 LA Grade A, 2 LA Grade D). However, of the 13 24-h pH monitoring studies performed, only four (31 %) demonstrated pathologic esophageal acid exposure.\\n\\nCONCLUSIONS: In this series, POEM resulted in greater than 90 % symptomatic treatment success at mean 15-month follow-up. Rates of iatrogenic gastroesophageal reflux, as measured both by symptoms and 24-h pH monitoring, appeared to be on par with recent studies of patients undergoing laparoscopic Heller myotomy and pneumatic dilation.","author":[{"dropping-particle":"","family":"Moura","given":"Diogo Turiani Hourneaux","non-dropping-particle":"de","parse-names":false,"suffix":""},{"dropping-particle":"","family":"Ribeiro","given":"Igor Braga","non-dropping-particle":"","parse-names":false,"suffix":""},{"dropping-particle":"","family":"Funari","given":"Mateus Pereira","non-dropping-particle":"","parse-names":false,"suffix":""},{"dropping-particle":"","family":"Baptista","given":"Alberto","non-dropping-particle":"","parse-names":false,"suffix":""},{"dropping-particle":"","family":"Thompson","given":"Christopher C","non-dropping-particle":"","parse-names":false,"suffix":""},{"dropping-particle":"","family":"Moura","given":"Eduardo Guimarães Hourneaux","non-dropping-particle":"de","parse-names":false,"suffix":""}],"container-title":"Endoscopy","id":"ITEM-3","issue":"12","issued":{"date-parts":[["2019","2","21"]]},"page":"3359-3365","title":"Novel use of a cardiac septal occluder to treat a chronic recalcitrant bariatric fistula after Roux-en-Y gastric bypass.","type":"article-journal","volume":"28"},"uris":["http://www.mendeley.com/documents/?uuid=ecf10278-2634-4c39-9435-838c9c78c9f4"]},{"id":"ITEM-4","itemData":{"DOI":"10.1016/j.gie.2018.11.034","ISSN":"00165107","author":[{"dropping-particle":"","family":"Baptista","given":"Alberto","non-dropping-particle":"","parse-names":false,"suffix":""},{"dropping-particle":"","family":"Moura","given":"Diogo Turiani Hourneaux","non-dropping-particle":"De","parse-names":false,"suffix":""},{"dropping-particle":"","family":"Jirapinyo","given":"Pichamol","non-dropping-particle":"","parse-names":false,"suffix":""},{"dropping-particle":"","family":"Moura","given":"Eduardo Guimarães Hourneaux","non-dropping-particle":"De","parse-names":false,"suffix":""},{"dropping-particle":"","family":"Gelrud","given":"Andres","non-dropping-particle":"","parse-names":false,"suffix":""},{"dropping-particle":"","family":"Kahaleh","given":"Michel","non-dropping-particle":"","parse-names":false,"suffix":""},{"dropping-particle":"","family":"Salinas","given":"Alberto","non-dropping-particle":"","parse-names":false,"suffix":""},{"dropping-particle":"","family":"Sabagh","given":"Luis Carlos","non-dropping-particle":"","parse-names":false,"suffix":""},{"dropping-particle":"","family":"Jaramillo","given":"Andrés O.","non-dropping-particle":"","parse-names":false,"suffix":""},{"dropping-particle":"","family":"Rincones","given":"Víctor Zambrano","non-dropping-particle":"","parse-names":false,"suffix":""},{"dropping-particle":"","family":"Doval","given":"Raul","non-dropping-particle":"","parse-names":false,"suffix":""},{"dropping-particle":"","family":"Bandel","given":"Jack William","non-dropping-particle":"","parse-names":false,"suffix":""},{"dropping-particle":"","family":"Thompson","given":"Christopher C.","non-dropping-particle":"","parse-names":false,"suffix":""}],"container-title":"Gastrointestinal Endoscopy","id":"ITEM-4","issued":{"date-parts":[["2018","12"]]},"title":"Efficacy of the cardiac septal occluder in the treatment of post-bariatric surgery leaks and fistulas","type":"article-journal"},"uris":["http://www.mendeley.com/documents/?uuid=27b24536-608e-40d5-81e7-7e6f0cd794e9"]},{"id":"ITEM-5","itemData":{"DOI":"10.1016/j.soard.2018.10.006","ISSN":"1878-7533","PMID":"30477752","author":[{"dropping-particle":"","family":"Moura","given":"Diogo Turiani Hourneaux","non-dropping-particle":"de","parse-names":false,"suffix":""},{"dropping-particle":"","family":"Moura","given":"Eduardo G H","non-dropping-particle":"de","parse-names":false,"suffix":""},{"dropping-particle":"","family":"Neto","given":"Manoel Galvão","non-dropping-particle":"","parse-names":false,"suffix":""},{"dropping-particle":"","family":"Thompson","given":"Christopher C","non-dropping-particle":"","parse-names":false,"suffix":""}],"container-title":"Surgery for obesity and related diseases : official journal of the American Society for Bariatric Surgery","id":"ITEM-5","issued":{"date-parts":[["2018","10","18"]]},"title":"Comment on: evaluating the safety of intragastric balloon: an analysis of the metabolic and bariatric surgery accreditation and quality improvement program.","type":"article-journal"},"uris":["http://www.mendeley.com/documents/?uuid=78aa4aff-5f6d-410f-953f-b5889c64b0c8"]},{"id":"ITEM-6","itemData":{"DOI":"10.1016/j.gie.2015.08.065","ISSN":"1097-6779","PMID":"26358326","author":[{"dropping-particle":"","family":"Haito-Chavez","given":"Yamile","non-dropping-particle":"","parse-names":false,"suffix":""},{"dropping-particle":"","family":"Kumbhari","given":"Vivek","non-dropping-particle":"","parse-names":false,"suffix":""},{"dropping-particle":"","family":"Ngamruengphong","given":"Saowanee","non-dropping-particle":"","parse-names":false,"suffix":""},{"dropping-particle":"","family":"Moura","given":"Diogo Turiani Hourneuaxx","non-dropping-particle":"De","parse-names":false,"suffix":""},{"dropping-particle":"","family":"Zein","given":"Mohamad","non-dropping-particle":"El","parse-names":false,"suffix":""},{"dropping-particle":"","family":"Vieira","given":"Marcela","non-dropping-particle":"","parse-names":false,"suffix":""},{"dropping-particle":"","family":"Aguila","given":"Gerard","non-dropping-particle":"","parse-names":false,"suffix":""},{"dropping-particle":"","family":"Khashab","given":"Mouen A","non-dropping-particle":"","parse-names":false,"suffix":""}],"container-title":"Gastrointestinal endoscopy","id":"ITEM-6","issue":"2","issued":{"date-parts":[["2016","2"]]},"page":"456-7","title":"Septotomy: an adjunct endoscopic treatment for post-sleeve gastrectomy fistulas.","type":"article-journal","volume":"83"},"uris":["http://www.mendeley.com/documents/?uuid=e971970b-49f4-4e10-a9f1-4705ca0ff9cf"]},{"id":"ITEM-7","itemData":{"DOI":"10.1007/s11938-018-0199-6","ISSN":"1092-8472","PMID":"30382572","abstract":"PURPOSE OF REVIEW Gastrointestinal transmural defects are defined as total rupture of the gastrointestinal wall and can be divided into three main categories: perforations, leaks, and fistulas. Due to an increase in the number of therapeutic endoscopic procedures including full-thickness resections and the increase incidence of complications related to bariatric surgeries, there has been an increase in the number of transmural defects seen in clinical practice and the number of non-invasive endoscopic treatment procedures used to treat these defects. RECENT FINDINGS The variety of endoscopic approaches and devices, including closure techniques using clips, endoloop, and endoscopic sutures; covering techniques such as the cardiac septal occluder device, luminal stents, and tissue sealants; and drainage techniques including endoscopic vacuum therapy, pigtail, and septotomy with balloon dilation are transforming endoscopy as the first-line approach for therapy of these conditions. In this review, we describe the various transmural defects and the endoscopic techniques and devices used in their closure.","author":[{"dropping-particle":"","family":"Moura","given":"Diogo T H","non-dropping-particle":"de","parse-names":false,"suffix":""},{"dropping-particle":"","family":"Sachdev","given":"Amit H","non-dropping-particle":"","parse-names":false,"suffix":""},{"dropping-particle":"","family":"Thompson","given":"Christopher C","non-dropping-particle":"","parse-names":false,"suffix":""}],"container-title":"Current treatment options in gastroenterology","id":"ITEM-7","issue":"4","issued":{"date-parts":[["2018","12","31"]]},"page":"386-405","title":"Endoscopic Full-Thickness Defects and Closure Techniques.","type":"article-journal","volume":"16"},"uris":["http://www.mendeley.com/documents/?uuid=e958cb58-760a-448a-a9cd-9dc973b45544"]},{"id":"ITEM-8","itemData":{"DOI":"10.1016/j.vgie.2018.09.013","ISSN":"2468-4481","PMID":"30766946","author":[{"dropping-particle":"","family":"Moura","given":"Diogo Turiani Hourneaux","non-dropping-particle":"de","parse-names":false,"suffix":""},{"dropping-particle":"","family":"Jirapinyo","given":"Pichamol","non-dropping-particle":"","parse-names":false,"suffix":""},{"dropping-particle":"","family":"Aihara","given":"Hiroyuki","non-dropping-particle":"","parse-names":false,"suffix":""},{"dropping-particle":"","family":"Thompson","given":"Christopher C","non-dropping-particle":"","parse-names":false,"suffix":""}],"container-title":"VideoGIE : an official video journal of the American Society for Gastrointestinal Endoscopy","id":"ITEM-8","issue":"2","issued":{"date-parts":[["2019","2"]]},"page":"68-71","title":"Endoscopic tunneled stricturotomy in the treatment of stenosis after sleeve gastrectomy.","type":"article-journal","volume":"4"},"uris":["http://www.mendeley.com/documents/?uuid=b888a3fd-2c79-49d7-80f9-1db48bcafacf"]},{"id":"ITEM-9","itemData":{"DOI":"10.1007/s00464-011-2060-z","ISSN":"1432-2218","PMID":"22179450","abstract":"BACKGROUND Among the possible complications of bariatric surgery, fistula and partial dehiscence of the gastric suture are well known. Reoperation often is required but results in significant morbidity. Endoscopic treatment of some bariatric complications is feasible and efficient. METHODS A modified metallic stent was placed between the gastroaesophageal junction and the alimentary jejunal limb, allowing the passage of a nasoenteric feeding tube into the jejunal limb. RESULTS Endoscopy showed disruption of nearly the entire staple line at the gastric pouch. The modified stent was placed and allowed wound healing. After 31 days, the stent had migrated and was removed endoscopically. Total closure of the fistula was reported 30 days afterward. CONCLUSIONS Endoscopic treatment of some bariatric surgery complications is feasible and has been reported previously. This report presents a case of a serious leakage treated by placement of a self-expandable metal stent to bridge the fistula.","author":[{"dropping-particle":"","family":"Moura","given":"Eduardo G H","non-dropping-particle":"de","parse-names":false,"suffix":""},{"dropping-particle":"","family":"Galvão-Neto","given":"Manoel P","non-dropping-particle":"","parse-names":false,"suffix":""},{"dropping-particle":"","family":"Ramos","given":"Almino C","non-dropping-particle":"","parse-names":false,"suffix":""},{"dropping-particle":"","family":"Moura","given":"Eduardo T H","non-dropping-particle":"de","parse-names":false,"suffix":""},{"dropping-particle":"","family":"Galvão","given":"Thales D","non-dropping-particle":"","parse-names":false,"suffix":""},{"dropping-particle":"","family":"Moura","given":"Diogo T H","non-dropping-particle":"de","parse-names":false,"suffix":""},{"dropping-particle":"","family":"Ferreira","given":"Flávio C","non-dropping-particle":"","parse-names":false,"suffix":""}],"container-title":"Surgical endoscopy","id":"ITEM-9","issue":"5","issued":{"date-parts":[["2012","5"]]},"page":"1481-4","title":"Extreme bariatric endoscopy: stenting to reconnect the pouch to the gastrojejunostomy after a Roux-en-Y gastric bypass.","type":"article-journal","volume":"26"},"uris":["http://www.mendeley.com/documents/?uuid=09b537e9-92a6-401e-879d-35759f5e32d1"]}],"mendeley":{"formattedCitation":"&lt;sup&gt;[6–14]&lt;/sup&gt;","plainTextFormattedCitation":"[6–14]","previouslyFormattedCitation":"&lt;sup&gt;[6–14]&lt;/sup&gt;"},"properties":{"noteIndex":0},"schema":"https://github.com/citation-style-language/schema/raw/master/csl-citation.json"}</w:instrText>
      </w:r>
      <w:r w:rsidR="00A637CD" w:rsidRPr="007F12AB">
        <w:rPr>
          <w:rFonts w:ascii="Book Antiqua" w:hAnsi="Book Antiqua" w:cs="Arial"/>
          <w:lang w:val="en-US"/>
        </w:rPr>
        <w:fldChar w:fldCharType="separate"/>
      </w:r>
      <w:r w:rsidR="004B4BE6" w:rsidRPr="007F12AB">
        <w:rPr>
          <w:rFonts w:ascii="Book Antiqua" w:hAnsi="Book Antiqua" w:cs="Arial"/>
          <w:noProof/>
          <w:vertAlign w:val="superscript"/>
          <w:lang w:val="en-US"/>
        </w:rPr>
        <w:t>[6</w:t>
      </w:r>
      <w:r w:rsidRPr="007F12AB">
        <w:rPr>
          <w:rFonts w:ascii="Book Antiqua" w:hAnsi="Book Antiqua" w:cs="Arial"/>
          <w:noProof/>
          <w:vertAlign w:val="superscript"/>
          <w:lang w:val="en-US"/>
        </w:rPr>
        <w:t>-</w:t>
      </w:r>
      <w:r w:rsidR="004B4BE6" w:rsidRPr="007F12AB">
        <w:rPr>
          <w:rFonts w:ascii="Book Antiqua" w:hAnsi="Book Antiqua" w:cs="Arial"/>
          <w:noProof/>
          <w:vertAlign w:val="superscript"/>
          <w:lang w:val="en-US"/>
        </w:rPr>
        <w:t>14]</w:t>
      </w:r>
      <w:r w:rsidR="00A637CD" w:rsidRPr="007F12AB">
        <w:rPr>
          <w:rFonts w:ascii="Book Antiqua" w:hAnsi="Book Antiqua" w:cs="Arial"/>
          <w:lang w:val="en-US"/>
        </w:rPr>
        <w:fldChar w:fldCharType="end"/>
      </w:r>
      <w:r w:rsidR="00CB6256" w:rsidRPr="007F12AB">
        <w:rPr>
          <w:rFonts w:ascii="Book Antiqua" w:hAnsi="Book Antiqua" w:cs="Arial"/>
          <w:lang w:val="en-US"/>
        </w:rPr>
        <w:t>. Furthermore, less than 2% of eligible patients who fulfill the criteria for bariatric surgery undergo the procedure. The reasons for this are multifactorial and likely include perceived surgical risk, morbidity, costs, access, and patient preference</w:t>
      </w:r>
      <w:r w:rsidR="004B4BE6" w:rsidRPr="007F12AB">
        <w:rPr>
          <w:rFonts w:ascii="Book Antiqua" w:hAnsi="Book Antiqua" w:cs="Arial"/>
          <w:lang w:val="en-US"/>
        </w:rPr>
        <w:fldChar w:fldCharType="begin" w:fldLock="1"/>
      </w:r>
      <w:r w:rsidR="004B4BE6" w:rsidRPr="007F12AB">
        <w:rPr>
          <w:rFonts w:ascii="Book Antiqua" w:hAnsi="Book Antiqua" w:cs="Arial"/>
          <w:lang w:val="en-US"/>
        </w:rPr>
        <w:instrText>ADDIN CSL_CITATION {"citationItems":[{"id":"ITEM-1","itemData":{"DOI":"10.1007/s11695-012-0864-0","ISSN":"1708-0428","PMID":"23338049","abstract":"BACKGROUND Metabolic/bariatric procedures for the treatment of morbid obesity, as well as for type 2 diabetes, are among the most commonly performed gastrointestinal operations today, justifying periodic assessment of the numerical status of metabolic/bariatric surgery and its relative distribution of procedures. METHODS An email questionnaire was sent to the leadership of the 50 nations or national groupings in the International Federation for the Surgery of Obesity and Metabolic Disorders (IFSO). Outcome measurements were numbers of metabolic/bariatric operations and surgeons, types of procedures performed, and trends from 2003 to 2008 to 2011 worldwide and in the regional groupings of Europe, USA/Canada, Latin/South America, and Asia/Pacific. RESULTS Response rate was 84%. The global total number of procedures in 2011 was 340,768; the global total number of metabolic/bariatric surgeons was 6,705. The most commonly performed procedures were Roux-en-Y gastric bypass (RYGB) 46.6%; sleeve gastrectomy (SG) 27.8%; adjustable gastric banding (AGB) 17.8%; and biliopancreatic diversion/duodenal switch (BPD/DS) 2.2%. The global trends from 2003 to 2008 to 2011 showed a decrease in RYGB: 65.1 to 49.0 to 46.6%; an increase, followed by a steep decline, in AGB: 24.4 to 42.3 to 17.8%; and a marked increase in SG: 0.0 to 5.3 to 27.89%. BPD/DS declined: 6.1 to 4.9 to 2.1%. The trends from the four IFSO regions differed, except for the universal increase in SG. CONCLUSIONS Periodic metabolic/bariatric surgery surveys add to the knowledge and understanding of all physicians caring for morbidly obese patients. The salient message of the 2011 assessment is that SG (0.0% in 2008) has markedly increased in prevalence.","author":[{"dropping-particle":"","family":"Buchwald","given":"Henry","non-dropping-particle":"","parse-names":false,"suffix":""},{"dropping-particle":"","family":"Oien","given":"Danette M","non-dropping-particle":"","parse-names":false,"suffix":""}],"container-title":"Obesity surgery","id":"ITEM-1","issue":"4","issued":{"date-parts":[["2013","4"]]},"page":"427-36","title":"Metabolic/bariatric surgery worldwide 2011.","type":"article-journal","volume":"23"},"uris":["http://www.mendeley.com/documents/?uuid=04fee1ee-3564-410e-aa41-23bf9ab40b91"]},{"id":"ITEM-2","itemData":{"DOI":"10.1007/s11695-018-3335-4","ISSN":"1708-0428","PMID":"29909512","abstract":"Endoscopic bariatric therapies (EBTs) are promising alternatives to conventional surgery for obesity. The aim of this study is to compare efficacy and safety through a systematic review and meta-analysis of the endoscopic gastroplasty techniques versus conservative treatment. We searched MEDLINE, EMBASE, Cochrane CENTRAL, Lilacs/Bireme. Randomized controlled trials (RCTs) enrolling obese patients comparing endoscopic gastroplasty to sham or diet/exercise were considered eligible. Among 6014 records, three RCTs were selected for meta-analysis. The total sample was 459 patients (312 EBTs vs 147 control). Mean total body weight loss in the intervention group (IG) was 4.8% higher than the control group (CG) at 12 months (p = 0.01). The IG responder rate was 44.31% at 12 months. Therefore, the endoscopic gastroplasty is more effective than conservative therapies but do not achieve FDA thresholds.","author":[{"dropping-particle":"","family":"Madruga-Neto","given":"Antonio Coutinho","non-dropping-particle":"","parse-names":false,"suffix":""},{"dropping-particle":"","family":"Bernardo","given":"Wanderley Marques","non-dropping-particle":"","parse-names":false,"suffix":""},{"dropping-particle":"","family":"Moura","given":"Diogo Turiani Hourneaux","non-dropping-particle":"de","parse-names":false,"suffix":""},{"dropping-particle":"","family":"Brunaldi","given":"Vitor Ottoboni","non-dropping-particle":"","parse-names":false,"suffix":""},{"dropping-particle":"","family":"Martins","given":"Rafael Krieger","non-dropping-particle":"","parse-names":false,"suffix":""},{"dropping-particle":"","family":"Josino","given":"Iatagan Rocha","non-dropping-particle":"","parse-names":false,"suffix":""},{"dropping-particle":"","family":"Moura","given":"Eduardo Turiani Hourneaux","non-dropping-particle":"de","parse-names":false,"suffix":""},{"dropping-particle":"","family":"Souza","given":"Thiago Ferreira","non-dropping-particle":"de","parse-names":false,"suffix":""},{"dropping-particle":"","family":"Santo","given":"Marco Aurélio","non-dropping-particle":"","parse-names":false,"suffix":""},{"dropping-particle":"","family":"Moura","given":"Eduardo Guimarães Hourneaux","non-dropping-particle":"de","parse-names":false,"suffix":""}],"container-title":"Obesity surgery","id":"ITEM-2","issue":"9","issued":{"date-parts":[["2018","9"]]},"page":"2932-2940","title":"The Effectiveness of Endoscopic Gastroplasty for Obesity Treatment According to FDA Thresholds: Systematic Review and Meta-Analysis Based on Randomized Controlled Trials.","type":"article-journal","volume":"28"},"uris":["http://www.mendeley.com/documents/?uuid=bfb6ae41-9bc9-4667-a656-3f9b1494bc6a"]}],"mendeley":{"formattedCitation":"&lt;sup&gt;[15,16]&lt;/sup&gt;","plainTextFormattedCitation":"[15,16]","previouslyFormattedCitation":"&lt;sup&gt;[15,16]&lt;/sup&gt;"},"properties":{"noteIndex":0},"schema":"https://github.com/citation-style-language/schema/raw/master/csl-citation.json"}</w:instrText>
      </w:r>
      <w:r w:rsidR="004B4BE6" w:rsidRPr="007F12AB">
        <w:rPr>
          <w:rFonts w:ascii="Book Antiqua" w:hAnsi="Book Antiqua" w:cs="Arial"/>
          <w:lang w:val="en-US"/>
        </w:rPr>
        <w:fldChar w:fldCharType="separate"/>
      </w:r>
      <w:r w:rsidR="004B4BE6" w:rsidRPr="007F12AB">
        <w:rPr>
          <w:rFonts w:ascii="Book Antiqua" w:hAnsi="Book Antiqua" w:cs="Arial"/>
          <w:noProof/>
          <w:vertAlign w:val="superscript"/>
          <w:lang w:val="en-US"/>
        </w:rPr>
        <w:t>[15,16]</w:t>
      </w:r>
      <w:r w:rsidR="004B4BE6" w:rsidRPr="007F12AB">
        <w:rPr>
          <w:rFonts w:ascii="Book Antiqua" w:hAnsi="Book Antiqua" w:cs="Arial"/>
          <w:lang w:val="en-US"/>
        </w:rPr>
        <w:fldChar w:fldCharType="end"/>
      </w:r>
      <w:r w:rsidR="00CB6256" w:rsidRPr="007F12AB">
        <w:rPr>
          <w:rFonts w:ascii="Book Antiqua" w:hAnsi="Book Antiqua" w:cs="Arial"/>
          <w:lang w:val="en-US"/>
        </w:rPr>
        <w:t>.</w:t>
      </w:r>
    </w:p>
    <w:p w14:paraId="10187EFD" w14:textId="1A78AD96" w:rsidR="00CB6256" w:rsidRPr="007F12AB" w:rsidRDefault="00CB6256" w:rsidP="0026431D">
      <w:pPr>
        <w:autoSpaceDE w:val="0"/>
        <w:autoSpaceDN w:val="0"/>
        <w:adjustRightInd w:val="0"/>
        <w:spacing w:line="360" w:lineRule="auto"/>
        <w:ind w:firstLineChars="100" w:firstLine="240"/>
        <w:jc w:val="both"/>
        <w:rPr>
          <w:rFonts w:ascii="Book Antiqua" w:hAnsi="Book Antiqua" w:cs="Arial"/>
          <w:lang w:val="en-US"/>
        </w:rPr>
      </w:pPr>
      <w:r w:rsidRPr="007F12AB">
        <w:rPr>
          <w:rFonts w:ascii="Book Antiqua" w:hAnsi="Book Antiqua" w:cs="Arial"/>
          <w:lang w:val="en-US"/>
        </w:rPr>
        <w:t>As a result, there is a drive to develop less invasive and cost-effective therapies to combat this epidemic. It is well established that a total body weight loss (TWL) of at least 10% is most effective in improving obesity-related comorbidities</w:t>
      </w:r>
      <w:r w:rsidR="004B4BE6" w:rsidRPr="007F12AB">
        <w:rPr>
          <w:rFonts w:ascii="Book Antiqua" w:hAnsi="Book Antiqua" w:cs="Arial"/>
          <w:lang w:val="en-US"/>
        </w:rPr>
        <w:fldChar w:fldCharType="begin" w:fldLock="1"/>
      </w:r>
      <w:r w:rsidR="004B4BE6" w:rsidRPr="007F12AB">
        <w:rPr>
          <w:rFonts w:ascii="Book Antiqua" w:hAnsi="Book Antiqua" w:cs="Arial"/>
          <w:lang w:val="en-US"/>
        </w:rPr>
        <w:instrText>ADDIN CSL_CITATION {"citationItems":[{"id":"ITEM-1","itemData":{"DOI":"10.1053/j.gastro.2015.04.005","ISSN":"1528-0012","PMID":"25865049","abstract":"BACKGROUND &amp; AIMS It is not clear how weight loss affects histologic features of liver in patients with nonalcoholic steatohepatitis (NASH). We examined the association between the magnitude of weight loss through lifestyle modifications and changes in histologic features of NASH. METHODS We conducted a prospective study of 293 patients with histologically proven NASH who were encouraged to adopt recommended lifestyle changes to reduce their weight over 52 weeks, from June 2009 through May 2013, at a tertiary medical center in Havana, Cuba. Liver biopsies were collected when the study began and at week 52 of the diet and were analyzed histologically. RESULTS Paired liver biopsies were available from 261 patients. Among 293 patients who underwent lifestyle changes for 52 weeks, 72 (25%) achieved resolution of steatohepatitis, 138 (47%) had reductions in nonalcoholic fatty liver disease activity score (NAS), and 56 (19%) had regression of fibrosis. At week fifty-two, 88 subjects (30%) had lost ≥5% of their weight. Degree of weight loss was independently associated with improvements in all NASH-related histologic parameters (odds ratios = 1.1-2.0; P &lt; .01). A higher proportion of subjects with ≥5% weight loss had NASH resolution (51 of 88 [58%]) and a 2-point reduction in NAS (72 of 88 [82%]) than subjects who lost &lt;5% of their weight (P &lt; .001). All patients who lost ≥10% of their weight had reductions NAS, 90% had resolution of NASH, and 45% had regression of fibrosis. All patients who lost 7%-10% of their weight and had few risk factors also had reduced NAS. In patients with baseline characteristics that included female sex, body mass index ≥35, fasting glucose &gt;5.5 mmol/L, and many ballooned cells, NAS scores decreased significantly with weight reductions ≥10%. CONCLUSIONS A greater extent of weight loss, induced by lifestyle changes, is associated with the level of improvement in histologic features of NASH. The highest rates of NAS reduction, NASH resolution, and fibrosis regression occurred in patients with weight losses ≥10%.","author":[{"dropping-particle":"","family":"Vilar-Gomez","given":"Eduardo","non-dropping-particle":"","parse-names":false,"suffix":""},{"dropping-particle":"","family":"Martinez-Perez","given":"Yadina","non-dropping-particle":"","parse-names":false,"suffix":""},{"dropping-particle":"","family":"Calzadilla-Bertot","given":"Luis","non-dropping-particle":"","parse-names":false,"suffix":""},{"dropping-particle":"","family":"Torres-Gonzalez","given":"Ana","non-dropping-particle":"","parse-names":false,"suffix":""},{"dropping-particle":"","family":"Gra-Oramas","given":"Bienvenido","non-dropping-particle":"","parse-names":false,"suffix":""},{"dropping-particle":"","family":"Gonzalez-Fabian","given":"Licet","non-dropping-particle":"","parse-names":false,"suffix":""},{"dropping-particle":"","family":"Friedman","given":"Scott L","non-dropping-particle":"","parse-names":false,"suffix":""},{"dropping-particle":"","family":"Diago","given":"Moises","non-dropping-particle":"","parse-names":false,"suffix":""},{"dropping-particle":"","family":"Romero-Gomez","given":"Manuel","non-dropping-particle":"","parse-names":false,"suffix":""}],"container-title":"Gastroenterology","id":"ITEM-1","issue":"2","issued":{"date-parts":[["2015","8"]]},"page":"367-78.e5; quiz e14-5","title":"Weight Loss Through Lifestyle Modification Significantly Reduces Features of Nonalcoholic Steatohepatitis.","type":"article-journal","volume":"149"},"uris":["http://www.mendeley.com/documents/?uuid=e4d9b5db-cd8a-44d2-a98e-8a80f9e43890"]},{"id":"ITEM-2","itemData":{"DOI":"10.1097/01.med.0000433067.01671.f5","ISSN":"1752-2978","PMID":"23974764","abstract":"PURPOSE OF REVIEW The current medical model for obesity management is BMI-centric because BMI is the predominant measure used to gauge disease severity, as well as indications for various treatment modalities. Recent advancements in therapy and understanding of the relationship between BMI and obesity-related complications call for a re-examination of this approach. RECENT FINDINGS Advancements in treatment, including the recent approval of two new weight loss medications in the USA, have enabled development of new medical models for management of obesity. On the basis of accumulating data demonstrating the benefits of weight loss regarding multiple obesity-related complications (e.g., diabetes prevention, type 2 diabetes mellitus, cardiovascular disease risk, nonalcoholic steatohepatitis, sleep apnea), a complications-centric model is proposed that employs weight loss as a tool to treat and prevent obesity comorbidities. This model assures that the aggressiveness of therapy is commensurate with disease severity, and that therapy is directed at those obese patients who will benefit most from weight loss therapy. The treatment algorithm is comprehensive in addressing complications and quantitative when possible in the staging of risk or disease severity. SUMMARY A complications-centric approach to obesity management identifies patients who will benefit most from weight loss, and optimizes patient outcomes, benefit/risk ratio, and the cost-effectiveness of interventions.","author":[{"dropping-particle":"","family":"Daniel","given":"Sunil","non-dropping-particle":"","parse-names":false,"suffix":""},{"dropping-particle":"","family":"Soleymani","given":"Taraneh","non-dropping-particle":"","parse-names":false,"suffix":""},{"dropping-particle":"","family":"Garvey","given":"W Timothy","non-dropping-particle":"","parse-names":false,"suffix":""}],"container-title":"Current opinion in endocrinology, diabetes, and obesity","id":"ITEM-2","issue":"5","issued":{"date-parts":[["2013","10"]]},"page":"377-88","title":"A complications-based clinical staging of obesity to guide treatment modality and intensity.","type":"article-journal","volume":"20"},"uris":["http://www.mendeley.com/documents/?uuid=4ce81d44-a735-47c3-886c-ddc6c7d8593d"]}],"mendeley":{"formattedCitation":"&lt;sup&gt;[17,18]&lt;/sup&gt;","plainTextFormattedCitation":"[17,18]","previouslyFormattedCitation":"&lt;sup&gt;[17,18]&lt;/sup&gt;"},"properties":{"noteIndex":0},"schema":"https://github.com/citation-style-language/schema/raw/master/csl-citation.json"}</w:instrText>
      </w:r>
      <w:r w:rsidR="004B4BE6" w:rsidRPr="007F12AB">
        <w:rPr>
          <w:rFonts w:ascii="Book Antiqua" w:hAnsi="Book Antiqua" w:cs="Arial"/>
          <w:lang w:val="en-US"/>
        </w:rPr>
        <w:fldChar w:fldCharType="separate"/>
      </w:r>
      <w:r w:rsidR="004B4BE6" w:rsidRPr="007F12AB">
        <w:rPr>
          <w:rFonts w:ascii="Book Antiqua" w:hAnsi="Book Antiqua" w:cs="Arial"/>
          <w:noProof/>
          <w:vertAlign w:val="superscript"/>
          <w:lang w:val="en-US"/>
        </w:rPr>
        <w:t>[17,18]</w:t>
      </w:r>
      <w:r w:rsidR="004B4BE6" w:rsidRPr="007F12AB">
        <w:rPr>
          <w:rFonts w:ascii="Book Antiqua" w:hAnsi="Book Antiqua" w:cs="Arial"/>
          <w:lang w:val="en-US"/>
        </w:rPr>
        <w:fldChar w:fldCharType="end"/>
      </w:r>
      <w:r w:rsidRPr="007F12AB">
        <w:rPr>
          <w:rFonts w:ascii="Book Antiqua" w:hAnsi="Book Antiqua" w:cs="Arial"/>
          <w:lang w:val="en-US"/>
        </w:rPr>
        <w:t>. Lifestyle modifications, diet and pharmacotherapies rarely can achieve 10% TWL, and when initially effective, weight regain is common</w:t>
      </w:r>
      <w:r w:rsidR="004B4BE6" w:rsidRPr="007F12AB">
        <w:rPr>
          <w:rFonts w:ascii="Book Antiqua" w:hAnsi="Book Antiqua" w:cs="Arial"/>
          <w:lang w:val="en-US"/>
        </w:rPr>
        <w:fldChar w:fldCharType="begin" w:fldLock="1"/>
      </w:r>
      <w:r w:rsidR="004B4BE6" w:rsidRPr="007F12AB">
        <w:rPr>
          <w:rFonts w:ascii="Book Antiqua" w:hAnsi="Book Antiqua" w:cs="Arial"/>
          <w:lang w:val="en-US"/>
        </w:rPr>
        <w:instrText>ADDIN CSL_CITATION {"citationItems":[{"id":"ITEM-1","itemData":{"DOI":"10.2337/dc16-0509","ISSN":"1935-5548","PMID":"27271190","abstract":"OBJECTIVE Short-term weight loss improves cardiovascular disease (CVD) risk factors. We sought to determine the longer-term effects of maintaining weight loss or, conversely, regaining weight. RESEARCH DESIGN AND METHODS We used data from Action for Health in Diabetes (Look AHEAD), a randomized trial of intensive lifestyle intervention (ILI) compared to a control condition in overweight/obese individuals with type 2 diabetes. ILI participants were grouped according to weight change patterns, as follows: 1) no weight loss (±3% at years 1 and 4); 2) moderate weight loss (3-8% at years 1 and 4); 3) large weight loss (8-20% at years 1 and 4); 4) moderate loss/full regain (3-8% at year 1/±3% at year 4); 5) large loss/full regain (8-20% at year 1/± 3% year 4); and 6) large loss/partial regain (8-20% at year 1/3-8% at year 4) and changes in CVD risk factors were compared. RESULTS Adjusting for baseline differences and medication use, larger weight losses produced greater improvements in HbA1c, systolic blood pressure, HDL cholesterol, and triglycerides at years 1 and 4 (all P ≤ 0.02). Despite maintenance of weight loss, HbA1c levels worsened between years 1 and 4, and remained below baseline only in those with large weight losses. We found no negative associations of losing and regaining weight relative to not having lost weight. Moreover, those who had large initial weight loss but full regain of weight had greater improvements in HbA1c levels at year 4 than those with smaller or no initial weight loss. CONCLUSIONS Larger initial weight loss should be encouraged in individuals with type 2 diabetes, despite the possibility of regain.","author":[{"dropping-particle":"","family":"Wing","given":"Rena R","non-dropping-particle":"","parse-names":false,"suffix":""},{"dropping-particle":"","family":"Espeland","given":"Mark A","non-dropping-particle":"","parse-names":false,"suffix":""},{"dropping-particle":"","family":"Clark","given":"Jeanne M","non-dropping-particle":"","parse-names":false,"suffix":""},{"dropping-particle":"","family":"Hazuda","given":"Helen P","non-dropping-particle":"","parse-names":false,"suffix":""},{"dropping-particle":"","family":"Knowler","given":"William C","non-dropping-particle":"","parse-names":false,"suffix":""},{"dropping-particle":"","family":"Pownall","given":"Henry J","non-dropping-particle":"","parse-names":false,"suffix":""},{"dropping-particle":"","family":"Unick","given":"Jessica","non-dropping-particle":"","parse-names":false,"suffix":""},{"dropping-particle":"","family":"Wadden","given":"Thomas","non-dropping-particle":"","parse-names":false,"suffix":""},{"dropping-particle":"","family":"Wagenknecht","given":"Lynne","non-dropping-particle":"","parse-names":false,"suffix":""},{"dropping-particle":"","family":"Action for Health in Diabetes (Look AHEAD) Study Group","given":"","non-dropping-particle":"","parse-names":false,"suffix":""}],"container-title":"Diabetes care","id":"ITEM-1","issue":"8","issued":{"date-parts":[["2016"]]},"page":"1345-55","title":"Association of Weight Loss Maintenance and Weight Regain on 4-Year Changes in CVD Risk Factors: the Action for Health in Diabetes (Look AHEAD) Clinical Trial.","type":"article-journal","volume":"39"},"uris":["http://www.mendeley.com/documents/?uuid=4f997f7a-eb63-4d2b-94ba-50d6f999c12c"]}],"mendeley":{"formattedCitation":"&lt;sup&gt;[19]&lt;/sup&gt;","plainTextFormattedCitation":"[19]","previouslyFormattedCitation":"&lt;sup&gt;[19]&lt;/sup&gt;"},"properties":{"noteIndex":0},"schema":"https://github.com/citation-style-language/schema/raw/master/csl-citation.json"}</w:instrText>
      </w:r>
      <w:r w:rsidR="004B4BE6" w:rsidRPr="007F12AB">
        <w:rPr>
          <w:rFonts w:ascii="Book Antiqua" w:hAnsi="Book Antiqua" w:cs="Arial"/>
          <w:lang w:val="en-US"/>
        </w:rPr>
        <w:fldChar w:fldCharType="separate"/>
      </w:r>
      <w:r w:rsidR="004B4BE6" w:rsidRPr="007F12AB">
        <w:rPr>
          <w:rFonts w:ascii="Book Antiqua" w:hAnsi="Book Antiqua" w:cs="Arial"/>
          <w:noProof/>
          <w:vertAlign w:val="superscript"/>
          <w:lang w:val="en-US"/>
        </w:rPr>
        <w:t>[19]</w:t>
      </w:r>
      <w:r w:rsidR="004B4BE6" w:rsidRPr="007F12AB">
        <w:rPr>
          <w:rFonts w:ascii="Book Antiqua" w:hAnsi="Book Antiqua" w:cs="Arial"/>
          <w:lang w:val="en-US"/>
        </w:rPr>
        <w:fldChar w:fldCharType="end"/>
      </w:r>
      <w:r w:rsidRPr="007F12AB">
        <w:rPr>
          <w:rFonts w:ascii="Book Antiqua" w:hAnsi="Book Antiqua" w:cs="Arial"/>
          <w:lang w:val="en-US"/>
        </w:rPr>
        <w:t>. Endoscopic bariatric therapies (EBT) are important since they are more effective than pharmacological therapy and lifestyle modification and present lower adverse event rates compared with bariatric surgery</w:t>
      </w:r>
      <w:r w:rsidR="004B4BE6" w:rsidRPr="007F12AB">
        <w:rPr>
          <w:rFonts w:ascii="Book Antiqua" w:hAnsi="Book Antiqua" w:cs="Arial"/>
          <w:lang w:val="en-US"/>
        </w:rPr>
        <w:fldChar w:fldCharType="begin" w:fldLock="1"/>
      </w:r>
      <w:r w:rsidR="004B4BE6" w:rsidRPr="007F12AB">
        <w:rPr>
          <w:rFonts w:ascii="Book Antiqua" w:hAnsi="Book Antiqua" w:cs="Arial"/>
          <w:lang w:val="en-US"/>
        </w:rPr>
        <w:instrText>ADDIN CSL_CITATION {"citationItems":[{"id":"ITEM-1","itemData":{"DOI":"10.1016/j.soard.2015.10.077","ISSN":"1878-7533","PMID":"26968503","abstract":"BACKGROUND Obesity has become a worldwide epidemic, and many methods are currently used to reduce obesity. This systematic review shows the effectiveness of the intragastric balloon (IGB) method compared to the sham/diet (s/d) method. OBJECTIVE To demonstrate the effectiveness of the IGB method compared to the s/d method. SETTING Hospital das Clinicas da Universidade de São Paulo, Brazil, Public Hospital. METHODS After searching MEDLINE, Embase, Cochrane, Lilacs, Scopus, and CINAHL, only enrolled randomized control trials comparing IGB/diet with s/d were analyzed. For qualitative analysis, 12 studies were selected, and 9 of these were acceptable for quantitative analysis. RESULTS The IGB/diet is more effective than s/d when comparing body mass index (BMI) loss with a mean difference of 1.1 kg/m(2) by the Student's t test and 1.41 kg/m(2) by the meta-analysis, with significant differences in both. It is also more effective in weight loss (WL), with a mean difference of 2 kg by the Student's t test and 3.55 kg by the meta-analysis. In the qualitative analysis of % excess WL (%EWL), the mean %EWL is 14.0% in favor of the IGB group compared to the s/d group by the Student's t test; however, no significant difference was found between these groups by quantitative analysis. CONCLUSION Based on randomized control trial data alone, IGB&gt;400 mL is more effective than sham/diet in achieving BMI loss, WL, and %EWL.","author":[{"dropping-particle":"","family":"Moura","given":"Diogo","non-dropping-particle":"","parse-names":false,"suffix":""},{"dropping-particle":"","family":"Oliveira","given":"Joel","non-dropping-particle":"","parse-names":false,"suffix":""},{"dropping-particle":"","family":"Moura","given":"Eduardo G H","non-dropping-particle":"De","parse-names":false,"suffix":""},{"dropping-particle":"","family":"Bernardo","given":"Wanderlei","non-dropping-particle":"","parse-names":false,"suffix":""},{"dropping-particle":"","family":"Galvão Neto","given":"Manuel","non-dropping-particle":"","parse-names":false,"suffix":""},{"dropping-particle":"","family":"Campos","given":"Josemberg","non-dropping-particle":"","parse-names":false,"suffix":""},{"dropping-particle":"","family":"Popov","given":"Violeta B","non-dropping-particle":"","parse-names":false,"suffix":""},{"dropping-particle":"","family":"Thompson","given":"Cristopher","non-dropping-particle":"","parse-names":false,"suffix":""}],"container-title":"Surgery for obesity and related diseases : official journal of the American Society for Bariatric Surgery","id":"ITEM-1","issue":"2","issued":{"date-parts":[["2016","2"]]},"page":"420-9","title":"Effectiveness of intragastric balloon for obesity: A systematic review and meta-analysis based on randomized control trials.","type":"article-journal","volume":"12"},"uris":["http://www.mendeley.com/documents/?uuid=30e3bafd-1f60-4eac-a06b-a58cd7d18129"]},{"id":"ITEM-2","itemData":{"DOI":"10.1007/s11695-017-2857-5","ISSN":"17080428","PMID":"28812212","abstract":"The effectiveness of gastric injections of botulinum toxin-A (BTA) as primary treatment for obesity is not well known since results in literature are discrepant. Hence, we aimed to systematically review and meta-analyze the available data to assess the real effect of BTA therapy. We searched MEDLINE, Embase, Cochrane, SCOPUS, EBSCO, LILACS, and BVS. We considered eligible only randomized controlled trials enrolling obese patients comparing BTA versus saline injections. Our initial search identified 8811 records. Six studies fulfilled eligibility criteria. After critical appraisal, two articles were excluded and we meta-analyzed the remainder. The mean difference for absolute weight loss and BMI reduction were 0.12 [CI 95%, - 1.14, 1.38] and - 0.06 [95% CI, - 0.92, 0.81], respectively. Therefore, we concluded that treatment of obesity with BTA is not effective.","author":[{"dropping-particle":"","family":"Bustamante","given":"Fabio","non-dropping-particle":"","parse-names":false,"suffix":""},{"dropping-particle":"","family":"Brunaldi","given":"Vitor Ottoboni","non-dropping-particle":"","parse-names":false,"suffix":""},{"dropping-particle":"","family":"Bernardo","given":"Wanderley Marques","non-dropping-particle":"","parse-names":false,"suffix":""},{"dropping-particle":"","family":"Moura","given":"Diogo Turiani H.","non-dropping-particle":"de","parse-names":false,"suffix":""},{"dropping-particle":"","family":"Moura","given":"Eduardo Turiani H.","non-dropping-particle":"de","parse-names":false,"suffix":""},{"dropping-particle":"","family":"Galvão","given":"Manoel","non-dropping-particle":"","parse-names":false,"suffix":""},{"dropping-particle":"","family":"Santo","given":"Marco Aurélio","non-dropping-particle":"","parse-names":false,"suffix":""},{"dropping-particle":"","family":"Moura","given":"Eduardo Guimarães H.","non-dropping-particle":"de","parse-names":false,"suffix":""}],"container-title":"Obesity Surgery","id":"ITEM-2","issue":"10","issued":{"date-parts":[["2017"]]},"page":"2716-2723","publisher":"Obesity Surgery","title":"Obesity Treatment with Botulinum Toxin-A Is Not Effective: a Systematic Review and Meta-Analysis","type":"article-journal","volume":"27"},"uris":["http://www.mendeley.com/documents/?uuid=3f8ac8dd-b7db-466c-ac41-64b0d8747590"]},{"id":"ITEM-3","itemData":{"DOI":"10.1080/17446651.2019.1571907","ISSN":"1744-8417","PMID":"30691326","abstract":"INTRODUCTION With the cumulative increase in the number of patients undergoing bariatric surgery, postoperative weight regain has become a considerable challenge. Mechanisms for weight regain are not fully understood and the process is likely multifactorial in many cases. Endoluminal revisions that reduce gastric pouch size and diameter of the gastrojejunal anastomosis may offer an effective and less invasive management strategy for this population. Areas covered: We critically review data from case series, retrospective and prospective studies, and meta-analyses pertaining to weight regain after gastric bypass. A variety of endoscopic revision approaches are reviewed, including technique details, procedural safety and efficacy, and post-procedure care. Expert commentary: Given the proliferation of endoluminal therapies with evidence showing safety and efficacy in the treatment of weight regain, it is likely that endoscopic revision will be the gold standard to treat weight regain in patients with gastric bypass.","author":[{"dropping-particle":"","family":"Hourneaux De Moura","given":"Diogo Turiani","non-dropping-particle":"","parse-names":false,"suffix":""},{"dropping-particle":"","family":"Thompson","given":"Christopher C","non-dropping-particle":"","parse-names":false,"suffix":""}],"container-title":"Expert review of endocrinology &amp; metabolism","id":"ITEM-3","issued":{"date-parts":[["2019","1","29"]]},"page":"1-14","title":"Endoscopic management of weight regain following Roux-en-Y gastric bypass.","type":"article-journal"},"uris":["http://www.mendeley.com/documents/?uuid=a4d63386-5cef-47a7-b3f2-213e944e0745"]},{"id":"ITEM-4","itemData":{"DOI":"10.1007/s11695-017-2986-x","ISSN":"1708-0428","PMID":"29082456","abstract":"Roux-en-Y gastric bypass (RYGB) is the most commonly performed bariatric procedure. Despite its high efficacy, some patients regain part of their lost weight. Several endoscopic therapies have been introduced as alternatives to treat weight regain, but most of the articles are relatively small with unclear long-term data. To systematically assess the efficacy of endoscopic therapies for weight regain after RYGB. We searched MEDLINE, EMBASE, Scopus, Web of Science, Cochrane, OVID, CINAHL/EBSCo, LILACS/Bireme, and gray literature. Primary outcomes were absolute weight loss (AWL), excess weight loss (EWL), and total body weight loss (TBWL). Thirty-two studies were included in qualitative analysis. Twenty-six described full-thickness (FT) endoscopic suturing and pooled AWL, EWL, and TBWL at 3 months were 8.5 ± 2.9 kg, 21.6 ± 9.3%, and 7.3 ± 2.6%, respectively. At 6 months, they were 8.6 ± 3.5 kg, 23.7 ± 12.3%, and 8.0 ± 3.9%, respectively. At 12 months, they were 7.63 ± 4.3 kg, 16.9 ± 11.1%, and 6.6 ± 5.0%, respectively. Subgroup analysis showed that all outcomes were significantly higher in the group with FT suturing combined with argon plasma coagulation (APC) (p &lt; 0.0001). Meta-analysis included 15 FT studies and showed greater results. Three studies described superficial-thickness suturing with pooled AWL of 3.0 ± 3.8, 4.4 ± 0.07, and 3.7 ± 7.4 kg at 3, 6, and 12 months, respectively. Two articles described APC alone with mean AWL of 15.4 ± 2.0 and 15.4 ± 9.1 kg at 3 and 6 months, respectively. Full-thickness suturing is effective at treating weight regain after RYGB. Performing APC prior to suturing seems to result in greater weight loss. Head-to-head studies are needed to confirm our results. Few studies adequately assess effectiveness of other endoscopic techniques.","author":[{"dropping-particle":"","family":"Brunaldi","given":"Vitor Ottoboni","non-dropping-particle":"","parse-names":false,"suffix":""},{"dropping-particle":"","family":"Jirapinyo","given":"Pichamol","non-dropping-particle":"","parse-names":false,"suffix":""},{"dropping-particle":"","family":"Moura","given":"Diogo Turiani H","non-dropping-particle":"de","parse-names":false,"suffix":""},{"dropping-particle":"","family":"Okazaki","given":"Ossamu","non-dropping-particle":"","parse-names":false,"suffix":""},{"dropping-particle":"","family":"Bernardo","given":"Wanderley M","non-dropping-particle":"","parse-names":false,"suffix":""},{"dropping-particle":"","family":"Galvão Neto","given":"Manoel","non-dropping-particle":"","parse-names":false,"suffix":""},{"dropping-particle":"","family":"Campos","given":"Josemberg Marins","non-dropping-particle":"","parse-names":false,"suffix":""},{"dropping-particle":"","family":"Santo","given":"Marco Aurélio","non-dropping-particle":"","parse-names":false,"suffix":""},{"dropping-particle":"","family":"Moura","given":"Eduardo G H","non-dropping-particle":"de","parse-names":false,"suffix":""}],"container-title":"Obesity surgery","id":"ITEM-4","issue":"1","issued":{"date-parts":[["2018"]]},"page":"266-276","title":"Endoscopic Treatment of Weight Regain Following Roux-en-Y Gastric Bypass: a Systematic Review and Meta-analysis.","type":"article-journal","volume":"28"},"uris":["http://www.mendeley.com/documents/?uuid=fbe8c427-90fe-4c3f-bf29-471271b6809c"]}],"mendeley":{"formattedCitation":"&lt;sup&gt;[20–23]&lt;/sup&gt;","plainTextFormattedCitation":"[20–23]","previouslyFormattedCitation":"&lt;sup&gt;[20–23]&lt;/sup&gt;"},"properties":{"noteIndex":0},"schema":"https://github.com/citation-style-language/schema/raw/master/csl-citation.json"}</w:instrText>
      </w:r>
      <w:r w:rsidR="004B4BE6" w:rsidRPr="007F12AB">
        <w:rPr>
          <w:rFonts w:ascii="Book Antiqua" w:hAnsi="Book Antiqua" w:cs="Arial"/>
          <w:lang w:val="en-US"/>
        </w:rPr>
        <w:fldChar w:fldCharType="separate"/>
      </w:r>
      <w:r w:rsidR="004B4BE6" w:rsidRPr="007F12AB">
        <w:rPr>
          <w:rFonts w:ascii="Book Antiqua" w:hAnsi="Book Antiqua" w:cs="Arial"/>
          <w:noProof/>
          <w:vertAlign w:val="superscript"/>
          <w:lang w:val="en-US"/>
        </w:rPr>
        <w:t>[20</w:t>
      </w:r>
      <w:r w:rsidR="00A40CA6" w:rsidRPr="007F12AB">
        <w:rPr>
          <w:rFonts w:ascii="Book Antiqua" w:hAnsi="Book Antiqua" w:cs="Arial"/>
          <w:noProof/>
          <w:vertAlign w:val="superscript"/>
          <w:lang w:val="en-US"/>
        </w:rPr>
        <w:t>-</w:t>
      </w:r>
      <w:r w:rsidR="004B4BE6" w:rsidRPr="007F12AB">
        <w:rPr>
          <w:rFonts w:ascii="Book Antiqua" w:hAnsi="Book Antiqua" w:cs="Arial"/>
          <w:noProof/>
          <w:vertAlign w:val="superscript"/>
          <w:lang w:val="en-US"/>
        </w:rPr>
        <w:t>23]</w:t>
      </w:r>
      <w:r w:rsidR="004B4BE6" w:rsidRPr="007F12AB">
        <w:rPr>
          <w:rFonts w:ascii="Book Antiqua" w:hAnsi="Book Antiqua" w:cs="Arial"/>
          <w:lang w:val="en-US"/>
        </w:rPr>
        <w:fldChar w:fldCharType="end"/>
      </w:r>
      <w:r w:rsidRPr="007F12AB">
        <w:rPr>
          <w:rFonts w:ascii="Book Antiqua" w:hAnsi="Book Antiqua" w:cs="Arial"/>
          <w:lang w:val="en-US"/>
        </w:rPr>
        <w:t xml:space="preserve">. </w:t>
      </w:r>
    </w:p>
    <w:p w14:paraId="2B56D4EF" w14:textId="04106CD5" w:rsidR="00CB6256" w:rsidRPr="007F12AB" w:rsidRDefault="00CB6256" w:rsidP="0026431D">
      <w:pPr>
        <w:spacing w:line="360" w:lineRule="auto"/>
        <w:ind w:firstLineChars="100" w:firstLine="240"/>
        <w:jc w:val="both"/>
        <w:rPr>
          <w:rFonts w:ascii="Book Antiqua" w:hAnsi="Book Antiqua" w:cs="Arial"/>
          <w:lang w:val="en-US"/>
        </w:rPr>
      </w:pPr>
      <w:r w:rsidRPr="007F12AB">
        <w:rPr>
          <w:rFonts w:ascii="Book Antiqua" w:hAnsi="Book Antiqua" w:cs="Arial"/>
          <w:lang w:val="en-US"/>
        </w:rPr>
        <w:t>In 2011, a joint task force convened by the American Society for Gastrointestinal Endoscopy (ASGE) and the American Society for Metabolic and Bariatric surgery (ASMBS) defined thresholds regarding safety and efficacy for EBT</w:t>
      </w:r>
      <w:r w:rsidR="004B4BE6" w:rsidRPr="007F12AB">
        <w:rPr>
          <w:rFonts w:ascii="Book Antiqua" w:hAnsi="Book Antiqua" w:cs="Arial"/>
          <w:lang w:val="en-US"/>
        </w:rPr>
        <w:fldChar w:fldCharType="begin" w:fldLock="1"/>
      </w:r>
      <w:r w:rsidR="004B4BE6" w:rsidRPr="007F12AB">
        <w:rPr>
          <w:rFonts w:ascii="Book Antiqua" w:hAnsi="Book Antiqua" w:cs="Arial"/>
          <w:lang w:val="en-US"/>
        </w:rPr>
        <w:instrText>ADDIN CSL_CITATION {"citationItems":[{"id":"ITEM-1","itemData":{"DOI":"10.1016/j.soard.2011.09.008","ISSN":"1878-7533","PMID":"22082971","abstract":"The American Society for Gastrointestinal Endoscopy (ASGE) is dedicated to advancing patient care and digestive health by promoting excellence in gastrointestinal endoscopy. The American Society for Metabolic and Bariatric Surgery (ASMBS) is dedicated to improving public health and well-being by lessening the burden of the disease of obesity and related diseases. They are the largest professional societies for their respective specialties of gastrointestinal endoscopy and bariatric surgery in the world. The ASGE/ASMBS task force was developed to collaboratively address opportunities for endoscopic approaches to obesity, reflecting the strengths of our disciplines, to improve patient and societal outcomes. This white paper is intended to provide a framework for, and a pathway towards, the development, investigation, and adoption of safe and effective endoscopic bariatric therapies (EBT).","author":[{"dropping-particle":"","family":"ASGE/ASMBS Task Force on Endoscopic Bariatric Therapy","given":"","non-dropping-particle":"","parse-names":false,"suffix":""}],"container-title":"Surgery for obesity and related diseases : official journal of the American Society for Bariatric Surgery","id":"ITEM-1","issue":"6","issued":{"date-parts":[["0"]]},"page":"672-82","title":"A pathway to endoscopic bariatric therapies.","type":"article-journal","volume":"7"},"uris":["http://www.mendeley.com/documents/?uuid=2c0c63ef-4669-4ff7-89e9-9ecbc2607b1c"]},{"id":"ITEM-2","itemData":{"DOI":"10.1016/j.gie.2011.08.053","ISSN":"1097-6779","PMID":"22032311","author":[{"dropping-particle":"","family":"ASGE/ASMBS Task Force on Endoscopic Bariatric Therapy","given":"","non-dropping-particle":"","parse-names":false,"suffix":""},{"dropping-particle":"","family":"Ginsberg","given":"Gregory G","non-dropping-particle":"","parse-names":false,"suffix":""},{"dropping-particle":"","family":"Chand","given":"Bipan","non-dropping-particle":"","parse-names":false,"suffix":""},{"dropping-particle":"","family":"Cote","given":"Gregory A","non-dropping-particle":"","parse-names":false,"suffix":""},{"dropping-particle":"","family":"Dallal","given":"Ramsey M","non-dropping-particle":"","parse-names":false,"suffix":""},{"dropping-particle":"","family":"Edmundowicz","given":"Steven A","non-dropping-particle":"","parse-names":false,"suffix":""},{"dropping-particle":"","family":"Nguyen","given":"Ninh T","non-dropping-particle":"","parse-names":false,"suffix":""},{"dropping-particle":"","family":"Pryor","given":"Aurora","non-dropping-particle":"","parse-names":false,"suffix":""},{"dropping-particle":"","family":"Thompson","given":"Christopher C","non-dropping-particle":"","parse-names":false,"suffix":""}],"container-title":"Gastrointestinal endoscopy","id":"ITEM-2","issue":"5","issued":{"date-parts":[["2011","11"]]},"page":"943-53","title":"A pathway to endoscopic bariatric therapies.","type":"article-journal","volume":"74"},"uris":["http://www.mendeley.com/documents/?uuid=1db98f65-fcd6-4390-bac5-1aab2f428e57"]}],"mendeley":{"formattedCitation":"&lt;sup&gt;[24,25]&lt;/sup&gt;","plainTextFormattedCitation":"[24,25]","previouslyFormattedCitation":"&lt;sup&gt;[24,25]&lt;/sup&gt;"},"properties":{"noteIndex":0},"schema":"https://github.com/citation-style-language/schema/raw/master/csl-citation.json"}</w:instrText>
      </w:r>
      <w:r w:rsidR="004B4BE6" w:rsidRPr="007F12AB">
        <w:rPr>
          <w:rFonts w:ascii="Book Antiqua" w:hAnsi="Book Antiqua" w:cs="Arial"/>
          <w:lang w:val="en-US"/>
        </w:rPr>
        <w:fldChar w:fldCharType="separate"/>
      </w:r>
      <w:r w:rsidR="004B4BE6" w:rsidRPr="007F12AB">
        <w:rPr>
          <w:rFonts w:ascii="Book Antiqua" w:hAnsi="Book Antiqua" w:cs="Arial"/>
          <w:noProof/>
          <w:vertAlign w:val="superscript"/>
          <w:lang w:val="en-US"/>
        </w:rPr>
        <w:t>[24,25]</w:t>
      </w:r>
      <w:r w:rsidR="004B4BE6" w:rsidRPr="007F12AB">
        <w:rPr>
          <w:rFonts w:ascii="Book Antiqua" w:hAnsi="Book Antiqua" w:cs="Arial"/>
          <w:lang w:val="en-US"/>
        </w:rPr>
        <w:fldChar w:fldCharType="end"/>
      </w:r>
      <w:r w:rsidRPr="007F12AB">
        <w:rPr>
          <w:rFonts w:ascii="Book Antiqua" w:hAnsi="Book Antiqua" w:cs="Arial"/>
          <w:lang w:val="en-US"/>
        </w:rPr>
        <w:t>.</w:t>
      </w:r>
      <w:r w:rsidR="00A40CA6" w:rsidRPr="007F12AB">
        <w:rPr>
          <w:rFonts w:ascii="Book Antiqua" w:hAnsi="Book Antiqua" w:cs="Arial"/>
          <w:lang w:val="en-US"/>
        </w:rPr>
        <w:t xml:space="preserve"> </w:t>
      </w:r>
      <w:r w:rsidRPr="007F12AB">
        <w:rPr>
          <w:rFonts w:ascii="Book Antiqua" w:hAnsi="Book Antiqua" w:cs="Arial"/>
          <w:lang w:val="en-US"/>
        </w:rPr>
        <w:t>Subsequently, a Preservation and Incorporation of Valuable endoscopic Innovations document was created by the ASGE based on this consensus</w:t>
      </w:r>
      <w:r w:rsidR="004B4BE6" w:rsidRPr="007F12AB">
        <w:rPr>
          <w:rFonts w:ascii="Book Antiqua" w:hAnsi="Book Antiqua" w:cs="Arial"/>
          <w:lang w:val="en-US"/>
        </w:rPr>
        <w:fldChar w:fldCharType="begin" w:fldLock="1"/>
      </w:r>
      <w:r w:rsidR="004B4BE6" w:rsidRPr="007F12AB">
        <w:rPr>
          <w:rFonts w:ascii="Book Antiqua" w:hAnsi="Book Antiqua" w:cs="Arial"/>
          <w:lang w:val="en-US"/>
        </w:rPr>
        <w:instrText>ADDIN CSL_CITATION {"citationItems":[{"id":"ITEM-1","itemData":{"DOI":"10.1016/j.gie.2015.03.1964","ISSN":"1097-6779","PMID":"26232362","abstract":"The increasing global burden of obesity and its associated comorbidities has created an urgent need for additional treatment options to fight this pandemic. Endoscopic bariatric therapies (EBTs) provide an effective and minimally invasive treatment approach to obesity that would increase treatment options beyond surgery, medications, and lifestyle measures. This systematic review and meta-analysis were performed by the American Society for Gastrointestinal Endoscopy (ASGE) Bariatric Endoscopy Task Force comprising experts in the subject area and the ASGE Technology Committee Chair to specifically assess whether acceptable performance thresholds outlined by an ASGE Preservation and Incorporation of Valuable endoscopic Innovations (PIVI) document for clinical adoption of available EBTs have been met. After conducting a comprehensive search of several English-language databases, we performed direct meta-analyses by using random-effects models to assess whether the Orbera intragastric balloon (IGB) (Apollo Endosurgery, Austin, Tex) and the EndoBarrier duodenal-jejunal bypass sleeve (DJBS) (GI Dynamics, Lexington, Mass) have met the PIVI thresholds. The meta-analyses results indicate that the Orbera IGB meets the PIVI thresholds for both primary and nonprimary bridge obesity therapy. Based on a meta-analysis of 17 studies including 1683 patients, the percentage of excess weight loss (%EWL) with the Orbera IGB at 12 months was 25.44% (95% confidence interval [CI], 21.47%-29.41%) (random model) with a mean difference in %EWL over controls of 26.9% (95% CI, 15.66%-38.24%; P ≤ .01) in 3 randomized, controlled trials. Furthermore, the pooled percentage of total body weight loss (% TBWL) after Orbera IGB implantation was 12.3% (95% CI, 7.9%–16.73%), 13.16% (95% CI, 12.37%–13.95%), and 11.27% (95% CI, 8.17%–14.36%) at 3, 6, and 12 months after implantation, respectively, thus exceeding the PIVI threshold of 5% TBWL for nonprimary (bridge) obesity therapy. With the data available, the DJBS liner does appear to meet the %EWL PIVI threshold at 12 months, resulting in 35% EWL (95% CI, 24%-46%) but does not meet the 15% EWL over control required by the PIVI. We await review of the pivotal trial data on the efficacy and safety of this device. Data are insufficient to evaluate PIVI thresholds for any other EBT at this time. Both evaluated EBTs had ≤5% incidence of serious adverse events as set by the PIVI document to indicate acceptable safety profiles. Our task force con…","author":[{"dropping-particle":"","family":"ASGE Bariatric Endoscopy Task Force and ASGE Technology Committee","given":"","non-dropping-particle":"","parse-names":false,"suffix":""},{"dropping-particle":"","family":"Abu Dayyeh","given":"Barham K","non-dropping-particle":"","parse-names":false,"suffix":""},{"dropping-particle":"","family":"Kumar","given":"Nitin","non-dropping-particle":"","parse-names":false,"suffix":""},{"dropping-particle":"","family":"Edmundowicz","given":"Steven A","non-dropping-particle":"","parse-names":false,"suffix":""},{"dropping-particle":"","family":"Jonnalagadda","given":"Sreenivasa","non-dropping-particle":"","parse-names":false,"suffix":""},{"dropping-particle":"","family":"Larsen","given":"Michael","non-dropping-particle":"","parse-names":false,"suffix":""},{"dropping-particle":"","family":"Sullivan","given":"Shelby","non-dropping-particle":"","parse-names":false,"suffix":""},{"dropping-particle":"","family":"Thompson","given":"Christopher C","non-dropping-particle":"","parse-names":false,"suffix":""},{"dropping-particle":"","family":"Banerjee","given":"Subhas","non-dropping-particle":"","parse-names":false,"suffix":""}],"container-title":"Gastrointestinal endoscopy","id":"ITEM-1","issue":"3","issued":{"date-parts":[["2015","9"]]},"page":"425-38.e5","title":"ASGE Bariatric Endoscopy Task Force systematic review and meta-analysis assessing the ASGE PIVI thresholds for adopting endoscopic bariatric therapies.","type":"article-journal","volume":"82"},"uris":["http://www.mendeley.com/documents/?uuid=a97e3120-f7a4-4096-a6fc-b73451e3b693"]}],"mendeley":{"formattedCitation":"&lt;sup&gt;[26]&lt;/sup&gt;","plainTextFormattedCitation":"[26]","previouslyFormattedCitation":"&lt;sup&gt;[26]&lt;/sup&gt;"},"properties":{"noteIndex":0},"schema":"https://github.com/citation-style-language/schema/raw/master/csl-citation.json"}</w:instrText>
      </w:r>
      <w:r w:rsidR="004B4BE6" w:rsidRPr="007F12AB">
        <w:rPr>
          <w:rFonts w:ascii="Book Antiqua" w:hAnsi="Book Antiqua" w:cs="Arial"/>
          <w:lang w:val="en-US"/>
        </w:rPr>
        <w:fldChar w:fldCharType="separate"/>
      </w:r>
      <w:r w:rsidR="004B4BE6" w:rsidRPr="007F12AB">
        <w:rPr>
          <w:rFonts w:ascii="Book Antiqua" w:hAnsi="Book Antiqua" w:cs="Arial"/>
          <w:noProof/>
          <w:vertAlign w:val="superscript"/>
          <w:lang w:val="en-US"/>
        </w:rPr>
        <w:t>[26]</w:t>
      </w:r>
      <w:r w:rsidR="004B4BE6" w:rsidRPr="007F12AB">
        <w:rPr>
          <w:rFonts w:ascii="Book Antiqua" w:hAnsi="Book Antiqua" w:cs="Arial"/>
          <w:lang w:val="en-US"/>
        </w:rPr>
        <w:fldChar w:fldCharType="end"/>
      </w:r>
      <w:r w:rsidRPr="007F12AB">
        <w:rPr>
          <w:rFonts w:ascii="Book Antiqua" w:hAnsi="Book Antiqua" w:cs="Arial"/>
          <w:lang w:val="en-US"/>
        </w:rPr>
        <w:t>. The results of this process are described below:</w:t>
      </w:r>
      <w:r w:rsidR="00A40CA6" w:rsidRPr="007F12AB">
        <w:rPr>
          <w:rFonts w:ascii="Book Antiqua" w:hAnsi="Book Antiqua" w:cs="Arial"/>
          <w:lang w:val="en-US"/>
        </w:rPr>
        <w:t xml:space="preserve"> (</w:t>
      </w:r>
      <w:r w:rsidR="002D5FFB" w:rsidRPr="007F12AB">
        <w:rPr>
          <w:rFonts w:ascii="Book Antiqua" w:eastAsia="宋体" w:hAnsi="Book Antiqua" w:cs="Arial"/>
          <w:lang w:val="en-US" w:eastAsia="zh-CN"/>
        </w:rPr>
        <w:t>1</w:t>
      </w:r>
      <w:r w:rsidR="00A40CA6" w:rsidRPr="007F12AB">
        <w:rPr>
          <w:rFonts w:ascii="Book Antiqua" w:hAnsi="Book Antiqua" w:cs="Arial"/>
          <w:lang w:val="en-US"/>
        </w:rPr>
        <w:t>)</w:t>
      </w:r>
      <w:r w:rsidRPr="007F12AB">
        <w:rPr>
          <w:rFonts w:ascii="Book Antiqua" w:hAnsi="Book Antiqua" w:cs="Arial"/>
          <w:lang w:val="en-US"/>
        </w:rPr>
        <w:t xml:space="preserve"> For primary obesity therapies in patients with obesity class II and III a minimum of 25% excess weight loss (EWL) at 12 mo, with a statistical difference &gt; 15% above the </w:t>
      </w:r>
      <w:r w:rsidRPr="007F12AB">
        <w:rPr>
          <w:rFonts w:ascii="Book Antiqua" w:hAnsi="Book Antiqua" w:cs="Arial"/>
          <w:lang w:val="en-US"/>
        </w:rPr>
        <w:lastRenderedPageBreak/>
        <w:t>control group is required</w:t>
      </w:r>
      <w:r w:rsidR="007E04CA" w:rsidRPr="007F12AB">
        <w:rPr>
          <w:rFonts w:ascii="Book Antiqua" w:hAnsi="Book Antiqua" w:cs="Arial"/>
          <w:lang w:val="en-US"/>
        </w:rPr>
        <w:t>; (</w:t>
      </w:r>
      <w:r w:rsidR="002D5FFB" w:rsidRPr="007F12AB">
        <w:rPr>
          <w:rFonts w:ascii="Book Antiqua" w:eastAsia="宋体" w:hAnsi="Book Antiqua" w:cs="Arial"/>
          <w:lang w:val="en-US" w:eastAsia="zh-CN"/>
        </w:rPr>
        <w:t>2</w:t>
      </w:r>
      <w:r w:rsidR="007E04CA" w:rsidRPr="007F12AB">
        <w:rPr>
          <w:rFonts w:ascii="Book Antiqua" w:hAnsi="Book Antiqua" w:cs="Arial"/>
          <w:lang w:val="en-US"/>
        </w:rPr>
        <w:t>)</w:t>
      </w:r>
      <w:r w:rsidRPr="007F12AB">
        <w:rPr>
          <w:rFonts w:ascii="Book Antiqua" w:hAnsi="Book Antiqua" w:cs="Arial"/>
          <w:lang w:val="en-US"/>
        </w:rPr>
        <w:t xml:space="preserve"> For non-primary EBT such as metabolic therapy, bridging to surgery, and early intervention, a minimum of 5% TWL is necessary</w:t>
      </w:r>
      <w:r w:rsidR="007E04CA" w:rsidRPr="007F12AB">
        <w:rPr>
          <w:rFonts w:ascii="Book Antiqua" w:hAnsi="Book Antiqua" w:cs="Arial"/>
          <w:lang w:val="en-US"/>
        </w:rPr>
        <w:t xml:space="preserve">; </w:t>
      </w:r>
      <w:r w:rsidR="00E85198" w:rsidRPr="007F12AB">
        <w:rPr>
          <w:rFonts w:ascii="Book Antiqua" w:eastAsia="宋体" w:hAnsi="Book Antiqua" w:cs="Arial"/>
          <w:lang w:val="en-US" w:eastAsia="zh-CN"/>
        </w:rPr>
        <w:t>and</w:t>
      </w:r>
      <w:r w:rsidR="00E85198" w:rsidRPr="007F12AB">
        <w:rPr>
          <w:rFonts w:ascii="Book Antiqua" w:hAnsi="Book Antiqua" w:cs="Arial"/>
          <w:lang w:val="en-US"/>
        </w:rPr>
        <w:t xml:space="preserve"> </w:t>
      </w:r>
      <w:r w:rsidR="007E04CA" w:rsidRPr="007F12AB">
        <w:rPr>
          <w:rFonts w:ascii="Book Antiqua" w:hAnsi="Book Antiqua" w:cs="Arial"/>
          <w:lang w:val="en-US"/>
        </w:rPr>
        <w:t>(</w:t>
      </w:r>
      <w:r w:rsidR="00E85198" w:rsidRPr="007F12AB">
        <w:rPr>
          <w:rFonts w:ascii="Book Antiqua" w:eastAsia="宋体" w:hAnsi="Book Antiqua" w:cs="Arial"/>
          <w:lang w:val="en-US" w:eastAsia="zh-CN"/>
        </w:rPr>
        <w:t>3</w:t>
      </w:r>
      <w:r w:rsidR="007E04CA" w:rsidRPr="007F12AB">
        <w:rPr>
          <w:rFonts w:ascii="Book Antiqua" w:hAnsi="Book Antiqua" w:cs="Arial"/>
          <w:lang w:val="en-US"/>
        </w:rPr>
        <w:t>)</w:t>
      </w:r>
      <w:r w:rsidRPr="007F12AB">
        <w:rPr>
          <w:rFonts w:ascii="Book Antiqua" w:hAnsi="Book Antiqua" w:cs="Arial"/>
          <w:lang w:val="en-US"/>
        </w:rPr>
        <w:t xml:space="preserve"> Serious adverse events ≤ 5% is recommended for all EBT.</w:t>
      </w:r>
    </w:p>
    <w:p w14:paraId="4DE48B72" w14:textId="4103BE7B" w:rsidR="00CB6256" w:rsidRPr="007F12AB" w:rsidRDefault="00CB6256" w:rsidP="0026431D">
      <w:pPr>
        <w:spacing w:line="360" w:lineRule="auto"/>
        <w:ind w:firstLineChars="100" w:firstLine="240"/>
        <w:jc w:val="both"/>
        <w:rPr>
          <w:rFonts w:ascii="Book Antiqua" w:hAnsi="Book Antiqua" w:cs="Arial"/>
          <w:lang w:val="en-US"/>
        </w:rPr>
      </w:pPr>
      <w:r w:rsidRPr="007F12AB">
        <w:rPr>
          <w:rFonts w:ascii="Book Antiqua" w:hAnsi="Book Antiqua" w:cs="Arial"/>
          <w:lang w:val="en-US"/>
        </w:rPr>
        <w:t>An EBT that meets these criteria is considered appropriate to incorporate into clinical practice after adequate training</w:t>
      </w:r>
      <w:r w:rsidR="004B4BE6" w:rsidRPr="007F12AB">
        <w:rPr>
          <w:rFonts w:ascii="Book Antiqua" w:hAnsi="Book Antiqua" w:cs="Arial"/>
          <w:lang w:val="en-US"/>
        </w:rPr>
        <w:fldChar w:fldCharType="begin" w:fldLock="1"/>
      </w:r>
      <w:r w:rsidR="004B4BE6" w:rsidRPr="007F12AB">
        <w:rPr>
          <w:rFonts w:ascii="Book Antiqua" w:hAnsi="Book Antiqua" w:cs="Arial"/>
          <w:lang w:val="en-US"/>
        </w:rPr>
        <w:instrText>ADDIN CSL_CITATION {"citationItems":[{"id":"ITEM-1","itemData":{"DOI":"10.1016/j.gie.2015.03.1964","ISSN":"1097-6779","PMID":"26232362","abstract":"The increasing global burden of obesity and its associated comorbidities has created an urgent need for additional treatment options to fight this pandemic. Endoscopic bariatric therapies (EBTs) provide an effective and minimally invasive treatment approach to obesity that would increase treatment options beyond surgery, medications, and lifestyle measures. This systematic review and meta-analysis were performed by the American Society for Gastrointestinal Endoscopy (ASGE) Bariatric Endoscopy Task Force comprising experts in the subject area and the ASGE Technology Committee Chair to specifically assess whether acceptable performance thresholds outlined by an ASGE Preservation and Incorporation of Valuable endoscopic Innovations (PIVI) document for clinical adoption of available EBTs have been met. After conducting a comprehensive search of several English-language databases, we performed direct meta-analyses by using random-effects models to assess whether the Orbera intragastric balloon (IGB) (Apollo Endosurgery, Austin, Tex) and the EndoBarrier duodenal-jejunal bypass sleeve (DJBS) (GI Dynamics, Lexington, Mass) have met the PIVI thresholds. The meta-analyses results indicate that the Orbera IGB meets the PIVI thresholds for both primary and nonprimary bridge obesity therapy. Based on a meta-analysis of 17 studies including 1683 patients, the percentage of excess weight loss (%EWL) with the Orbera IGB at 12 months was 25.44% (95% confidence interval [CI], 21.47%-29.41%) (random model) with a mean difference in %EWL over controls of 26.9% (95% CI, 15.66%-38.24%; P ≤ .01) in 3 randomized, controlled trials. Furthermore, the pooled percentage of total body weight loss (% TBWL) after Orbera IGB implantation was 12.3% (95% CI, 7.9%–16.73%), 13.16% (95% CI, 12.37%–13.95%), and 11.27% (95% CI, 8.17%–14.36%) at 3, 6, and 12 months after implantation, respectively, thus exceeding the PIVI threshold of 5% TBWL for nonprimary (bridge) obesity therapy. With the data available, the DJBS liner does appear to meet the %EWL PIVI threshold at 12 months, resulting in 35% EWL (95% CI, 24%-46%) but does not meet the 15% EWL over control required by the PIVI. We await review of the pivotal trial data on the efficacy and safety of this device. Data are insufficient to evaluate PIVI thresholds for any other EBT at this time. Both evaluated EBTs had ≤5% incidence of serious adverse events as set by the PIVI document to indicate acceptable safety profiles. Our task force con…","author":[{"dropping-particle":"","family":"ASGE Bariatric Endoscopy Task Force and ASGE Technology Committee","given":"","non-dropping-particle":"","parse-names":false,"suffix":""},{"dropping-particle":"","family":"Abu Dayyeh","given":"Barham K","non-dropping-particle":"","parse-names":false,"suffix":""},{"dropping-particle":"","family":"Kumar","given":"Nitin","non-dropping-particle":"","parse-names":false,"suffix":""},{"dropping-particle":"","family":"Edmundowicz","given":"Steven A","non-dropping-particle":"","parse-names":false,"suffix":""},{"dropping-particle":"","family":"Jonnalagadda","given":"Sreenivasa","non-dropping-particle":"","parse-names":false,"suffix":""},{"dropping-particle":"","family":"Larsen","given":"Michael","non-dropping-particle":"","parse-names":false,"suffix":""},{"dropping-particle":"","family":"Sullivan","given":"Shelby","non-dropping-particle":"","parse-names":false,"suffix":""},{"dropping-particle":"","family":"Thompson","given":"Christopher C","non-dropping-particle":"","parse-names":false,"suffix":""},{"dropping-particle":"","family":"Banerjee","given":"Subhas","non-dropping-particle":"","parse-names":false,"suffix":""}],"container-title":"Gastrointestinal endoscopy","id":"ITEM-1","issue":"3","issued":{"date-parts":[["2015","9"]]},"page":"425-38.e5","title":"ASGE Bariatric Endoscopy Task Force systematic review and meta-analysis assessing the ASGE PIVI thresholds for adopting endoscopic bariatric therapies.","type":"article-journal","volume":"82"},"uris":["http://www.mendeley.com/documents/?uuid=a97e3120-f7a4-4096-a6fc-b73451e3b693"]}],"mendeley":{"formattedCitation":"&lt;sup&gt;[26]&lt;/sup&gt;","plainTextFormattedCitation":"[26]","previouslyFormattedCitation":"&lt;sup&gt;[26]&lt;/sup&gt;"},"properties":{"noteIndex":0},"schema":"https://github.com/citation-style-language/schema/raw/master/csl-citation.json"}</w:instrText>
      </w:r>
      <w:r w:rsidR="004B4BE6" w:rsidRPr="007F12AB">
        <w:rPr>
          <w:rFonts w:ascii="Book Antiqua" w:hAnsi="Book Antiqua" w:cs="Arial"/>
          <w:lang w:val="en-US"/>
        </w:rPr>
        <w:fldChar w:fldCharType="separate"/>
      </w:r>
      <w:r w:rsidR="004B4BE6" w:rsidRPr="007F12AB">
        <w:rPr>
          <w:rFonts w:ascii="Book Antiqua" w:hAnsi="Book Antiqua" w:cs="Arial"/>
          <w:noProof/>
          <w:vertAlign w:val="superscript"/>
          <w:lang w:val="en-US"/>
        </w:rPr>
        <w:t>[26]</w:t>
      </w:r>
      <w:r w:rsidR="004B4BE6" w:rsidRPr="007F12AB">
        <w:rPr>
          <w:rFonts w:ascii="Book Antiqua" w:hAnsi="Book Antiqua" w:cs="Arial"/>
          <w:lang w:val="en-US"/>
        </w:rPr>
        <w:fldChar w:fldCharType="end"/>
      </w:r>
      <w:r w:rsidRPr="007F12AB">
        <w:rPr>
          <w:rFonts w:ascii="Book Antiqua" w:hAnsi="Book Antiqua" w:cs="Arial"/>
          <w:lang w:val="en-US"/>
        </w:rPr>
        <w:t>.</w:t>
      </w:r>
    </w:p>
    <w:p w14:paraId="3EC22557" w14:textId="65E4337D" w:rsidR="00CB6256" w:rsidRPr="007F12AB" w:rsidRDefault="00CB6256" w:rsidP="0026431D">
      <w:pPr>
        <w:spacing w:line="360" w:lineRule="auto"/>
        <w:ind w:firstLineChars="100" w:firstLine="240"/>
        <w:jc w:val="both"/>
        <w:rPr>
          <w:rFonts w:ascii="Book Antiqua" w:hAnsi="Book Antiqua" w:cs="Arial"/>
          <w:lang w:val="en-US"/>
        </w:rPr>
      </w:pPr>
      <w:r w:rsidRPr="007F12AB">
        <w:rPr>
          <w:rFonts w:ascii="Book Antiqua" w:hAnsi="Book Antiqua" w:cs="Arial"/>
          <w:lang w:val="en-US"/>
        </w:rPr>
        <w:t>Endoscopic sleeve gastroplasty (ESG) is an incisionless, minimally invasive technique that involves remodeling of the greater curvature, via the placement of full-thickness sutures, in an effort to reduce gastric capacity and delay gastric emptying</w:t>
      </w:r>
      <w:r w:rsidR="004B4BE6" w:rsidRPr="007F12AB">
        <w:rPr>
          <w:rFonts w:ascii="Book Antiqua" w:hAnsi="Book Antiqua" w:cs="Arial"/>
          <w:lang w:val="en-US"/>
        </w:rPr>
        <w:fldChar w:fldCharType="begin" w:fldLock="1"/>
      </w:r>
      <w:r w:rsidR="004B4BE6" w:rsidRPr="007F12AB">
        <w:rPr>
          <w:rFonts w:ascii="Book Antiqua" w:hAnsi="Book Antiqua" w:cs="Arial"/>
          <w:lang w:val="en-US"/>
        </w:rPr>
        <w:instrText>ADDIN CSL_CITATION {"citationItems":[{"id":"ITEM-1","itemData":{"DOI":"10.1007/s11695-015-1714-7","ISSN":"1708-0428","PMID":"26003549","abstract":"BACKGROUND Primary endoscopic weight loss therapies are of interest for access, simplicity, and economy. The objective of this manuscript is to describe the endoscopic sleeve gastroplasty used in 50 patients. METHODS The goal of this procedure is to reduce the gastric lumen into a tubular configuration, with the greater curvature modified by a line of sutured plications. General anesthesia with endotracheal intubation is needed. An endoscopic suturing system requiring a specific double-channel endoscope delivers full-thickness sets of running sutures from the antrum to the fundus. Patients are admitted and observed, with discharge planned within 24 h. Post-procedure outpatient care includes diet instruction with intensive follow-up by a multidisciplinary team. Voluntary oral contrast and endoscopy studies are scheduled to assess the gastroplasty at 3, 6, and 12 months. RESULTS The technique was applied in 50 patients (13 men) with an average body mass index (BMI) of 37.7 kg/m(2) (range 30-47) with 13 having reached 1 year. Procedure duration averaged 66 min during which six to eight sutures on average were placed. All patients were discharged in less than 24 h. There were no major intra-procedural, early, or delayed adverse events. Weight loss parameters were satisfactory, mean BMI changes from 37.7 ± 4.6 to 30.9 ± 5.1 kg/m(2) at 1 year, and mean %TBWL was 19.0 ± 10.8. Oral contrast studies and endoscopy revealed sleeve gastroplasty configuration at least until 1 year of follow-up. CONCLUSION Endoscopic sleeve gastroplasty is a safe, effective, and reproducible primary weight loss technique.","author":[{"dropping-particle":"","family":"Lopez-Nava","given":"G","non-dropping-particle":"","parse-names":false,"suffix":""},{"dropping-particle":"","family":"Galvão","given":"M P","non-dropping-particle":"","parse-names":false,"suffix":""},{"dropping-particle":"","family":"Bautista-Castaño","given":"I","non-dropping-particle":"","parse-names":false,"suffix":""},{"dropping-particle":"","family":"Jimenez-Baños","given":"A","non-dropping-particle":"","parse-names":false,"suffix":""},{"dropping-particle":"","family":"Fernandez-Corbelle","given":"J P","non-dropping-particle":"","parse-names":false,"suffix":""}],"container-title":"Obesity surgery","id":"ITEM-1","issue":"8","issued":{"date-parts":[["2015","8"]]},"page":"1534-8","title":"Endoscopic Sleeve Gastroplasty: How I Do It?","type":"article-journal","volume":"25"},"uris":["http://www.mendeley.com/documents/?uuid=7a6a323e-04e7-440d-88fe-d7cab912c5cd"]},{"id":"ITEM-2","itemData":{"DOI":"10.1016/S0016-5085(15)30597-7","ISSN":"00165085","author":[{"dropping-particle":"","family":"Kumar","given":"Nitin","non-dropping-particle":"","parse-names":false,"suffix":""},{"dropping-particle":"","family":"Lopez-Nava","given":"Gontrand","non-dropping-particle":"","parse-names":false,"suffix":""},{"dropping-particle":"","family":"Sahdala","given":"Helene Nicolle Peña","non-dropping-particle":"","parse-names":false,"suffix":""},{"dropping-particle":"","family":"Manoel","given":"Galvao Neto","non-dropping-particle":"","parse-names":false,"suffix":""},{"dropping-particle":"","family":"Sharaiha","given":"Reem Z.","non-dropping-particle":"","parse-names":false,"suffix":""},{"dropping-particle":"","family":"Wilson","given":"Erik B.","non-dropping-particle":"","parse-names":false,"suffix":""},{"dropping-particle":"","family":"Shaikh","given":"Sohail","non-dropping-particle":"","parse-names":false,"suffix":""},{"dropping-particle":"","family":"Gomez","given":"Eddie","non-dropping-particle":"","parse-names":false,"suffix":""},{"dropping-particle":"","family":"Ryan","given":"Michele B.","non-dropping-particle":"","parse-names":false,"suffix":""},{"dropping-particle":"","family":"Zundel","given":"Natan","non-dropping-particle":"","parse-names":false,"suffix":""},{"dropping-particle":"","family":"Thompson","given":"Christopher C.","non-dropping-particle":"","parse-names":false,"suffix":""}],"container-title":"Gastroenterology","id":"ITEM-2","issue":"4","issued":{"date-parts":[["2015","4"]]},"page":"S-179","title":"934 Endoscopic Sleeve Gastroplasty: Multicenter Weight Loss Results","type":"article-journal","volume":"148"},"uris":["http://www.mendeley.com/documents/?uuid=ae54217b-1b14-4092-946d-bc69aca7b2b4"]}],"mendeley":{"formattedCitation":"&lt;sup&gt;[27,28]&lt;/sup&gt;","plainTextFormattedCitation":"[27,28]","previouslyFormattedCitation":"&lt;sup&gt;[27,28]&lt;/sup&gt;"},"properties":{"noteIndex":0},"schema":"https://github.com/citation-style-language/schema/raw/master/csl-citation.json"}</w:instrText>
      </w:r>
      <w:r w:rsidR="004B4BE6" w:rsidRPr="007F12AB">
        <w:rPr>
          <w:rFonts w:ascii="Book Antiqua" w:hAnsi="Book Antiqua" w:cs="Arial"/>
          <w:lang w:val="en-US"/>
        </w:rPr>
        <w:fldChar w:fldCharType="separate"/>
      </w:r>
      <w:r w:rsidR="004B4BE6" w:rsidRPr="007F12AB">
        <w:rPr>
          <w:rFonts w:ascii="Book Antiqua" w:hAnsi="Book Antiqua" w:cs="Arial"/>
          <w:noProof/>
          <w:vertAlign w:val="superscript"/>
          <w:lang w:val="en-US"/>
        </w:rPr>
        <w:t>[27,28]</w:t>
      </w:r>
      <w:r w:rsidR="004B4BE6" w:rsidRPr="007F12AB">
        <w:rPr>
          <w:rFonts w:ascii="Book Antiqua" w:hAnsi="Book Antiqua" w:cs="Arial"/>
          <w:lang w:val="en-US"/>
        </w:rPr>
        <w:fldChar w:fldCharType="end"/>
      </w:r>
      <w:r w:rsidRPr="007F12AB">
        <w:rPr>
          <w:rFonts w:ascii="Book Antiqua" w:hAnsi="Book Antiqua" w:cs="Arial"/>
          <w:lang w:val="en-US"/>
        </w:rPr>
        <w:t>.</w:t>
      </w:r>
    </w:p>
    <w:p w14:paraId="376E57A6" w14:textId="5A350C28" w:rsidR="00CB6256" w:rsidRPr="007F12AB" w:rsidRDefault="00CB6256" w:rsidP="0026431D">
      <w:pPr>
        <w:spacing w:line="360" w:lineRule="auto"/>
        <w:ind w:firstLineChars="100" w:firstLine="240"/>
        <w:jc w:val="both"/>
        <w:rPr>
          <w:rFonts w:ascii="Book Antiqua" w:hAnsi="Book Antiqua" w:cs="Arial"/>
          <w:lang w:val="en-US"/>
        </w:rPr>
      </w:pPr>
      <w:r w:rsidRPr="007F12AB">
        <w:rPr>
          <w:rFonts w:ascii="Book Antiqua" w:hAnsi="Book Antiqua" w:cs="Arial"/>
          <w:lang w:val="en-US"/>
        </w:rPr>
        <w:t xml:space="preserve">ESG with full-thickness suturing has demonstrated clinical effectiveness and safety, nevertheless, the technique continues to evolve. This concept was originally inspired by two older procedures, an abandoned endoscopic technique (endoluminal vertical gastroplasty) performed by Fogel </w:t>
      </w:r>
      <w:r w:rsidRPr="007F12AB">
        <w:rPr>
          <w:rFonts w:ascii="Book Antiqua" w:hAnsi="Book Antiqua" w:cs="Arial"/>
          <w:i/>
          <w:lang w:val="en-US"/>
        </w:rPr>
        <w:t>et al</w:t>
      </w:r>
      <w:r w:rsidR="004B4BE6" w:rsidRPr="007F12AB">
        <w:rPr>
          <w:rFonts w:ascii="Book Antiqua" w:hAnsi="Book Antiqua" w:cs="Arial"/>
          <w:lang w:val="en-US"/>
        </w:rPr>
        <w:fldChar w:fldCharType="begin" w:fldLock="1"/>
      </w:r>
      <w:r w:rsidR="004B4BE6" w:rsidRPr="007F12AB">
        <w:rPr>
          <w:rFonts w:ascii="Book Antiqua" w:hAnsi="Book Antiqua" w:cs="Arial"/>
          <w:lang w:val="en-US"/>
        </w:rPr>
        <w:instrText>ADDIN CSL_CITATION {"citationItems":[{"id":"ITEM-1","itemData":{"DOI":"10.1016/j.gie.2007.10.061","ISSN":"1097-6779","PMID":"18355825","abstract":"BACKGROUND Bariatric surgery for severe obesity has demonstrated significant health benefits, but it is not without complications. Transoral approaches to weight loss offer a minimally invasive option. OBJECTIVE To evaluate the safety and feasibility of a transoral suturing procedure for weight loss. DESIGN Single-center, uncontrolled study with a 1-year follow-up. SETTING Hospital de Clinicas, Caracas, Venezuela. PATIENTS Sixty-four patients (mean age [SD] 31.5 +/- 10.1 years, range 16-62 years; mean (SD) preoperative body mass index [BMI] 39.9 +/- 5.1 kg/m(2), range 28.0-60.2 kg/m(2)) were enrolled between 2003 and 2005. INTERVENTION Endoluminal vertical gastroplasty by using a continuous suture pattern to treat obesity. MAIN OUTCOME MEASUREMENTS Short-term complication monitoring and patient weight before the procedure and at 1, 3, and 12 months after the procedure. RESULTS The outpatient procedures were performed in approximately 45 minutes. Patients had a significant reduction in BMI at 12 months (mean [SD] BMI 39.9 +/- 5.1 kg/m(2) vs 30.6 +/- 4.7 kg/m(2); P &lt; .001) and a percentage of excess weight loss (%EWL) (SD) of 21.1 +/- 6.2, 39.6 +/- 11.3, and 58.1 +/- 19.9 at 1, 3, and 12 months, respectively. By comparing the study's subpopulations, group I (baseline BMI &gt;or=40 kg/m(2), n = 33), group II (baseline BMI 35-40 kg/m(2), n = 19), and group III (baseline BMI &lt;35 kg/m(2), n = 12) demonstrated a %EWL (SD) of 48.9 +/- 10.7, 56.5 +/- 13.9, and 85.1 +/- 24.0, respectively, at 12 months after the procedure (P = .037 when comparing group I vs II; P &lt; .001 when comparing group II vs III and group I vs III). No patients experienced any serious adverse events. LIMITATIONS This study represents a single center's clinical experience, with no sham control. CONCLUSIONS Endoluminal vertical gastroplasty by using a continuous suture pattern is associated with significant weight loss. Additional studies are needed to demonstrate the procedure's long-term safety and efficacy.","author":[{"dropping-particle":"","family":"Fogel","given":"Roberto","non-dropping-particle":"","parse-names":false,"suffix":""},{"dropping-particle":"","family":"Fogel","given":"Juana","non-dropping-particle":"De","parse-names":false,"suffix":""},{"dropping-particle":"","family":"Bonilla","given":"Ydaly","non-dropping-particle":"","parse-names":false,"suffix":""},{"dropping-particle":"","family":"La Fuente","given":"Rafael","non-dropping-particle":"De","parse-names":false,"suffix":""}],"container-title":"Gastrointestinal endoscopy","id":"ITEM-1","issue":"1","issued":{"date-parts":[["2008","7"]]},"page":"51-8","title":"Clinical experience of transoral suturing for an endoluminal vertical gastroplasty: 1-year follow-up in 64 patients.","type":"article-journal","volume":"68"},"uris":["http://www.mendeley.com/documents/?uuid=e61ea0c0-402c-483b-9e4d-ac20ad7cb7f7"]}],"mendeley":{"formattedCitation":"&lt;sup&gt;[29]&lt;/sup&gt;","plainTextFormattedCitation":"[29]","previouslyFormattedCitation":"&lt;sup&gt;[29]&lt;/sup&gt;"},"properties":{"noteIndex":0},"schema":"https://github.com/citation-style-language/schema/raw/master/csl-citation.json"}</w:instrText>
      </w:r>
      <w:r w:rsidR="004B4BE6" w:rsidRPr="007F12AB">
        <w:rPr>
          <w:rFonts w:ascii="Book Antiqua" w:hAnsi="Book Antiqua" w:cs="Arial"/>
          <w:lang w:val="en-US"/>
        </w:rPr>
        <w:fldChar w:fldCharType="separate"/>
      </w:r>
      <w:r w:rsidR="004B4BE6" w:rsidRPr="007F12AB">
        <w:rPr>
          <w:rFonts w:ascii="Book Antiqua" w:hAnsi="Book Antiqua" w:cs="Arial"/>
          <w:noProof/>
          <w:vertAlign w:val="superscript"/>
          <w:lang w:val="en-US"/>
        </w:rPr>
        <w:t>[29]</w:t>
      </w:r>
      <w:r w:rsidR="004B4BE6" w:rsidRPr="007F12AB">
        <w:rPr>
          <w:rFonts w:ascii="Book Antiqua" w:hAnsi="Book Antiqua" w:cs="Arial"/>
          <w:lang w:val="en-US"/>
        </w:rPr>
        <w:fldChar w:fldCharType="end"/>
      </w:r>
      <w:r w:rsidRPr="007F12AB">
        <w:rPr>
          <w:rFonts w:ascii="Book Antiqua" w:hAnsi="Book Antiqua" w:cs="Arial"/>
          <w:lang w:val="en-US"/>
        </w:rPr>
        <w:t xml:space="preserve"> that focused on emulating a vertical banded gastroplasty along the mid-proximal gastric body not involving the greater curvature, and the surgical gastric imbrication procedure. The original greater curvature ESG performed in 2008 using a superficial suction-based suturing device had limited results due to early suture loss</w:t>
      </w:r>
      <w:r w:rsidR="004B4BE6" w:rsidRPr="007F12AB">
        <w:rPr>
          <w:rFonts w:ascii="Book Antiqua" w:hAnsi="Book Antiqua" w:cs="Arial"/>
          <w:lang w:val="en-US"/>
        </w:rPr>
        <w:fldChar w:fldCharType="begin" w:fldLock="1"/>
      </w:r>
      <w:r w:rsidR="00214DBC" w:rsidRPr="007F12AB">
        <w:rPr>
          <w:rFonts w:ascii="Book Antiqua" w:hAnsi="Book Antiqua" w:cs="Arial"/>
          <w:lang w:val="en-US"/>
        </w:rPr>
        <w:instrText>ADDIN CSL_CITATION {"citationItems":[{"id":"ITEM-1","itemData":{"DOI":"10.1016/j.soard.2010.07.012","ISSN":"1878-7533","PMID":"20947451","abstract":"BACKGROUND Endoluminal suturing to reduce the gastric volume might provide an additional option for the treatment of obesity. Potential advantages of a nonoperative endoluminal intervention include less pain, the ability to perform it as an outpatient procedure, and a high level of patient acceptance. The purpose of the present pilot study was to demonstrate the feasibility and procedural safety of transoral gastric volume reduction (TRIM procedure) using the Restore Suturing System in patients with a body mass index of 30-45 kg/m(2). Successful completion of the procedure and adverse events were evaluated at academic/university hospitals. METHODS This was a nonrandomized feasibility study performed at 2 institutions. After institutional review board approval, the patients underwent the TRIM endoluminal gastric plication procedure with the Restore Suturing System (Restore device). Gastric plications were completed to approximate the anterior and posterior gastric walls to achieve restriction of the upper stomach. The number and location of successful plications were recorded, and patients were monitored for complications. The present report described the short-term procedural results (≤ 24 hours after the procedure) of the studied cohort. RESULTS A total of 18 patients were enrolled in the present study. The TRIM procedure was successfully completed in all patients, with placement of 4-8 plications (average 6 per patient). The average procedure time was 125 ± 23 minutes, and no serious or significant procedure-related complications occurred. After the procedure, common patient complaints were nausea, vomiting, and abdominal discomfort. The first 10 patients enrolled were kept overnight according to the study protocol, and the remaining 8 patients were discharged on the day of the procedure. CONCLUSION Endoluminal suturing using the TRIM procedure and the Restore device was technically feasible, and no serious or significant procedure-related complications were reported. Weight loss, co-morbidity improvement, and durability are under assessment.","author":[{"dropping-particle":"","family":"Brethauer","given":"Stacy A","non-dropping-particle":"","parse-names":false,"suffix":""},{"dropping-particle":"","family":"Chand","given":"Bipan","non-dropping-particle":"","parse-names":false,"suffix":""},{"dropping-particle":"","family":"Schauer","given":"Philip R","non-dropping-particle":"","parse-names":false,"suffix":""},{"dropping-particle":"","family":"Thompson","given":"Christopher C","non-dropping-particle":"","parse-names":false,"suffix":""}],"container-title":"Surgery for obesity and related diseases : official journal of the American Society for Bariatric Surgery","id":"ITEM-1","issue":"6","issued":{"date-parts":[["0"]]},"page":"689-94","title":"Transoral gastric volume reduction for weight management: technique and feasibility in 18 patients.","type":"article-journal","volume":"6"},"uris":["http://www.mendeley.com/documents/?uuid=8a1940fa-dde0-4ac7-80b4-3152a7af6ff8"]},{"id":"ITEM-2","itemData":{"DOI":"10.1016/j.soard.2011.10.016","ISSN":"1878-7533","PMID":"22178565","abstract":"BACKGROUND The aim of the present pilot study was to evaluate the safety and weight loss efficacy of endoscopic transoral gastric volume reduction using an endoscopic suturing system. METHODS Patients with a body mass index (BMI) of 30-45 kg/m(2) were enrolled in the present institutional review board-approved study. Anterior to posterior gastric plications were placed in the gastric fundus and body using the suturing device. The endpoints were procedure time, adverse events, weight loss, and endoscopic findings at 1, 6, and 12 months after the procedure. The nominal P values are presented. RESULTS A total of 18 patients underwent the procedure (9 at each site). The mean age and BMI was 40 years and 38 kg/m(2), respectively. The average number of plications placed per patient was 6, and the mean procedure time was 2.1 hours (range 1.5-2.8). At 12 months of follow-up (n = 14), decreases in the mean weight (-11.0 ± 10.0 kg, P = .0006), mean BMI (-4.0 ± 3.5 kg/m(2), P = .0006), and mean waist circumference (-12.6 ± 9.5 cm, P = .0004) were observed. The mean excess weight loss at 12 months was 27.7% ± 21.9%. The proportion of patients with an EWL of ≥ 20% or ≥ 30% was 57% and 50%, respectively. The mean systolic and diastolic blood pressure decreased by 15.2 mm Hg (P = .0012) and 9.7 mm Hg (P = .0051), respectively. No device- or procedure-related serious adverse events. Endoscopy at 12 months of follow-up showed partial or complete release of plications in 13 patients. CONCLUSION Transoral gastric volume reduction procedure using the RESTORe Suturing System device proved to be safe and well tolerated. Procedural technical success was achieved for all subjects. Modest decreases in weight, BMI, and waist circumference were observed, as was a decline in the frequency of hypertension. Despite some overall positive clinical findings, the plications were not durable, and the effects of the procedure varied widely among the study participants. Additional research is needed to provide a more reproducible and durable effect.","author":[{"dropping-particle":"","family":"Brethauer","given":"Stacy A","non-dropping-particle":"","parse-names":false,"suffix":""},{"dropping-particle":"","family":"Chand","given":"Bipan","non-dropping-particle":"","parse-names":false,"suffix":""},{"dropping-particle":"","family":"Schauer","given":"Philip R","non-dropping-particle":"","parse-names":false,"suffix":""},{"dropping-particle":"","family":"Thompson","given":"Christopher C","non-dropping-particle":"","parse-names":false,"suffix":""}],"container-title":"Surgery for obesity and related diseases : official journal of the American Society for Bariatric Surgery","id":"ITEM-2","issue":"3","issued":{"date-parts":[["0"]]},"page":"296-303","title":"Transoral gastric volume reduction as intervention for weight management: 12-month follow-up of TRIM trial.","type":"article-journal","volume":"8"},"uris":["http://www.mendeley.com/documents/?uuid=582e505b-b0d1-4925-b75a-d95509da8f22"]}],"mendeley":{"formattedCitation":"&lt;sup&gt;[30,31]&lt;/sup&gt;","plainTextFormattedCitation":"[30,31]","previouslyFormattedCitation":"&lt;sup&gt;[30,31]&lt;/sup&gt;"},"properties":{"noteIndex":0},"schema":"https://github.com/citation-style-language/schema/raw/master/csl-citation.json"}</w:instrText>
      </w:r>
      <w:r w:rsidR="004B4BE6" w:rsidRPr="007F12AB">
        <w:rPr>
          <w:rFonts w:ascii="Book Antiqua" w:hAnsi="Book Antiqua" w:cs="Arial"/>
          <w:lang w:val="en-US"/>
        </w:rPr>
        <w:fldChar w:fldCharType="separate"/>
      </w:r>
      <w:r w:rsidR="004B4BE6" w:rsidRPr="007F12AB">
        <w:rPr>
          <w:rFonts w:ascii="Book Antiqua" w:hAnsi="Book Antiqua" w:cs="Arial"/>
          <w:noProof/>
          <w:vertAlign w:val="superscript"/>
          <w:lang w:val="en-US"/>
        </w:rPr>
        <w:t>[30,31]</w:t>
      </w:r>
      <w:r w:rsidR="004B4BE6" w:rsidRPr="007F12AB">
        <w:rPr>
          <w:rFonts w:ascii="Book Antiqua" w:hAnsi="Book Antiqua" w:cs="Arial"/>
          <w:lang w:val="en-US"/>
        </w:rPr>
        <w:fldChar w:fldCharType="end"/>
      </w:r>
      <w:r w:rsidRPr="007F12AB">
        <w:rPr>
          <w:rFonts w:ascii="Book Antiqua" w:hAnsi="Book Antiqua" w:cs="Arial"/>
          <w:lang w:val="en-US"/>
        </w:rPr>
        <w:t>. Subsequently, ESG was performed using the current full-thickness suturing device in 2012 by Thompson and Hawes</w:t>
      </w:r>
      <w:r w:rsidR="00214DBC" w:rsidRPr="007F12AB">
        <w:rPr>
          <w:rFonts w:ascii="Book Antiqua" w:hAnsi="Book Antiqua" w:cs="Arial"/>
          <w:lang w:val="en-US"/>
        </w:rPr>
        <w:fldChar w:fldCharType="begin" w:fldLock="1"/>
      </w:r>
      <w:r w:rsidR="00214DBC" w:rsidRPr="007F12AB">
        <w:rPr>
          <w:rFonts w:ascii="Book Antiqua" w:hAnsi="Book Antiqua" w:cs="Arial"/>
          <w:lang w:val="en-US"/>
        </w:rPr>
        <w:instrText>ADDIN CSL_CITATION {"citationItems":[{"id":"ITEM-1","itemData":{"DOI":"10.1016/S0016-5085(15)30597-7","ISSN":"00165085","author":[{"dropping-particle":"","family":"Kumar","given":"Nitin","non-dropping-particle":"","parse-names":false,"suffix":""},{"dropping-particle":"","family":"Lopez-Nava","given":"Gontrand","non-dropping-particle":"","parse-names":false,"suffix":""},{"dropping-particle":"","family":"Sahdala","given":"Helene Nicolle Peña","non-dropping-particle":"","parse-names":false,"suffix":""},{"dropping-particle":"","family":"Manoel","given":"Galvao Neto","non-dropping-particle":"","parse-names":false,"suffix":""},{"dropping-particle":"","family":"Sharaiha","given":"Reem Z.","non-dropping-particle":"","parse-names":false,"suffix":""},{"dropping-particle":"","family":"Wilson","given":"Erik B.","non-dropping-particle":"","parse-names":false,"suffix":""},{"dropping-particle":"","family":"Shaikh","given":"Sohail","non-dropping-particle":"","parse-names":false,"suffix":""},{"dropping-particle":"","family":"Gomez","given":"Eddie","non-dropping-particle":"","parse-names":false,"suffix":""},{"dropping-particle":"","family":"Ryan","given":"Michele B.","non-dropping-particle":"","parse-names":false,"suffix":""},{"dropping-particle":"","family":"Zundel","given":"Natan","non-dropping-particle":"","parse-names":false,"suffix":""},{"dropping-particle":"","family":"Thompson","given":"Christopher C.","non-dropping-particle":"","parse-names":false,"suffix":""}],"container-title":"Gastroenterology","id":"ITEM-1","issue":"4","issued":{"date-parts":[["2015","4"]]},"page":"S-179","title":"934 Endoscopic Sleeve Gastroplasty: Multicenter Weight Loss Results","type":"article-journal","volume":"148"},"uris":["http://www.mendeley.com/documents/?uuid=ae54217b-1b14-4092-946d-bc69aca7b2b4"]},{"id":"ITEM-2","itemData":{"author":[{"dropping-particle":"","family":"Neto","given":"Manoel Galvão","non-dropping-particle":"","parse-names":false,"suffix":""},{"dropping-particle":"","family":"Zundel","given":"Natan","non-dropping-particle":"","parse-names":false,"suffix":""},{"dropping-particle":"","family":"Campos","given":"Josemberg","non-dropping-particle":"","parse-names":false,"suffix":""},{"dropping-particle":"","family":"Alvarado","given":"Alonso","non-dropping-particle":"","parse-names":false,"suffix":""},{"dropping-particle":"","family":"Silva","given":"Lyz","non-dropping-particle":"","parse-names":false,"suffix":""},{"dropping-particle":"","family":"Orilaac","given":"Jorge","non-dropping-particle":"","parse-names":false,"suffix":""},{"dropping-particle":"","family":"Shaikh","given":"Sohail","non-dropping-particle":"","parse-names":false,"suffix":""},{"dropping-particle":"","family":"Gomez","given":"Eddie","non-dropping-particle":"","parse-names":false,"suffix":""},{"dropping-particle":"","family":"Wilson","given":"Erik","non-dropping-particle":"","parse-names":false,"suffix":""},{"dropping-particle":"","family":"Thompson","given":"Christopher C.","non-dropping-particle":"","parse-names":false,"suffix":""}],"container-title":"SAGES","id":"ITEM-2","issued":{"date-parts":[["2013"]]},"title":"ET010 Endoluminal greater curvature plication - A case series","type":"article-journal","volume":"[Abstract]"},"uris":["http://www.mendeley.com/documents/?uuid=27940aae-ad6b-4747-be38-f95dd29af11d"]}],"mendeley":{"formattedCitation":"&lt;sup&gt;[28,32]&lt;/sup&gt;","plainTextFormattedCitation":"[28,32]","previouslyFormattedCitation":"&lt;sup&gt;[28,32]&lt;/sup&gt;"},"properties":{"noteIndex":0},"schema":"https://github.com/citation-style-language/schema/raw/master/csl-citation.json"}</w:instrText>
      </w:r>
      <w:r w:rsidR="00214DBC" w:rsidRPr="007F12AB">
        <w:rPr>
          <w:rFonts w:ascii="Book Antiqua" w:hAnsi="Book Antiqua" w:cs="Arial"/>
          <w:lang w:val="en-US"/>
        </w:rPr>
        <w:fldChar w:fldCharType="separate"/>
      </w:r>
      <w:r w:rsidR="00214DBC" w:rsidRPr="007F12AB">
        <w:rPr>
          <w:rFonts w:ascii="Book Antiqua" w:hAnsi="Book Antiqua" w:cs="Arial"/>
          <w:noProof/>
          <w:vertAlign w:val="superscript"/>
          <w:lang w:val="en-US"/>
        </w:rPr>
        <w:t>[28,32]</w:t>
      </w:r>
      <w:r w:rsidR="00214DBC" w:rsidRPr="007F12AB">
        <w:rPr>
          <w:rFonts w:ascii="Book Antiqua" w:hAnsi="Book Antiqua" w:cs="Arial"/>
          <w:lang w:val="en-US"/>
        </w:rPr>
        <w:fldChar w:fldCharType="end"/>
      </w:r>
      <w:r w:rsidRPr="007F12AB">
        <w:rPr>
          <w:rFonts w:ascii="Book Antiqua" w:hAnsi="Book Antiqua" w:cs="Arial"/>
          <w:lang w:val="en-US"/>
        </w:rPr>
        <w:t>. ESG has since been the focus of many studies worldwide. These studies have demonstrated technical feasibility, safety, and efficacy for this procedure in terms of weight loss and resolution of metabolic comorbidities</w:t>
      </w:r>
      <w:r w:rsidR="00214DBC" w:rsidRPr="007F12AB">
        <w:rPr>
          <w:rFonts w:ascii="Book Antiqua" w:hAnsi="Book Antiqua" w:cs="Arial"/>
          <w:lang w:val="en-US"/>
        </w:rPr>
        <w:fldChar w:fldCharType="begin" w:fldLock="1"/>
      </w:r>
      <w:r w:rsidR="00434AC8" w:rsidRPr="007F12AB">
        <w:rPr>
          <w:rFonts w:ascii="Book Antiqua" w:hAnsi="Book Antiqua" w:cs="Arial"/>
          <w:lang w:val="en-US"/>
        </w:rPr>
        <w:instrText>ADDIN CSL_CITATION {"citationItems":[{"id":"ITEM-1","itemData":{"DOI":"10.1016/S0016-5085(15)30597-7","ISSN":"00165085","author":[{"dropping-particle":"","family":"Kumar","given":"Nitin","non-dropping-particle":"","parse-names":false,"suffix":""},{"dropping-particle":"","family":"Lopez-Nava","given":"Gontrand","non-dropping-particle":"","parse-names":false,"suffix":""},{"dropping-particle":"","family":"Sahdala","given":"Helene Nicolle Peña","non-dropping-particle":"","parse-names":false,"suffix":""},{"dropping-particle":"","family":"Manoel","given":"Galvao Neto","non-dropping-particle":"","parse-names":false,"suffix":""},{"dropping-particle":"","family":"Sharaiha","given":"Reem Z.","non-dropping-particle":"","parse-names":false,"suffix":""},{"dropping-particle":"","family":"Wilson","given":"Erik B.","non-dropping-particle":"","parse-names":false,"suffix":""},{"dropping-particle":"","family":"Shaikh","given":"Sohail","non-dropping-particle":"","parse-names":false,"suffix":""},{"dropping-particle":"","family":"Gomez","given":"Eddie","non-dropping-particle":"","parse-names":false,"suffix":""},{"dropping-particle":"","family":"Ryan","given":"Michele B.","non-dropping-particle":"","parse-names":false,"suffix":""},{"dropping-particle":"","family":"Zundel","given":"Natan","non-dropping-particle":"","parse-names":false,"suffix":""},{"dropping-particle":"","family":"Thompson","given":"Christopher C.","non-dropping-particle":"","parse-names":false,"suffix":""}],"container-title":"Gastroenterology","id":"ITEM-1","issue":"4","issued":{"date-parts":[["2015","4"]]},"page":"S-179","title":"934 Endoscopic Sleeve Gastroplasty: Multicenter Weight Loss Results","type":"article-journal","volume":"148"},"uris":["http://www.mendeley.com/documents/?uuid=ae54217b-1b14-4092-946d-bc69aca7b2b4"]},{"id":"ITEM-2","itemData":{"DOI":"10.1016/j.soard.2010.07.012","ISSN":"1878-7533","PMID":"20947451","abstract":"BACKGROUND Endoluminal suturing to reduce the gastric volume might provide an additional option for the treatment of obesity. Potential advantages of a nonoperative endoluminal intervention include less pain, the ability to perform it as an outpatient procedure, and a high level of patient acceptance. The purpose of the present pilot study was to demonstrate the feasibility and procedural safety of transoral gastric volume reduction (TRIM procedure) using the Restore Suturing System in patients with a body mass index of 30-45 kg/m(2). Successful completion of the procedure and adverse events were evaluated at academic/university hospitals. METHODS This was a nonrandomized feasibility study performed at 2 institutions. After institutional review board approval, the patients underwent the TRIM endoluminal gastric plication procedure with the Restore Suturing System (Restore device). Gastric plications were completed to approximate the anterior and posterior gastric walls to achieve restriction of the upper stomach. The number and location of successful plications were recorded, and patients were monitored for complications. The present report described the short-term procedural results (≤ 24 hours after the procedure) of the studied cohort. RESULTS A total of 18 patients were enrolled in the present study. The TRIM procedure was successfully completed in all patients, with placement of 4-8 plications (average 6 per patient). The average procedure time was 125 ± 23 minutes, and no serious or significant procedure-related complications occurred. After the procedure, common patient complaints were nausea, vomiting, and abdominal discomfort. The first 10 patients enrolled were kept overnight according to the study protocol, and the remaining 8 patients were discharged on the day of the procedure. CONCLUSION Endoluminal suturing using the TRIM procedure and the Restore device was technically feasible, and no serious or significant procedure-related complications were reported. Weight loss, co-morbidity improvement, and durability are under assessment.","author":[{"dropping-particle":"","family":"Brethauer","given":"Stacy A","non-dropping-particle":"","parse-names":false,"suffix":""},{"dropping-particle":"","family":"Chand","given":"Bipan","non-dropping-particle":"","parse-names":false,"suffix":""},{"dropping-particle":"","family":"Schauer","given":"Philip R","non-dropping-particle":"","parse-names":false,"suffix":""},{"dropping-particle":"","family":"Thompson","given":"Christopher C","non-dropping-particle":"","parse-names":false,"suffix":""}],"container-title":"Surgery for obesity and related diseases : official journal of the American Society for Bariatric Surgery","id":"ITEM-2","issue":"6","issued":{"date-parts":[["0"]]},"page":"689-94","title":"Transoral gastric volume reduction for weight management: technique and feasibility in 18 patients.","type":"article-journal","volume":"6"},"uris":["http://www.mendeley.com/documents/?uuid=8a1940fa-dde0-4ac7-80b4-3152a7af6ff8"]},{"id":"ITEM-3","itemData":{"DOI":"10.1016/j.soard.2011.10.016","ISSN":"1878-7533","PMID":"22178565","abstract":"BACKGROUND The aim of the present pilot study was to evaluate the safety and weight loss efficacy of endoscopic transoral gastric volume reduction using an endoscopic suturing system. METHODS Patients with a body mass index (BMI) of 30-45 kg/m(2) were enrolled in the present institutional review board-approved study. Anterior to posterior gastric plications were placed in the gastric fundus and body using the suturing device. The endpoints were procedure time, adverse events, weight loss, and endoscopic findings at 1, 6, and 12 months after the procedure. The nominal P values are presented. RESULTS A total of 18 patients underwent the procedure (9 at each site). The mean age and BMI was 40 years and 38 kg/m(2), respectively. The average number of plications placed per patient was 6, and the mean procedure time was 2.1 hours (range 1.5-2.8). At 12 months of follow-up (n = 14), decreases in the mean weight (-11.0 ± 10.0 kg, P = .0006), mean BMI (-4.0 ± 3.5 kg/m(2), P = .0006), and mean waist circumference (-12.6 ± 9.5 cm, P = .0004) were observed. The mean excess weight loss at 12 months was 27.7% ± 21.9%. The proportion of patients with an EWL of ≥ 20% or ≥ 30% was 57% and 50%, respectively. The mean systolic and diastolic blood pressure decreased by 15.2 mm Hg (P = .0012) and 9.7 mm Hg (P = .0051), respectively. No device- or procedure-related serious adverse events. Endoscopy at 12 months of follow-up showed partial or complete release of plications in 13 patients. CONCLUSION Transoral gastric volume reduction procedure using the RESTORe Suturing System device proved to be safe and well tolerated. Procedural technical success was achieved for all subjects. Modest decreases in weight, BMI, and waist circumference were observed, as was a decline in the frequency of hypertension. Despite some overall positive clinical findings, the plications were not durable, and the effects of the procedure varied widely among the study participants. Additional research is needed to provide a more reproducible and durable effect.","author":[{"dropping-particle":"","family":"Brethauer","given":"Stacy A","non-dropping-particle":"","parse-names":false,"suffix":""},{"dropping-particle":"","family":"Chand","given":"Bipan","non-dropping-particle":"","parse-names":false,"suffix":""},{"dropping-particle":"","family":"Schauer","given":"Philip R","non-dropping-particle":"","parse-names":false,"suffix":""},{"dropping-particle":"","family":"Thompson","given":"Christopher C","non-dropping-particle":"","parse-names":false,"suffix":""}],"container-title":"Surgery for obesity and related diseases : official journal of the American Society for Bariatric Surgery","id":"ITEM-3","issue":"3","issued":{"date-parts":[["0"]]},"page":"296-303","title":"Transoral gastric volume reduction as intervention for weight management: 12-month follow-up of TRIM trial.","type":"article-journal","volume":"8"},"uris":["http://www.mendeley.com/documents/?uuid=582e505b-b0d1-4925-b75a-d95509da8f22"]},{"id":"ITEM-4","itemData":{"DOI":"10.1007/s11695-017-2693-7","ISSN":"1708-0428","PMID":"28451929","abstract":"BACKGROUND Endoscopic sleeve gastroplasty (ESG) is a technique for managing mild to moderately obese patients. We aimed to evaluate the long-term outcomes, reproducibility, and predictors of weight response in a large multicenter cohort. METHODS Patients who underwent ESG between January 2013 and December 2015 in three centers were retrospectively analyzed. All procedures were performed using the Apollo OverStitch device (Apollo Endosurgery, Austin, TX). We performed per protocol (PP) and intention-to-treat (ITT) analyses, where patients lost to follow-up were considered failures. Multivariable linear and logistic regression analyses were performed. RESULTS We included 248 patients (mean age 44.5 ± 10 years, 73% female). Baseline BMI was 37.8 ± 5.6 kg/m2. At 6 and 24 months, 33 and 35 patients were lost to follow-up, respectively. At 6 and 24 months, %TBWL was 15.2 [95%CI 14.2-16.3] and 18.6 [15.7-21.5], respectively. Weight loss was similar between centers at both follow-up intervals. At 24 months, % of patients achieving ≥10% TBWL was 84.2 and 53% with PP and ITT analyses, respectively. On multivariable linear regression analysis, only %TBWL at 6 months strongly predicted %TBWL at 24 months (adjusted for age, gender, and baseline BMI, β = 1.21, p &lt; 0.001). The odds of achieving ≥10%TBWL at 24 months if a patient achieved &lt;10%TBWL at 6 months is 0.18 [0.034-0.84]. Five (2%) serious adverse events occurred. CONCLUSIONS ESG effectively induces weight loss up to 24 months in moderately obese patients. Failure to achieve adequate weight loss can be predicted early, and patients should be offered adjunctive therapies to augment it.","author":[{"dropping-particle":"","family":"Lopez-Nava","given":"Gontrand","non-dropping-particle":"","parse-names":false,"suffix":""},{"dropping-particle":"","family":"Sharaiha","given":"Reem Z","non-dropping-particle":"","parse-names":false,"suffix":""},{"dropping-particle":"","family":"Vargas","given":"Eric J","non-dropping-particle":"","parse-names":false,"suffix":""},{"dropping-particle":"","family":"Bazerbachi","given":"Fateh","non-dropping-particle":"","parse-names":false,"suffix":""},{"dropping-particle":"","family":"Manoel","given":"Galvao Neto","non-dropping-particle":"","parse-names":false,"suffix":""},{"dropping-particle":"","family":"Bautista-Castaño","given":"Inmaculada","non-dropping-particle":"","parse-names":false,"suffix":""},{"dropping-particle":"","family":"Acosta","given":"Andres","non-dropping-particle":"","parse-names":false,"suffix":""},{"dropping-particle":"","family":"Topazian","given":"Mark D","non-dropping-particle":"","parse-names":false,"suffix":""},{"dropping-particle":"","family":"Mundi","given":"Manpreet S","non-dropping-particle":"","parse-names":false,"suffix":""},{"dropping-particle":"","family":"Kumta","given":"Nikhil","non-dropping-particle":"","parse-names":false,"suffix":""},{"dropping-particle":"","family":"Kahaleh","given":"Michel","non-dropping-particle":"","parse-names":false,"suffix":""},{"dropping-particle":"","family":"Herr","given":"Andrea Marie","non-dropping-particle":"","parse-names":false,"suffix":""},{"dropping-particle":"","family":"Shukla","given":"Alpana","non-dropping-particle":"","parse-names":false,"suffix":""},{"dropping-particle":"","family":"Aronne","given":"Louis","non-dropping-particle":"","parse-names":false,"suffix":""},{"dropping-particle":"","family":"Gostout","given":"Christopher J","non-dropping-particle":"","parse-names":false,"suffix":""},{"dropping-particle":"","family":"Abu Dayyeh","given":"Barham K","non-dropping-particle":"","parse-names":false,"suffix":""}],"container-title":"Obesity surgery","id":"ITEM-4","issue":"10","issued":{"date-parts":[["2017"]]},"page":"2649-2655","title":"Endoscopic Sleeve Gastroplasty for Obesity: a Multicenter Study of 248 Patients with 24 Months Follow-Up.","type":"article-journal","volume":"27"},"uris":["http://www.mendeley.com/documents/?uuid=937982e5-8486-442c-af17-d4edb8b2a2b3"]},{"id":"ITEM-5","itemData":{"DOI":"10.1055/s-0034-1390773","ISBN":"0013-726x","ISSN":"14388812","PMID":"25380510","abstract":"Background and aims: Novel endoscopic techniques have been developed as effective treatments for obesity. Recently, reduction of gastric volume via endoscopic placement of full-thickness sutures, termed endoscopic sleeve gastroplasty (ESG), has been described. Our aim was to evaluate the safety, technical feasibility, and clinical outcomes for ESG.  Patient and methods: Between August 2013 and May 2014, ESG was performed on 10 patients using an endoscopic suturing device. Their weight loss, waist circumference, and clinical outcomes were assessed.  Results: Mean patient age was 43.7 years and mean body mass index (BMI) was 45.2</w:instrText>
      </w:r>
      <w:r w:rsidR="00434AC8" w:rsidRPr="007F12AB">
        <w:rPr>
          <w:lang w:val="en-US"/>
        </w:rPr>
        <w:instrText> </w:instrText>
      </w:r>
      <w:r w:rsidR="00434AC8" w:rsidRPr="007F12AB">
        <w:rPr>
          <w:rFonts w:ascii="Book Antiqua" w:hAnsi="Book Antiqua" w:cs="Arial"/>
          <w:lang w:val="en-US"/>
        </w:rPr>
        <w:instrText>kg/m2. There were no significant adverse events noted. After 1 month, 3 months, and 6 months, excess weight loss of 18</w:instrText>
      </w:r>
      <w:r w:rsidR="00434AC8" w:rsidRPr="007F12AB">
        <w:rPr>
          <w:lang w:val="en-US"/>
        </w:rPr>
        <w:instrText> </w:instrText>
      </w:r>
      <w:r w:rsidR="00434AC8" w:rsidRPr="007F12AB">
        <w:rPr>
          <w:rFonts w:ascii="Book Antiqua" w:hAnsi="Book Antiqua" w:cs="Arial"/>
          <w:lang w:val="en-US"/>
        </w:rPr>
        <w:instrText>%, 26</w:instrText>
      </w:r>
      <w:r w:rsidR="00434AC8" w:rsidRPr="007F12AB">
        <w:rPr>
          <w:lang w:val="en-US"/>
        </w:rPr>
        <w:instrText> </w:instrText>
      </w:r>
      <w:r w:rsidR="00434AC8" w:rsidRPr="007F12AB">
        <w:rPr>
          <w:rFonts w:ascii="Book Antiqua" w:hAnsi="Book Antiqua" w:cs="Arial"/>
          <w:lang w:val="en-US"/>
        </w:rPr>
        <w:instrText>%, and 30</w:instrText>
      </w:r>
      <w:r w:rsidR="00434AC8" w:rsidRPr="007F12AB">
        <w:rPr>
          <w:lang w:val="en-US"/>
        </w:rPr>
        <w:instrText> </w:instrText>
      </w:r>
      <w:r w:rsidR="00434AC8" w:rsidRPr="007F12AB">
        <w:rPr>
          <w:rFonts w:ascii="Book Antiqua" w:hAnsi="Book Antiqua" w:cs="Arial"/>
          <w:lang w:val="en-US"/>
        </w:rPr>
        <w:instrText>%, and mean weight loss of 11.5</w:instrText>
      </w:r>
      <w:r w:rsidR="00434AC8" w:rsidRPr="007F12AB">
        <w:rPr>
          <w:lang w:val="en-US"/>
        </w:rPr>
        <w:instrText> </w:instrText>
      </w:r>
      <w:r w:rsidR="00434AC8" w:rsidRPr="007F12AB">
        <w:rPr>
          <w:rFonts w:ascii="Book Antiqua" w:hAnsi="Book Antiqua" w:cs="Arial"/>
          <w:lang w:val="en-US"/>
        </w:rPr>
        <w:instrText>kg, 19.4</w:instrText>
      </w:r>
      <w:r w:rsidR="00434AC8" w:rsidRPr="007F12AB">
        <w:rPr>
          <w:lang w:val="en-US"/>
        </w:rPr>
        <w:instrText> </w:instrText>
      </w:r>
      <w:r w:rsidR="00434AC8" w:rsidRPr="007F12AB">
        <w:rPr>
          <w:rFonts w:ascii="Book Antiqua" w:hAnsi="Book Antiqua" w:cs="Arial"/>
          <w:lang w:val="en-US"/>
        </w:rPr>
        <w:instrText>kg, and 33.0</w:instrText>
      </w:r>
      <w:r w:rsidR="00434AC8" w:rsidRPr="007F12AB">
        <w:rPr>
          <w:lang w:val="en-US"/>
        </w:rPr>
        <w:instrText> </w:instrText>
      </w:r>
      <w:r w:rsidR="00434AC8" w:rsidRPr="007F12AB">
        <w:rPr>
          <w:rFonts w:ascii="Book Antiqua" w:hAnsi="Book Antiqua" w:cs="Arial"/>
          <w:lang w:val="en-US"/>
        </w:rPr>
        <w:instrText>kg, respectively, were observed. The differences observed in mean BMI and waist circumference were 4.9</w:instrText>
      </w:r>
      <w:r w:rsidR="00434AC8" w:rsidRPr="007F12AB">
        <w:rPr>
          <w:lang w:val="en-US"/>
        </w:rPr>
        <w:instrText> </w:instrText>
      </w:r>
      <w:r w:rsidR="00434AC8" w:rsidRPr="007F12AB">
        <w:rPr>
          <w:rFonts w:ascii="Book Antiqua" w:hAnsi="Book Antiqua" w:cs="Arial"/>
          <w:lang w:val="en-US"/>
        </w:rPr>
        <w:instrText>kg/m2 (P</w:instrText>
      </w:r>
      <w:r w:rsidR="00434AC8" w:rsidRPr="007F12AB">
        <w:rPr>
          <w:lang w:val="en-US"/>
        </w:rPr>
        <w:instrText> </w:instrText>
      </w:r>
      <w:r w:rsidR="00434AC8" w:rsidRPr="007F12AB">
        <w:rPr>
          <w:rFonts w:ascii="Book Antiqua" w:hAnsi="Book Antiqua" w:cs="Arial"/>
          <w:lang w:val="en-US"/>
        </w:rPr>
        <w:instrText>=</w:instrText>
      </w:r>
      <w:r w:rsidR="00434AC8" w:rsidRPr="007F12AB">
        <w:rPr>
          <w:lang w:val="en-US"/>
        </w:rPr>
        <w:instrText> </w:instrText>
      </w:r>
      <w:r w:rsidR="00434AC8" w:rsidRPr="007F12AB">
        <w:rPr>
          <w:rFonts w:ascii="Book Antiqua" w:hAnsi="Book Antiqua" w:cs="Arial"/>
          <w:lang w:val="en-US"/>
        </w:rPr>
        <w:instrText>0.0004) and 21.7</w:instrText>
      </w:r>
      <w:r w:rsidR="00434AC8" w:rsidRPr="007F12AB">
        <w:rPr>
          <w:lang w:val="en-US"/>
        </w:rPr>
        <w:instrText> </w:instrText>
      </w:r>
      <w:r w:rsidR="00434AC8" w:rsidRPr="007F12AB">
        <w:rPr>
          <w:rFonts w:ascii="Book Antiqua" w:hAnsi="Book Antiqua" w:cs="Arial"/>
          <w:lang w:val="en-US"/>
        </w:rPr>
        <w:instrText>cm (P</w:instrText>
      </w:r>
      <w:r w:rsidR="00434AC8" w:rsidRPr="007F12AB">
        <w:rPr>
          <w:lang w:val="en-US"/>
        </w:rPr>
        <w:instrText> </w:instrText>
      </w:r>
      <w:r w:rsidR="00434AC8" w:rsidRPr="007F12AB">
        <w:rPr>
          <w:rFonts w:ascii="Book Antiqua" w:hAnsi="Book Antiqua" w:cs="Arial"/>
          <w:lang w:val="en-US"/>
        </w:rPr>
        <w:instrText>=</w:instrText>
      </w:r>
      <w:r w:rsidR="00434AC8" w:rsidRPr="007F12AB">
        <w:rPr>
          <w:lang w:val="en-US"/>
        </w:rPr>
        <w:instrText> </w:instrText>
      </w:r>
      <w:r w:rsidR="00434AC8" w:rsidRPr="007F12AB">
        <w:rPr>
          <w:rFonts w:ascii="Book Antiqua" w:hAnsi="Book Antiqua" w:cs="Arial"/>
          <w:lang w:val="en-US"/>
        </w:rPr>
        <w:instrText>0.003), respectively.  Conclusions: ESG is effective in achieving weight loss with minimal adverse events. This approach may provide a cost-effective outpatient procedure to add to the steadily growing armamentarium available for treatment of this significant epidemic.","author":[{"dropping-particle":"","family":"Sharaiha","given":"Reem Z.","non-dropping-particle":"","parse-names":false,"suffix":""},{"dropping-particle":"","family":"Kedia","given":"Prashant","non-dropping-particle":"","parse-names":false,"suffix":""},{"dropping-particle":"","family":"Kumta","given":"Nikhil","non-dropping-particle":"","parse-names":false,"suffix":""},{"dropping-particle":"","family":"DeFilippis","given":"Ersilia M.","non-dropping-particle":"","parse-names":false,"suffix":""},{"dropping-particle":"","family":"Gaidhane","given":"Monica","non-dropping-particle":"","parse-names":false,"suffix":""},{"dropping-particle":"","family":"Shukla","given":"Alpana","non-dropping-particle":"","parse-names":false,"suffix":""},{"dropping-particle":"","family":"Aronne","given":"Louis J.","non-dropping-particle":"","parse-names":false,"suffix":""},{"dropping-particle":"","family":"Kahaleh","given":"Michel","non-dropping-particle":"","parse-names":false,"suffix":""}],"container-title":"Endoscopy","id":"ITEM-5","issue":"2","issued":{"date-parts":[["2015"]]},"page":"164-166","title":"Initial experience with endoscopic sleeve gastroplasty: technical success and reproducibility in the bariatric population","type":"article-journal","volume":"47"},"uris":["http://www.mendeley.com/documents/?uuid=d7fb8a4a-5e28-4baa-a2c8-b10de05b8f4b"]},{"id":"ITEM-6","itemData":{"DOI":"10.1055/s-0034-1390766","ISSN":"1438-8812","PMID":"25380508","abstract":"BACKGROUND AND STUDY AIMS Emerging endoscopic techniques are minimally invasive and can mimic the anatomic alterations achieved by surgical sleeve gastrectomy. The objective of this study was to evaluate endoscopic sleeve gastroplasty. PATIENTS AND METHODS This was a prospective, single-center study of 20 patients who underwent flexible endoscopic suturing for endoluminal gastric volume reduction. A multidisciplinary team provided postprocedure care. Patient status and weight were recorded at baseline, and at 1, 3, and 6 months after the procedure. RESULTS There were no adverse events and all patients were discharged in less than 24 hours. Baseline mean body mass index was 38.5 kg/m(2), and mean age was 45.8 years. Initial body weight (108.5 ± 14.9 kg) was significantly reduced. Following the procedure, the mean body weight reduction was 8.2 ± 2.5 kg at 1 month (% of initial weight loss 7.6 %; P &lt; 0.05), 13.6 ± 4.8 kg at 3 months (12.4 % weight loss; P &lt; 0.05), and 19.3 ± 8.9 kg at 6 months (17.8 % weight loss; P &lt; 0.05). CONCLUSION Endoscopic sleeve gastroplasty can be effective for the treatment of patients with obesity.","author":[{"dropping-particle":"","family":"Lopez-Nava","given":"Gontrand","non-dropping-particle":"","parse-names":false,"suffix":""},{"dropping-particle":"","family":"Galvão","given":"Manoel P","non-dropping-particle":"","parse-names":false,"suffix":""},{"dropping-particle":"","family":"Bautista-Castaño","given":"Immacula","non-dropping-particle":"da","parse-names":false,"suffix":""},{"dropping-particle":"","family":"Jimenez","given":"Amaya","non-dropping-particle":"","parse-names":false,"suffix":""},{"dropping-particle":"","family":"Grado","given":"Teresa","non-dropping-particle":"De","parse-names":false,"suffix":""},{"dropping-particle":"","family":"Fernandez-Corbelle","given":"Juan Pedro","non-dropping-particle":"","parse-names":false,"suffix":""}],"container-title":"Endoscopy","id":"ITEM-6","issue":"5","issued":{"date-parts":[["2015","5"]]},"page":"449-52","title":"Endoscopic sleeve gastroplasty for the treatment of obesity.","type":"article-journal","volume":"47"},"uris":["http://www.mendeley.com/documents/?uuid=c3a4bdd3-8809-446c-ae20-feefffc05f69"]},{"id":"ITEM-7","itemData":{"DOI":"10.1590/0102-6720201600S10023","ISSN":"2317-6326","PMID":"27683786","abstract":"Background: Less invasive and complex procedures have been developed to treat obesity. The successful use of Endoscopic Sleeve Gastroplasty using OverStitch(r) (Apollo Endosurgery, Austin, Texas, USA) has been reported in the literature. Aim: Present technical details of the procedure and its surgical/ endoscopic preliminary outcome. Method: The device was used to perform plications along the greater curvature of the stomach, creating a tubulization similar to a sleeve gastrectomy. Result: A male patient with a BMI of 35.17 kg/m2 underwent the procedure, with successful achievement of four plications, and preservation of gastric fundus. The procedure was successfully performed in 50 minutes, time without bleeding or other complications. The patient presented mild abdominal pain and good acceptance of liquid diet. Conclusions: The endoscopic gastroplasty procedure was safe, with acceptable technical viability, short in duration and without early complications. Racional: Procedimentos menos invasivos e complexos têm sido desenvolvidos para o tratamento da obesidade. A gastroplastia vertical endoscópica com uso de OverStitch(r) (Apollo Endosurgery, Austin, TX, EUA) já foi relatada com sucesso na literatura. Objetivo: Apresentar detalhes técnicos do procedimento e seu resultado cirúrgico/endoscópico preliminar. Método: O equipamento foi utilizado para realizar plicaturas ao longo da grande curvatura gástrica, objetivando tubulização do estômago semelhante a gastrectomia vertical. Resultado: O método foi aplicado em paciente com IMC 35,17 kg/m2, sendo realizadas quatro plicaturas, preservando o fundo gástrico. O procedimento foi realizado com sucesso em 50 min, sem sangramento ou outras complicações. O paciente evoluiu com dor abdominal leve, e teve boa aceitação de dieta líquida. Conclusão: A realização da gastroplastia endoscópica foi segura, com viabilidade técnica aceitável e reprodutível, com curto tempo de procedimento, sem complicações precoces.","author":[{"dropping-particle":"","family":"Galvão-Neto","given":"Manoel Dos Passos","non-dropping-particle":"","parse-names":false,"suffix":""},{"dropping-particle":"","family":"Grecco","given":"Eduardo","non-dropping-particle":"","parse-names":false,"suffix":""},{"dropping-particle":"de","family":"Souza","given":"Thiago Ferreira","non-dropping-particle":"","parse-names":false,"suffix":""},{"dropping-particle":"de","family":"Quadros","given":"Luiz Gustavo","non-dropping-particle":"","parse-names":false,"suffix":""},{"dropping-particle":"","family":"Silva","given":"Lyz Bezerra","non-dropping-particle":"","parse-names":false,"suffix":""},{"dropping-particle":"","family":"Campos","given":"Josemberg Marins","non-dropping-particle":"","parse-names":false,"suffix":""}],"container-title":"Arquivos brasileiros de cirurgia digestiva : ABCD = Brazilian archives of digestive surgery","id":"ITEM-7","issue":"Suppl 1","issued":{"date-parts":[["0"]]},"page":"95-97","title":"ENDOSCOPIC SLEEVE GASTROPLASTY - MINIMALLY INVASIVE THERAPY FOR PRIMARY OBESITY TREATMENT.","type":"article-journal","volume":"29Suppl 1"},"uris":["http://www.mendeley.com/documents/?uuid=4cc9563d-a15f-4ec1-ba63-a717c9e0016e"]},{"id":"ITEM-8","itemData":{"DOI":"10.1016/j.cgh.2015.12.030","ISSN":"1542-7714","PMID":"26748219","abstract":"BACKGROUND &amp; AIMS Although bariatric surgery is the most effective therapy for obesity, only a small proportion of candidates undergo this surgery. Endoscopic sleeve gastroplasty (ESG) is a minimally invasive procedure that reduces the size of the gastric reservoir. We investigated its durability and effects on body weight and gastrointestinal function in a prospective study of obese individuals. METHODS Twenty-five obese individuals (21 female; mean body mass index, 35.5 ± 2.6 kg/m2; mean age, 47.6 ± 10 years) underwent ESG with endoluminal creation of a sleeve along the gastric lesser curve from September 2012 through March 2015 at the Mayo Clinic in Rochester, Minnesota. Subjects were followed for a median period of 9 months. We measured changes in body weight and recorded adverse events; patients were assessed by endoscopy after 3 months. Four participants underwent pre-ESG and post-ESG analyses to measure solid and liquid gastric emptying, satiation (meal tolerance), and fasting and postprandial levels of insulin, glucose, and gut hormones. RESULTS Subjects had lost 53% ± 17%, 56% ± 23%, 54% ± 40%, and 45% ± 41% of excess body weight at 6, 9, 12, and 20 months, respectively, after the procedure (P &lt; .01). Endoscopy at 3 months showed intact gastroplasty in all subjects. After ESG, physiological analyses of 4 participants showed a decrease by 59% in caloric consumption to reach maximum fullness (P = .003), slowing of gastric emptying of solids (P = .03), and a trend toward increased insulin sensitivity (P = .06). Three patients had serious adverse events (a perigastric inflammatory collection, a pulmonary embolism, and a small pneumothorax) but made full recoveries with no need for surgical interventions. No further serious adverse events occurred after the technique was adjusted. CONCLUSIONS ESG delays gastric emptying, induces early satiation, and significantly reduces body weight. ESG could be an alternative to bariatric surgery for selected patients with obesity. ClincialTrials.gov number: NCT 01682733.","author":[{"dropping-particle":"","family":"Abu Dayyeh","given":"Barham K","non-dropping-particle":"","parse-names":false,"suffix":""},{"dropping-particle":"","family":"Acosta","given":"Andres","non-dropping-particle":"","parse-names":false,"suffix":""},{"dropping-particle":"","family":"Camilleri","given":"Michael","non-dropping-particle":"","parse-names":false,"suffix":""},{"dropping-particle":"","family":"Mundi","given":"Manpreet S","non-dropping-particle":"","parse-names":false,"suffix":""},{"dropping-particle":"","family":"Rajan","given":"Elizabeth","non-dropping-particle":"","parse-names":false,"suffix":""},{"dropping-particle":"","family":"Topazian","given":"Mark D","non-dropping-particle":"","parse-names":false,"suffix":""},{"dropping-particle":"","family":"Gostout","given":"Christopher J","non-dropping-particle":"","parse-names":false,"suffix":""}],"container-title":"Clinical gastroenterology and hepatology : the official clinical practice journal of the American Gastroenterological Association","id":"ITEM-8","issue":"1","issued":{"date-parts":[["2017"]]},"page":"37-43.e1","title":"Endoscopic Sleeve Gastroplasty Alters Gastric Physiology and Induces Loss of Body Weight in Obese Individuals.","type":"article-journal","volume":"15"},"uris":["http://www.mendeley.com/documents/?uuid=9d4046f7-466c-4027-9f22-8bf7982a9501"]},{"id":"ITEM-9","itemData":{"DOI":"10.1016/j.cgh.2016.12.012","ISSN":"1542-7714","PMID":"28017845","abstract":"BACKGROUND &amp; AIMS Endoscopic sleeve gastroplasty (ESG) is an incisionless, minimally invasive bariatric procedure that reduces the length and width of the gastric cavity to facilitate weight loss. We performed a prospective study to evaluate the effects of ESG on total body weight loss and obesity-related comorbidities. METHODS We collected data from 91 consecutive patients (mean age, 43.86 ± 11.26 years; 68% female) undergoing ESG from August 2013 through March 2016. All patients had a body mass index (BMI) greater than 30 kg/m2 and had failed noninvasive weight-loss measures or had a BMI greater than 40 kg/m2 and were not considered as surgical candidates or refused surgery. All procedures were performed with a cap-based flexible endoscopic suturing system to facilitate a triangular pattern of sutures to imbricate the greater curvature of the stomach. Patients were evaluated after 6 months (n = 73), 12 months (n = 53), and 24 months (n = 12) for anthropometric features (BMI, weight, waist circumference, blood pressure) and underwent serologic (hemoglobin A1c), lipid panel, serum triglycerides, and liver function tests. The primary outcomes were total body weight loss at 6, 12, and 24 months. Secondary outcomes were the effects of ESG on metabolic factors (blood pressure, diabetes, hyperlipidemia, steatohepatitis) and safety. RESULTS The patients' mean BMI before the procedure was 40.7 ± 7.0 kg/m2. Patients had lost 14.4% of their total body weight at 6 months (80% follow-up rate), 17.6% at 12 months (76% follow-up rate), and 20.9% at 24 months (66% follow-up rate) after ESG. At 12 months after ESG, patients had statistically significant reductions in levels of hemoglobin A1c (P = .01), systolic blood pressure (P = .02), waist circumference (P &lt; .001), alanine aminotransferase (P &lt; .001), and serum triglycerides (P = .02). However, there was no significant change in low-density lipoprotein after vs before ESG (P = .79). There was one serious adverse event (1.1%) (perigastric leak) that occurred that was managed non-operatively. CONCLUSIONS ESG is a minimally invasive and effective endoscopic weight loss intervention. In addition to sustained total body weight loss up to 24 months, ESG reduced markers of hypertension, diabetes, and hypertriglyceridemia.","author":[{"dropping-particle":"","family":"Sharaiha","given":"Reem Z","non-dropping-particle":"","parse-names":false,"suffix":""},{"dropping-particle":"","family":"Kumta","given":"Nikhil A","non-dropping-particle":"","parse-names":false,"suffix":""},{"dropping-particle":"","family":"Saumoy","given":"Monica","non-dropping-particle":"","parse-names":false,"suffix":""},{"dropping-particle":"","family":"Desai","given":"Amit P","non-dropping-particle":"","parse-names":false,"suffix":""},{"dropping-particle":"","family":"Sarkisian","given":"Alex M","non-dropping-particle":"","parse-names":false,"suffix":""},{"dropping-particle":"","family":"Benevenuto","given":"Andrea","non-dropping-particle":"","parse-names":false,"suffix":""},{"dropping-particle":"","family":"Tyberg","given":"Amy","non-dropping-particle":"","parse-names":false,"suffix":""},{"dropping-particle":"","family":"Kumar","given":"Rekha","non-dropping-particle":"","parse-names":false,"suffix":""},{"dropping-particle":"","family":"Igel","given":"Leon","non-dropping-particle":"","parse-names":false,"suffix":""},{"dropping-particle":"","family":"Verna","given":"Elizabeth C","non-dropping-particle":"","parse-names":false,"suffix":""},{"dropping-particle":"","family":"Schwartz","given":"Robert","non-dropping-particle":"","parse-names":false,"suffix":""},{"dropping-particle":"","family":"Frissora","given":"Christina","non-dropping-particle":"","parse-names":false,"suffix":""},{"dropping-particle":"","family":"Shukla","given":"Alpana","non-dropping-particle":"","parse-names":false,"suffix":""},{"dropping-particle":"","family":"Aronne","given":"Louis J","non-dropping-particle":"","parse-names":false,"suffix":""},{"dropping-particle":"","family":"Kahaleh","given":"Michel","non-dropping-particle":"","parse-names":false,"suffix":""}],"container-title":"Clinical gastroenterology and hepatology : the official clinical practice journal of the American Gastroenterological Association","id":"ITEM-9","issue":"4","issued":{"date-parts":[["2017","4"]]},"page":"504-510","title":"Endoscopic Sleeve Gastroplasty Significantly Reduces Body Mass Index and Metabolic Complications in Obese Patients.","type":"article-journal","volume":"15"},"uris":["http://www.mendeley.com/documents/?uuid=650f197d-82f4-4861-a411-351c3c667bbf"]},{"id":"ITEM-10","itemData":{"DOI":"10.1016/j.gie.2018.12.012","ISSN":"00165107","author":[{"dropping-particle":"","family":"Alqahtani","given":"Aayed","non-dropping-particle":"","parse-names":false,"suffix":""},{"dropping-particle":"","family":"Al-Darwish","given":"Abdullah","non-dropping-particle":"","parse-names":false,"suffix":""},{"dropping-particle":"","family":"Mahmoud","given":"Ahmed Elsayed","non-dropping-particle":"","parse-names":false,"suffix":""},{"dropping-particle":"","family":"Alqahtani","given":"Yara A.","non-dropping-particle":"","parse-names":false,"suffix":""},{"dropping-particle":"","family":"Elahmedi","given":"Mohamed","non-dropping-particle":"","parse-names":false,"suffix":""}],"container-title":"Gastrointestinal Endoscopy","id":"ITEM-10","issued":{"date-parts":[["2018","12"]]},"title":"Short-term outcomes of endoscopic sleeve gastroplasty in 1000 consecutive patients","type":"article-journal"},"uris":["http://www.mendeley.com/documents/?uuid=d3fde783-c7b5-4ada-8fdc-9d05432797a7"]}],"mendeley":{"formattedCitation":"&lt;sup&gt;[28,30,31,33–39]&lt;/sup&gt;","plainTextFormattedCitation":"[28,30,31,33–39]","previouslyFormattedCitation":"&lt;sup&gt;[28,30,31,33–39]&lt;/sup&gt;"},"properties":{"noteIndex":0},"schema":"https://github.com/citation-style-language/schema/raw/master/csl-citation.json"}</w:instrText>
      </w:r>
      <w:r w:rsidR="00214DBC" w:rsidRPr="007F12AB">
        <w:rPr>
          <w:rFonts w:ascii="Book Antiqua" w:hAnsi="Book Antiqua" w:cs="Arial"/>
          <w:lang w:val="en-US"/>
        </w:rPr>
        <w:fldChar w:fldCharType="separate"/>
      </w:r>
      <w:r w:rsidR="00C512D9" w:rsidRPr="007F12AB">
        <w:rPr>
          <w:rFonts w:ascii="Book Antiqua" w:hAnsi="Book Antiqua" w:cs="Arial"/>
          <w:noProof/>
          <w:vertAlign w:val="superscript"/>
          <w:lang w:val="en-US"/>
        </w:rPr>
        <w:t>[28,30,31,33</w:t>
      </w:r>
      <w:r w:rsidR="007E04CA" w:rsidRPr="007F12AB">
        <w:rPr>
          <w:rFonts w:ascii="Book Antiqua" w:hAnsi="Book Antiqua" w:cs="Arial"/>
          <w:noProof/>
          <w:vertAlign w:val="superscript"/>
          <w:lang w:val="en-US"/>
        </w:rPr>
        <w:t>-</w:t>
      </w:r>
      <w:r w:rsidR="00C512D9" w:rsidRPr="007F12AB">
        <w:rPr>
          <w:rFonts w:ascii="Book Antiqua" w:hAnsi="Book Antiqua" w:cs="Arial"/>
          <w:noProof/>
          <w:vertAlign w:val="superscript"/>
          <w:lang w:val="en-US"/>
        </w:rPr>
        <w:t>39]</w:t>
      </w:r>
      <w:r w:rsidR="00214DBC" w:rsidRPr="007F12AB">
        <w:rPr>
          <w:rFonts w:ascii="Book Antiqua" w:hAnsi="Book Antiqua" w:cs="Arial"/>
          <w:lang w:val="en-US"/>
        </w:rPr>
        <w:fldChar w:fldCharType="end"/>
      </w:r>
      <w:r w:rsidR="00F31D48" w:rsidRPr="007F12AB">
        <w:rPr>
          <w:rFonts w:ascii="Book Antiqua" w:hAnsi="Book Antiqua" w:cs="Arial"/>
          <w:lang w:val="en-US"/>
        </w:rPr>
        <w:t>.</w:t>
      </w:r>
    </w:p>
    <w:p w14:paraId="1A182C5B" w14:textId="2E42357A" w:rsidR="00CB6256" w:rsidRPr="007F12AB" w:rsidRDefault="00CB6256" w:rsidP="0026431D">
      <w:pPr>
        <w:spacing w:line="360" w:lineRule="auto"/>
        <w:ind w:firstLineChars="100" w:firstLine="240"/>
        <w:jc w:val="both"/>
        <w:rPr>
          <w:rFonts w:ascii="Book Antiqua" w:hAnsi="Book Antiqua" w:cs="Arial"/>
          <w:lang w:val="en-US"/>
        </w:rPr>
      </w:pPr>
      <w:r w:rsidRPr="007F12AB">
        <w:rPr>
          <w:rFonts w:ascii="Book Antiqua" w:hAnsi="Book Antiqua" w:cs="Arial"/>
          <w:lang w:val="en-US"/>
        </w:rPr>
        <w:t>Although the exact mechanisms of weight loss following ESG are not clear, the procedure is performed with the intention of reducing gastric volume and altering motility</w:t>
      </w:r>
      <w:r w:rsidR="00434AC8" w:rsidRPr="007F12AB">
        <w:rPr>
          <w:rFonts w:ascii="Book Antiqua" w:hAnsi="Book Antiqua" w:cs="Arial"/>
          <w:lang w:val="en-US"/>
        </w:rPr>
        <w:fldChar w:fldCharType="begin" w:fldLock="1"/>
      </w:r>
      <w:r w:rsidR="00F31D48" w:rsidRPr="007F12AB">
        <w:rPr>
          <w:rFonts w:ascii="Book Antiqua" w:hAnsi="Book Antiqua" w:cs="Arial"/>
          <w:lang w:val="en-US"/>
        </w:rPr>
        <w:instrText>ADDIN CSL_CITATION {"citationItems":[{"id":"ITEM-1","itemData":{"DOI":"10.1007/s11695-015-1714-7","ISSN":"1708-0428","PMID":"26003549","abstract":"BACKGROUND Primary endoscopic weight loss therapies are of interest for access, simplicity, and economy. The objective of this manuscript is to describe the endoscopic sleeve gastroplasty used in 50 patients. METHODS The goal of this procedure is to reduce the gastric lumen into a tubular configuration, with the greater curvature modified by a line of sutured plications. General anesthesia with endotracheal intubation is needed. An endoscopic suturing system requiring a specific double-channel endoscope delivers full-thickness sets of running sutures from the antrum to the fundus. Patients are admitted and observed, with discharge planned within 24 h. Post-procedure outpatient care includes diet instruction with intensive follow-up by a multidisciplinary team. Voluntary oral contrast and endoscopy studies are scheduled to assess the gastroplasty at 3, 6, and 12 months. RESULTS The technique was applied in 50 patients (13 men) with an average body mass index (BMI) of 37.7 kg/m(2) (range 30-47) with 13 having reached 1 year. Procedure duration averaged 66 min during which six to eight sutures on average were placed. All patients were discharged in less than 24 h. There were no major intra-procedural, early, or delayed adverse events. Weight loss parameters were satisfactory, mean BMI changes from 37.7 ± 4.6 to 30.9 ± 5.1 kg/m(2) at 1 year, and mean %TBWL was 19.0 ± 10.8. Oral contrast studies and endoscopy revealed sleeve gastroplasty configuration at least until 1 year of follow-up. CONCLUSION Endoscopic sleeve gastroplasty is a safe, effective, and reproducible primary weight loss technique.","author":[{"dropping-particle":"","family":"Lopez-Nava","given":"G","non-dropping-particle":"","parse-names":false,"suffix":""},{"dropping-particle":"","family":"Galvão","given":"M P","non-dropping-particle":"","parse-names":false,"suffix":""},{"dropping-particle":"","family":"Bautista-Castaño","given":"I","non-dropping-particle":"","parse-names":false,"suffix":""},{"dropping-particle":"","family":"Jimenez-Baños","given":"A","non-dropping-particle":"","parse-names":false,"suffix":""},{"dropping-particle":"","family":"Fernandez-Corbelle","given":"J P","non-dropping-particle":"","parse-names":false,"suffix":""}],"container-title":"Obesity surgery","id":"ITEM-1","issue":"8","issued":{"date-parts":[["2015","8"]]},"page":"1534-8","title":"Endoscopic Sleeve Gastroplasty: How I Do It?","type":"article-journal","volume":"25"},"uris":["http://www.mendeley.com/documents/?uuid=7a6a323e-04e7-440d-88fe-d7cab912c5cd"]},{"id":"ITEM-2","itemData":{"DOI":"10.1055/s-0034-1390773","ISBN":"0013-726x","ISSN":"14388812","PMID":"25380510","abstract":"Background and aims: Novel endoscopic techniques have been developed as effective treatments for obesity. Recently, reduction of gastric volume via endoscopic placement of full-thickness sutures, termed endoscopic sleeve gastroplasty (ESG), has been described. Our aim was to evaluate the safety, technical feasibility, and clinical outcomes for ESG.  Patient and methods: Between August 2013 and May 2014, ESG was performed on 10 patients using an endoscopic suturing device. Their weight loss, waist circumference, and clinical outcomes were assessed.  Results: Mean patient age was 43.7 years and mean body mass index (BMI) was 45.2</w:instrText>
      </w:r>
      <w:r w:rsidR="00F31D48" w:rsidRPr="007F12AB">
        <w:rPr>
          <w:lang w:val="en-US"/>
        </w:rPr>
        <w:instrText> </w:instrText>
      </w:r>
      <w:r w:rsidR="00F31D48" w:rsidRPr="007F12AB">
        <w:rPr>
          <w:rFonts w:ascii="Book Antiqua" w:hAnsi="Book Antiqua" w:cs="Arial"/>
          <w:lang w:val="en-US"/>
        </w:rPr>
        <w:instrText>kg/m2. There were no significant adverse events noted. After 1 month, 3 months, and 6 months, excess weight loss of 18</w:instrText>
      </w:r>
      <w:r w:rsidR="00F31D48" w:rsidRPr="007F12AB">
        <w:rPr>
          <w:lang w:val="en-US"/>
        </w:rPr>
        <w:instrText> </w:instrText>
      </w:r>
      <w:r w:rsidR="00F31D48" w:rsidRPr="007F12AB">
        <w:rPr>
          <w:rFonts w:ascii="Book Antiqua" w:hAnsi="Book Antiqua" w:cs="Arial"/>
          <w:lang w:val="en-US"/>
        </w:rPr>
        <w:instrText>%, 26</w:instrText>
      </w:r>
      <w:r w:rsidR="00F31D48" w:rsidRPr="007F12AB">
        <w:rPr>
          <w:lang w:val="en-US"/>
        </w:rPr>
        <w:instrText> </w:instrText>
      </w:r>
      <w:r w:rsidR="00F31D48" w:rsidRPr="007F12AB">
        <w:rPr>
          <w:rFonts w:ascii="Book Antiqua" w:hAnsi="Book Antiqua" w:cs="Arial"/>
          <w:lang w:val="en-US"/>
        </w:rPr>
        <w:instrText>%, and 30</w:instrText>
      </w:r>
      <w:r w:rsidR="00F31D48" w:rsidRPr="007F12AB">
        <w:rPr>
          <w:lang w:val="en-US"/>
        </w:rPr>
        <w:instrText> </w:instrText>
      </w:r>
      <w:r w:rsidR="00F31D48" w:rsidRPr="007F12AB">
        <w:rPr>
          <w:rFonts w:ascii="Book Antiqua" w:hAnsi="Book Antiqua" w:cs="Arial"/>
          <w:lang w:val="en-US"/>
        </w:rPr>
        <w:instrText>%, and mean weight loss of 11.5</w:instrText>
      </w:r>
      <w:r w:rsidR="00F31D48" w:rsidRPr="007F12AB">
        <w:rPr>
          <w:lang w:val="en-US"/>
        </w:rPr>
        <w:instrText> </w:instrText>
      </w:r>
      <w:r w:rsidR="00F31D48" w:rsidRPr="007F12AB">
        <w:rPr>
          <w:rFonts w:ascii="Book Antiqua" w:hAnsi="Book Antiqua" w:cs="Arial"/>
          <w:lang w:val="en-US"/>
        </w:rPr>
        <w:instrText>kg, 19.4</w:instrText>
      </w:r>
      <w:r w:rsidR="00F31D48" w:rsidRPr="007F12AB">
        <w:rPr>
          <w:lang w:val="en-US"/>
        </w:rPr>
        <w:instrText> </w:instrText>
      </w:r>
      <w:r w:rsidR="00F31D48" w:rsidRPr="007F12AB">
        <w:rPr>
          <w:rFonts w:ascii="Book Antiqua" w:hAnsi="Book Antiqua" w:cs="Arial"/>
          <w:lang w:val="en-US"/>
        </w:rPr>
        <w:instrText>kg, and 33.0</w:instrText>
      </w:r>
      <w:r w:rsidR="00F31D48" w:rsidRPr="007F12AB">
        <w:rPr>
          <w:lang w:val="en-US"/>
        </w:rPr>
        <w:instrText> </w:instrText>
      </w:r>
      <w:r w:rsidR="00F31D48" w:rsidRPr="007F12AB">
        <w:rPr>
          <w:rFonts w:ascii="Book Antiqua" w:hAnsi="Book Antiqua" w:cs="Arial"/>
          <w:lang w:val="en-US"/>
        </w:rPr>
        <w:instrText>kg, respectively, were observed. The differences observed in mean BMI and waist circumference were 4.9</w:instrText>
      </w:r>
      <w:r w:rsidR="00F31D48" w:rsidRPr="007F12AB">
        <w:rPr>
          <w:lang w:val="en-US"/>
        </w:rPr>
        <w:instrText> </w:instrText>
      </w:r>
      <w:r w:rsidR="00F31D48" w:rsidRPr="007F12AB">
        <w:rPr>
          <w:rFonts w:ascii="Book Antiqua" w:hAnsi="Book Antiqua" w:cs="Arial"/>
          <w:lang w:val="en-US"/>
        </w:rPr>
        <w:instrText>kg/m2 (P</w:instrText>
      </w:r>
      <w:r w:rsidR="00F31D48" w:rsidRPr="007F12AB">
        <w:rPr>
          <w:lang w:val="en-US"/>
        </w:rPr>
        <w:instrText> </w:instrText>
      </w:r>
      <w:r w:rsidR="00F31D48" w:rsidRPr="007F12AB">
        <w:rPr>
          <w:rFonts w:ascii="Book Antiqua" w:hAnsi="Book Antiqua" w:cs="Arial"/>
          <w:lang w:val="en-US"/>
        </w:rPr>
        <w:instrText>=</w:instrText>
      </w:r>
      <w:r w:rsidR="00F31D48" w:rsidRPr="007F12AB">
        <w:rPr>
          <w:lang w:val="en-US"/>
        </w:rPr>
        <w:instrText> </w:instrText>
      </w:r>
      <w:r w:rsidR="00F31D48" w:rsidRPr="007F12AB">
        <w:rPr>
          <w:rFonts w:ascii="Book Antiqua" w:hAnsi="Book Antiqua" w:cs="Arial"/>
          <w:lang w:val="en-US"/>
        </w:rPr>
        <w:instrText>0.0004) and 21.7</w:instrText>
      </w:r>
      <w:r w:rsidR="00F31D48" w:rsidRPr="007F12AB">
        <w:rPr>
          <w:lang w:val="en-US"/>
        </w:rPr>
        <w:instrText> </w:instrText>
      </w:r>
      <w:r w:rsidR="00F31D48" w:rsidRPr="007F12AB">
        <w:rPr>
          <w:rFonts w:ascii="Book Antiqua" w:hAnsi="Book Antiqua" w:cs="Arial"/>
          <w:lang w:val="en-US"/>
        </w:rPr>
        <w:instrText>cm (P</w:instrText>
      </w:r>
      <w:r w:rsidR="00F31D48" w:rsidRPr="007F12AB">
        <w:rPr>
          <w:lang w:val="en-US"/>
        </w:rPr>
        <w:instrText> </w:instrText>
      </w:r>
      <w:r w:rsidR="00F31D48" w:rsidRPr="007F12AB">
        <w:rPr>
          <w:rFonts w:ascii="Book Antiqua" w:hAnsi="Book Antiqua" w:cs="Arial"/>
          <w:lang w:val="en-US"/>
        </w:rPr>
        <w:instrText>=</w:instrText>
      </w:r>
      <w:r w:rsidR="00F31D48" w:rsidRPr="007F12AB">
        <w:rPr>
          <w:lang w:val="en-US"/>
        </w:rPr>
        <w:instrText> </w:instrText>
      </w:r>
      <w:r w:rsidR="00F31D48" w:rsidRPr="007F12AB">
        <w:rPr>
          <w:rFonts w:ascii="Book Antiqua" w:hAnsi="Book Antiqua" w:cs="Arial"/>
          <w:lang w:val="en-US"/>
        </w:rPr>
        <w:instrText>0.003), respectively.  Conclusions: ESG is effective in achieving weight loss with minimal adverse events. This approach may provide a cost-effective outpatient procedure to add to the steadily growing armamentarium available for treatment of this significant epidemic.","author":[{"dropping-particle":"","family":"Sharaiha","given":"Reem Z.","non-dropping-particle":"","parse-names":false,"suffix":""},{"dropping-particle":"","family":"Kedia","given":"Prashant","non-dropping-particle":"","parse-names":false,"suffix":""},{"dropping-particle":"","family":"Kumta","given":"Nikhil","non-dropping-particle":"","parse-names":false,"suffix":""},{"dropping-particle":"","family":"DeFilippis","given":"Ersilia M.","non-dropping-particle":"","parse-names":false,"suffix":""},{"dropping-particle":"","family":"Gaidhane","given":"Monica","non-dropping-particle":"","parse-names":false,"suffix":""},{"dropping-particle":"","family":"Shukla","given":"Alpana","non-dropping-particle":"","parse-names":false,"suffix":""},{"dropping-particle":"","family":"Aronne","given":"Louis J.","non-dropping-particle":"","parse-names":false,"suffix":""},{"dropping-particle":"","family":"Kahaleh","given":"Michel","non-dropping-particle":"","parse-names":false,"suffix":""}],"container-title":"Endoscopy","id":"ITEM-2","issue":"2","issued":{"date-parts":[["2015"]]},"page":"164-166","title":"Initial experience with endoscopic sleeve gastroplasty: technical success and reproducibility in the bariatric population","type":"article-journal","volume":"47"},"uris":["http://www.mendeley.com/documents/?uuid=d7fb8a4a-5e28-4baa-a2c8-b10de05b8f4b"]},{"id":"ITEM-3","itemData":{"DOI":"10.1016/j.cgh.2015.12.030","ISSN":"1542-7714","PMID":"26748219","abstract":"BACKGROUND &amp; AIMS Although bariatric surgery is the most effective therapy for obesity, only a small proportion of candidates undergo this surgery. Endoscopic sleeve gastroplasty (ESG) is a minimally invasive procedure that reduces the size of the gastric reservoir. We investigated its durability and effects on body weight and gastrointestinal function in a prospective study of obese individuals. METHODS Twenty-five obese individuals (21 female; mean body mass index, 35.5 ± 2.6 kg/m2; mean age, 47.6 ± 10 years) underwent ESG with endoluminal creation of a sleeve along the gastric lesser curve from September 2012 through March 2015 at the Mayo Clinic in Rochester, Minnesota. Subjects were followed for a median period of 9 months. We measured changes in body weight and recorded adverse events; patients were assessed by endoscopy after 3 months. Four participants underwent pre-ESG and post-ESG analyses to measure solid and liquid gastric emptying, satiation (meal tolerance), and fasting and postprandial levels of insulin, glucose, and gut hormones. RESULTS Subjects had lost 53% ± 17%, 56% ± 23%, 54% ± 40%, and 45% ± 41% of excess body weight at 6, 9, 12, and 20 months, respectively, after the procedure (P &lt; .01). Endoscopy at 3 months showed intact gastroplasty in all subjects. After ESG, physiological analyses of 4 participants showed a decrease by 59% in caloric consumption to reach maximum fullness (P = .003), slowing of gastric emptying of solids (P = .03), and a trend toward increased insulin sensitivity (P = .06). Three patients had serious adverse events (a perigastric inflammatory collection, a pulmonary embolism, and a small pneumothorax) but made full recoveries with no need for surgical interventions. No further serious adverse events occurred after the technique was adjusted. CONCLUSIONS ESG delays gastric emptying, induces early satiation, and significantly reduces body weight. ESG could be an alternative to bariatric surgery for selected patients with obesity. ClincialTrials.gov number: NCT 01682733.","author":[{"dropping-particle":"","family":"Abu Dayyeh","given":"Barham K","non-dropping-particle":"","parse-names":false,"suffix":""},{"dropping-particle":"","family":"Acosta","given":"Andres","non-dropping-particle":"","parse-names":false,"suffix":""},{"dropping-particle":"","family":"Camilleri","given":"Michael","non-dropping-particle":"","parse-names":false,"suffix":""},{"dropping-particle":"","family":"Mundi","given":"Manpreet S","non-dropping-particle":"","parse-names":false,"suffix":""},{"dropping-particle":"","family":"Rajan","given":"Elizabeth","non-dropping-particle":"","parse-names":false,"suffix":""},{"dropping-particle":"","family":"Topazian","given":"Mark D","non-dropping-particle":"","parse-names":false,"suffix":""},{"dropping-particle":"","family":"Gostout","given":"Christopher J","non-dropping-particle":"","parse-names":false,"suffix":""}],"container-title":"Clinical gastroenterology and hepatology : the official clinical practice journal of the American Gastroenterological Association","id":"ITEM-3","issue":"1","issued":{"date-parts":[["2017"]]},"page":"37-43.e1","title":"Endoscopic Sleeve Gastroplasty Alters Gastric Physiology and Induces Loss of Body Weight in Obese Individuals.","type":"article-journal","volume":"15"},"uris":["http://www.mendeley.com/documents/?uuid=9d4046f7-466c-4027-9f22-8bf7982a9501"]},{"id":"ITEM-4","itemData":{"DOI":"10.1016/j.cgh.2016.12.012","ISSN":"1542-7714","PMID":"28017845","abstract":"BACKGROUND &amp; AIMS Endoscopic sleeve gastroplasty (ESG) is an incisionless, minimally invasive bariatric procedure that reduces the length and width of the gastric cavity to facilitate weight loss. We performed a prospective study to evaluate the effects of ESG on total body weight loss and obesity-related comorbidities. METHODS We collected data from 91 consecutive patients (mean age, 43.86 ± 11.26 years; 68% female) undergoing ESG from August 2013 through March 2016. All patients had a body mass index (BMI) greater than 30 kg/m2 and had failed noninvasive weight-loss measures or had a BMI greater than 40 kg/m2 and were not considered as surgical candidates or refused surgery. All procedures were performed with a cap-based flexible endoscopic suturing system to facilitate a triangular pattern of sutures to imbricate the greater curvature of the stomach. Patients were evaluated after 6 months (n = 73), 12 months (n = 53), and 24 months (n = 12) for anthropometric features (BMI, weight, waist circumference, blood pressure) and underwent serologic (hemoglobin A1c), lipid panel, serum triglycerides, and liver function tests. The primary outcomes were total body weight loss at 6, 12, and 24 months. Secondary outcomes were the effects of ESG on metabolic factors (blood pressure, diabetes, hyperlipidemia, steatohepatitis) and safety. RESULTS The patients' mean BMI before the procedure was 40.7 ± 7.0 kg/m2. Patients had lost 14.4% of their total body weight at 6 months (80% follow-up rate), 17.6% at 12 months (76% follow-up rate), and 20.9% at 24 months (66% follow-up rate) after ESG. At 12 months after ESG, patients had statistically significant reductions in levels of hemoglobin A1c (P = .01), systolic blood pressure (P = .02), waist circumference (P &lt; .001), alanine aminotransferase (P &lt; .001), and serum triglycerides (P = .02). However, there was no significant change in low-density lipoprotein after vs before ESG (P = .79). There was one serious adverse event (1.1%) (perigastric leak) that occurred that was managed non-operatively. CONCLUSIONS ESG is a minimally invasive and effective endoscopic weight loss intervention. In addition to sustained total body weight loss up to 24 months, ESG reduced markers of hypertension, diabetes, and hypertriglyceridemia.","author":[{"dropping-particle":"","family":"Sharaiha","given":"Reem Z","non-dropping-particle":"","parse-names":false,"suffix":""},{"dropping-particle":"","family":"Kumta","given":"Nikhil A","non-dropping-particle":"","parse-names":false,"suffix":""},{"dropping-particle":"","family":"Saumoy","given":"Monica","non-dropping-particle":"","parse-names":false,"suffix":""},{"dropping-particle":"","family":"Desai","given":"Amit P","non-dropping-particle":"","parse-names":false,"suffix":""},{"dropping-particle":"","family":"Sarkisian","given":"Alex M","non-dropping-particle":"","parse-names":false,"suffix":""},{"dropping-particle":"","family":"Benevenuto","given":"Andrea","non-dropping-particle":"","parse-names":false,"suffix":""},{"dropping-particle":"","family":"Tyberg","given":"Amy","non-dropping-particle":"","parse-names":false,"suffix":""},{"dropping-particle":"","family":"Kumar","given":"Rekha","non-dropping-particle":"","parse-names":false,"suffix":""},{"dropping-particle":"","family":"Igel","given":"Leon","non-dropping-particle":"","parse-names":false,"suffix":""},{"dropping-particle":"","family":"Verna","given":"Elizabeth C","non-dropping-particle":"","parse-names":false,"suffix":""},{"dropping-particle":"","family":"Schwartz","given":"Robert","non-dropping-particle":"","parse-names":false,"suffix":""},{"dropping-particle":"","family":"Frissora","given":"Christina","non-dropping-particle":"","parse-names":false,"suffix":""},{"dropping-particle":"","family":"Shukla","given":"Alpana","non-dropping-particle":"","parse-names":false,"suffix":""},{"dropping-particle":"","family":"Aronne","given":"Louis J","non-dropping-particle":"","parse-names":false,"suffix":""},{"dropping-particle":"","family":"Kahaleh","given":"Michel","non-dropping-particle":"","parse-names":false,"suffix":""}],"container-title":"Clinical gastroenterology and hepatology : the official clinical practice journal of the American Gastroenterological Association","id":"ITEM-4","issue":"4","issued":{"date-parts":[["2017","4"]]},"page":"504-510","title":"Endoscopic Sleeve Gastroplasty Significantly Reduces Body Mass Index and Metabolic Complications in Obese Patients.","type":"article-journal","volume":"15"},"uris":["http://www.mendeley.com/documents/?uuid=650f197d-82f4-4861-a411-351c3c667bbf"]}],"mendeley":{"formattedCitation":"&lt;sup&gt;[27,34,37,38]&lt;/sup&gt;","plainTextFormattedCitation":"[27,34,37,38]","previouslyFormattedCitation":"&lt;sup&gt;[27,34,37,38]&lt;/sup&gt;"},"properties":{"noteIndex":0},"schema":"https://github.com/citation-style-language/schema/raw/master/csl-citation.json"}</w:instrText>
      </w:r>
      <w:r w:rsidR="00434AC8" w:rsidRPr="007F12AB">
        <w:rPr>
          <w:rFonts w:ascii="Book Antiqua" w:hAnsi="Book Antiqua" w:cs="Arial"/>
          <w:lang w:val="en-US"/>
        </w:rPr>
        <w:fldChar w:fldCharType="separate"/>
      </w:r>
      <w:r w:rsidR="00434AC8" w:rsidRPr="007F12AB">
        <w:rPr>
          <w:rFonts w:ascii="Book Antiqua" w:hAnsi="Book Antiqua" w:cs="Arial"/>
          <w:noProof/>
          <w:vertAlign w:val="superscript"/>
          <w:lang w:val="en-US"/>
        </w:rPr>
        <w:t>[27,34,37,38]</w:t>
      </w:r>
      <w:r w:rsidR="00434AC8" w:rsidRPr="007F12AB">
        <w:rPr>
          <w:rFonts w:ascii="Book Antiqua" w:hAnsi="Book Antiqua" w:cs="Arial"/>
          <w:lang w:val="en-US"/>
        </w:rPr>
        <w:fldChar w:fldCharType="end"/>
      </w:r>
      <w:r w:rsidRPr="007F12AB">
        <w:rPr>
          <w:rFonts w:ascii="Book Antiqua" w:hAnsi="Book Antiqua" w:cs="Arial"/>
          <w:lang w:val="en-US"/>
        </w:rPr>
        <w:t>. This is achieved via a reduction in both gastric width and length. Since the first ESG report, different numbers of sutures, orientation of sutures, spacing and frequency of bites, and tightness of cinching have been reported</w:t>
      </w:r>
      <w:r w:rsidR="00F31D48" w:rsidRPr="007F12AB">
        <w:rPr>
          <w:rFonts w:ascii="Book Antiqua" w:hAnsi="Book Antiqua" w:cs="Arial"/>
          <w:lang w:val="en-US"/>
        </w:rPr>
        <w:fldChar w:fldCharType="begin" w:fldLock="1"/>
      </w:r>
      <w:r w:rsidR="00F31D48" w:rsidRPr="007F12AB">
        <w:rPr>
          <w:rFonts w:ascii="Book Antiqua" w:hAnsi="Book Antiqua" w:cs="Arial"/>
          <w:lang w:val="en-US"/>
        </w:rPr>
        <w:instrText>ADDIN CSL_CITATION {"citationItems":[{"id":"ITEM-1","itemData":{"DOI":"10.1007/s00464-017-5869-2","ISSN":"1432-2218","PMID":"29075966","abstract":"BACKGROUND Endoscopic sutured gastroplasty (ESG) has evolved over time. With the advent of full-thickness endoscopic suturing, an efficient technique for ESG was developed and refined. METHODS This prospective first-in-man trial started in April 2012 and represents the first use of full-thickness endoscopic suturing for primary obesity therapy. The trial focused on procedure development, reproducibility, safety, and short-term efficacy. The trial was performed at centers in five countries, in three phases. Phase I was evaluation of safety and technical feasibility of various procedure techniques; stitch patterns and sequences were assessed for efficiency, safety, and feasibility. Phase II entailed continued procedure refinement to establish a standardized technique. Phase III entailed evaluation of technical feasibility and weight loss outcomes in 77 patients; the procedure was performed using the standardized technique, and there was no procedure development. Data were prospectively collected into a registry. RESULTS In Phase I, the procedure was created and modified to improve time efficiency. Safety and technical feasibility were established, and short-term weight loss was demonstrated. In Phase II, a number of stitch patterns were attempted, and the stitch pattern was modified and finalized. 22 patients were included, and 1-year total weight loss was 17.3 ± 2.6%. In Phase III, conformity with the final technique was high. 77 patients were included, with a mean BMI of 36.1 ± 0.6 kg/m2. Mean weight loss was 16.0 ± 0.8% at 6 months and 17.4 ± 1.2% at 12 months (n = 44). Postprocedural nausea, vomiting, and epigastric pain were frequently reported; there were no reported significant adverse events post-procedure or during the follow-up period. CONCLUSIONS Following a methodical procedure development phase, ESG demonstrated safety and short-term efficacy in this trial. The procedure also achieved meaningful weight loss during the follow-up period.","author":[{"dropping-particle":"","family":"Kumar","given":"Nitin","non-dropping-particle":"","parse-names":false,"suffix":""},{"dropping-particle":"","family":"Abu Dayyeh","given":"Barham K","non-dropping-particle":"","parse-names":false,"suffix":""},{"dropping-particle":"","family":"Lopez-Nava Breviere","given":"Gontrand","non-dropping-particle":"","parse-names":false,"suffix":""},{"dropping-particle":"","family":"Galvao Neto","given":"Manoel P","non-dropping-particle":"","parse-names":false,"suffix":""},{"dropping-particle":"","family":"Sahdala","given":"Nicole P","non-dropping-particle":"","parse-names":false,"suffix":""},{"dropping-particle":"","family":"Shaikh","given":"Sohail N","non-dropping-particle":"","parse-names":false,"suffix":""},{"dropping-particle":"","family":"Hawes","given":"Robert H","non-dropping-particle":"","parse-names":false,"suffix":""},{"dropping-particle":"","family":"Gostout","given":"Christopher J","non-dropping-particle":"","parse-names":false,"suffix":""},{"dropping-particle":"","family":"Goenka","given":"Mahesh K","non-dropping-particle":"","parse-names":false,"suffix":""},{"dropping-particle":"","family":"Orillac","given":"Jorge R","non-dropping-particle":"","parse-names":false,"suffix":""},{"dropping-particle":"","family":"Alvarado","given":"Alonso","non-dropping-particle":"","parse-names":false,"suffix":""},{"dropping-particle":"","family":"Jirapinyo","given":"Pichamol","non-dropping-particle":"","parse-names":false,"suffix":""},{"dropping-particle":"","family":"Zundel","given":"Natan","non-dropping-particle":"","parse-names":false,"suffix":""},{"dropping-particle":"","family":"Thompson","given":"Christopher C","non-dropping-particle":"","parse-names":false,"suffix":""}],"container-title":"Surgical endoscopy","id":"ITEM-1","issue":"4","issued":{"date-parts":[["2018","4"]]},"page":"2159-2164","title":"Endoscopic sutured gastroplasty: procedure evolution from first-in-man cases through current technique.","type":"article-journal","volume":"32"},"uris":["http://www.mendeley.com/documents/?uuid=ae68c49b-d847-4b42-9108-92cb024b72b1"]}],"mendeley":{"formattedCitation":"&lt;sup&gt;[40]&lt;/sup&gt;","plainTextFormattedCitation":"[40]","previouslyFormattedCitation":"&lt;sup&gt;[40]&lt;/sup&gt;"},"properties":{"noteIndex":0},"schema":"https://github.com/citation-style-language/schema/raw/master/csl-citation.json"}</w:instrText>
      </w:r>
      <w:r w:rsidR="00F31D48" w:rsidRPr="007F12AB">
        <w:rPr>
          <w:rFonts w:ascii="Book Antiqua" w:hAnsi="Book Antiqua" w:cs="Arial"/>
          <w:lang w:val="en-US"/>
        </w:rPr>
        <w:fldChar w:fldCharType="separate"/>
      </w:r>
      <w:r w:rsidR="00F31D48" w:rsidRPr="007F12AB">
        <w:rPr>
          <w:rFonts w:ascii="Book Antiqua" w:hAnsi="Book Antiqua" w:cs="Arial"/>
          <w:noProof/>
          <w:vertAlign w:val="superscript"/>
          <w:lang w:val="en-US"/>
        </w:rPr>
        <w:t>[40]</w:t>
      </w:r>
      <w:r w:rsidR="00F31D48" w:rsidRPr="007F12AB">
        <w:rPr>
          <w:rFonts w:ascii="Book Antiqua" w:hAnsi="Book Antiqua" w:cs="Arial"/>
          <w:lang w:val="en-US"/>
        </w:rPr>
        <w:fldChar w:fldCharType="end"/>
      </w:r>
      <w:r w:rsidRPr="007F12AB">
        <w:rPr>
          <w:rFonts w:ascii="Book Antiqua" w:hAnsi="Book Antiqua" w:cs="Arial"/>
          <w:lang w:val="en-US"/>
        </w:rPr>
        <w:t xml:space="preserve">. A variety of suture patterns have been used, including </w:t>
      </w:r>
      <w:r w:rsidR="007E04CA" w:rsidRPr="007F12AB">
        <w:rPr>
          <w:rFonts w:ascii="Book Antiqua" w:hAnsi="Book Antiqua" w:cs="Arial"/>
          <w:lang w:val="en-US"/>
        </w:rPr>
        <w:t>“</w:t>
      </w:r>
      <w:r w:rsidRPr="007F12AB">
        <w:rPr>
          <w:rFonts w:ascii="Book Antiqua" w:hAnsi="Book Antiqua" w:cs="Arial"/>
          <w:lang w:val="en-US"/>
        </w:rPr>
        <w:t>M</w:t>
      </w:r>
      <w:r w:rsidR="007E04CA" w:rsidRPr="007F12AB">
        <w:rPr>
          <w:rFonts w:ascii="Book Antiqua" w:hAnsi="Book Antiqua" w:cs="Arial"/>
          <w:lang w:val="en-US"/>
        </w:rPr>
        <w:t>”</w:t>
      </w:r>
      <w:r w:rsidRPr="007F12AB">
        <w:rPr>
          <w:rFonts w:ascii="Book Antiqua" w:hAnsi="Book Antiqua" w:cs="Arial"/>
          <w:lang w:val="en-US"/>
        </w:rPr>
        <w:t xml:space="preserve">, </w:t>
      </w:r>
      <w:r w:rsidR="007E04CA" w:rsidRPr="007F12AB">
        <w:rPr>
          <w:rFonts w:ascii="Book Antiqua" w:hAnsi="Book Antiqua" w:cs="Arial"/>
          <w:lang w:val="en-US"/>
        </w:rPr>
        <w:t>“</w:t>
      </w:r>
      <w:r w:rsidRPr="007F12AB">
        <w:rPr>
          <w:rFonts w:ascii="Book Antiqua" w:hAnsi="Book Antiqua" w:cs="Arial"/>
          <w:lang w:val="en-US"/>
        </w:rPr>
        <w:t>Z</w:t>
      </w:r>
      <w:r w:rsidR="007E04CA" w:rsidRPr="007F12AB">
        <w:rPr>
          <w:rFonts w:ascii="Book Antiqua" w:hAnsi="Book Antiqua" w:cs="Arial"/>
          <w:lang w:val="en-US"/>
        </w:rPr>
        <w:t>”</w:t>
      </w:r>
      <w:r w:rsidRPr="007F12AB">
        <w:rPr>
          <w:rFonts w:ascii="Book Antiqua" w:hAnsi="Book Antiqua" w:cs="Arial"/>
          <w:lang w:val="en-US"/>
        </w:rPr>
        <w:t xml:space="preserve">, and </w:t>
      </w:r>
      <w:r w:rsidR="007E04CA" w:rsidRPr="007F12AB">
        <w:rPr>
          <w:rFonts w:ascii="Book Antiqua" w:hAnsi="Book Antiqua" w:cs="Arial"/>
          <w:lang w:val="en-US"/>
        </w:rPr>
        <w:t>“</w:t>
      </w:r>
      <w:r w:rsidRPr="007F12AB">
        <w:rPr>
          <w:rFonts w:ascii="Book Antiqua" w:hAnsi="Book Antiqua" w:cs="Arial"/>
          <w:lang w:val="en-US"/>
        </w:rPr>
        <w:t>U” patterns</w:t>
      </w:r>
      <w:r w:rsidR="00F31D48" w:rsidRPr="007F12AB">
        <w:rPr>
          <w:rFonts w:ascii="Book Antiqua" w:hAnsi="Book Antiqua" w:cs="Arial"/>
          <w:lang w:val="en-US"/>
        </w:rPr>
        <w:fldChar w:fldCharType="begin" w:fldLock="1"/>
      </w:r>
      <w:r w:rsidR="00F31D48" w:rsidRPr="007F12AB">
        <w:rPr>
          <w:rFonts w:ascii="Book Antiqua" w:hAnsi="Book Antiqua" w:cs="Arial"/>
          <w:lang w:val="en-US"/>
        </w:rPr>
        <w:instrText>ADDIN CSL_CITATION {"citationItems":[{"id":"ITEM-1","itemData":{"DOI":"10.1007/s00464-018-6133-0","ISSN":"0930-2794","author":[{"dropping-particle":"","family":"Graus Morales","given":"Javier","non-dropping-particle":"","parse-names":false,"suffix":""},{"dropping-particle":"","family":"Crespo Pérez","given":"Laura","non-dropping-particle":"","parse-names":false,"suffix":""},{"dropping-particle":"","family":"Marques","given":"Andrea","non-dropping-particle":"","parse-names":false,"suffix":""},{"dropping-particle":"","family":"Marín Arribas","given":"Belén","non-dropping-particle":"","parse-names":false,"suffix":""},{"dropping-particle":"","family":"Bravo Arribas","given":"Rubén","non-dropping-particle":"","parse-names":false,"suffix":""},{"dropping-particle":"","family":"Ramo","given":"Estefanía","non-dropping-particle":"","parse-names":false,"suffix":""},{"dropping-particle":"","family":"Escalada","given":"Carmen","non-dropping-particle":"","parse-names":false,"suffix":""},{"dropping-particle":"","family":"Arribas","given":"Carmen","non-dropping-particle":"","parse-names":false,"suffix":""},{"dropping-particle":"","family":"Himpens","given":"Jacques","non-dropping-particle":"","parse-names":false,"suffix":""}],"container-title":"Surgical Endoscopy","id":"ITEM-1","issue":"9","issued":{"date-parts":[["2018","9","28"]]},"page":"3936-3942","title":"Modified endoscopic gastroplasty for the treatment of obesity","type":"article-journal","volume":"32"},"uris":["http://www.mendeley.com/documents/?uuid=890b2c8c-1c7e-42bb-aa01-ecf7156512b5"]},{"id":"ITEM-2","itemData":{"DOI":"10.5946/ce.2017.032","ISSN":"2234-2400","PMID":"28607328","abstract":"Obesity is a growing pandemic across the world. Dietary restrictions and behavior modifications alone have a limited benefit. Bariatric surgery, despite being the current gold standard, has limited acceptance by patients due to cost and associated morbidity. In our review, we have discussed nine original studies describing endoscopic sleeve gastroplasty (ESG). A total of 172 subjects successfully underwent ESG. Of 65 subjects with follow up data, 95.4% (62/65) had intact gastric sleeve confirmed via esophagogastroduodenoscopy or oral contrast study at the end of study specific follow up interval (the longest being 6 months). Individual studies reported a technical success rate for intact gastric sleeve from as low as 50% to as high as 100%. A statistically significant p&lt;0.05) weight loss was reported in seven of the eight studies with available data. None of the patients experienced any intra-procedure complications, and approximately 2.3% (4/172) of patients experienced major post-procedure complications; however, no mortality was reported. Majority of the studies reported relatively high incidence of minor post-procedure complications, which improved with symptomatic treatment alone. Good patient tolerance with comparable clinical efficacy in achieving and sustaining desired weight loss makes ESG an attractive option to consider among other bariatric therapies.","author":[{"dropping-particle":"","family":"Jain","given":"Deepanshu","non-dropping-particle":"","parse-names":false,"suffix":""},{"dropping-particle":"","family":"Bhandari","given":"Bharat Singh","non-dropping-particle":"","parse-names":false,"suffix":""},{"dropping-particle":"","family":"Arora","given":"Ankit","non-dropping-particle":"","parse-names":false,"suffix":""},{"dropping-particle":"","family":"Singhal","given":"Shashideep","non-dropping-particle":"","parse-names":false,"suffix":""}],"container-title":"Clinical endoscopy","id":"ITEM-2","issue":"6","issued":{"date-parts":[["2017","11"]]},"page":"552-561","title":"Endoscopic Sleeve Gastroplasty - A New Tool to Manage Obesity.","type":"article-journal","volume":"50"},"uris":["http://www.mendeley.com/documents/?uuid=9c47f2bb-dd27-405d-9f78-3d8a75d1de6a"]}],"mendeley":{"formattedCitation":"&lt;sup&gt;[41,42]&lt;/sup&gt;","plainTextFormattedCitation":"[41,42]","previouslyFormattedCitation":"&lt;sup&gt;[41,42]&lt;/sup&gt;"},"properties":{"noteIndex":0},"schema":"https://github.com/citation-style-language/schema/raw/master/csl-citation.json"}</w:instrText>
      </w:r>
      <w:r w:rsidR="00F31D48" w:rsidRPr="007F12AB">
        <w:rPr>
          <w:rFonts w:ascii="Book Antiqua" w:hAnsi="Book Antiqua" w:cs="Arial"/>
          <w:lang w:val="en-US"/>
        </w:rPr>
        <w:fldChar w:fldCharType="separate"/>
      </w:r>
      <w:r w:rsidR="00F31D48" w:rsidRPr="007F12AB">
        <w:rPr>
          <w:rFonts w:ascii="Book Antiqua" w:hAnsi="Book Antiqua" w:cs="Arial"/>
          <w:noProof/>
          <w:vertAlign w:val="superscript"/>
          <w:lang w:val="en-US"/>
        </w:rPr>
        <w:t>[41,42]</w:t>
      </w:r>
      <w:r w:rsidR="00F31D48" w:rsidRPr="007F12AB">
        <w:rPr>
          <w:rFonts w:ascii="Book Antiqua" w:hAnsi="Book Antiqua" w:cs="Arial"/>
          <w:lang w:val="en-US"/>
        </w:rPr>
        <w:fldChar w:fldCharType="end"/>
      </w:r>
      <w:r w:rsidRPr="007F12AB">
        <w:rPr>
          <w:rFonts w:ascii="Book Antiqua" w:hAnsi="Book Antiqua" w:cs="Arial"/>
          <w:lang w:val="en-US"/>
        </w:rPr>
        <w:t xml:space="preserve">, as the procedure has evolved, with the main focus remaining greater curvature remodeling. An important element of all suture patterns is the distal to proximal movement within each running suture that is </w:t>
      </w:r>
      <w:r w:rsidRPr="007F12AB">
        <w:rPr>
          <w:rFonts w:ascii="Book Antiqua" w:hAnsi="Book Antiqua" w:cs="Arial"/>
          <w:lang w:val="en-US"/>
        </w:rPr>
        <w:lastRenderedPageBreak/>
        <w:t>placed along the greater curvature, contracting the stomach longitudinally to confer the intended gastric shortening while simultaneously narrowing the lumen. Another difference is the use of reinforcement sutures which may be used in an attempt to further reduce volume, minimize tension on running sutures, and potentially improve durability. Nevertheless, no one suture pattern has yet been proven to achieve better efficacy</w:t>
      </w:r>
      <w:r w:rsidR="00F31D48" w:rsidRPr="007F12AB">
        <w:rPr>
          <w:rFonts w:ascii="Book Antiqua" w:hAnsi="Book Antiqua" w:cs="Arial"/>
          <w:lang w:val="en-US"/>
        </w:rPr>
        <w:fldChar w:fldCharType="begin" w:fldLock="1"/>
      </w:r>
      <w:r w:rsidR="00A30347" w:rsidRPr="007F12AB">
        <w:rPr>
          <w:rFonts w:ascii="Book Antiqua" w:hAnsi="Book Antiqua" w:cs="Arial"/>
          <w:lang w:val="en-US"/>
        </w:rPr>
        <w:instrText>ADDIN CSL_CITATION {"citationItems":[{"id":"ITEM-1","itemData":{"DOI":"10.1007/s11695-017-2693-7","ISSN":"1708-0428","PMID":"28451929","abstract":"BACKGROUND Endoscopic sleeve gastroplasty (ESG) is a technique for managing mild to moderately obese patients. We aimed to evaluate the long-term outcomes, reproducibility, and predictors of weight response in a large multicenter cohort. METHODS Patients who underwent ESG between January 2013 and December 2015 in three centers were retrospectively analyzed. All procedures were performed using the Apollo OverStitch device (Apollo Endosurgery, Austin, TX). We performed per protocol (PP) and intention-to-treat (ITT) analyses, where patients lost to follow-up were considered failures. Multivariable linear and logistic regression analyses were performed. RESULTS We included 248 patients (mean age 44.5 ± 10 years, 73% female). Baseline BMI was 37.8 ± 5.6 kg/m2. At 6 and 24 months, 33 and 35 patients were lost to follow-up, respectively. At 6 and 24 months, %TBWL was 15.2 [95%CI 14.2-16.3] and 18.6 [15.7-21.5], respectively. Weight loss was similar between centers at both follow-up intervals. At 24 months, % of patients achieving ≥10% TBWL was 84.2 and 53% with PP and ITT analyses, respectively. On multivariable linear regression analysis, only %TBWL at 6 months strongly predicted %TBWL at 24 months (adjusted for age, gender, and baseline BMI, β = 1.21, p &lt; 0.001). The odds of achieving ≥10%TBWL at 24 months if a patient achieved &lt;10%TBWL at 6 months is 0.18 [0.034-0.84]. Five (2%) serious adverse events occurred. CONCLUSIONS ESG effectively induces weight loss up to 24 months in moderately obese patients. Failure to achieve adequate weight loss can be predicted early, and patients should be offered adjunctive therapies to augment it.","author":[{"dropping-particle":"","family":"Lopez-Nava","given":"Gontrand","non-dropping-particle":"","parse-names":false,"suffix":""},{"dropping-particle":"","family":"Sharaiha","given":"Reem Z","non-dropping-particle":"","parse-names":false,"suffix":""},{"dropping-particle":"","family":"Vargas","given":"Eric J","non-dropping-particle":"","parse-names":false,"suffix":""},{"dropping-particle":"","family":"Bazerbachi","given":"Fateh","non-dropping-particle":"","parse-names":false,"suffix":""},{"dropping-particle":"","family":"Manoel","given":"Galvao Neto","non-dropping-particle":"","parse-names":false,"suffix":""},{"dropping-particle":"","family":"Bautista-Castaño","given":"Inmaculada","non-dropping-particle":"","parse-names":false,"suffix":""},{"dropping-particle":"","family":"Acosta","given":"Andres","non-dropping-particle":"","parse-names":false,"suffix":""},{"dropping-particle":"","family":"Topazian","given":"Mark D","non-dropping-particle":"","parse-names":false,"suffix":""},{"dropping-particle":"","family":"Mundi","given":"Manpreet S","non-dropping-particle":"","parse-names":false,"suffix":""},{"dropping-particle":"","family":"Kumta","given":"Nikhil","non-dropping-particle":"","parse-names":false,"suffix":""},{"dropping-particle":"","family":"Kahaleh","given":"Michel","non-dropping-particle":"","parse-names":false,"suffix":""},{"dropping-particle":"","family":"Herr","given":"Andrea Marie","non-dropping-particle":"","parse-names":false,"suffix":""},{"dropping-particle":"","family":"Shukla","given":"Alpana","non-dropping-particle":"","parse-names":false,"suffix":""},{"dropping-particle":"","family":"Aronne","given":"Louis","non-dropping-particle":"","parse-names":false,"suffix":""},{"dropping-particle":"","family":"Gostout","given":"Christopher J","non-dropping-particle":"","parse-names":false,"suffix":""},{"dropping-particle":"","family":"Abu Dayyeh","given":"Barham K","non-dropping-particle":"","parse-names":false,"suffix":""}],"container-title":"Obesity surgery","id":"ITEM-1","issue":"10","issued":{"date-parts":[["2017"]]},"page":"2649-2655","title":"Endoscopic Sleeve Gastroplasty for Obesity: a Multicenter Study of 248 Patients with 24 Months Follow-Up.","type":"article-journal","volume":"27"},"uris":["http://www.mendeley.com/documents/?uuid=937982e5-8486-442c-af17-d4edb8b2a2b3"]},{"id":"ITEM-2","itemData":{"DOI":"10.1055/s-0034-1390766","ISSN":"1438-8812","PMID":"25380508","abstract":"BACKGROUND AND STUDY AIMS Emerging endoscopic techniques are minimally invasive and can mimic the anatomic alterations achieved by surgical sleeve gastrectomy. The objective of this study was to evaluate endoscopic sleeve gastroplasty. PATIENTS AND METHODS This was a prospective, single-center study of 20 patients who underwent flexible endoscopic suturing for endoluminal gastric volume reduction. A multidisciplinary team provided postprocedure care. Patient status and weight were recorded at baseline, and at 1, 3, and 6 months after the procedure. RESULTS There were no adverse events and all patients were discharged in less than 24 hours. Baseline mean body mass index was 38.5 kg/m(2), and mean age was 45.8 years. Initial body weight (108.5 ± 14.9 kg) was significantly reduced. Following the procedure, the mean body weight reduction was 8.2 ± 2.5 kg at 1 month (% of initial weight loss 7.6 %; P &lt; 0.05), 13.6 ± 4.8 kg at 3 months (12.4 % weight loss; P &lt; 0.05), and 19.3 ± 8.9 kg at 6 months (17.8 % weight loss; P &lt; 0.05). CONCLUSION Endoscopic sleeve gastroplasty can be effective for the treatment of patients with obesity.","author":[{"dropping-particle":"","family":"Lopez-Nava","given":"Gontrand","non-dropping-particle":"","parse-names":false,"suffix":""},{"dropping-particle":"","family":"Galvão","given":"Manoel P","non-dropping-particle":"","parse-names":false,"suffix":""},{"dropping-particle":"","family":"Bautista-Castaño","given":"Immacula","non-dropping-particle":"da","parse-names":false,"suffix":""},{"dropping-particle":"","family":"Jimenez","given":"Amaya","non-dropping-particle":"","parse-names":false,"suffix":""},{"dropping-particle":"","family":"Grado","given":"Teresa","non-dropping-particle":"De","parse-names":false,"suffix":""},{"dropping-particle":"","family":"Fernandez-Corbelle","given":"Juan Pedro","non-dropping-particle":"","parse-names":false,"suffix":""}],"container-title":"Endoscopy","id":"ITEM-2","issue":"5","issued":{"date-parts":[["2015","5"]]},"page":"449-52","title":"Endoscopic sleeve gastroplasty for the treatment of obesity.","type":"article-journal","volume":"47"},"uris":["http://www.mendeley.com/documents/?uuid=c3a4bdd3-8809-446c-ae20-feefffc05f69"]},{"id":"ITEM-3","itemData":{"DOI":"10.1016/j.cgh.2016.12.012","ISSN":"1542-7714","PMID":"28017845","abstract":"BACKGROUND &amp; AIMS Endoscopic sleeve gastroplasty (ESG) is an incisionless, minimally invasive bariatric procedure that reduces the length and width of the gastric cavity to facilitate weight loss. We performed a prospective study to evaluate the effects of ESG on total body weight loss and obesity-related comorbidities. METHODS We collected data from 91 consecutive patients (mean age, 43.86 ± 11.26 years; 68% female) undergoing ESG from August 2013 through March 2016. All patients had a body mass index (BMI) greater than 30 kg/m2 and had failed noninvasive weight-loss measures or had a BMI greater than 40 kg/m2 and were not considered as surgical candidates or refused surgery. All procedures were performed with a cap-based flexible endoscopic suturing system to facilitate a triangular pattern of sutures to imbricate the greater curvature of the stomach. Patients were evaluated after 6 months (n = 73), 12 months (n = 53), and 24 months (n = 12) for anthropometric features (BMI, weight, waist circumference, blood pressure) and underwent serologic (hemoglobin A1c), lipid panel, serum triglycerides, and liver function tests. The primary outcomes were total body weight loss at 6, 12, and 24 months. Secondary outcomes were the effects of ESG on metabolic factors (blood pressure, diabetes, hyperlipidemia, steatohepatitis) and safety. RESULTS The patients' mean BMI before the procedure was 40.7 ± 7.0 kg/m2. Patients had lost 14.4% of their total body weight at 6 months (80% follow-up rate), 17.6% at 12 months (76% follow-up rate), and 20.9% at 24 months (66% follow-up rate) after ESG. At 12 months after ESG, patients had statistically significant reductions in levels of hemoglobin A1c (P = .01), systolic blood pressure (P = .02), waist circumference (P &lt; .001), alanine aminotransferase (P &lt; .001), and serum triglycerides (P = .02). However, there was no significant change in low-density lipoprotein after vs before ESG (P = .79). There was one serious adverse event (1.1%) (perigastric leak) that occurred that was managed non-operatively. CONCLUSIONS ESG is a minimally invasive and effective endoscopic weight loss intervention. In addition to sustained total body weight loss up to 24 months, ESG reduced markers of hypertension, diabetes, and hypertriglyceridemia.","author":[{"dropping-particle":"","family":"Sharaiha","given":"Reem Z","non-dropping-particle":"","parse-names":false,"suffix":""},{"dropping-particle":"","family":"Kumta","given":"Nikhil A","non-dropping-particle":"","parse-names":false,"suffix":""},{"dropping-particle":"","family":"Saumoy","given":"Monica","non-dropping-particle":"","parse-names":false,"suffix":""},{"dropping-particle":"","family":"Desai","given":"Amit P","non-dropping-particle":"","parse-names":false,"suffix":""},{"dropping-particle":"","family":"Sarkisian","given":"Alex M","non-dropping-particle":"","parse-names":false,"suffix":""},{"dropping-particle":"","family":"Benevenuto","given":"Andrea","non-dropping-particle":"","parse-names":false,"suffix":""},{"dropping-particle":"","family":"Tyberg","given":"Amy","non-dropping-particle":"","parse-names":false,"suffix":""},{"dropping-particle":"","family":"Kumar","given":"Rekha","non-dropping-particle":"","parse-names":false,"suffix":""},{"dropping-particle":"","family":"Igel","given":"Leon","non-dropping-particle":"","parse-names":false,"suffix":""},{"dropping-particle":"","family":"Verna","given":"Elizabeth C","non-dropping-particle":"","parse-names":false,"suffix":""},{"dropping-particle":"","family":"Schwartz","given":"Robert","non-dropping-particle":"","parse-names":false,"suffix":""},{"dropping-particle":"","family":"Frissora","given":"Christina","non-dropping-particle":"","parse-names":false,"suffix":""},{"dropping-particle":"","family":"Shukla","given":"Alpana","non-dropping-particle":"","parse-names":false,"suffix":""},{"dropping-particle":"","family":"Aronne","given":"Louis J","non-dropping-particle":"","parse-names":false,"suffix":""},{"dropping-particle":"","family":"Kahaleh","given":"Michel","non-dropping-particle":"","parse-names":false,"suffix":""}],"container-title":"Clinical gastroenterology and hepatology : the official clinical practice journal of the American Gastroenterological Association","id":"ITEM-3","issue":"4","issued":{"date-parts":[["2017","4"]]},"page":"504-510","title":"Endoscopic Sleeve Gastroplasty Significantly Reduces Body Mass Index and Metabolic Complications in Obese Patients.","type":"article-journal","volume":"15"},"uris":["http://www.mendeley.com/documents/?uuid=650f197d-82f4-4861-a411-351c3c667bbf"]},{"id":"ITEM-4","itemData":{"DOI":"10.1007/s00464-017-5869-2","ISSN":"1432-2218","PMID":"29075966","abstract":"BACKGROUND Endoscopic sutured gastroplasty (ESG) has evolved over time. With the advent of full-thickness endoscopic suturing, an efficient technique for ESG was developed and refined. METHODS This prospective first-in-man trial started in April 2012 and represents the first use of full-thickness endoscopic suturing for primary obesity therapy. The trial focused on procedure development, reproducibility, safety, and short-term efficacy. The trial was performed at centers in five countries, in three phases. Phase I was evaluation of safety and technical feasibility of various procedure techniques; stitch patterns and sequences were assessed for efficiency, safety, and feasibility. Phase II entailed continued procedure refinement to establish a standardized technique. Phase III entailed evaluation of technical feasibility and weight loss outcomes in 77 patients; the procedure was performed using the standardized technique, and there was no procedure development. Data were prospectively collected into a registry. RESULTS In Phase I, the procedure was created and modified to improve time efficiency. Safety and technical feasibility were established, and short-term weight loss was demonstrated. In Phase II, a number of stitch patterns were attempted, and the stitch pattern was modified and finalized. 22 patients were included, and 1-year total weight loss was 17.3 ± 2.6%. In Phase III, conformity with the final technique was high. 77 patients were included, with a mean BMI of 36.1 ± 0.6 kg/m2. Mean weight loss was 16.0 ± 0.8% at 6 months and 17.4 ± 1.2% at 12 months (n = 44). Postprocedural nausea, vomiting, and epigastric pain were frequently reported; there were no reported significant adverse events post-procedure or during the follow-up period. CONCLUSIONS Following a methodical procedure development phase, ESG demonstrated safety and short-term efficacy in this trial. The procedure also achieved meaningful weight loss during the follow-up period.","author":[{"dropping-particle":"","family":"Kumar","given":"Nitin","non-dropping-particle":"","parse-names":false,"suffix":""},{"dropping-particle":"","family":"Abu Dayyeh","given":"Barham K","non-dropping-particle":"","parse-names":false,"suffix":""},{"dropping-particle":"","family":"Lopez-Nava Breviere","given":"Gontrand","non-dropping-particle":"","parse-names":false,"suffix":""},{"dropping-particle":"","family":"Galvao Neto","given":"Manoel P","non-dropping-particle":"","parse-names":false,"suffix":""},{"dropping-particle":"","family":"Sahdala","given":"Nicole P","non-dropping-particle":"","parse-names":false,"suffix":""},{"dropping-particle":"","family":"Shaikh","given":"Sohail N","non-dropping-particle":"","parse-names":false,"suffix":""},{"dropping-particle":"","family":"Hawes","given":"Robert H","non-dropping-particle":"","parse-names":false,"suffix":""},{"dropping-particle":"","family":"Gostout","given":"Christopher J","non-dropping-particle":"","parse-names":false,"suffix":""},{"dropping-particle":"","family":"Goenka","given":"Mahesh K","non-dropping-particle":"","parse-names":false,"suffix":""},{"dropping-particle":"","family":"Orillac","given":"Jorge R","non-dropping-particle":"","parse-names":false,"suffix":""},{"dropping-particle":"","family":"Alvarado","given":"Alonso","non-dropping-particle":"","parse-names":false,"suffix":""},{"dropping-particle":"","family":"Jirapinyo","given":"Pichamol","non-dropping-particle":"","parse-names":false,"suffix":""},{"dropping-particle":"","family":"Zundel","given":"Natan","non-dropping-particle":"","parse-names":false,"suffix":""},{"dropping-particle":"","family":"Thompson","given":"Christopher C","non-dropping-particle":"","parse-names":false,"suffix":""}],"container-title":"Surgical endoscopy","id":"ITEM-4","issue":"4","issued":{"date-parts":[["2018","4"]]},"page":"2159-2164","title":"Endoscopic sutured gastroplasty: procedure evolution from first-in-man cases through current technique.","type":"article-journal","volume":"32"},"uris":["http://www.mendeley.com/documents/?uuid=ae68c49b-d847-4b42-9108-92cb024b72b1"]},{"id":"ITEM-5","itemData":{"DOI":"10.1007/s00464-018-6133-0","ISSN":"0930-2794","author":[{"dropping-particle":"","family":"Graus Morales","given":"Javier","non-dropping-particle":"","parse-names":false,"suffix":""},{"dropping-particle":"","family":"Crespo Pérez","given":"Laura","non-dropping-particle":"","parse-names":false,"suffix":""},{"dropping-particle":"","family":"Marques","given":"Andrea","non-dropping-particle":"","parse-names":false,"suffix":""},{"dropping-particle":"","family":"Marín Arribas","given":"Belén","non-dropping-particle":"","parse-names":false,"suffix":""},{"dropping-particle":"","family":"Bravo Arribas","given":"Rubén","non-dropping-particle":"","parse-names":false,"suffix":""},{"dropping-particle":"","family":"Ramo","given":"Estefanía","non-dropping-particle":"","parse-names":false,"suffix":""},{"dropping-particle":"","family":"Escalada","given":"Carmen","non-dropping-particle":"","parse-names":false,"suffix":""},{"dropping-particle":"","family":"Arribas","given":"Carmen","non-dropping-particle":"","parse-names":false,"suffix":""},{"dropping-particle":"","family":"Himpens","given":"Jacques","non-dropping-particle":"","parse-names":false,"suffix":""}],"container-title":"Surgical Endoscopy","id":"ITEM-5","issue":"9","issued":{"date-parts":[["2018","9","28"]]},"page":"3936-3942","title":"Modified endoscopic gastroplasty for the treatment of obesity","type":"article-journal","volume":"32"},"uris":["http://www.mendeley.com/documents/?uuid=890b2c8c-1c7e-42bb-aa01-ecf7156512b5"]},{"id":"ITEM-6","itemData":{"DOI":"10.5946/ce.2017.032","ISSN":"2234-2400","PMID":"28607328","abstract":"Obesity is a growing pandemic across the world. Dietary restrictions and behavior modifications alone have a limited benefit. Bariatric surgery, despite being the current gold standard, has limited acceptance by patients due to cost and associated morbidity. In our review, we have discussed nine original studies describing endoscopic sleeve gastroplasty (ESG). A total of 172 subjects successfully underwent ESG. Of 65 subjects with follow up data, 95.4% (62/65) had intact gastric sleeve confirmed via esophagogastroduodenoscopy or oral contrast study at the end of study specific follow up interval (the longest being 6 months). Individual studies reported a technical success rate for intact gastric sleeve from as low as 50% to as high as 100%. A statistically significant p&lt;0.05) weight loss was reported in seven of the eight studies with available data. None of the patients experienced any intra-procedure complications, and approximately 2.3% (4/172) of patients experienced major post-procedure complications; however, no mortality was reported. Majority of the studies reported relatively high incidence of minor post-procedure complications, which improved with symptomatic treatment alone. Good patient tolerance with comparable clinical efficacy in achieving and sustaining desired weight loss makes ESG an attractive option to consider among other bariatric therapies.","author":[{"dropping-particle":"","family":"Jain","given":"Deepanshu","non-dropping-particle":"","parse-names":false,"suffix":""},{"dropping-particle":"","family":"Bhandari","given":"Bharat Singh","non-dropping-particle":"","parse-names":false,"suffix":""},{"dropping-particle":"","family":"Arora","given":"Ankit","non-dropping-particle":"","parse-names":false,"suffix":""},{"dropping-particle":"","family":"Singhal","given":"Shashideep","non-dropping-particle":"","parse-names":false,"suffix":""}],"container-title":"Clinical endoscopy","id":"ITEM-6","issue":"6","issued":{"date-parts":[["2017","11"]]},"page":"552-561","title":"Endoscopic Sleeve Gastroplasty - A New Tool to Manage Obesity.","type":"article-journal","volume":"50"},"uris":["http://www.mendeley.com/documents/?uuid=9c47f2bb-dd27-405d-9f78-3d8a75d1de6a"]}],"mendeley":{"formattedCitation":"&lt;sup&gt;[33,35,38,40–42]&lt;/sup&gt;","plainTextFormattedCitation":"[33,35,38,40–42]","previouslyFormattedCitation":"&lt;sup&gt;[33,35,38,40–42]&lt;/sup&gt;"},"properties":{"noteIndex":0},"schema":"https://github.com/citation-style-language/schema/raw/master/csl-citation.json"}</w:instrText>
      </w:r>
      <w:r w:rsidR="00F31D48" w:rsidRPr="007F12AB">
        <w:rPr>
          <w:rFonts w:ascii="Book Antiqua" w:hAnsi="Book Antiqua" w:cs="Arial"/>
          <w:lang w:val="en-US"/>
        </w:rPr>
        <w:fldChar w:fldCharType="separate"/>
      </w:r>
      <w:r w:rsidR="00F31D48" w:rsidRPr="007F12AB">
        <w:rPr>
          <w:rFonts w:ascii="Book Antiqua" w:hAnsi="Book Antiqua" w:cs="Arial"/>
          <w:noProof/>
          <w:vertAlign w:val="superscript"/>
          <w:lang w:val="en-US"/>
        </w:rPr>
        <w:t>[33,35,38,40</w:t>
      </w:r>
      <w:r w:rsidR="007E04CA" w:rsidRPr="007F12AB">
        <w:rPr>
          <w:rFonts w:ascii="Book Antiqua" w:hAnsi="Book Antiqua" w:cs="Arial"/>
          <w:noProof/>
          <w:vertAlign w:val="superscript"/>
          <w:lang w:val="en-US"/>
        </w:rPr>
        <w:t>-</w:t>
      </w:r>
      <w:r w:rsidR="00F31D48" w:rsidRPr="007F12AB">
        <w:rPr>
          <w:rFonts w:ascii="Book Antiqua" w:hAnsi="Book Antiqua" w:cs="Arial"/>
          <w:noProof/>
          <w:vertAlign w:val="superscript"/>
          <w:lang w:val="en-US"/>
        </w:rPr>
        <w:t>42]</w:t>
      </w:r>
      <w:r w:rsidR="00F31D48" w:rsidRPr="007F12AB">
        <w:rPr>
          <w:rFonts w:ascii="Book Antiqua" w:hAnsi="Book Antiqua" w:cs="Arial"/>
          <w:lang w:val="en-US"/>
        </w:rPr>
        <w:fldChar w:fldCharType="end"/>
      </w:r>
      <w:r w:rsidR="00F31D48" w:rsidRPr="007F12AB">
        <w:rPr>
          <w:rFonts w:ascii="Book Antiqua" w:hAnsi="Book Antiqua" w:cs="Arial"/>
          <w:lang w:val="en-US"/>
        </w:rPr>
        <w:t xml:space="preserve">. </w:t>
      </w:r>
      <w:r w:rsidRPr="007F12AB">
        <w:rPr>
          <w:rFonts w:ascii="Book Antiqua" w:hAnsi="Book Antiqua" w:cs="Arial"/>
          <w:lang w:val="en-US"/>
        </w:rPr>
        <w:t>The durability of weight loss may be less related to suture retention than it is to alteration in gastric function, which may persist even after suture loss. The gastric foreshortening partly reduces fundic capacity, however, this is achieved without placing any stitches directly into the fundus. In fact, the fundus is intentionally avoided to allow formation of a small pocket proximal to the sleeve to serve as a reservoir for food which may contribute to the prolonged gastric retention and improved satiety. Furthermore, fundic tissue is particularly thin and prone to leaks, and is in proximity to the spleen. Avoiding direct suture placement into the fundus minimizes the risk of adverse events.</w:t>
      </w:r>
    </w:p>
    <w:p w14:paraId="48036A79" w14:textId="4F719142" w:rsidR="00CB6256" w:rsidRPr="007F12AB" w:rsidRDefault="00CB6256" w:rsidP="0026431D">
      <w:pPr>
        <w:spacing w:line="360" w:lineRule="auto"/>
        <w:ind w:firstLineChars="100" w:firstLine="240"/>
        <w:jc w:val="both"/>
        <w:rPr>
          <w:rFonts w:ascii="Book Antiqua" w:hAnsi="Book Antiqua" w:cs="Arial"/>
          <w:lang w:val="en-US"/>
        </w:rPr>
      </w:pPr>
      <w:r w:rsidRPr="007F12AB">
        <w:rPr>
          <w:rFonts w:ascii="Book Antiqua" w:hAnsi="Book Antiqua" w:cs="Arial"/>
          <w:lang w:val="en-US"/>
        </w:rPr>
        <w:t>As with many other novel procedures, in the beginning ESG was seen with a mix of enthusiasm and caution by the medical community. ESG was considered by some as a revolutionary technique that would treat obesity with the same efficacy as bariatric surgery. However, others remembered the transient effects of procedures performed with partial-thickness suturing devices that were plagued by early suture loss, and were far more skeptical. The results of the new ESG studies were not superior or similar to bariatric surgery in terms of efficacy, although they realized significant weight loss with fewer adverse events. On long-term follow-up endoscopy the stomach appears to be similar to its original size, however, with some peripheral bridging of tissue, and questions remain regarding the durable impact this may have on gastric function and long-term weight loss.</w:t>
      </w:r>
    </w:p>
    <w:p w14:paraId="2346682B" w14:textId="52DE833E" w:rsidR="00CB6256" w:rsidRPr="007F12AB" w:rsidRDefault="00CB6256" w:rsidP="0026431D">
      <w:pPr>
        <w:spacing w:line="360" w:lineRule="auto"/>
        <w:ind w:firstLineChars="100" w:firstLine="240"/>
        <w:jc w:val="both"/>
        <w:rPr>
          <w:rFonts w:ascii="Book Antiqua" w:hAnsi="Book Antiqua" w:cs="Arial"/>
          <w:lang w:val="en-US"/>
        </w:rPr>
      </w:pPr>
      <w:r w:rsidRPr="007F12AB">
        <w:rPr>
          <w:rFonts w:ascii="Book Antiqua" w:hAnsi="Book Antiqua" w:cs="Arial"/>
          <w:lang w:val="en-US"/>
        </w:rPr>
        <w:t>The largest ESG study, including 1000 patients, was recently published</w:t>
      </w:r>
      <w:r w:rsidR="00A30347" w:rsidRPr="007F12AB">
        <w:rPr>
          <w:rFonts w:ascii="Book Antiqua" w:hAnsi="Book Antiqua" w:cs="Arial"/>
          <w:lang w:val="en-US"/>
        </w:rPr>
        <w:fldChar w:fldCharType="begin" w:fldLock="1"/>
      </w:r>
      <w:r w:rsidR="00A30347" w:rsidRPr="007F12AB">
        <w:rPr>
          <w:rFonts w:ascii="Book Antiqua" w:hAnsi="Book Antiqua" w:cs="Arial"/>
          <w:lang w:val="en-US"/>
        </w:rPr>
        <w:instrText>ADDIN CSL_CITATION {"citationItems":[{"id":"ITEM-1","itemData":{"DOI":"10.1016/j.gie.2018.12.012","ISSN":"00165107","author":[{"dropping-particle":"","family":"Alqahtani","given":"Aayed","non-dropping-particle":"","parse-names":false,"suffix":""},{"dropping-particle":"","family":"Al-Darwish","given":"Abdullah","non-dropping-particle":"","parse-names":false,"suffix":""},{"dropping-particle":"","family":"Mahmoud","given":"Ahmed Elsayed","non-dropping-particle":"","parse-names":false,"suffix":""},{"dropping-particle":"","family":"Alqahtani","given":"Yara A.","non-dropping-particle":"","parse-names":false,"suffix":""},{"dropping-particle":"","family":"Elahmedi","given":"Mohamed","non-dropping-particle":"","parse-names":false,"suffix":""}],"container-title":"Gastrointestinal Endoscopy","id":"ITEM-1","issued":{"date-parts":[["2018","12"]]},"title":"Short-term outcomes of endoscopic sleeve gastroplasty in 1000 consecutive patients","type":"article-journal"},"uris":["http://www.mendeley.com/documents/?uuid=d3fde783-c7b5-4ada-8fdc-9d05432797a7"]}],"mendeley":{"formattedCitation":"&lt;sup&gt;[39]&lt;/sup&gt;","plainTextFormattedCitation":"[39]","previouslyFormattedCitation":"&lt;sup&gt;[39]&lt;/sup&gt;"},"properties":{"noteIndex":0},"schema":"https://github.com/citation-style-language/schema/raw/master/csl-citation.json"}</w:instrText>
      </w:r>
      <w:r w:rsidR="00A30347" w:rsidRPr="007F12AB">
        <w:rPr>
          <w:rFonts w:ascii="Book Antiqua" w:hAnsi="Book Antiqua" w:cs="Arial"/>
          <w:lang w:val="en-US"/>
        </w:rPr>
        <w:fldChar w:fldCharType="separate"/>
      </w:r>
      <w:r w:rsidR="00A30347" w:rsidRPr="007F12AB">
        <w:rPr>
          <w:rFonts w:ascii="Book Antiqua" w:hAnsi="Book Antiqua" w:cs="Arial"/>
          <w:noProof/>
          <w:vertAlign w:val="superscript"/>
          <w:lang w:val="en-US"/>
        </w:rPr>
        <w:t>[39]</w:t>
      </w:r>
      <w:r w:rsidR="00A30347" w:rsidRPr="007F12AB">
        <w:rPr>
          <w:rFonts w:ascii="Book Antiqua" w:hAnsi="Book Antiqua" w:cs="Arial"/>
          <w:lang w:val="en-US"/>
        </w:rPr>
        <w:fldChar w:fldCharType="end"/>
      </w:r>
      <w:r w:rsidRPr="007F12AB">
        <w:rPr>
          <w:rFonts w:ascii="Book Antiqua" w:hAnsi="Book Antiqua" w:cs="Arial"/>
          <w:lang w:val="en-US"/>
        </w:rPr>
        <w:t xml:space="preserve">. This study showed satisfactory results of ESG in the management of obesity with a mean %TWL at 6, 12, and 18 </w:t>
      </w:r>
      <w:proofErr w:type="spellStart"/>
      <w:r w:rsidRPr="007F12AB">
        <w:rPr>
          <w:rFonts w:ascii="Book Antiqua" w:hAnsi="Book Antiqua" w:cs="Arial"/>
          <w:lang w:val="en-US"/>
        </w:rPr>
        <w:t>mo</w:t>
      </w:r>
      <w:proofErr w:type="spellEnd"/>
      <w:r w:rsidRPr="007F12AB">
        <w:rPr>
          <w:rFonts w:ascii="Book Antiqua" w:hAnsi="Book Antiqua" w:cs="Arial"/>
          <w:lang w:val="en-US"/>
        </w:rPr>
        <w:t xml:space="preserve"> of 13.7</w:t>
      </w:r>
      <w:r w:rsidR="007E04CA" w:rsidRPr="007F12AB">
        <w:rPr>
          <w:rFonts w:ascii="Book Antiqua" w:hAnsi="Book Antiqua" w:cs="Arial"/>
          <w:lang w:val="en-US"/>
        </w:rPr>
        <w:t>%</w:t>
      </w:r>
      <w:r w:rsidRPr="007F12AB">
        <w:rPr>
          <w:rFonts w:ascii="Book Antiqua" w:hAnsi="Book Antiqua" w:cs="Arial"/>
          <w:lang w:val="en-US"/>
        </w:rPr>
        <w:t xml:space="preserve"> ± 6.8%, 15.0</w:t>
      </w:r>
      <w:r w:rsidR="007E04CA" w:rsidRPr="007F12AB">
        <w:rPr>
          <w:rFonts w:ascii="Book Antiqua" w:hAnsi="Book Antiqua" w:cs="Arial"/>
          <w:lang w:val="en-US"/>
        </w:rPr>
        <w:t>%</w:t>
      </w:r>
      <w:r w:rsidRPr="007F12AB">
        <w:rPr>
          <w:rFonts w:ascii="Book Antiqua" w:hAnsi="Book Antiqua" w:cs="Arial"/>
          <w:lang w:val="en-US"/>
        </w:rPr>
        <w:t xml:space="preserve"> ± 7.7%, and 14.8</w:t>
      </w:r>
      <w:r w:rsidR="007E04CA" w:rsidRPr="007F12AB">
        <w:rPr>
          <w:rFonts w:ascii="Book Antiqua" w:hAnsi="Book Antiqua" w:cs="Arial"/>
          <w:lang w:val="en-US"/>
        </w:rPr>
        <w:t>%</w:t>
      </w:r>
      <w:r w:rsidRPr="007F12AB">
        <w:rPr>
          <w:rFonts w:ascii="Book Antiqua" w:hAnsi="Book Antiqua" w:cs="Arial"/>
          <w:lang w:val="en-US"/>
        </w:rPr>
        <w:t xml:space="preserve"> ± 8.5%, respectively. The mean %EWL at 6, 12, and 18 </w:t>
      </w:r>
      <w:proofErr w:type="spellStart"/>
      <w:r w:rsidRPr="007F12AB">
        <w:rPr>
          <w:rFonts w:ascii="Book Antiqua" w:hAnsi="Book Antiqua" w:cs="Arial"/>
          <w:lang w:val="en-US"/>
        </w:rPr>
        <w:t>mo</w:t>
      </w:r>
      <w:proofErr w:type="spellEnd"/>
      <w:r w:rsidRPr="007F12AB">
        <w:rPr>
          <w:rFonts w:ascii="Book Antiqua" w:hAnsi="Book Antiqua" w:cs="Arial"/>
          <w:lang w:val="en-US"/>
        </w:rPr>
        <w:t xml:space="preserve"> were 64.3</w:t>
      </w:r>
      <w:r w:rsidR="007E04CA" w:rsidRPr="007F12AB">
        <w:rPr>
          <w:rFonts w:ascii="Book Antiqua" w:hAnsi="Book Antiqua" w:cs="Arial"/>
          <w:lang w:val="en-US"/>
        </w:rPr>
        <w:t>%</w:t>
      </w:r>
      <w:r w:rsidRPr="007F12AB">
        <w:rPr>
          <w:rFonts w:ascii="Book Antiqua" w:hAnsi="Book Antiqua" w:cs="Arial"/>
          <w:lang w:val="en-US"/>
        </w:rPr>
        <w:t xml:space="preserve"> ± 56.2%, </w:t>
      </w:r>
      <w:r w:rsidRPr="007F12AB">
        <w:rPr>
          <w:rFonts w:ascii="Book Antiqua" w:hAnsi="Book Antiqua" w:cs="Arial"/>
          <w:lang w:val="en-US"/>
        </w:rPr>
        <w:lastRenderedPageBreak/>
        <w:t>67.5</w:t>
      </w:r>
      <w:r w:rsidR="007E04CA" w:rsidRPr="007F12AB">
        <w:rPr>
          <w:rFonts w:ascii="Book Antiqua" w:hAnsi="Book Antiqua" w:cs="Arial"/>
          <w:lang w:val="en-US"/>
        </w:rPr>
        <w:t>%</w:t>
      </w:r>
      <w:r w:rsidRPr="007F12AB">
        <w:rPr>
          <w:rFonts w:ascii="Book Antiqua" w:hAnsi="Book Antiqua" w:cs="Arial"/>
          <w:lang w:val="en-US"/>
        </w:rPr>
        <w:t xml:space="preserve"> ± 52.3%, and 64.7</w:t>
      </w:r>
      <w:r w:rsidR="007E04CA" w:rsidRPr="007F12AB">
        <w:rPr>
          <w:rFonts w:ascii="Book Antiqua" w:hAnsi="Book Antiqua" w:cs="Arial"/>
          <w:lang w:val="en-US"/>
        </w:rPr>
        <w:t>%</w:t>
      </w:r>
      <w:r w:rsidRPr="007F12AB">
        <w:rPr>
          <w:rFonts w:ascii="Book Antiqua" w:hAnsi="Book Antiqua" w:cs="Arial"/>
          <w:lang w:val="en-US"/>
        </w:rPr>
        <w:t xml:space="preserve"> ± 55.4%, respectively. There are two multicenter studies</w:t>
      </w:r>
      <w:r w:rsidR="00A30347" w:rsidRPr="007F12AB">
        <w:rPr>
          <w:rFonts w:ascii="Book Antiqua" w:hAnsi="Book Antiqua" w:cs="Arial"/>
          <w:lang w:val="en-US"/>
        </w:rPr>
        <w:fldChar w:fldCharType="begin" w:fldLock="1"/>
      </w:r>
      <w:r w:rsidR="00A30347" w:rsidRPr="007F12AB">
        <w:rPr>
          <w:rFonts w:ascii="Book Antiqua" w:hAnsi="Book Antiqua" w:cs="Arial"/>
          <w:lang w:val="en-US"/>
        </w:rPr>
        <w:instrText>ADDIN CSL_CITATION {"citationItems":[{"id":"ITEM-1","itemData":{"DOI":"10.1007/s11695-017-2693-7","ISSN":"1708-0428","PMID":"28451929","abstract":"BACKGROUND Endoscopic sleeve gastroplasty (ESG) is a technique for managing mild to moderately obese patients. We aimed to evaluate the long-term outcomes, reproducibility, and predictors of weight response in a large multicenter cohort. METHODS Patients who underwent ESG between January 2013 and December 2015 in three centers were retrospectively analyzed. All procedures were performed using the Apollo OverStitch device (Apollo Endosurgery, Austin, TX). We performed per protocol (PP) and intention-to-treat (ITT) analyses, where patients lost to follow-up were considered failures. Multivariable linear and logistic regression analyses were performed. RESULTS We included 248 patients (mean age 44.5 ± 10 years, 73% female). Baseline BMI was 37.8 ± 5.6 kg/m2. At 6 and 24 months, 33 and 35 patients were lost to follow-up, respectively. At 6 and 24 months, %TBWL was 15.2 [95%CI 14.2-16.3] and 18.6 [15.7-21.5], respectively. Weight loss was similar between centers at both follow-up intervals. At 24 months, % of patients achieving ≥10% TBWL was 84.2 and 53% with PP and ITT analyses, respectively. On multivariable linear regression analysis, only %TBWL at 6 months strongly predicted %TBWL at 24 months (adjusted for age, gender, and baseline BMI, β = 1.21, p &lt; 0.001). The odds of achieving ≥10%TBWL at 24 months if a patient achieved &lt;10%TBWL at 6 months is 0.18 [0.034-0.84]. Five (2%) serious adverse events occurred. CONCLUSIONS ESG effectively induces weight loss up to 24 months in moderately obese patients. Failure to achieve adequate weight loss can be predicted early, and patients should be offered adjunctive therapies to augment it.","author":[{"dropping-particle":"","family":"Lopez-Nava","given":"Gontrand","non-dropping-particle":"","parse-names":false,"suffix":""},{"dropping-particle":"","family":"Sharaiha","given":"Reem Z","non-dropping-particle":"","parse-names":false,"suffix":""},{"dropping-particle":"","family":"Vargas","given":"Eric J","non-dropping-particle":"","parse-names":false,"suffix":""},{"dropping-particle":"","family":"Bazerbachi","given":"Fateh","non-dropping-particle":"","parse-names":false,"suffix":""},{"dropping-particle":"","family":"Manoel","given":"Galvao Neto","non-dropping-particle":"","parse-names":false,"suffix":""},{"dropping-particle":"","family":"Bautista-Castaño","given":"Inmaculada","non-dropping-particle":"","parse-names":false,"suffix":""},{"dropping-particle":"","family":"Acosta","given":"Andres","non-dropping-particle":"","parse-names":false,"suffix":""},{"dropping-particle":"","family":"Topazian","given":"Mark D","non-dropping-particle":"","parse-names":false,"suffix":""},{"dropping-particle":"","family":"Mundi","given":"Manpreet S","non-dropping-particle":"","parse-names":false,"suffix":""},{"dropping-particle":"","family":"Kumta","given":"Nikhil","non-dropping-particle":"","parse-names":false,"suffix":""},{"dropping-particle":"","family":"Kahaleh","given":"Michel","non-dropping-particle":"","parse-names":false,"suffix":""},{"dropping-particle":"","family":"Herr","given":"Andrea Marie","non-dropping-particle":"","parse-names":false,"suffix":""},{"dropping-particle":"","family":"Shukla","given":"Alpana","non-dropping-particle":"","parse-names":false,"suffix":""},{"dropping-particle":"","family":"Aronne","given":"Louis","non-dropping-particle":"","parse-names":false,"suffix":""},{"dropping-particle":"","family":"Gostout","given":"Christopher J","non-dropping-particle":"","parse-names":false,"suffix":""},{"dropping-particle":"","family":"Abu Dayyeh","given":"Barham K","non-dropping-particle":"","parse-names":false,"suffix":""}],"container-title":"Obesity surgery","id":"ITEM-1","issue":"10","issued":{"date-parts":[["2017"]]},"page":"2649-2655","title":"Endoscopic Sleeve Gastroplasty for Obesity: a Multicenter Study of 248 Patients with 24 Months Follow-Up.","type":"article-journal","volume":"27"},"uris":["http://www.mendeley.com/documents/?uuid=937982e5-8486-442c-af17-d4edb8b2a2b3"]},{"id":"ITEM-2","itemData":{"DOI":"10.1007/s11695-018-3135-x","ISSN":"1708-0428","PMID":"29450845","abstract":"OBJECTIVE Endoscopic sleeve gastroplasty (ESG), an incisionless endoscopic bariatric procedure, has shown impressive results in case series. This study examines the reproducibility, efficacy, and safety in three centers across two countries, and identifies key determinants for procedural success. DESIGN Patients who underwent ESG between February 2016 and May 2017 at one of three centers (Australia and USA) were retrospectively analyzed. All procedures were performed on an outpatient basis using the Apollo OverStitch device (Apollo Endosurgery, Austin, TX). Primary outcomes included absolute weight loss (ΔWeight, kg), change in body mass index (∆BMI, in kg/m2), total body weight loss (TBWL, %), excess weight loss (EWL, in %), and immediate and delayed adverse events. RESULTS In total, 112 consecutive patients (male 31%, age 45.1 ± 11.7 years, baseline BMI 37.9 ± 6.7 kg/m2) underwent ESG. At 1, 3, and 6 months, Δweight was 9.0 ± 4.6 kg (TBWL 8.4 ± 4.1%), 12.9 ± 6.4 kg (TBWL 11.9 ± 4.5%), and 16.4 ± 10.7 kg (TBWL 14.9 ± 6.1%), respectively. The proportion of patients who attained greater than 10% TBWL and 25% EWL was 62.2 and 78.0% at 3 months post-ESG and 81.0 and 86.5% at 6 months post-ESG. Weight loss was similar between the three centers. Multivariable analysis showed that male sex, greater baseline body weight, and lack of prior endoscopic bariatric therapy were predictors of greater Δweight at 6 months. Three (2.7%) severe adverse events were observed. CONCLUSIONS ESG is an effective, reproducible, and safe weight loss therapy that is suitable for widespread clinical adoption.","author":[{"dropping-particle":"","family":"Sartoretto","given":"Adrian","non-dropping-particle":"","parse-names":false,"suffix":""},{"dropping-particle":"","family":"Sui","given":"Zhixian","non-dropping-particle":"","parse-names":false,"suffix":""},{"dropping-particle":"","family":"Hill","given":"Christine","non-dropping-particle":"","parse-names":false,"suffix":""},{"dropping-particle":"","family":"Dunlap","given":"Margo","non-dropping-particle":"","parse-names":false,"suffix":""},{"dropping-particle":"","family":"Rivera","given":"Angielyn R","non-dropping-particle":"","parse-names":false,"suffix":""},{"dropping-particle":"","family":"Khashab","given":"Mouen A","non-dropping-particle":"","parse-names":false,"suffix":""},{"dropping-particle":"","family":"Kalloo","given":"Anthony N","non-dropping-particle":"","parse-names":false,"suffix":""},{"dropping-particle":"","family":"Fayad","given":"Lea","non-dropping-particle":"","parse-names":false,"suffix":""},{"dropping-particle":"","family":"Cheskin","given":"Lawrence J","non-dropping-particle":"","parse-names":false,"suffix":""},{"dropping-particle":"","family":"Marinos","given":"George","non-dropping-particle":"","parse-names":false,"suffix":""},{"dropping-particle":"","family":"Wilson","given":"Erik","non-dropping-particle":"","parse-names":false,"suffix":""},{"dropping-particle":"","family":"Kumbhari","given":"Vivek","non-dropping-particle":"","parse-names":false,"suffix":""}],"container-title":"Obesity surgery","id":"ITEM-2","issue":"7","issued":{"date-parts":[["2018","7"]]},"page":"1812-1821","title":"Endoscopic Sleeve Gastroplasty (ESG) Is a Reproducible and Effective Endoscopic Bariatric Therapy Suitable for Widespread Clinical Adoption: a Large, International Multicenter Study.","type":"article-journal","volume":"28"},"uris":["http://www.mendeley.com/documents/?uuid=0acedd1d-344d-4c92-911a-a27208b4f13e"]}],"mendeley":{"formattedCitation":"&lt;sup&gt;[33,43]&lt;/sup&gt;","plainTextFormattedCitation":"[33,43]","previouslyFormattedCitation":"&lt;sup&gt;[33,43]&lt;/sup&gt;"},"properties":{"noteIndex":0},"schema":"https://github.com/citation-style-language/schema/raw/master/csl-citation.json"}</w:instrText>
      </w:r>
      <w:r w:rsidR="00A30347" w:rsidRPr="007F12AB">
        <w:rPr>
          <w:rFonts w:ascii="Book Antiqua" w:hAnsi="Book Antiqua" w:cs="Arial"/>
          <w:lang w:val="en-US"/>
        </w:rPr>
        <w:fldChar w:fldCharType="separate"/>
      </w:r>
      <w:r w:rsidR="00A30347" w:rsidRPr="007F12AB">
        <w:rPr>
          <w:rFonts w:ascii="Book Antiqua" w:hAnsi="Book Antiqua" w:cs="Arial"/>
          <w:noProof/>
          <w:vertAlign w:val="superscript"/>
          <w:lang w:val="en-US"/>
        </w:rPr>
        <w:t>[33,43]</w:t>
      </w:r>
      <w:r w:rsidR="00A30347" w:rsidRPr="007F12AB">
        <w:rPr>
          <w:rFonts w:ascii="Book Antiqua" w:hAnsi="Book Antiqua" w:cs="Arial"/>
          <w:lang w:val="en-US"/>
        </w:rPr>
        <w:fldChar w:fldCharType="end"/>
      </w:r>
      <w:r w:rsidRPr="007F12AB">
        <w:rPr>
          <w:rFonts w:ascii="Book Antiqua" w:hAnsi="Book Antiqua" w:cs="Arial"/>
          <w:lang w:val="en-US"/>
        </w:rPr>
        <w:t xml:space="preserve"> evaluating ESG in obese patients. In the study</w:t>
      </w:r>
      <w:r w:rsidR="00A30347" w:rsidRPr="007F12AB">
        <w:rPr>
          <w:rFonts w:ascii="Book Antiqua" w:hAnsi="Book Antiqua" w:cs="Arial"/>
          <w:lang w:val="en-US"/>
        </w:rPr>
        <w:fldChar w:fldCharType="begin" w:fldLock="1"/>
      </w:r>
      <w:r w:rsidR="00677471" w:rsidRPr="007F12AB">
        <w:rPr>
          <w:rFonts w:ascii="Book Antiqua" w:hAnsi="Book Antiqua" w:cs="Arial"/>
          <w:lang w:val="en-US"/>
        </w:rPr>
        <w:instrText>ADDIN CSL_CITATION {"citationItems":[{"id":"ITEM-1","itemData":{"DOI":"10.1007/s11695-018-3135-x","ISSN":"1708-0428","PMID":"29450845","abstract":"OBJECTIVE Endoscopic sleeve gastroplasty (ESG), an incisionless endoscopic bariatric procedure, has shown impressive results in case series. This study examines the reproducibility, efficacy, and safety in three centers across two countries, and identifies key determinants for procedural success. DESIGN Patients who underwent ESG between February 2016 and May 2017 at one of three centers (Australia and USA) were retrospectively analyzed. All procedures were performed on an outpatient basis using the Apollo OverStitch device (Apollo Endosurgery, Austin, TX). Primary outcomes included absolute weight loss (ΔWeight, kg), change in body mass index (∆BMI, in kg/m2), total body weight loss (TBWL, %), excess weight loss (EWL, in %), and immediate and delayed adverse events. RESULTS In total, 112 consecutive patients (male 31%, age 45.1 ± 11.7 years, baseline BMI 37.9 ± 6.7 kg/m2) underwent ESG. At 1, 3, and 6 months, Δweight was 9.0 ± 4.6 kg (TBWL 8.4 ± 4.1%), 12.9 ± 6.4 kg (TBWL 11.9 ± 4.5%), and 16.4 ± 10.7 kg (TBWL 14.9 ± 6.1%), respectively. The proportion of patients who attained greater than 10% TBWL and 25% EWL was 62.2 and 78.0% at 3 months post-ESG and 81.0 and 86.5% at 6 months post-ESG. Weight loss was similar between the three centers. Multivariable analysis showed that male sex, greater baseline body weight, and lack of prior endoscopic bariatric therapy were predictors of greater Δweight at 6 months. Three (2.7%) severe adverse events were observed. CONCLUSIONS ESG is an effective, reproducible, and safe weight loss therapy that is suitable for widespread clinical adoption.","author":[{"dropping-particle":"","family":"Sartoretto","given":"Adrian","non-dropping-particle":"","parse-names":false,"suffix":""},{"dropping-particle":"","family":"Sui","given":"Zhixian","non-dropping-particle":"","parse-names":false,"suffix":""},{"dropping-particle":"","family":"Hill","given":"Christine","non-dropping-particle":"","parse-names":false,"suffix":""},{"dropping-particle":"","family":"Dunlap","given":"Margo","non-dropping-particle":"","parse-names":false,"suffix":""},{"dropping-particle":"","family":"Rivera","given":"Angielyn R","non-dropping-particle":"","parse-names":false,"suffix":""},{"dropping-particle":"","family":"Khashab","given":"Mouen A","non-dropping-particle":"","parse-names":false,"suffix":""},{"dropping-particle":"","family":"Kalloo","given":"Anthony N","non-dropping-particle":"","parse-names":false,"suffix":""},{"dropping-particle":"","family":"Fayad","given":"Lea","non-dropping-particle":"","parse-names":false,"suffix":""},{"dropping-particle":"","family":"Cheskin","given":"Lawrence J","non-dropping-particle":"","parse-names":false,"suffix":""},{"dropping-particle":"","family":"Marinos","given":"George","non-dropping-particle":"","parse-names":false,"suffix":""},{"dropping-particle":"","family":"Wilson","given":"Erik","non-dropping-particle":"","parse-names":false,"suffix":""},{"dropping-particle":"","family":"Kumbhari","given":"Vivek","non-dropping-particle":"","parse-names":false,"suffix":""}],"container-title":"Obesity surgery","id":"ITEM-1","issue":"7","issued":{"date-parts":[["2018","7"]]},"page":"1812-1821","title":"Endoscopic Sleeve Gastroplasty (ESG) Is a Reproducible and Effective Endoscopic Bariatric Therapy Suitable for Widespread Clinical Adoption: a Large, International Multicenter Study.","type":"article-journal","volume":"28"},"uris":["http://www.mendeley.com/documents/?uuid=0acedd1d-344d-4c92-911a-a27208b4f13e"]}],"mendeley":{"formattedCitation":"&lt;sup&gt;[43]&lt;/sup&gt;","plainTextFormattedCitation":"[43]","previouslyFormattedCitation":"&lt;sup&gt;[43]&lt;/sup&gt;"},"properties":{"noteIndex":0},"schema":"https://github.com/citation-style-language/schema/raw/master/csl-citation.json"}</w:instrText>
      </w:r>
      <w:r w:rsidR="00A30347" w:rsidRPr="007F12AB">
        <w:rPr>
          <w:rFonts w:ascii="Book Antiqua" w:hAnsi="Book Antiqua" w:cs="Arial"/>
          <w:lang w:val="en-US"/>
        </w:rPr>
        <w:fldChar w:fldCharType="separate"/>
      </w:r>
      <w:r w:rsidR="00A30347" w:rsidRPr="007F12AB">
        <w:rPr>
          <w:rFonts w:ascii="Book Antiqua" w:hAnsi="Book Antiqua" w:cs="Arial"/>
          <w:noProof/>
          <w:vertAlign w:val="superscript"/>
          <w:lang w:val="en-US"/>
        </w:rPr>
        <w:t>[43]</w:t>
      </w:r>
      <w:r w:rsidR="00A30347" w:rsidRPr="007F12AB">
        <w:rPr>
          <w:rFonts w:ascii="Book Antiqua" w:hAnsi="Book Antiqua" w:cs="Arial"/>
          <w:lang w:val="en-US"/>
        </w:rPr>
        <w:fldChar w:fldCharType="end"/>
      </w:r>
      <w:r w:rsidRPr="007F12AB">
        <w:rPr>
          <w:rFonts w:ascii="Book Antiqua" w:hAnsi="Book Antiqua" w:cs="Arial"/>
          <w:lang w:val="en-US"/>
        </w:rPr>
        <w:t xml:space="preserve"> including 112 consecutive patients, the average %TWL and %EWL were 11.9% and 39.9% at 3 </w:t>
      </w:r>
      <w:proofErr w:type="spellStart"/>
      <w:r w:rsidRPr="007F12AB">
        <w:rPr>
          <w:rFonts w:ascii="Book Antiqua" w:hAnsi="Book Antiqua" w:cs="Arial"/>
          <w:lang w:val="en-US"/>
        </w:rPr>
        <w:t>mo</w:t>
      </w:r>
      <w:proofErr w:type="spellEnd"/>
      <w:r w:rsidRPr="007F12AB">
        <w:rPr>
          <w:rFonts w:ascii="Book Antiqua" w:hAnsi="Book Antiqua" w:cs="Arial"/>
          <w:lang w:val="en-US"/>
        </w:rPr>
        <w:t xml:space="preserve">, and 14.9% and 50.3% at 6 </w:t>
      </w:r>
      <w:proofErr w:type="spellStart"/>
      <w:r w:rsidRPr="007F12AB">
        <w:rPr>
          <w:rFonts w:ascii="Book Antiqua" w:hAnsi="Book Antiqua" w:cs="Arial"/>
          <w:lang w:val="en-US"/>
        </w:rPr>
        <w:t>mo</w:t>
      </w:r>
      <w:proofErr w:type="spellEnd"/>
      <w:r w:rsidRPr="007F12AB">
        <w:rPr>
          <w:rFonts w:ascii="Book Antiqua" w:hAnsi="Book Antiqua" w:cs="Arial"/>
          <w:lang w:val="en-US"/>
        </w:rPr>
        <w:t xml:space="preserve"> follow-up, respectively. By 6 </w:t>
      </w:r>
      <w:proofErr w:type="spellStart"/>
      <w:r w:rsidRPr="007F12AB">
        <w:rPr>
          <w:rFonts w:ascii="Book Antiqua" w:hAnsi="Book Antiqua" w:cs="Arial"/>
          <w:lang w:val="en-US"/>
        </w:rPr>
        <w:t>mo</w:t>
      </w:r>
      <w:proofErr w:type="spellEnd"/>
      <w:r w:rsidRPr="007F12AB">
        <w:rPr>
          <w:rFonts w:ascii="Book Antiqua" w:hAnsi="Book Antiqua" w:cs="Arial"/>
          <w:lang w:val="en-US"/>
        </w:rPr>
        <w:t xml:space="preserve"> post-ESG, 81% and 53.8% of patients had a %TWL greater than 10% and 15 %, respectively. The proportion of patients who achieved greater than 25% EWL was 86.5% at 6 mo. The other multicenter study</w:t>
      </w:r>
      <w:r w:rsidR="00677471" w:rsidRPr="007F12AB">
        <w:rPr>
          <w:rFonts w:ascii="Book Antiqua" w:hAnsi="Book Antiqua" w:cs="Arial"/>
          <w:lang w:val="en-US"/>
        </w:rPr>
        <w:fldChar w:fldCharType="begin" w:fldLock="1"/>
      </w:r>
      <w:r w:rsidR="002837EE" w:rsidRPr="007F12AB">
        <w:rPr>
          <w:rFonts w:ascii="Book Antiqua" w:hAnsi="Book Antiqua" w:cs="Arial"/>
          <w:lang w:val="en-US"/>
        </w:rPr>
        <w:instrText>ADDIN CSL_CITATION {"citationItems":[{"id":"ITEM-1","itemData":{"DOI":"10.1007/s11695-017-2693-7","ISSN":"1708-0428","PMID":"28451929","abstract":"BACKGROUND Endoscopic sleeve gastroplasty (ESG) is a technique for managing mild to moderately obese patients. We aimed to evaluate the long-term outcomes, reproducibility, and predictors of weight response in a large multicenter cohort. METHODS Patients who underwent ESG between January 2013 and December 2015 in three centers were retrospectively analyzed. All procedures were performed using the Apollo OverStitch device (Apollo Endosurgery, Austin, TX). We performed per protocol (PP) and intention-to-treat (ITT) analyses, where patients lost to follow-up were considered failures. Multivariable linear and logistic regression analyses were performed. RESULTS We included 248 patients (mean age 44.5 ± 10 years, 73% female). Baseline BMI was 37.8 ± 5.6 kg/m2. At 6 and 24 months, 33 and 35 patients were lost to follow-up, respectively. At 6 and 24 months, %TBWL was 15.2 [95%CI 14.2-16.3] and 18.6 [15.7-21.5], respectively. Weight loss was similar between centers at both follow-up intervals. At 24 months, % of patients achieving ≥10% TBWL was 84.2 and 53% with PP and ITT analyses, respectively. On multivariable linear regression analysis, only %TBWL at 6 months strongly predicted %TBWL at 24 months (adjusted for age, gender, and baseline BMI, β = 1.21, p &lt; 0.001). The odds of achieving ≥10%TBWL at 24 months if a patient achieved &lt;10%TBWL at 6 months is 0.18 [0.034-0.84]. Five (2%) serious adverse events occurred. CONCLUSIONS ESG effectively induces weight loss up to 24 months in moderately obese patients. Failure to achieve adequate weight loss can be predicted early, and patients should be offered adjunctive therapies to augment it.","author":[{"dropping-particle":"","family":"Lopez-Nava","given":"Gontrand","non-dropping-particle":"","parse-names":false,"suffix":""},{"dropping-particle":"","family":"Sharaiha","given":"Reem Z","non-dropping-particle":"","parse-names":false,"suffix":""},{"dropping-particle":"","family":"Vargas","given":"Eric J","non-dropping-particle":"","parse-names":false,"suffix":""},{"dropping-particle":"","family":"Bazerbachi","given":"Fateh","non-dropping-particle":"","parse-names":false,"suffix":""},{"dropping-particle":"","family":"Manoel","given":"Galvao Neto","non-dropping-particle":"","parse-names":false,"suffix":""},{"dropping-particle":"","family":"Bautista-Castaño","given":"Inmaculada","non-dropping-particle":"","parse-names":false,"suffix":""},{"dropping-particle":"","family":"Acosta","given":"Andres","non-dropping-particle":"","parse-names":false,"suffix":""},{"dropping-particle":"","family":"Topazian","given":"Mark D","non-dropping-particle":"","parse-names":false,"suffix":""},{"dropping-particle":"","family":"Mundi","given":"Manpreet S","non-dropping-particle":"","parse-names":false,"suffix":""},{"dropping-particle":"","family":"Kumta","given":"Nikhil","non-dropping-particle":"","parse-names":false,"suffix":""},{"dropping-particle":"","family":"Kahaleh","given":"Michel","non-dropping-particle":"","parse-names":false,"suffix":""},{"dropping-particle":"","family":"Herr","given":"Andrea Marie","non-dropping-particle":"","parse-names":false,"suffix":""},{"dropping-particle":"","family":"Shukla","given":"Alpana","non-dropping-particle":"","parse-names":false,"suffix":""},{"dropping-particle":"","family":"Aronne","given":"Louis","non-dropping-particle":"","parse-names":false,"suffix":""},{"dropping-particle":"","family":"Gostout","given":"Christopher J","non-dropping-particle":"","parse-names":false,"suffix":""},{"dropping-particle":"","family":"Abu Dayyeh","given":"Barham K","non-dropping-particle":"","parse-names":false,"suffix":""}],"container-title":"Obesity surgery","id":"ITEM-1","issue":"10","issued":{"date-parts":[["2017"]]},"page":"2649-2655","title":"Endoscopic Sleeve Gastroplasty for Obesity: a Multicenter Study of 248 Patients with 24 Months Follow-Up.","type":"article-journal","volume":"27"},"uris":["http://www.mendeley.com/documents/?uuid=937982e5-8486-442c-af17-d4edb8b2a2b3"]}],"mendeley":{"formattedCitation":"&lt;sup&gt;[33]&lt;/sup&gt;","plainTextFormattedCitation":"[33]","previouslyFormattedCitation":"&lt;sup&gt;[33]&lt;/sup&gt;"},"properties":{"noteIndex":0},"schema":"https://github.com/citation-style-language/schema/raw/master/csl-citation.json"}</w:instrText>
      </w:r>
      <w:r w:rsidR="00677471" w:rsidRPr="007F12AB">
        <w:rPr>
          <w:rFonts w:ascii="Book Antiqua" w:hAnsi="Book Antiqua" w:cs="Arial"/>
          <w:lang w:val="en-US"/>
        </w:rPr>
        <w:fldChar w:fldCharType="separate"/>
      </w:r>
      <w:r w:rsidR="00677471" w:rsidRPr="007F12AB">
        <w:rPr>
          <w:rFonts w:ascii="Book Antiqua" w:hAnsi="Book Antiqua" w:cs="Arial"/>
          <w:noProof/>
          <w:vertAlign w:val="superscript"/>
          <w:lang w:val="en-US"/>
        </w:rPr>
        <w:t>[33]</w:t>
      </w:r>
      <w:r w:rsidR="00677471" w:rsidRPr="007F12AB">
        <w:rPr>
          <w:rFonts w:ascii="Book Antiqua" w:hAnsi="Book Antiqua" w:cs="Arial"/>
          <w:lang w:val="en-US"/>
        </w:rPr>
        <w:fldChar w:fldCharType="end"/>
      </w:r>
      <w:r w:rsidRPr="007F12AB">
        <w:rPr>
          <w:rFonts w:ascii="Book Antiqua" w:hAnsi="Book Antiqua" w:cs="Arial"/>
          <w:lang w:val="en-US"/>
        </w:rPr>
        <w:t xml:space="preserve">, including 248 patients, reported the longest ESG follow-up to date. At 6 </w:t>
      </w:r>
      <w:proofErr w:type="spellStart"/>
      <w:r w:rsidRPr="007F12AB">
        <w:rPr>
          <w:rFonts w:ascii="Book Antiqua" w:hAnsi="Book Antiqua" w:cs="Arial"/>
          <w:lang w:val="en-US"/>
        </w:rPr>
        <w:t>mo</w:t>
      </w:r>
      <w:proofErr w:type="spellEnd"/>
      <w:r w:rsidRPr="007F12AB">
        <w:rPr>
          <w:rFonts w:ascii="Book Antiqua" w:hAnsi="Book Antiqua" w:cs="Arial"/>
          <w:lang w:val="en-US"/>
        </w:rPr>
        <w:t xml:space="preserve"> and 24 </w:t>
      </w:r>
      <w:proofErr w:type="spellStart"/>
      <w:r w:rsidRPr="007F12AB">
        <w:rPr>
          <w:rFonts w:ascii="Book Antiqua" w:hAnsi="Book Antiqua" w:cs="Arial"/>
          <w:lang w:val="en-US"/>
        </w:rPr>
        <w:t>mo</w:t>
      </w:r>
      <w:proofErr w:type="spellEnd"/>
      <w:r w:rsidRPr="007F12AB">
        <w:rPr>
          <w:rFonts w:ascii="Book Antiqua" w:hAnsi="Book Antiqua" w:cs="Arial"/>
          <w:lang w:val="en-US"/>
        </w:rPr>
        <w:t>, %TWL was 15.2% and 18.6%, respectively, with similar weight loss between centers. The percentage of patients achieving ≥</w:t>
      </w:r>
      <w:r w:rsidR="007E04CA" w:rsidRPr="007F12AB">
        <w:rPr>
          <w:rFonts w:ascii="Book Antiqua" w:hAnsi="Book Antiqua" w:cs="Arial"/>
          <w:lang w:val="en-US"/>
        </w:rPr>
        <w:t xml:space="preserve"> </w:t>
      </w:r>
      <w:r w:rsidRPr="007F12AB">
        <w:rPr>
          <w:rFonts w:ascii="Book Antiqua" w:hAnsi="Book Antiqua" w:cs="Arial"/>
          <w:lang w:val="en-US"/>
        </w:rPr>
        <w:t xml:space="preserve">10% TWL was 84.2%. Additionally, in both univariable and multivariable regression analysis, weight loss at 6 </w:t>
      </w:r>
      <w:proofErr w:type="spellStart"/>
      <w:r w:rsidRPr="007F12AB">
        <w:rPr>
          <w:rFonts w:ascii="Book Antiqua" w:hAnsi="Book Antiqua" w:cs="Arial"/>
          <w:lang w:val="en-US"/>
        </w:rPr>
        <w:t>mo</w:t>
      </w:r>
      <w:proofErr w:type="spellEnd"/>
      <w:r w:rsidRPr="007F12AB">
        <w:rPr>
          <w:rFonts w:ascii="Book Antiqua" w:hAnsi="Book Antiqua" w:cs="Arial"/>
          <w:lang w:val="en-US"/>
        </w:rPr>
        <w:t xml:space="preserve"> predicted weight maintenance at 24 mo. Achieving less than 10% TWL at 6 </w:t>
      </w:r>
      <w:proofErr w:type="spellStart"/>
      <w:r w:rsidRPr="007F12AB">
        <w:rPr>
          <w:rFonts w:ascii="Book Antiqua" w:hAnsi="Book Antiqua" w:cs="Arial"/>
          <w:lang w:val="en-US"/>
        </w:rPr>
        <w:t>mo</w:t>
      </w:r>
      <w:proofErr w:type="spellEnd"/>
      <w:r w:rsidRPr="007F12AB">
        <w:rPr>
          <w:rFonts w:ascii="Book Antiqua" w:hAnsi="Book Antiqua" w:cs="Arial"/>
          <w:lang w:val="en-US"/>
        </w:rPr>
        <w:t xml:space="preserve"> was an early predictor of poor long-term results and adjunctive therapy to enhance weigh loss in these patients may be recommended. Lopez-Nava </w:t>
      </w:r>
      <w:r w:rsidRPr="007F12AB">
        <w:rPr>
          <w:rFonts w:ascii="Book Antiqua" w:hAnsi="Book Antiqua" w:cs="Arial"/>
          <w:i/>
          <w:lang w:val="en-US"/>
        </w:rPr>
        <w:t xml:space="preserve">et </w:t>
      </w:r>
      <w:proofErr w:type="gramStart"/>
      <w:r w:rsidRPr="007F12AB">
        <w:rPr>
          <w:rFonts w:ascii="Book Antiqua" w:hAnsi="Book Antiqua" w:cs="Arial"/>
          <w:i/>
          <w:lang w:val="en-US"/>
        </w:rPr>
        <w:t>al</w:t>
      </w:r>
      <w:r w:rsidRPr="007F12AB">
        <w:rPr>
          <w:rFonts w:ascii="Book Antiqua" w:hAnsi="Book Antiqua" w:cs="Arial"/>
          <w:vertAlign w:val="superscript"/>
          <w:lang w:val="en-US"/>
        </w:rPr>
        <w:t>[</w:t>
      </w:r>
      <w:proofErr w:type="gramEnd"/>
      <w:r w:rsidRPr="007F12AB">
        <w:rPr>
          <w:rFonts w:ascii="Book Antiqua" w:hAnsi="Book Antiqua" w:cs="Arial"/>
          <w:vertAlign w:val="superscript"/>
          <w:lang w:val="en-US"/>
        </w:rPr>
        <w:t>44]</w:t>
      </w:r>
      <w:r w:rsidRPr="007F12AB">
        <w:rPr>
          <w:rFonts w:ascii="Book Antiqua" w:hAnsi="Book Antiqua" w:cs="Arial"/>
          <w:lang w:val="en-US"/>
        </w:rPr>
        <w:t xml:space="preserve">, also reported results up to 2 years follow-up. At 24 </w:t>
      </w:r>
      <w:proofErr w:type="spellStart"/>
      <w:r w:rsidRPr="007F12AB">
        <w:rPr>
          <w:rFonts w:ascii="Book Antiqua" w:hAnsi="Book Antiqua" w:cs="Arial"/>
          <w:lang w:val="en-US"/>
        </w:rPr>
        <w:t>mo</w:t>
      </w:r>
      <w:proofErr w:type="spellEnd"/>
      <w:r w:rsidRPr="007F12AB">
        <w:rPr>
          <w:rFonts w:ascii="Book Antiqua" w:hAnsi="Book Antiqua" w:cs="Arial"/>
          <w:lang w:val="en-US"/>
        </w:rPr>
        <w:t xml:space="preserve"> after the procedure baseline mean </w:t>
      </w:r>
      <w:r w:rsidR="007E04CA" w:rsidRPr="007F12AB">
        <w:rPr>
          <w:rFonts w:ascii="Book Antiqua" w:hAnsi="Book Antiqua" w:cs="Arial"/>
          <w:lang w:val="en-US"/>
        </w:rPr>
        <w:t>body mass index (</w:t>
      </w:r>
      <w:r w:rsidRPr="007F12AB">
        <w:rPr>
          <w:rFonts w:ascii="Book Antiqua" w:hAnsi="Book Antiqua" w:cs="Arial"/>
          <w:lang w:val="en-US"/>
        </w:rPr>
        <w:t>BMI</w:t>
      </w:r>
      <w:r w:rsidR="007E04CA" w:rsidRPr="007F12AB">
        <w:rPr>
          <w:rFonts w:ascii="Book Antiqua" w:hAnsi="Book Antiqua" w:cs="Arial"/>
          <w:lang w:val="en-US"/>
        </w:rPr>
        <w:t>)</w:t>
      </w:r>
      <w:r w:rsidRPr="007F12AB">
        <w:rPr>
          <w:rFonts w:ascii="Book Antiqua" w:hAnsi="Book Antiqua" w:cs="Arial"/>
          <w:lang w:val="en-US"/>
        </w:rPr>
        <w:t xml:space="preserve"> changed from 38.3 to 30.8 kg/m</w:t>
      </w:r>
      <w:r w:rsidRPr="007F12AB">
        <w:rPr>
          <w:rFonts w:ascii="Book Antiqua" w:hAnsi="Book Antiqua" w:cs="Arial"/>
          <w:vertAlign w:val="superscript"/>
          <w:lang w:val="en-US"/>
        </w:rPr>
        <w:t>2</w:t>
      </w:r>
      <w:r w:rsidRPr="007F12AB">
        <w:rPr>
          <w:rFonts w:ascii="Book Antiqua" w:hAnsi="Book Antiqua" w:cs="Arial"/>
          <w:lang w:val="en-US"/>
        </w:rPr>
        <w:t>; %TWL and %EWL were 19.5% and 60.4%, respectively. In this study, 85.7% of patients achieve greater than 25%</w:t>
      </w:r>
      <w:r w:rsidR="007E04CA" w:rsidRPr="007F12AB">
        <w:rPr>
          <w:rFonts w:ascii="Book Antiqua" w:hAnsi="Book Antiqua" w:cs="Arial"/>
          <w:lang w:val="en-US"/>
        </w:rPr>
        <w:t xml:space="preserve"> </w:t>
      </w:r>
      <w:r w:rsidRPr="007F12AB">
        <w:rPr>
          <w:rFonts w:ascii="Book Antiqua" w:hAnsi="Book Antiqua" w:cs="Arial"/>
          <w:lang w:val="en-US"/>
        </w:rPr>
        <w:t>EWL.</w:t>
      </w:r>
    </w:p>
    <w:p w14:paraId="28EEE002" w14:textId="3D5DBB70" w:rsidR="00CB6256" w:rsidRPr="007F12AB" w:rsidRDefault="00CB6256" w:rsidP="0026431D">
      <w:pPr>
        <w:spacing w:line="360" w:lineRule="auto"/>
        <w:ind w:firstLineChars="100" w:firstLine="240"/>
        <w:jc w:val="both"/>
        <w:rPr>
          <w:rFonts w:ascii="Book Antiqua" w:hAnsi="Book Antiqua" w:cs="Arial"/>
          <w:lang w:val="en-US"/>
        </w:rPr>
      </w:pPr>
      <w:r w:rsidRPr="007F12AB">
        <w:rPr>
          <w:rFonts w:ascii="Book Antiqua" w:hAnsi="Book Antiqua" w:cs="Arial"/>
          <w:lang w:val="en-US"/>
        </w:rPr>
        <w:t>Most studies report the success of ESG specifically for weight loss. However, some studies also analyzed comorbidities related to obesity</w:t>
      </w:r>
      <w:r w:rsidR="002837EE" w:rsidRPr="007F12AB">
        <w:rPr>
          <w:rFonts w:ascii="Book Antiqua" w:hAnsi="Book Antiqua" w:cs="Arial"/>
          <w:lang w:val="en-US"/>
        </w:rPr>
        <w:fldChar w:fldCharType="begin" w:fldLock="1"/>
      </w:r>
      <w:r w:rsidR="002837EE" w:rsidRPr="007F12AB">
        <w:rPr>
          <w:rFonts w:ascii="Book Antiqua" w:hAnsi="Book Antiqua" w:cs="Arial"/>
          <w:lang w:val="en-US"/>
        </w:rPr>
        <w:instrText>ADDIN CSL_CITATION {"citationItems":[{"id":"ITEM-1","itemData":{"DOI":"10.1016/j.cgh.2016.12.012","ISSN":"1542-7714","PMID":"28017845","abstract":"BACKGROUND &amp; AIMS Endoscopic sleeve gastroplasty (ESG) is an incisionless, minimally invasive bariatric procedure that reduces the length and width of the gastric cavity to facilitate weight loss. We performed a prospective study to evaluate the effects of ESG on total body weight loss and obesity-related comorbidities. METHODS We collected data from 91 consecutive patients (mean age, 43.86 ± 11.26 years; 68% female) undergoing ESG from August 2013 through March 2016. All patients had a body mass index (BMI) greater than 30 kg/m2 and had failed noninvasive weight-loss measures or had a BMI greater than 40 kg/m2 and were not considered as surgical candidates or refused surgery. All procedures were performed with a cap-based flexible endoscopic suturing system to facilitate a triangular pattern of sutures to imbricate the greater curvature of the stomach. Patients were evaluated after 6 months (n = 73), 12 months (n = 53), and 24 months (n = 12) for anthropometric features (BMI, weight, waist circumference, blood pressure) and underwent serologic (hemoglobin A1c), lipid panel, serum triglycerides, and liver function tests. The primary outcomes were total body weight loss at 6, 12, and 24 months. Secondary outcomes were the effects of ESG on metabolic factors (blood pressure, diabetes, hyperlipidemia, steatohepatitis) and safety. RESULTS The patients' mean BMI before the procedure was 40.7 ± 7.0 kg/m2. Patients had lost 14.4% of their total body weight at 6 months (80% follow-up rate), 17.6% at 12 months (76% follow-up rate), and 20.9% at 24 months (66% follow-up rate) after ESG. At 12 months after ESG, patients had statistically significant reductions in levels of hemoglobin A1c (P = .01), systolic blood pressure (P = .02), waist circumference (P &lt; .001), alanine aminotransferase (P &lt; .001), and serum triglycerides (P = .02). However, there was no significant change in low-density lipoprotein after vs before ESG (P = .79). There was one serious adverse event (1.1%) (perigastric leak) that occurred that was managed non-operatively. CONCLUSIONS ESG is a minimally invasive and effective endoscopic weight loss intervention. In addition to sustained total body weight loss up to 24 months, ESG reduced markers of hypertension, diabetes, and hypertriglyceridemia.","author":[{"dropping-particle":"","family":"Sharaiha","given":"Reem Z","non-dropping-particle":"","parse-names":false,"suffix":""},{"dropping-particle":"","family":"Kumta","given":"Nikhil A","non-dropping-particle":"","parse-names":false,"suffix":""},{"dropping-particle":"","family":"Saumoy","given":"Monica","non-dropping-particle":"","parse-names":false,"suffix":""},{"dropping-particle":"","family":"Desai","given":"Amit P","non-dropping-particle":"","parse-names":false,"suffix":""},{"dropping-particle":"","family":"Sarkisian","given":"Alex M","non-dropping-particle":"","parse-names":false,"suffix":""},{"dropping-particle":"","family":"Benevenuto","given":"Andrea","non-dropping-particle":"","parse-names":false,"suffix":""},{"dropping-particle":"","family":"Tyberg","given":"Amy","non-dropping-particle":"","parse-names":false,"suffix":""},{"dropping-particle":"","family":"Kumar","given":"Rekha","non-dropping-particle":"","parse-names":false,"suffix":""},{"dropping-particle":"","family":"Igel","given":"Leon","non-dropping-particle":"","parse-names":false,"suffix":""},{"dropping-particle":"","family":"Verna","given":"Elizabeth C","non-dropping-particle":"","parse-names":false,"suffix":""},{"dropping-particle":"","family":"Schwartz","given":"Robert","non-dropping-particle":"","parse-names":false,"suffix":""},{"dropping-particle":"","family":"Frissora","given":"Christina","non-dropping-particle":"","parse-names":false,"suffix":""},{"dropping-particle":"","family":"Shukla","given":"Alpana","non-dropping-particle":"","parse-names":false,"suffix":""},{"dropping-particle":"","family":"Aronne","given":"Louis J","non-dropping-particle":"","parse-names":false,"suffix":""},{"dropping-particle":"","family":"Kahaleh","given":"Michel","non-dropping-particle":"","parse-names":false,"suffix":""}],"container-title":"Clinical gastroenterology and hepatology : the official clinical practice journal of the American Gastroenterological Association","id":"ITEM-1","issue":"4","issued":{"date-parts":[["2017","4"]]},"page":"504-510","title":"Endoscopic Sleeve Gastroplasty Significantly Reduces Body Mass Index and Metabolic Complications in Obese Patients.","type":"article-journal","volume":"15"},"uris":["http://www.mendeley.com/documents/?uuid=650f197d-82f4-4861-a411-351c3c667bbf"]},{"id":"ITEM-2","itemData":{"DOI":"10.1016/j.gie.2018.12.012","ISSN":"00165107","author":[{"dropping-particle":"","family":"Alqahtani","given":"Aayed","non-dropping-particle":"","parse-names":false,"suffix":""},{"dropping-particle":"","family":"Al-Darwish","given":"Abdullah","non-dropping-particle":"","parse-names":false,"suffix":""},{"dropping-particle":"","family":"Mahmoud","given":"Ahmed Elsayed","non-dropping-particle":"","parse-names":false,"suffix":""},{"dropping-particle":"","family":"Alqahtani","given":"Yara A.","non-dropping-particle":"","parse-names":false,"suffix":""},{"dropping-particle":"","family":"Elahmedi","given":"Mohamed","non-dropping-particle":"","parse-names":false,"suffix":""}],"container-title":"Gastrointestinal Endoscopy","id":"ITEM-2","issued":{"date-parts":[["2018","12"]]},"title":"Short-term outcomes of endoscopic sleeve gastroplasty in 1000 consecutive patients","type":"article-journal"},"uris":["http://www.mendeley.com/documents/?uuid=d3fde783-c7b5-4ada-8fdc-9d05432797a7"]}],"mendeley":{"formattedCitation":"&lt;sup&gt;[38,39]&lt;/sup&gt;","plainTextFormattedCitation":"[38,39]","previouslyFormattedCitation":"&lt;sup&gt;[38,39]&lt;/sup&gt;"},"properties":{"noteIndex":0},"schema":"https://github.com/citation-style-language/schema/raw/master/csl-citation.json"}</w:instrText>
      </w:r>
      <w:r w:rsidR="002837EE" w:rsidRPr="007F12AB">
        <w:rPr>
          <w:rFonts w:ascii="Book Antiqua" w:hAnsi="Book Antiqua" w:cs="Arial"/>
          <w:lang w:val="en-US"/>
        </w:rPr>
        <w:fldChar w:fldCharType="separate"/>
      </w:r>
      <w:r w:rsidR="002837EE" w:rsidRPr="007F12AB">
        <w:rPr>
          <w:rFonts w:ascii="Book Antiqua" w:hAnsi="Book Antiqua" w:cs="Arial"/>
          <w:noProof/>
          <w:vertAlign w:val="superscript"/>
          <w:lang w:val="en-US"/>
        </w:rPr>
        <w:t>[38,39]</w:t>
      </w:r>
      <w:r w:rsidR="002837EE" w:rsidRPr="007F12AB">
        <w:rPr>
          <w:rFonts w:ascii="Book Antiqua" w:hAnsi="Book Antiqua" w:cs="Arial"/>
          <w:lang w:val="en-US"/>
        </w:rPr>
        <w:fldChar w:fldCharType="end"/>
      </w:r>
      <w:r w:rsidRPr="007F12AB">
        <w:rPr>
          <w:rFonts w:ascii="Book Antiqua" w:hAnsi="Book Antiqua" w:cs="Arial"/>
          <w:lang w:val="en-US"/>
        </w:rPr>
        <w:t xml:space="preserve">. </w:t>
      </w:r>
      <w:proofErr w:type="spellStart"/>
      <w:r w:rsidRPr="007F12AB">
        <w:rPr>
          <w:rFonts w:ascii="Book Antiqua" w:hAnsi="Book Antiqua" w:cs="Arial"/>
          <w:lang w:val="en-US"/>
        </w:rPr>
        <w:t>Sharaiha</w:t>
      </w:r>
      <w:proofErr w:type="spellEnd"/>
      <w:r w:rsidRPr="007F12AB">
        <w:rPr>
          <w:rFonts w:ascii="Book Antiqua" w:hAnsi="Book Antiqua" w:cs="Arial"/>
          <w:lang w:val="en-US"/>
        </w:rPr>
        <w:t xml:space="preserve"> </w:t>
      </w:r>
      <w:r w:rsidRPr="007F12AB">
        <w:rPr>
          <w:rFonts w:ascii="Book Antiqua" w:hAnsi="Book Antiqua" w:cs="Arial"/>
          <w:i/>
          <w:lang w:val="en-US"/>
        </w:rPr>
        <w:t>et al</w:t>
      </w:r>
      <w:r w:rsidR="002837EE" w:rsidRPr="007F12AB">
        <w:rPr>
          <w:rFonts w:ascii="Book Antiqua" w:hAnsi="Book Antiqua" w:cs="Arial"/>
          <w:lang w:val="en-US"/>
        </w:rPr>
        <w:fldChar w:fldCharType="begin" w:fldLock="1"/>
      </w:r>
      <w:r w:rsidR="002837EE" w:rsidRPr="007F12AB">
        <w:rPr>
          <w:rFonts w:ascii="Book Antiqua" w:hAnsi="Book Antiqua" w:cs="Arial"/>
          <w:lang w:val="en-US"/>
        </w:rPr>
        <w:instrText>ADDIN CSL_CITATION {"citationItems":[{"id":"ITEM-1","itemData":{"DOI":"10.1016/j.cgh.2016.12.012","ISSN":"1542-7714","PMID":"28017845","abstract":"BACKGROUND &amp; AIMS Endoscopic sleeve gastroplasty (ESG) is an incisionless, minimally invasive bariatric procedure that reduces the length and width of the gastric cavity to facilitate weight loss. We performed a prospective study to evaluate the effects of ESG on total body weight loss and obesity-related comorbidities. METHODS We collected data from 91 consecutive patients (mean age, 43.86 ± 11.26 years; 68% female) undergoing ESG from August 2013 through March 2016. All patients had a body mass index (BMI) greater than 30 kg/m2 and had failed noninvasive weight-loss measures or had a BMI greater than 40 kg/m2 and were not considered as surgical candidates or refused surgery. All procedures were performed with a cap-based flexible endoscopic suturing system to facilitate a triangular pattern of sutures to imbricate the greater curvature of the stomach. Patients were evaluated after 6 months (n = 73), 12 months (n = 53), and 24 months (n = 12) for anthropometric features (BMI, weight, waist circumference, blood pressure) and underwent serologic (hemoglobin A1c), lipid panel, serum triglycerides, and liver function tests. The primary outcomes were total body weight loss at 6, 12, and 24 months. Secondary outcomes were the effects of ESG on metabolic factors (blood pressure, diabetes, hyperlipidemia, steatohepatitis) and safety. RESULTS The patients' mean BMI before the procedure was 40.7 ± 7.0 kg/m2. Patients had lost 14.4% of their total body weight at 6 months (80% follow-up rate), 17.6% at 12 months (76% follow-up rate), and 20.9% at 24 months (66% follow-up rate) after ESG. At 12 months after ESG, patients had statistically significant reductions in levels of hemoglobin A1c (P = .01), systolic blood pressure (P = .02), waist circumference (P &lt; .001), alanine aminotransferase (P &lt; .001), and serum triglycerides (P = .02). However, there was no significant change in low-density lipoprotein after vs before ESG (P = .79). There was one serious adverse event (1.1%) (perigastric leak) that occurred that was managed non-operatively. CONCLUSIONS ESG is a minimally invasive and effective endoscopic weight loss intervention. In addition to sustained total body weight loss up to 24 months, ESG reduced markers of hypertension, diabetes, and hypertriglyceridemia.","author":[{"dropping-particle":"","family":"Sharaiha","given":"Reem Z","non-dropping-particle":"","parse-names":false,"suffix":""},{"dropping-particle":"","family":"Kumta","given":"Nikhil A","non-dropping-particle":"","parse-names":false,"suffix":""},{"dropping-particle":"","family":"Saumoy","given":"Monica","non-dropping-particle":"","parse-names":false,"suffix":""},{"dropping-particle":"","family":"Desai","given":"Amit P","non-dropping-particle":"","parse-names":false,"suffix":""},{"dropping-particle":"","family":"Sarkisian","given":"Alex M","non-dropping-particle":"","parse-names":false,"suffix":""},{"dropping-particle":"","family":"Benevenuto","given":"Andrea","non-dropping-particle":"","parse-names":false,"suffix":""},{"dropping-particle":"","family":"Tyberg","given":"Amy","non-dropping-particle":"","parse-names":false,"suffix":""},{"dropping-particle":"","family":"Kumar","given":"Rekha","non-dropping-particle":"","parse-names":false,"suffix":""},{"dropping-particle":"","family":"Igel","given":"Leon","non-dropping-particle":"","parse-names":false,"suffix":""},{"dropping-particle":"","family":"Verna","given":"Elizabeth C","non-dropping-particle":"","parse-names":false,"suffix":""},{"dropping-particle":"","family":"Schwartz","given":"Robert","non-dropping-particle":"","parse-names":false,"suffix":""},{"dropping-particle":"","family":"Frissora","given":"Christina","non-dropping-particle":"","parse-names":false,"suffix":""},{"dropping-particle":"","family":"Shukla","given":"Alpana","non-dropping-particle":"","parse-names":false,"suffix":""},{"dropping-particle":"","family":"Aronne","given":"Louis J","non-dropping-particle":"","parse-names":false,"suffix":""},{"dropping-particle":"","family":"Kahaleh","given":"Michel","non-dropping-particle":"","parse-names":false,"suffix":""}],"container-title":"Clinical gastroenterology and hepatology : the official clinical practice journal of the American Gastroenterological Association","id":"ITEM-1","issue":"4","issued":{"date-parts":[["2017","4"]]},"page":"504-510","title":"Endoscopic Sleeve Gastroplasty Significantly Reduces Body Mass Index and Metabolic Complications in Obese Patients.","type":"article-journal","volume":"15"},"uris":["http://www.mendeley.com/documents/?uuid=650f197d-82f4-4861-a411-351c3c667bbf"]}],"mendeley":{"formattedCitation":"&lt;sup&gt;[38]&lt;/sup&gt;","plainTextFormattedCitation":"[38]","previouslyFormattedCitation":"&lt;sup&gt;[38]&lt;/sup&gt;"},"properties":{"noteIndex":0},"schema":"https://github.com/citation-style-language/schema/raw/master/csl-citation.json"}</w:instrText>
      </w:r>
      <w:r w:rsidR="002837EE" w:rsidRPr="007F12AB">
        <w:rPr>
          <w:rFonts w:ascii="Book Antiqua" w:hAnsi="Book Antiqua" w:cs="Arial"/>
          <w:lang w:val="en-US"/>
        </w:rPr>
        <w:fldChar w:fldCharType="separate"/>
      </w:r>
      <w:r w:rsidR="002837EE" w:rsidRPr="007F12AB">
        <w:rPr>
          <w:rFonts w:ascii="Book Antiqua" w:hAnsi="Book Antiqua" w:cs="Arial"/>
          <w:noProof/>
          <w:vertAlign w:val="superscript"/>
          <w:lang w:val="en-US"/>
        </w:rPr>
        <w:t>[38]</w:t>
      </w:r>
      <w:r w:rsidR="002837EE" w:rsidRPr="007F12AB">
        <w:rPr>
          <w:rFonts w:ascii="Book Antiqua" w:hAnsi="Book Antiqua" w:cs="Arial"/>
          <w:lang w:val="en-US"/>
        </w:rPr>
        <w:fldChar w:fldCharType="end"/>
      </w:r>
      <w:r w:rsidR="002837EE" w:rsidRPr="007F12AB">
        <w:rPr>
          <w:rFonts w:ascii="Book Antiqua" w:hAnsi="Book Antiqua" w:cs="Arial"/>
          <w:lang w:val="en-US"/>
        </w:rPr>
        <w:t xml:space="preserve"> </w:t>
      </w:r>
      <w:r w:rsidRPr="007F12AB">
        <w:rPr>
          <w:rFonts w:ascii="Book Antiqua" w:hAnsi="Book Antiqua" w:cs="Arial"/>
          <w:lang w:val="en-US"/>
        </w:rPr>
        <w:t>studied 91 patients with BMI higher than 30 kg/m</w:t>
      </w:r>
      <w:r w:rsidRPr="007F12AB">
        <w:rPr>
          <w:rFonts w:ascii="Book Antiqua" w:hAnsi="Book Antiqua" w:cs="Arial"/>
          <w:vertAlign w:val="superscript"/>
          <w:lang w:val="en-US"/>
        </w:rPr>
        <w:t>2</w:t>
      </w:r>
      <w:r w:rsidRPr="007F12AB">
        <w:rPr>
          <w:rFonts w:ascii="Book Antiqua" w:hAnsi="Book Antiqua" w:cs="Arial"/>
          <w:lang w:val="en-US"/>
        </w:rPr>
        <w:t xml:space="preserve"> who underwent ESG, with a follow-up up to 24 mo. Patients had significant reductions in levels of hemoglobinA1c, systolic blood pressure, waist circumference, alanine aminotransferase, and serum triglycerides. In this study a mean %TWL of 14.4%, 17.6%, and 20.9% were reported at 6 months, 1 year, and 2 year follow-up. </w:t>
      </w:r>
      <w:proofErr w:type="spellStart"/>
      <w:r w:rsidRPr="007F12AB">
        <w:rPr>
          <w:rFonts w:ascii="Book Antiqua" w:hAnsi="Book Antiqua" w:cs="Arial"/>
          <w:lang w:val="en-US"/>
        </w:rPr>
        <w:t>Alqahtani</w:t>
      </w:r>
      <w:proofErr w:type="spellEnd"/>
      <w:r w:rsidRPr="007F12AB">
        <w:rPr>
          <w:rFonts w:ascii="Book Antiqua" w:hAnsi="Book Antiqua" w:cs="Arial"/>
          <w:lang w:val="en-US"/>
        </w:rPr>
        <w:t xml:space="preserve"> </w:t>
      </w:r>
      <w:r w:rsidRPr="007F12AB">
        <w:rPr>
          <w:rFonts w:ascii="Book Antiqua" w:hAnsi="Book Antiqua" w:cs="Arial"/>
          <w:i/>
          <w:lang w:val="en-US"/>
        </w:rPr>
        <w:t>et al</w:t>
      </w:r>
      <w:r w:rsidR="002837EE" w:rsidRPr="007F12AB">
        <w:rPr>
          <w:rFonts w:ascii="Book Antiqua" w:hAnsi="Book Antiqua" w:cs="Arial"/>
          <w:lang w:val="en-US"/>
        </w:rPr>
        <w:fldChar w:fldCharType="begin" w:fldLock="1"/>
      </w:r>
      <w:r w:rsidR="00BF5372" w:rsidRPr="007F12AB">
        <w:rPr>
          <w:rFonts w:ascii="Book Antiqua" w:hAnsi="Book Antiqua" w:cs="Arial"/>
          <w:lang w:val="en-US"/>
        </w:rPr>
        <w:instrText>ADDIN CSL_CITATION {"citationItems":[{"id":"ITEM-1","itemData":{"DOI":"10.1016/j.gie.2018.12.012","ISSN":"00165107","author":[{"dropping-particle":"","family":"Alqahtani","given":"Aayed","non-dropping-particle":"","parse-names":false,"suffix":""},{"dropping-particle":"","family":"Al-Darwish","given":"Abdullah","non-dropping-particle":"","parse-names":false,"suffix":""},{"dropping-particle":"","family":"Mahmoud","given":"Ahmed Elsayed","non-dropping-particle":"","parse-names":false,"suffix":""},{"dropping-particle":"","family":"Alqahtani","given":"Yara A.","non-dropping-particle":"","parse-names":false,"suffix":""},{"dropping-particle":"","family":"Elahmedi","given":"Mohamed","non-dropping-particle":"","parse-names":false,"suffix":""}],"container-title":"Gastrointestinal Endoscopy","id":"ITEM-1","issued":{"date-parts":[["2018","12"]]},"title":"Short-term outcomes of endoscopic sleeve gastroplasty in 1000 consecutive patients","type":"article-journal"},"uris":["http://www.mendeley.com/documents/?uuid=d3fde783-c7b5-4ada-8fdc-9d05432797a7"]}],"mendeley":{"formattedCitation":"&lt;sup&gt;[39]&lt;/sup&gt;","plainTextFormattedCitation":"[39]","previouslyFormattedCitation":"&lt;sup&gt;[39]&lt;/sup&gt;"},"properties":{"noteIndex":0},"schema":"https://github.com/citation-style-language/schema/raw/master/csl-citation.json"}</w:instrText>
      </w:r>
      <w:r w:rsidR="002837EE" w:rsidRPr="007F12AB">
        <w:rPr>
          <w:rFonts w:ascii="Book Antiqua" w:hAnsi="Book Antiqua" w:cs="Arial"/>
          <w:lang w:val="en-US"/>
        </w:rPr>
        <w:fldChar w:fldCharType="separate"/>
      </w:r>
      <w:r w:rsidR="002837EE" w:rsidRPr="007F12AB">
        <w:rPr>
          <w:rFonts w:ascii="Book Antiqua" w:hAnsi="Book Antiqua" w:cs="Arial"/>
          <w:noProof/>
          <w:vertAlign w:val="superscript"/>
          <w:lang w:val="en-US"/>
        </w:rPr>
        <w:t>[39]</w:t>
      </w:r>
      <w:r w:rsidR="002837EE" w:rsidRPr="007F12AB">
        <w:rPr>
          <w:rFonts w:ascii="Book Antiqua" w:hAnsi="Book Antiqua" w:cs="Arial"/>
          <w:lang w:val="en-US"/>
        </w:rPr>
        <w:fldChar w:fldCharType="end"/>
      </w:r>
      <w:r w:rsidRPr="007F12AB">
        <w:rPr>
          <w:rFonts w:ascii="Book Antiqua" w:hAnsi="Book Antiqua" w:cs="Arial"/>
          <w:lang w:val="en-US"/>
        </w:rPr>
        <w:t xml:space="preserve"> reported 76.5% complete remission in type 2 diabetes by the third month following the procedure, with all remaining patients showing improvement. Additionally, all patients with hypertension and dyslipidemia had complete remission at the time of last follow-up. Despite few studies evaluating obesity-related comorbidities, these results are in keeping with what would be expected with this degree of weight loss.</w:t>
      </w:r>
    </w:p>
    <w:p w14:paraId="620AE83E" w14:textId="53F8F081" w:rsidR="00CB6256" w:rsidRPr="007F12AB" w:rsidRDefault="00CB6256" w:rsidP="0026431D">
      <w:pPr>
        <w:spacing w:line="360" w:lineRule="auto"/>
        <w:ind w:firstLineChars="100" w:firstLine="240"/>
        <w:jc w:val="both"/>
        <w:rPr>
          <w:rFonts w:ascii="Book Antiqua" w:hAnsi="Book Antiqua" w:cs="Arial"/>
          <w:lang w:val="en-US"/>
        </w:rPr>
      </w:pPr>
      <w:r w:rsidRPr="007F12AB">
        <w:rPr>
          <w:rFonts w:ascii="Book Antiqua" w:hAnsi="Book Antiqua" w:cs="Arial"/>
          <w:lang w:val="en-US"/>
        </w:rPr>
        <w:lastRenderedPageBreak/>
        <w:t>Procedure durability remains unclear, as the longest follow-up published to date is 2 years</w:t>
      </w:r>
      <w:r w:rsidR="00BF5372" w:rsidRPr="007F12AB">
        <w:rPr>
          <w:rFonts w:ascii="Book Antiqua" w:hAnsi="Book Antiqua" w:cs="Arial"/>
          <w:lang w:val="en-US"/>
        </w:rPr>
        <w:fldChar w:fldCharType="begin" w:fldLock="1"/>
      </w:r>
      <w:r w:rsidR="00BF5372" w:rsidRPr="007F12AB">
        <w:rPr>
          <w:rFonts w:ascii="Book Antiqua" w:hAnsi="Book Antiqua" w:cs="Arial"/>
          <w:lang w:val="en-US"/>
        </w:rPr>
        <w:instrText>ADDIN CSL_CITATION {"citationItems":[{"id":"ITEM-1","itemData":{"DOI":"10.1007/s11695-017-2693-7","ISSN":"1708-0428","PMID":"28451929","abstract":"BACKGROUND Endoscopic sleeve gastroplasty (ESG) is a technique for managing mild to moderately obese patients. We aimed to evaluate the long-term outcomes, reproducibility, and predictors of weight response in a large multicenter cohort. METHODS Patients who underwent ESG between January 2013 and December 2015 in three centers were retrospectively analyzed. All procedures were performed using the Apollo OverStitch device (Apollo Endosurgery, Austin, TX). We performed per protocol (PP) and intention-to-treat (ITT) analyses, where patients lost to follow-up were considered failures. Multivariable linear and logistic regression analyses were performed. RESULTS We included 248 patients (mean age 44.5 ± 10 years, 73% female). Baseline BMI was 37.8 ± 5.6 kg/m2. At 6 and 24 months, 33 and 35 patients were lost to follow-up, respectively. At 6 and 24 months, %TBWL was 15.2 [95%CI 14.2-16.3] and 18.6 [15.7-21.5], respectively. Weight loss was similar between centers at both follow-up intervals. At 24 months, % of patients achieving ≥10% TBWL was 84.2 and 53% with PP and ITT analyses, respectively. On multivariable linear regression analysis, only %TBWL at 6 months strongly predicted %TBWL at 24 months (adjusted for age, gender, and baseline BMI, β = 1.21, p &lt; 0.001). The odds of achieving ≥10%TBWL at 24 months if a patient achieved &lt;10%TBWL at 6 months is 0.18 [0.034-0.84]. Five (2%) serious adverse events occurred. CONCLUSIONS ESG effectively induces weight loss up to 24 months in moderately obese patients. Failure to achieve adequate weight loss can be predicted early, and patients should be offered adjunctive therapies to augment it.","author":[{"dropping-particle":"","family":"Lopez-Nava","given":"Gontrand","non-dropping-particle":"","parse-names":false,"suffix":""},{"dropping-particle":"","family":"Sharaiha","given":"Reem Z","non-dropping-particle":"","parse-names":false,"suffix":""},{"dropping-particle":"","family":"Vargas","given":"Eric J","non-dropping-particle":"","parse-names":false,"suffix":""},{"dropping-particle":"","family":"Bazerbachi","given":"Fateh","non-dropping-particle":"","parse-names":false,"suffix":""},{"dropping-particle":"","family":"Manoel","given":"Galvao Neto","non-dropping-particle":"","parse-names":false,"suffix":""},{"dropping-particle":"","family":"Bautista-Castaño","given":"Inmaculada","non-dropping-particle":"","parse-names":false,"suffix":""},{"dropping-particle":"","family":"Acosta","given":"Andres","non-dropping-particle":"","parse-names":false,"suffix":""},{"dropping-particle":"","family":"Topazian","given":"Mark D","non-dropping-particle":"","parse-names":false,"suffix":""},{"dropping-particle":"","family":"Mundi","given":"Manpreet S","non-dropping-particle":"","parse-names":false,"suffix":""},{"dropping-particle":"","family":"Kumta","given":"Nikhil","non-dropping-particle":"","parse-names":false,"suffix":""},{"dropping-particle":"","family":"Kahaleh","given":"Michel","non-dropping-particle":"","parse-names":false,"suffix":""},{"dropping-particle":"","family":"Herr","given":"Andrea Marie","non-dropping-particle":"","parse-names":false,"suffix":""},{"dropping-particle":"","family":"Shukla","given":"Alpana","non-dropping-particle":"","parse-names":false,"suffix":""},{"dropping-particle":"","family":"Aronne","given":"Louis","non-dropping-particle":"","parse-names":false,"suffix":""},{"dropping-particle":"","family":"Gostout","given":"Christopher J","non-dropping-particle":"","parse-names":false,"suffix":""},{"dropping-particle":"","family":"Abu Dayyeh","given":"Barham K","non-dropping-particle":"","parse-names":false,"suffix":""}],"container-title":"Obesity surgery","id":"ITEM-1","issue":"10","issued":{"date-parts":[["2017"]]},"page":"2649-2655","title":"Endoscopic Sleeve Gastroplasty for Obesity: a Multicenter Study of 248 Patients with 24 Months Follow-Up.","type":"article-journal","volume":"27"},"uris":["http://www.mendeley.com/documents/?uuid=937982e5-8486-442c-af17-d4edb8b2a2b3"]},{"id":"ITEM-2","itemData":{"DOI":"10.1590/0102-6720201700010006","ISSN":"0102-6720","abstract":"ABSTRACT Background: Bariatric endoscopic techniques are minimally invasive and induce gastric volume reduction to treat obesity. Aim: To evaluate endoscopic sleeve gastroplasty (Apollo method) using a suturing method directed at the greater curvature, as well as the perioperative care, two year safety and weight loss. Method: Prospective single-center study over 154 patients (108 females) using the endoscopic sleeve gastroplasty procedure under general anesthesia with overnight inpatient observation. Of the154 initial patients, 143 were available for 1-month of follow-up, 133 for 6-month, 64 for 12-month and 28 completed the 24 month assessment. Follow-up was carried out by a multidisciplinary team (nutritionist and psychologist). Outcomes evaluated were: change in BMI; change in body weight (TBWL); % of loss of initial body weight (%TBWL); % of excess body weight loss (%EWL) (segregated in &gt; or &lt;25% and adverse effects. Voluntary oral contrasted radiological examinations were scheduled to assess the gastroplasty at different times post-procedure. Results: Mean age was 44.9 (23-69) years. At 24 months after the procedure baseline mean BMI change from 38.3 to 30.8 kg/m2. TBWL, %TBWL and %EWL were of 21.3 kg, 19.5% and 60.4% respectively. 85.7% of patients achieve the goal of &gt;25% %EWL. There were no mayor adverse events intraprocedure or during the 24 months of follow-up . Conclusion: Endoscopic sleeve gastroplasty with regular monitoring by a multidisciplinary team can be considered an effective, safe and well tolerated procedure for obesity treatment, at least for two years of follow-up.","author":[{"dropping-particle":"","family":"LOPEZ-NAVA","given":"Gontrand","non-dropping-particle":"","parse-names":false,"suffix":""},{"dropping-particle":"","family":"GALVÃO","given":"M P","non-dropping-particle":"","parse-names":false,"suffix":""},{"dropping-particle":"","family":"BAUTISTA-CASTAÑO","given":"I","non-dropping-particle":"","parse-names":false,"suffix":""},{"dropping-particle":"","family":"FERNANDEZ-CORBELLE","given":"J P","non-dropping-particle":"","parse-names":false,"suffix":""},{"dropping-particle":"","family":"TRELL","given":"M","non-dropping-particle":"","parse-names":false,"suffix":""},{"dropping-particle":"","family":"LOPEZ","given":"N","non-dropping-particle":"","parse-names":false,"suffix":""}],"container-title":"ABCD. Arquivos Brasileiros de Cirurgia Digestiva (São Paulo)","id":"ITEM-2","issue":"1","issued":{"date-parts":[["2017","3"]]},"page":"18-20","title":"ENDOSCOPIC SLEEVE GASTROPLASTY FOR OBESITY TREATMENT: TWO YEARS OF EXPERIENCE","type":"article-journal","volume":"30"},"uris":["http://www.mendeley.com/documents/?uuid=65d71f76-ea65-491d-8f33-306e18669591"]}],"mendeley":{"formattedCitation":"&lt;sup&gt;[33,44]&lt;/sup&gt;","plainTextFormattedCitation":"[33,44]","previouslyFormattedCitation":"&lt;sup&gt;[33,44]&lt;/sup&gt;"},"properties":{"noteIndex":0},"schema":"https://github.com/citation-style-language/schema/raw/master/csl-citation.json"}</w:instrText>
      </w:r>
      <w:r w:rsidR="00BF5372" w:rsidRPr="007F12AB">
        <w:rPr>
          <w:rFonts w:ascii="Book Antiqua" w:hAnsi="Book Antiqua" w:cs="Arial"/>
          <w:lang w:val="en-US"/>
        </w:rPr>
        <w:fldChar w:fldCharType="separate"/>
      </w:r>
      <w:r w:rsidR="00BF5372" w:rsidRPr="007F12AB">
        <w:rPr>
          <w:rFonts w:ascii="Book Antiqua" w:hAnsi="Book Antiqua" w:cs="Arial"/>
          <w:noProof/>
          <w:vertAlign w:val="superscript"/>
          <w:lang w:val="en-US"/>
        </w:rPr>
        <w:t>[33,44]</w:t>
      </w:r>
      <w:r w:rsidR="00BF5372" w:rsidRPr="007F12AB">
        <w:rPr>
          <w:rFonts w:ascii="Book Antiqua" w:hAnsi="Book Antiqua" w:cs="Arial"/>
          <w:lang w:val="en-US"/>
        </w:rPr>
        <w:fldChar w:fldCharType="end"/>
      </w:r>
      <w:r w:rsidRPr="007F12AB">
        <w:rPr>
          <w:rFonts w:ascii="Book Antiqua" w:hAnsi="Book Antiqua" w:cs="Arial"/>
          <w:lang w:val="en-US"/>
        </w:rPr>
        <w:t>. It is important to note that redo ESG is an available minimally invasive option. Combination with medical therapy is also effective and should be considered for weight maintenance as needed. Additionally, if ESG fails, bariatric surgery is not contraindicated and has been shown to be effective. A major concern regarding surgical conversion is that the suture T-tags may cause the stapler to misfire resulting in a leak. However, in most suture patterns the gastric cardia is spared, minimizing this risk in conversion to RYGB. Additionally, conversion to sleeve gastrectomy has been successfully performed without adverse events</w:t>
      </w:r>
      <w:r w:rsidR="00BF5372" w:rsidRPr="007F12AB">
        <w:rPr>
          <w:rFonts w:ascii="Book Antiqua" w:hAnsi="Book Antiqua" w:cs="Arial"/>
          <w:lang w:val="en-US"/>
        </w:rPr>
        <w:fldChar w:fldCharType="begin" w:fldLock="1"/>
      </w:r>
      <w:r w:rsidR="00214429" w:rsidRPr="007F12AB">
        <w:rPr>
          <w:rFonts w:ascii="Book Antiqua" w:hAnsi="Book Antiqua" w:cs="Arial"/>
          <w:lang w:val="en-US"/>
        </w:rPr>
        <w:instrText>ADDIN CSL_CITATION {"citationItems":[{"id":"ITEM-1","itemData":{"DOI":"10.1016/j.gie.2018.12.012","ISSN":"00165107","author":[{"dropping-particle":"","family":"Alqahtani","given":"Aayed","non-dropping-particle":"","parse-names":false,"suffix":""},{"dropping-particle":"","family":"Al-Darwish","given":"Abdullah","non-dropping-particle":"","parse-names":false,"suffix":""},{"dropping-particle":"","family":"Mahmoud","given":"Ahmed Elsayed","non-dropping-particle":"","parse-names":false,"suffix":""},{"dropping-particle":"","family":"Alqahtani","given":"Yara A.","non-dropping-particle":"","parse-names":false,"suffix":""},{"dropping-particle":"","family":"Elahmedi","given":"Mohamed","non-dropping-particle":"","parse-names":false,"suffix":""}],"container-title":"Gastrointestinal Endoscopy","id":"ITEM-1","issued":{"date-parts":[["2018","12"]]},"title":"Short-term outcomes of endoscopic sleeve gastroplasty in 1000 consecutive patients","type":"article-journal"},"uris":["http://www.mendeley.com/documents/?uuid=d3fde783-c7b5-4ada-8fdc-9d05432797a7"]}],"mendeley":{"formattedCitation":"&lt;sup&gt;[39]&lt;/sup&gt;","plainTextFormattedCitation":"[39]","previouslyFormattedCitation":"&lt;sup&gt;[39]&lt;/sup&gt;"},"properties":{"noteIndex":0},"schema":"https://github.com/citation-style-language/schema/raw/master/csl-citation.json"}</w:instrText>
      </w:r>
      <w:r w:rsidR="00BF5372" w:rsidRPr="007F12AB">
        <w:rPr>
          <w:rFonts w:ascii="Book Antiqua" w:hAnsi="Book Antiqua" w:cs="Arial"/>
          <w:lang w:val="en-US"/>
        </w:rPr>
        <w:fldChar w:fldCharType="separate"/>
      </w:r>
      <w:r w:rsidR="00BF5372" w:rsidRPr="007F12AB">
        <w:rPr>
          <w:rFonts w:ascii="Book Antiqua" w:hAnsi="Book Antiqua" w:cs="Arial"/>
          <w:noProof/>
          <w:vertAlign w:val="superscript"/>
          <w:lang w:val="en-US"/>
        </w:rPr>
        <w:t>[39]</w:t>
      </w:r>
      <w:r w:rsidR="00BF5372" w:rsidRPr="007F12AB">
        <w:rPr>
          <w:rFonts w:ascii="Book Antiqua" w:hAnsi="Book Antiqua" w:cs="Arial"/>
          <w:lang w:val="en-US"/>
        </w:rPr>
        <w:fldChar w:fldCharType="end"/>
      </w:r>
      <w:r w:rsidRPr="007F12AB">
        <w:rPr>
          <w:rFonts w:ascii="Book Antiqua" w:hAnsi="Book Antiqua" w:cs="Arial"/>
          <w:lang w:val="en-US"/>
        </w:rPr>
        <w:t>.</w:t>
      </w:r>
    </w:p>
    <w:p w14:paraId="1C9CDFD6" w14:textId="4732A1A0" w:rsidR="00CB6256" w:rsidRPr="007F12AB" w:rsidRDefault="00CB6256" w:rsidP="0026431D">
      <w:pPr>
        <w:spacing w:line="360" w:lineRule="auto"/>
        <w:ind w:firstLineChars="100" w:firstLine="240"/>
        <w:jc w:val="both"/>
        <w:rPr>
          <w:rFonts w:ascii="Book Antiqua" w:hAnsi="Book Antiqua" w:cs="Arial"/>
          <w:lang w:val="en-US"/>
        </w:rPr>
      </w:pPr>
      <w:r w:rsidRPr="007F12AB">
        <w:rPr>
          <w:rFonts w:ascii="Book Antiqua" w:hAnsi="Book Antiqua" w:cs="Arial"/>
          <w:lang w:val="en-US"/>
        </w:rPr>
        <w:t>Overall ESG is well tolerated. In the literature, mild and moderate adverse events such as abdominal pain, nausea and emesis are usually not analyzed in detail because they are expected and managed conservatively with improvement after few days</w:t>
      </w:r>
      <w:r w:rsidR="00214429" w:rsidRPr="007F12AB">
        <w:rPr>
          <w:rFonts w:ascii="Book Antiqua" w:hAnsi="Book Antiqua" w:cs="Arial"/>
          <w:lang w:val="en-US"/>
        </w:rPr>
        <w:fldChar w:fldCharType="begin" w:fldLock="1"/>
      </w:r>
      <w:r w:rsidR="00214429" w:rsidRPr="007F12AB">
        <w:rPr>
          <w:rFonts w:ascii="Book Antiqua" w:hAnsi="Book Antiqua" w:cs="Arial"/>
          <w:lang w:val="en-US"/>
        </w:rPr>
        <w:instrText>ADDIN CSL_CITATION {"citationItems":[{"id":"ITEM-1","itemData":{"DOI":"10.1055/s-0034-1390773","ISBN":"0013-726x","ISSN":"14388812","PMID":"25380510","abstract":"Background and aims: Novel endoscopic techniques have been developed as effective treatments for obesity. Recently, reduction of gastric volume via endoscopic placement of full-thickness sutures, termed endoscopic sleeve gastroplasty (ESG), has been described. Our aim was to evaluate the safety, technical feasibility, and clinical outcomes for ESG.  Patient and methods: Between August 2013 and May 2014, ESG was performed on 10 patients using an endoscopic suturing device. Their weight loss, waist circumference, and clinical outcomes were assessed.  Results: Mean patient age was 43.7 years and mean body mass index (BMI) was 45.2</w:instrText>
      </w:r>
      <w:r w:rsidR="00214429" w:rsidRPr="007F12AB">
        <w:rPr>
          <w:lang w:val="en-US"/>
        </w:rPr>
        <w:instrText> </w:instrText>
      </w:r>
      <w:r w:rsidR="00214429" w:rsidRPr="007F12AB">
        <w:rPr>
          <w:rFonts w:ascii="Book Antiqua" w:hAnsi="Book Antiqua" w:cs="Arial"/>
          <w:lang w:val="en-US"/>
        </w:rPr>
        <w:instrText>kg/m2. There were no significant adverse events noted. After 1 month, 3 months, and 6 months, excess weight loss of 18</w:instrText>
      </w:r>
      <w:r w:rsidR="00214429" w:rsidRPr="007F12AB">
        <w:rPr>
          <w:lang w:val="en-US"/>
        </w:rPr>
        <w:instrText> </w:instrText>
      </w:r>
      <w:r w:rsidR="00214429" w:rsidRPr="007F12AB">
        <w:rPr>
          <w:rFonts w:ascii="Book Antiqua" w:hAnsi="Book Antiqua" w:cs="Arial"/>
          <w:lang w:val="en-US"/>
        </w:rPr>
        <w:instrText>%, 26</w:instrText>
      </w:r>
      <w:r w:rsidR="00214429" w:rsidRPr="007F12AB">
        <w:rPr>
          <w:lang w:val="en-US"/>
        </w:rPr>
        <w:instrText> </w:instrText>
      </w:r>
      <w:r w:rsidR="00214429" w:rsidRPr="007F12AB">
        <w:rPr>
          <w:rFonts w:ascii="Book Antiqua" w:hAnsi="Book Antiqua" w:cs="Arial"/>
          <w:lang w:val="en-US"/>
        </w:rPr>
        <w:instrText>%, and 30</w:instrText>
      </w:r>
      <w:r w:rsidR="00214429" w:rsidRPr="007F12AB">
        <w:rPr>
          <w:lang w:val="en-US"/>
        </w:rPr>
        <w:instrText> </w:instrText>
      </w:r>
      <w:r w:rsidR="00214429" w:rsidRPr="007F12AB">
        <w:rPr>
          <w:rFonts w:ascii="Book Antiqua" w:hAnsi="Book Antiqua" w:cs="Arial"/>
          <w:lang w:val="en-US"/>
        </w:rPr>
        <w:instrText>%, and mean weight loss of 11.5</w:instrText>
      </w:r>
      <w:r w:rsidR="00214429" w:rsidRPr="007F12AB">
        <w:rPr>
          <w:lang w:val="en-US"/>
        </w:rPr>
        <w:instrText> </w:instrText>
      </w:r>
      <w:r w:rsidR="00214429" w:rsidRPr="007F12AB">
        <w:rPr>
          <w:rFonts w:ascii="Book Antiqua" w:hAnsi="Book Antiqua" w:cs="Arial"/>
          <w:lang w:val="en-US"/>
        </w:rPr>
        <w:instrText>kg, 19.4</w:instrText>
      </w:r>
      <w:r w:rsidR="00214429" w:rsidRPr="007F12AB">
        <w:rPr>
          <w:lang w:val="en-US"/>
        </w:rPr>
        <w:instrText> </w:instrText>
      </w:r>
      <w:r w:rsidR="00214429" w:rsidRPr="007F12AB">
        <w:rPr>
          <w:rFonts w:ascii="Book Antiqua" w:hAnsi="Book Antiqua" w:cs="Arial"/>
          <w:lang w:val="en-US"/>
        </w:rPr>
        <w:instrText>kg, and 33.0</w:instrText>
      </w:r>
      <w:r w:rsidR="00214429" w:rsidRPr="007F12AB">
        <w:rPr>
          <w:lang w:val="en-US"/>
        </w:rPr>
        <w:instrText> </w:instrText>
      </w:r>
      <w:r w:rsidR="00214429" w:rsidRPr="007F12AB">
        <w:rPr>
          <w:rFonts w:ascii="Book Antiqua" w:hAnsi="Book Antiqua" w:cs="Arial"/>
          <w:lang w:val="en-US"/>
        </w:rPr>
        <w:instrText>kg, respectively, were observed. The differences observed in mean BMI and waist circumference were 4.9</w:instrText>
      </w:r>
      <w:r w:rsidR="00214429" w:rsidRPr="007F12AB">
        <w:rPr>
          <w:lang w:val="en-US"/>
        </w:rPr>
        <w:instrText> </w:instrText>
      </w:r>
      <w:r w:rsidR="00214429" w:rsidRPr="007F12AB">
        <w:rPr>
          <w:rFonts w:ascii="Book Antiqua" w:hAnsi="Book Antiqua" w:cs="Arial"/>
          <w:lang w:val="en-US"/>
        </w:rPr>
        <w:instrText>kg/m2 (P</w:instrText>
      </w:r>
      <w:r w:rsidR="00214429" w:rsidRPr="007F12AB">
        <w:rPr>
          <w:lang w:val="en-US"/>
        </w:rPr>
        <w:instrText> </w:instrText>
      </w:r>
      <w:r w:rsidR="00214429" w:rsidRPr="007F12AB">
        <w:rPr>
          <w:rFonts w:ascii="Book Antiqua" w:hAnsi="Book Antiqua" w:cs="Arial"/>
          <w:lang w:val="en-US"/>
        </w:rPr>
        <w:instrText>=</w:instrText>
      </w:r>
      <w:r w:rsidR="00214429" w:rsidRPr="007F12AB">
        <w:rPr>
          <w:lang w:val="en-US"/>
        </w:rPr>
        <w:instrText> </w:instrText>
      </w:r>
      <w:r w:rsidR="00214429" w:rsidRPr="007F12AB">
        <w:rPr>
          <w:rFonts w:ascii="Book Antiqua" w:hAnsi="Book Antiqua" w:cs="Arial"/>
          <w:lang w:val="en-US"/>
        </w:rPr>
        <w:instrText>0.0004) and 21.7</w:instrText>
      </w:r>
      <w:r w:rsidR="00214429" w:rsidRPr="007F12AB">
        <w:rPr>
          <w:lang w:val="en-US"/>
        </w:rPr>
        <w:instrText> </w:instrText>
      </w:r>
      <w:r w:rsidR="00214429" w:rsidRPr="007F12AB">
        <w:rPr>
          <w:rFonts w:ascii="Book Antiqua" w:hAnsi="Book Antiqua" w:cs="Arial"/>
          <w:lang w:val="en-US"/>
        </w:rPr>
        <w:instrText>cm (P</w:instrText>
      </w:r>
      <w:r w:rsidR="00214429" w:rsidRPr="007F12AB">
        <w:rPr>
          <w:lang w:val="en-US"/>
        </w:rPr>
        <w:instrText> </w:instrText>
      </w:r>
      <w:r w:rsidR="00214429" w:rsidRPr="007F12AB">
        <w:rPr>
          <w:rFonts w:ascii="Book Antiqua" w:hAnsi="Book Antiqua" w:cs="Arial"/>
          <w:lang w:val="en-US"/>
        </w:rPr>
        <w:instrText>=</w:instrText>
      </w:r>
      <w:r w:rsidR="00214429" w:rsidRPr="007F12AB">
        <w:rPr>
          <w:lang w:val="en-US"/>
        </w:rPr>
        <w:instrText> </w:instrText>
      </w:r>
      <w:r w:rsidR="00214429" w:rsidRPr="007F12AB">
        <w:rPr>
          <w:rFonts w:ascii="Book Antiqua" w:hAnsi="Book Antiqua" w:cs="Arial"/>
          <w:lang w:val="en-US"/>
        </w:rPr>
        <w:instrText>0.003), respectively.  Conclusions: ESG is effective in achieving weight loss with minimal adverse events. This approach may provide a cost-effective outpatient procedure to add to the steadily growing armamentarium available for treatment of this significant epidemic.","author":[{"dropping-particle":"","family":"Sharaiha","given":"Reem Z.","non-dropping-particle":"","parse-names":false,"suffix":""},{"dropping-particle":"","family":"Kedia","given":"Prashant","non-dropping-particle":"","parse-names":false,"suffix":""},{"dropping-particle":"","family":"Kumta","given":"Nikhil","non-dropping-particle":"","parse-names":false,"suffix":""},{"dropping-particle":"","family":"DeFilippis","given":"Ersilia M.","non-dropping-particle":"","parse-names":false,"suffix":""},{"dropping-particle":"","family":"Gaidhane","given":"Monica","non-dropping-particle":"","parse-names":false,"suffix":""},{"dropping-particle":"","family":"Shukla","given":"Alpana","non-dropping-particle":"","parse-names":false,"suffix":""},{"dropping-particle":"","family":"Aronne","given":"Louis J.","non-dropping-particle":"","parse-names":false,"suffix":""},{"dropping-particle":"","family":"Kahaleh","given":"Michel","non-dropping-particle":"","parse-names":false,"suffix":""}],"container-title":"Endoscopy","id":"ITEM-1","issue":"2","issued":{"date-parts":[["2015"]]},"page":"164-166","title":"Initial experience with endoscopic sleeve gastroplasty: technical success and reproducibility in the bariatric population","type":"article-journal","volume":"47"},"uris":["http://www.mendeley.com/documents/?uuid=d7fb8a4a-5e28-4baa-a2c8-b10de05b8f4b"]},{"id":"ITEM-2","itemData":{"DOI":"10.1016/j.cgh.2015.12.030","ISSN":"1542-7714","PMID":"26748219","abstract":"BACKGROUND &amp; AIMS Although bariatric surgery is the most effective therapy for obesity, only a small proportion of candidates undergo this surgery. Endoscopic sleeve gastroplasty (ESG) is a minimally invasive procedure that reduces the size of the gastric reservoir. We investigated its durability and effects on body weight and gastrointestinal function in a prospective study of obese individuals. METHODS Twenty-five obese individuals (21 female; mean body mass index, 35.5 ± 2.6 kg/m2; mean age, 47.6 ± 10 years) underwent ESG with endoluminal creation of a sleeve along the gastric lesser curve from September 2012 through March 2015 at the Mayo Clinic in Rochester, Minnesota. Subjects were followed for a median period of 9 months. We measured changes in body weight and recorded adverse events; patients were assessed by endoscopy after 3 months. Four participants underwent pre-ESG and post-ESG analyses to measure solid and liquid gastric emptying, satiation (meal tolerance), and fasting and postprandial levels of insulin, glucose, and gut hormones. RESULTS Subjects had lost 53% ± 17%, 56% ± 23%, 54% ± 40%, and 45% ± 41% of excess body weight at 6, 9, 12, and 20 months, respectively, after the procedure (P &lt; .01). Endoscopy at 3 months showed intact gastroplasty in all subjects. After ESG, physiological analyses of 4 participants showed a decrease by 59% in caloric consumption to reach maximum fullness (P = .003), slowing of gastric emptying of solids (P = .03), and a trend toward increased insulin sensitivity (P = .06). Three patients had serious adverse events (a perigastric inflammatory collection, a pulmonary embolism, and a small pneumothorax) but made full recoveries with no need for surgical interventions. No further serious adverse events occurred after the technique was adjusted. CONCLUSIONS ESG delays gastric emptying, induces early satiation, and significantly reduces body weight. ESG could be an alternative to bariatric surgery for selected patients with obesity. ClincialTrials.gov number: NCT 01682733.","author":[{"dropping-particle":"","family":"Abu Dayyeh","given":"Barham K","non-dropping-particle":"","parse-names":false,"suffix":""},{"dropping-particle":"","family":"Acosta","given":"Andres","non-dropping-particle":"","parse-names":false,"suffix":""},{"dropping-particle":"","family":"Camilleri","given":"Michael","non-dropping-particle":"","parse-names":false,"suffix":""},{"dropping-particle":"","family":"Mundi","given":"Manpreet S","non-dropping-particle":"","parse-names":false,"suffix":""},{"dropping-particle":"","family":"Rajan","given":"Elizabeth","non-dropping-particle":"","parse-names":false,"suffix":""},{"dropping-particle":"","family":"Topazian","given":"Mark D","non-dropping-particle":"","parse-names":false,"suffix":""},{"dropping-particle":"","family":"Gostout","given":"Christopher J","non-dropping-particle":"","parse-names":false,"suffix":""}],"container-title":"Clinical gastroenterology and hepatology : the official clinical practice journal of the American Gastroenterological Association","id":"ITEM-2","issue":"1","issued":{"date-parts":[["2017"]]},"page":"37-43.e1","title":"Endoscopic Sleeve Gastroplasty Alters Gastric Physiology and Induces Loss of Body Weight in Obese Individuals.","type":"article-journal","volume":"15"},"uris":["http://www.mendeley.com/documents/?uuid=9d4046f7-466c-4027-9f22-8bf7982a9501"]},{"id":"ITEM-3","itemData":{"DOI":"10.1007/s00464-018-6133-0","ISSN":"0930-2794","author":[{"dropping-particle":"","family":"Graus Morales","given":"Javier","non-dropping-particle":"","parse-names":false,"suffix":""},{"dropping-particle":"","family":"Crespo Pérez","given":"Laura","non-dropping-particle":"","parse-names":false,"suffix":""},{"dropping-particle":"","family":"Marques","given":"Andrea","non-dropping-particle":"","parse-names":false,"suffix":""},{"dropping-particle":"","family":"Marín Arribas","given":"Belén","non-dropping-particle":"","parse-names":false,"suffix":""},{"dropping-particle":"","family":"Bravo Arribas","given":"Rubén","non-dropping-particle":"","parse-names":false,"suffix":""},{"dropping-particle":"","family":"Ramo","given":"Estefanía","non-dropping-particle":"","parse-names":false,"suffix":""},{"dropping-particle":"","family":"Escalada","given":"Carmen","non-dropping-particle":"","parse-names":false,"suffix":""},{"dropping-particle":"","family":"Arribas","given":"Carmen","non-dropping-particle":"","parse-names":false,"suffix":""},{"dropping-particle":"","family":"Himpens","given":"Jacques","non-dropping-particle":"","parse-names":false,"suffix":""}],"container-title":"Surgical Endoscopy","id":"ITEM-3","issue":"9","issued":{"date-parts":[["2018","9","28"]]},"page":"3936-3942","title":"Modified endoscopic gastroplasty for the treatment of obesity","type":"article-journal","volume":"32"},"uris":["http://www.mendeley.com/documents/?uuid=890b2c8c-1c7e-42bb-aa01-ecf7156512b5"]}],"mendeley":{"formattedCitation":"&lt;sup&gt;[34,37,41]&lt;/sup&gt;","plainTextFormattedCitation":"[34,37,41]","previouslyFormattedCitation":"&lt;sup&gt;[34,37,41]&lt;/sup&gt;"},"properties":{"noteIndex":0},"schema":"https://github.com/citation-style-language/schema/raw/master/csl-citation.json"}</w:instrText>
      </w:r>
      <w:r w:rsidR="00214429" w:rsidRPr="007F12AB">
        <w:rPr>
          <w:rFonts w:ascii="Book Antiqua" w:hAnsi="Book Antiqua" w:cs="Arial"/>
          <w:lang w:val="en-US"/>
        </w:rPr>
        <w:fldChar w:fldCharType="separate"/>
      </w:r>
      <w:r w:rsidR="00214429" w:rsidRPr="007F12AB">
        <w:rPr>
          <w:rFonts w:ascii="Book Antiqua" w:hAnsi="Book Antiqua" w:cs="Arial"/>
          <w:noProof/>
          <w:vertAlign w:val="superscript"/>
          <w:lang w:val="en-US"/>
        </w:rPr>
        <w:t>[34,37,41]</w:t>
      </w:r>
      <w:r w:rsidR="00214429" w:rsidRPr="007F12AB">
        <w:rPr>
          <w:rFonts w:ascii="Book Antiqua" w:hAnsi="Book Antiqua" w:cs="Arial"/>
          <w:lang w:val="en-US"/>
        </w:rPr>
        <w:fldChar w:fldCharType="end"/>
      </w:r>
      <w:r w:rsidRPr="007F12AB">
        <w:rPr>
          <w:rFonts w:ascii="Book Antiqua" w:hAnsi="Book Antiqua" w:cs="Arial"/>
          <w:lang w:val="en-US"/>
        </w:rPr>
        <w:t>. A recent study</w:t>
      </w:r>
      <w:r w:rsidR="00214429" w:rsidRPr="007F12AB">
        <w:rPr>
          <w:rFonts w:ascii="Book Antiqua" w:hAnsi="Book Antiqua" w:cs="Arial"/>
          <w:lang w:val="en-US"/>
        </w:rPr>
        <w:fldChar w:fldCharType="begin" w:fldLock="1"/>
      </w:r>
      <w:r w:rsidR="0004382D" w:rsidRPr="007F12AB">
        <w:rPr>
          <w:rFonts w:ascii="Book Antiqua" w:hAnsi="Book Antiqua" w:cs="Arial"/>
          <w:lang w:val="en-US"/>
        </w:rPr>
        <w:instrText>ADDIN CSL_CITATION {"citationItems":[{"id":"ITEM-1","itemData":{"DOI":"10.1016/j.gie.2018.12.012","ISSN":"00165107","author":[{"dropping-particle":"","family":"Alqahtani","given":"Aayed","non-dropping-particle":"","parse-names":false,"suffix":""},{"dropping-particle":"","family":"Al-Darwish","given":"Abdullah","non-dropping-particle":"","parse-names":false,"suffix":""},{"dropping-particle":"","family":"Mahmoud","given":"Ahmed Elsayed","non-dropping-particle":"","parse-names":false,"suffix":""},{"dropping-particle":"","family":"Alqahtani","given":"Yara A.","non-dropping-particle":"","parse-names":false,"suffix":""},{"dropping-particle":"","family":"Elahmedi","given":"Mohamed","non-dropping-particle":"","parse-names":false,"suffix":""}],"container-title":"Gastrointestinal Endoscopy","id":"ITEM-1","issued":{"date-parts":[["2018","12"]]},"title":"Short-term outcomes of endoscopic sleeve gastroplasty in 1000 consecutive patients","type":"article-journal"},"uris":["http://www.mendeley.com/documents/?uuid=d3fde783-c7b5-4ada-8fdc-9d05432797a7"]}],"mendeley":{"formattedCitation":"&lt;sup&gt;[39]&lt;/sup&gt;","plainTextFormattedCitation":"[39]","previouslyFormattedCitation":"&lt;sup&gt;[39]&lt;/sup&gt;"},"properties":{"noteIndex":0},"schema":"https://github.com/citation-style-language/schema/raw/master/csl-citation.json"}</w:instrText>
      </w:r>
      <w:r w:rsidR="00214429" w:rsidRPr="007F12AB">
        <w:rPr>
          <w:rFonts w:ascii="Book Antiqua" w:hAnsi="Book Antiqua" w:cs="Arial"/>
          <w:lang w:val="en-US"/>
        </w:rPr>
        <w:fldChar w:fldCharType="separate"/>
      </w:r>
      <w:r w:rsidR="00214429" w:rsidRPr="007F12AB">
        <w:rPr>
          <w:rFonts w:ascii="Book Antiqua" w:hAnsi="Book Antiqua" w:cs="Arial"/>
          <w:noProof/>
          <w:vertAlign w:val="superscript"/>
          <w:lang w:val="en-US"/>
        </w:rPr>
        <w:t>[39]</w:t>
      </w:r>
      <w:r w:rsidR="00214429" w:rsidRPr="007F12AB">
        <w:rPr>
          <w:rFonts w:ascii="Book Antiqua" w:hAnsi="Book Antiqua" w:cs="Arial"/>
          <w:lang w:val="en-US"/>
        </w:rPr>
        <w:fldChar w:fldCharType="end"/>
      </w:r>
      <w:r w:rsidRPr="007F12AB">
        <w:rPr>
          <w:rFonts w:ascii="Book Antiqua" w:hAnsi="Book Antiqua" w:cs="Arial"/>
          <w:lang w:val="en-US"/>
        </w:rPr>
        <w:t xml:space="preserve"> reported 92.4% of nausea or abdominal pain controlled with medication and resolved during the first week. Of 1000 patients, 24 were readmitted with no mortality. Causes for readmission included: severe abdominal pain, </w:t>
      </w:r>
      <w:proofErr w:type="spellStart"/>
      <w:r w:rsidRPr="007F12AB">
        <w:rPr>
          <w:rFonts w:ascii="Book Antiqua" w:hAnsi="Book Antiqua" w:cs="Arial"/>
          <w:lang w:val="en-US"/>
        </w:rPr>
        <w:t>postprocedure</w:t>
      </w:r>
      <w:proofErr w:type="spellEnd"/>
      <w:r w:rsidRPr="007F12AB">
        <w:rPr>
          <w:rFonts w:ascii="Book Antiqua" w:hAnsi="Book Antiqua" w:cs="Arial"/>
          <w:lang w:val="en-US"/>
        </w:rPr>
        <w:t xml:space="preserve"> bleeding, </w:t>
      </w:r>
      <w:proofErr w:type="spellStart"/>
      <w:r w:rsidRPr="007F12AB">
        <w:rPr>
          <w:rFonts w:ascii="Book Antiqua" w:hAnsi="Book Antiqua" w:cs="Arial"/>
          <w:lang w:val="en-US"/>
        </w:rPr>
        <w:t>perigastric</w:t>
      </w:r>
      <w:proofErr w:type="spellEnd"/>
      <w:r w:rsidRPr="007F12AB">
        <w:rPr>
          <w:rFonts w:ascii="Book Antiqua" w:hAnsi="Book Antiqua" w:cs="Arial"/>
          <w:lang w:val="en-US"/>
        </w:rPr>
        <w:t xml:space="preserve"> fluid collection, and post procedure fever. Additionally, another study</w:t>
      </w:r>
      <w:r w:rsidR="0004382D" w:rsidRPr="007F12AB">
        <w:rPr>
          <w:rFonts w:ascii="Book Antiqua" w:hAnsi="Book Antiqua" w:cs="Arial"/>
          <w:lang w:val="en-US"/>
        </w:rPr>
        <w:fldChar w:fldCharType="begin" w:fldLock="1"/>
      </w:r>
      <w:r w:rsidR="0004382D" w:rsidRPr="007F12AB">
        <w:rPr>
          <w:rFonts w:ascii="Book Antiqua" w:hAnsi="Book Antiqua" w:cs="Arial"/>
          <w:lang w:val="en-US"/>
        </w:rPr>
        <w:instrText>ADDIN CSL_CITATION {"citationItems":[{"id":"ITEM-1","itemData":{"DOI":"10.1016/j.gie.2017.08.014","ISSN":"1097-6779","PMID":"28843586","abstract":"BACKGROUND AND AIMS Endoscopic sleeve gastroplasty (ESG) is a novel, incisionless technique for gastric volume reduction to promote weight loss. Our aim was to describe the learning curve for performing ESG using a prospective case series. METHODS Using a prospective case series design, we analyzed the first 128 consecutive patients at a tertiary care academic medical center who underwent ESG performed by a single operator from August 2013 to December 2016. Efficiency (refining performance to decrease procedure time) and mastery (absence of outliers) for performing ESG was evaluated by using a penalized basis-spline regression and cumulative sum analysis. RESULTS Efficiency for ESG was attained after 38 ESGs, with mastery after 55 procedures. At 12 months, the mean percent total body weight loss was 15.8% (standard deviation, 9.47%). A total of 71.7% of patients achieved successful weight loss. When using multiple linear regression analysis, both number of sutures and baseline weight were significantly associated with procedure time. Other patient characteristics, such as age, sex, and race, did not significantly affect procedure time. In addition, number of sutures, baseline weight, and endoscopist achieving efficiency were not correlated with successful weight loss at 12 months. CONCLUSIONS Mastery of ESG by a single operator is suggested after sufficient endoscopic experience and may help guide widespread clinical adaptability.","author":[{"dropping-particle":"","family":"Saumoy","given":"Monica","non-dropping-particle":"","parse-names":false,"suffix":""},{"dropping-particle":"","family":"Schneider","given":"Yecheskel","non-dropping-particle":"","parse-names":false,"suffix":""},{"dropping-particle":"","family":"Zhou","given":"Xi Kathy","non-dropping-particle":"","parse-names":false,"suffix":""},{"dropping-particle":"","family":"Shukla","given":"Alpana","non-dropping-particle":"","parse-names":false,"suffix":""},{"dropping-particle":"","family":"Kahaleh","given":"Michel","non-dropping-particle":"","parse-names":false,"suffix":""},{"dropping-particle":"","family":"Aronne","given":"Louis","non-dropping-particle":"","parse-names":false,"suffix":""},{"dropping-particle":"","family":"Sharaiha","given":"Reem Z","non-dropping-particle":"","parse-names":false,"suffix":""}],"container-title":"Gastrointestinal endoscopy","id":"ITEM-1","issue":"2","issued":{"date-parts":[["2018"]]},"page":"442-447","title":"A single-operator learning curve analysis for the endoscopic sleeve gastroplasty.","type":"article-journal","volume":"87"},"uris":["http://www.mendeley.com/documents/?uuid=1734db3d-2970-44f0-b146-b1e83ff378e9"]}],"mendeley":{"formattedCitation":"&lt;sup&gt;[45]&lt;/sup&gt;","plainTextFormattedCitation":"[45]","previouslyFormattedCitation":"&lt;sup&gt;[45]&lt;/sup&gt;"},"properties":{"noteIndex":0},"schema":"https://github.com/citation-style-language/schema/raw/master/csl-citation.json"}</w:instrText>
      </w:r>
      <w:r w:rsidR="0004382D" w:rsidRPr="007F12AB">
        <w:rPr>
          <w:rFonts w:ascii="Book Antiqua" w:hAnsi="Book Antiqua" w:cs="Arial"/>
          <w:lang w:val="en-US"/>
        </w:rPr>
        <w:fldChar w:fldCharType="separate"/>
      </w:r>
      <w:r w:rsidR="0004382D" w:rsidRPr="007F12AB">
        <w:rPr>
          <w:rFonts w:ascii="Book Antiqua" w:hAnsi="Book Antiqua" w:cs="Arial"/>
          <w:noProof/>
          <w:vertAlign w:val="superscript"/>
          <w:lang w:val="en-US"/>
        </w:rPr>
        <w:t>[45]</w:t>
      </w:r>
      <w:r w:rsidR="0004382D" w:rsidRPr="007F12AB">
        <w:rPr>
          <w:rFonts w:ascii="Book Antiqua" w:hAnsi="Book Antiqua" w:cs="Arial"/>
          <w:lang w:val="en-US"/>
        </w:rPr>
        <w:fldChar w:fldCharType="end"/>
      </w:r>
      <w:r w:rsidRPr="007F12AB">
        <w:rPr>
          <w:rFonts w:ascii="Book Antiqua" w:hAnsi="Book Antiqua" w:cs="Arial"/>
          <w:lang w:val="en-US"/>
        </w:rPr>
        <w:t xml:space="preserve"> reported 24.2% moderate abdominal pain and 31.2% nausea and emesis in the first 48 h. Compared to other endoscopic techniques, ESG appears to have favorable outcomes regarding these symptoms. Intragastric balloons and duodenal jejunal bypass sleeves are also associated with approximately 7% and 18% early removals, respectively</w:t>
      </w:r>
      <w:r w:rsidRPr="007F12AB">
        <w:rPr>
          <w:rFonts w:ascii="Book Antiqua" w:hAnsi="Book Antiqua" w:cs="Arial"/>
          <w:vertAlign w:val="superscript"/>
          <w:lang w:val="en-US"/>
        </w:rPr>
        <w:t>[26]</w:t>
      </w:r>
      <w:r w:rsidRPr="007F12AB">
        <w:rPr>
          <w:rFonts w:ascii="Book Antiqua" w:hAnsi="Book Antiqua" w:cs="Arial"/>
          <w:lang w:val="en-US"/>
        </w:rPr>
        <w:t>, whereas ESG reversal is extremely rare</w:t>
      </w:r>
      <w:r w:rsidR="0004382D" w:rsidRPr="007F12AB">
        <w:rPr>
          <w:rFonts w:ascii="Book Antiqua" w:hAnsi="Book Antiqua" w:cs="Arial"/>
          <w:lang w:val="en-US"/>
        </w:rPr>
        <w:fldChar w:fldCharType="begin" w:fldLock="1"/>
      </w:r>
      <w:r w:rsidR="0004382D" w:rsidRPr="007F12AB">
        <w:rPr>
          <w:rFonts w:ascii="Book Antiqua" w:hAnsi="Book Antiqua" w:cs="Arial"/>
          <w:lang w:val="en-US"/>
        </w:rPr>
        <w:instrText>ADDIN CSL_CITATION {"citationItems":[{"id":"ITEM-1","itemData":{"DOI":"10.1016/j.gie.2018.12.012","ISSN":"00165107","author":[{"dropping-particle":"","family":"Alqahtani","given":"Aayed","non-dropping-particle":"","parse-names":false,"suffix":""},{"dropping-particle":"","family":"Al-Darwish","given":"Abdullah","non-dropping-particle":"","parse-names":false,"suffix":""},{"dropping-particle":"","family":"Mahmoud","given":"Ahmed Elsayed","non-dropping-particle":"","parse-names":false,"suffix":""},{"dropping-particle":"","family":"Alqahtani","given":"Yara A.","non-dropping-particle":"","parse-names":false,"suffix":""},{"dropping-particle":"","family":"Elahmedi","given":"Mohamed","non-dropping-particle":"","parse-names":false,"suffix":""}],"container-title":"Gastrointestinal Endoscopy","id":"ITEM-1","issued":{"date-parts":[["2018","12"]]},"title":"Short-term outcomes of endoscopic sleeve gastroplasty in 1000 consecutive patients","type":"article-journal"},"uris":["http://www.mendeley.com/documents/?uuid=d3fde783-c7b5-4ada-8fdc-9d05432797a7"]}],"mendeley":{"formattedCitation":"&lt;sup&gt;[39]&lt;/sup&gt;","plainTextFormattedCitation":"[39]","previouslyFormattedCitation":"&lt;sup&gt;[39]&lt;/sup&gt;"},"properties":{"noteIndex":0},"schema":"https://github.com/citation-style-language/schema/raw/master/csl-citation.json"}</w:instrText>
      </w:r>
      <w:r w:rsidR="0004382D" w:rsidRPr="007F12AB">
        <w:rPr>
          <w:rFonts w:ascii="Book Antiqua" w:hAnsi="Book Antiqua" w:cs="Arial"/>
          <w:lang w:val="en-US"/>
        </w:rPr>
        <w:fldChar w:fldCharType="separate"/>
      </w:r>
      <w:r w:rsidR="0004382D" w:rsidRPr="007F12AB">
        <w:rPr>
          <w:rFonts w:ascii="Book Antiqua" w:hAnsi="Book Antiqua" w:cs="Arial"/>
          <w:noProof/>
          <w:vertAlign w:val="superscript"/>
          <w:lang w:val="en-US"/>
        </w:rPr>
        <w:t>[39]</w:t>
      </w:r>
      <w:r w:rsidR="0004382D" w:rsidRPr="007F12AB">
        <w:rPr>
          <w:rFonts w:ascii="Book Antiqua" w:hAnsi="Book Antiqua" w:cs="Arial"/>
          <w:lang w:val="en-US"/>
        </w:rPr>
        <w:fldChar w:fldCharType="end"/>
      </w:r>
      <w:r w:rsidRPr="007F12AB">
        <w:rPr>
          <w:rFonts w:ascii="Book Antiqua" w:hAnsi="Book Antiqua" w:cs="Arial"/>
          <w:lang w:val="en-US"/>
        </w:rPr>
        <w:t>. In the largest series of ESG, only 0.003% of procedures required reversal due to persistent symptoms</w:t>
      </w:r>
      <w:r w:rsidR="0004382D" w:rsidRPr="007F12AB">
        <w:rPr>
          <w:rFonts w:ascii="Book Antiqua" w:hAnsi="Book Antiqua" w:cs="Arial"/>
          <w:lang w:val="en-US"/>
        </w:rPr>
        <w:fldChar w:fldCharType="begin" w:fldLock="1"/>
      </w:r>
      <w:r w:rsidR="0004382D" w:rsidRPr="007F12AB">
        <w:rPr>
          <w:rFonts w:ascii="Book Antiqua" w:hAnsi="Book Antiqua" w:cs="Arial"/>
          <w:lang w:val="en-US"/>
        </w:rPr>
        <w:instrText>ADDIN CSL_CITATION {"citationItems":[{"id":"ITEM-1","itemData":{"DOI":"10.1016/j.gie.2018.12.012","ISSN":"00165107","author":[{"dropping-particle":"","family":"Alqahtani","given":"Aayed","non-dropping-particle":"","parse-names":false,"suffix":""},{"dropping-particle":"","family":"Al-Darwish","given":"Abdullah","non-dropping-particle":"","parse-names":false,"suffix":""},{"dropping-particle":"","family":"Mahmoud","given":"Ahmed Elsayed","non-dropping-particle":"","parse-names":false,"suffix":""},{"dropping-particle":"","family":"Alqahtani","given":"Yara A.","non-dropping-particle":"","parse-names":false,"suffix":""},{"dropping-particle":"","family":"Elahmedi","given":"Mohamed","non-dropping-particle":"","parse-names":false,"suffix":""}],"container-title":"Gastrointestinal Endoscopy","id":"ITEM-1","issued":{"date-parts":[["2018","12"]]},"title":"Short-term outcomes of endoscopic sleeve gastroplasty in 1000 consecutive patients","type":"article-journal"},"uris":["http://www.mendeley.com/documents/?uuid=d3fde783-c7b5-4ada-8fdc-9d05432797a7"]}],"mendeley":{"formattedCitation":"&lt;sup&gt;[39]&lt;/sup&gt;","plainTextFormattedCitation":"[39]","previouslyFormattedCitation":"&lt;sup&gt;[39]&lt;/sup&gt;"},"properties":{"noteIndex":0},"schema":"https://github.com/citation-style-language/schema/raw/master/csl-citation.json"}</w:instrText>
      </w:r>
      <w:r w:rsidR="0004382D" w:rsidRPr="007F12AB">
        <w:rPr>
          <w:rFonts w:ascii="Book Antiqua" w:hAnsi="Book Antiqua" w:cs="Arial"/>
          <w:lang w:val="en-US"/>
        </w:rPr>
        <w:fldChar w:fldCharType="separate"/>
      </w:r>
      <w:r w:rsidR="0004382D" w:rsidRPr="007F12AB">
        <w:rPr>
          <w:rFonts w:ascii="Book Antiqua" w:hAnsi="Book Antiqua" w:cs="Arial"/>
          <w:noProof/>
          <w:vertAlign w:val="superscript"/>
          <w:lang w:val="en-US"/>
        </w:rPr>
        <w:t>[39]</w:t>
      </w:r>
      <w:r w:rsidR="0004382D" w:rsidRPr="007F12AB">
        <w:rPr>
          <w:rFonts w:ascii="Book Antiqua" w:hAnsi="Book Antiqua" w:cs="Arial"/>
          <w:lang w:val="en-US"/>
        </w:rPr>
        <w:fldChar w:fldCharType="end"/>
      </w:r>
      <w:r w:rsidRPr="007F12AB">
        <w:rPr>
          <w:rFonts w:ascii="Book Antiqua" w:hAnsi="Book Antiqua" w:cs="Arial"/>
          <w:lang w:val="en-US"/>
        </w:rPr>
        <w:t>. Severe adverse events (SAE) after ESG are rare</w:t>
      </w:r>
      <w:r w:rsidR="0004382D" w:rsidRPr="007F12AB">
        <w:rPr>
          <w:rFonts w:ascii="Book Antiqua" w:hAnsi="Book Antiqua" w:cs="Arial"/>
          <w:lang w:val="en-US"/>
        </w:rPr>
        <w:fldChar w:fldCharType="begin" w:fldLock="1"/>
      </w:r>
      <w:r w:rsidR="009F41A0" w:rsidRPr="007F12AB">
        <w:rPr>
          <w:rFonts w:ascii="Book Antiqua" w:hAnsi="Book Antiqua" w:cs="Arial"/>
          <w:lang w:val="en-US"/>
        </w:rPr>
        <w:instrText>ADDIN CSL_CITATION {"citationItems":[{"id":"ITEM-1","itemData":{"DOI":"10.1007/s11695-015-1714-7","ISSN":"1708-0428","PMID":"26003549","abstract":"BACKGROUND Primary endoscopic weight loss therapies are of interest for access, simplicity, and economy. The objective of this manuscript is to describe the endoscopic sleeve gastroplasty used in 50 patients. METHODS The goal of this procedure is to reduce the gastric lumen into a tubular configuration, with the greater curvature modified by a line of sutured plications. General anesthesia with endotracheal intubation is needed. An endoscopic suturing system requiring a specific double-channel endoscope delivers full-thickness sets of running sutures from the antrum to the fundus. Patients are admitted and observed, with discharge planned within 24 h. Post-procedure outpatient care includes diet instruction with intensive follow-up by a multidisciplinary team. Voluntary oral contrast and endoscopy studies are scheduled to assess the gastroplasty at 3, 6, and 12 months. RESULTS The technique was applied in 50 patients (13 men) with an average body mass index (BMI) of 37.7 kg/m(2) (range 30-47) with 13 having reached 1 year. Procedure duration averaged 66 min during which six to eight sutures on average were placed. All patients were discharged in less than 24 h. There were no major intra-procedural, early, or delayed adverse events. Weight loss parameters were satisfactory, mean BMI changes from 37.7 ± 4.6 to 30.9 ± 5.1 kg/m(2) at 1 year, and mean %TBWL was 19.0 ± 10.8. Oral contrast studies and endoscopy revealed sleeve gastroplasty configuration at least until 1 year of follow-up. CONCLUSION Endoscopic sleeve gastroplasty is a safe, effective, and reproducible primary weight loss technique.","author":[{"dropping-particle":"","family":"Lopez-Nava","given":"G","non-dropping-particle":"","parse-names":false,"suffix":""},{"dropping-particle":"","family":"Galvão","given":"M P","non-dropping-particle":"","parse-names":false,"suffix":""},{"dropping-particle":"","family":"Bautista-Castaño","given":"I","non-dropping-particle":"","parse-names":false,"suffix":""},{"dropping-particle":"","family":"Jimenez-Baños","given":"A","non-dropping-particle":"","parse-names":false,"suffix":""},{"dropping-particle":"","family":"Fernandez-Corbelle","given":"J P","non-dropping-particle":"","parse-names":false,"suffix":""}],"container-title":"Obesity surgery","id":"ITEM-1","issue":"8","issued":{"date-parts":[["2015","8"]]},"page":"1534-8","title":"Endoscopic Sleeve Gastroplasty: How I Do It?","type":"article-journal","volume":"25"},"uris":["http://www.mendeley.com/documents/?uuid=7a6a323e-04e7-440d-88fe-d7cab912c5cd"]},{"id":"ITEM-2","itemData":{"DOI":"10.1055/s-0034-1390773","ISBN":"0013-726x","ISSN":"14388812","PMID":"25380510","abstract":"Background and aims: Novel endoscopic techniques have been developed as effective treatments for obesity. Recently, reduction of gastric volume via endoscopic placement of full-thickness sutures, termed endoscopic sleeve gastroplasty (ESG), has been described. Our aim was to evaluate the safety, technical feasibility, and clinical outcomes for ESG.  Patient and methods: Between August 2013 and May 2014, ESG was performed on 10 patients using an endoscopic suturing device. Their weight loss, waist circumference, and clinical outcomes were assessed.  Results: Mean patient age was 43.7 years and mean body mass index (BMI) was 45.2</w:instrText>
      </w:r>
      <w:r w:rsidR="009F41A0" w:rsidRPr="007F12AB">
        <w:rPr>
          <w:lang w:val="en-US"/>
        </w:rPr>
        <w:instrText> </w:instrText>
      </w:r>
      <w:r w:rsidR="009F41A0" w:rsidRPr="007F12AB">
        <w:rPr>
          <w:rFonts w:ascii="Book Antiqua" w:hAnsi="Book Antiqua" w:cs="Arial"/>
          <w:lang w:val="en-US"/>
        </w:rPr>
        <w:instrText>kg/m2. There were no significant adverse events noted. After 1 month, 3 months, and 6 months, excess weight loss of 18</w:instrText>
      </w:r>
      <w:r w:rsidR="009F41A0" w:rsidRPr="007F12AB">
        <w:rPr>
          <w:lang w:val="en-US"/>
        </w:rPr>
        <w:instrText> </w:instrText>
      </w:r>
      <w:r w:rsidR="009F41A0" w:rsidRPr="007F12AB">
        <w:rPr>
          <w:rFonts w:ascii="Book Antiqua" w:hAnsi="Book Antiqua" w:cs="Arial"/>
          <w:lang w:val="en-US"/>
        </w:rPr>
        <w:instrText>%, 26</w:instrText>
      </w:r>
      <w:r w:rsidR="009F41A0" w:rsidRPr="007F12AB">
        <w:rPr>
          <w:lang w:val="en-US"/>
        </w:rPr>
        <w:instrText> </w:instrText>
      </w:r>
      <w:r w:rsidR="009F41A0" w:rsidRPr="007F12AB">
        <w:rPr>
          <w:rFonts w:ascii="Book Antiqua" w:hAnsi="Book Antiqua" w:cs="Arial"/>
          <w:lang w:val="en-US"/>
        </w:rPr>
        <w:instrText>%, and 30</w:instrText>
      </w:r>
      <w:r w:rsidR="009F41A0" w:rsidRPr="007F12AB">
        <w:rPr>
          <w:lang w:val="en-US"/>
        </w:rPr>
        <w:instrText> </w:instrText>
      </w:r>
      <w:r w:rsidR="009F41A0" w:rsidRPr="007F12AB">
        <w:rPr>
          <w:rFonts w:ascii="Book Antiqua" w:hAnsi="Book Antiqua" w:cs="Arial"/>
          <w:lang w:val="en-US"/>
        </w:rPr>
        <w:instrText>%, and mean weight loss of 11.5</w:instrText>
      </w:r>
      <w:r w:rsidR="009F41A0" w:rsidRPr="007F12AB">
        <w:rPr>
          <w:lang w:val="en-US"/>
        </w:rPr>
        <w:instrText> </w:instrText>
      </w:r>
      <w:r w:rsidR="009F41A0" w:rsidRPr="007F12AB">
        <w:rPr>
          <w:rFonts w:ascii="Book Antiqua" w:hAnsi="Book Antiqua" w:cs="Arial"/>
          <w:lang w:val="en-US"/>
        </w:rPr>
        <w:instrText>kg, 19.4</w:instrText>
      </w:r>
      <w:r w:rsidR="009F41A0" w:rsidRPr="007F12AB">
        <w:rPr>
          <w:lang w:val="en-US"/>
        </w:rPr>
        <w:instrText> </w:instrText>
      </w:r>
      <w:r w:rsidR="009F41A0" w:rsidRPr="007F12AB">
        <w:rPr>
          <w:rFonts w:ascii="Book Antiqua" w:hAnsi="Book Antiqua" w:cs="Arial"/>
          <w:lang w:val="en-US"/>
        </w:rPr>
        <w:instrText>kg, and 33.0</w:instrText>
      </w:r>
      <w:r w:rsidR="009F41A0" w:rsidRPr="007F12AB">
        <w:rPr>
          <w:lang w:val="en-US"/>
        </w:rPr>
        <w:instrText> </w:instrText>
      </w:r>
      <w:r w:rsidR="009F41A0" w:rsidRPr="007F12AB">
        <w:rPr>
          <w:rFonts w:ascii="Book Antiqua" w:hAnsi="Book Antiqua" w:cs="Arial"/>
          <w:lang w:val="en-US"/>
        </w:rPr>
        <w:instrText>kg, respectively, were observed. The differences observed in mean BMI and waist circumference were 4.9</w:instrText>
      </w:r>
      <w:r w:rsidR="009F41A0" w:rsidRPr="007F12AB">
        <w:rPr>
          <w:lang w:val="en-US"/>
        </w:rPr>
        <w:instrText> </w:instrText>
      </w:r>
      <w:r w:rsidR="009F41A0" w:rsidRPr="007F12AB">
        <w:rPr>
          <w:rFonts w:ascii="Book Antiqua" w:hAnsi="Book Antiqua" w:cs="Arial"/>
          <w:lang w:val="en-US"/>
        </w:rPr>
        <w:instrText>kg/m2 (P</w:instrText>
      </w:r>
      <w:r w:rsidR="009F41A0" w:rsidRPr="007F12AB">
        <w:rPr>
          <w:lang w:val="en-US"/>
        </w:rPr>
        <w:instrText> </w:instrText>
      </w:r>
      <w:r w:rsidR="009F41A0" w:rsidRPr="007F12AB">
        <w:rPr>
          <w:rFonts w:ascii="Book Antiqua" w:hAnsi="Book Antiqua" w:cs="Arial"/>
          <w:lang w:val="en-US"/>
        </w:rPr>
        <w:instrText>=</w:instrText>
      </w:r>
      <w:r w:rsidR="009F41A0" w:rsidRPr="007F12AB">
        <w:rPr>
          <w:lang w:val="en-US"/>
        </w:rPr>
        <w:instrText> </w:instrText>
      </w:r>
      <w:r w:rsidR="009F41A0" w:rsidRPr="007F12AB">
        <w:rPr>
          <w:rFonts w:ascii="Book Antiqua" w:hAnsi="Book Antiqua" w:cs="Arial"/>
          <w:lang w:val="en-US"/>
        </w:rPr>
        <w:instrText>0.0004) and 21.7</w:instrText>
      </w:r>
      <w:r w:rsidR="009F41A0" w:rsidRPr="007F12AB">
        <w:rPr>
          <w:lang w:val="en-US"/>
        </w:rPr>
        <w:instrText> </w:instrText>
      </w:r>
      <w:r w:rsidR="009F41A0" w:rsidRPr="007F12AB">
        <w:rPr>
          <w:rFonts w:ascii="Book Antiqua" w:hAnsi="Book Antiqua" w:cs="Arial"/>
          <w:lang w:val="en-US"/>
        </w:rPr>
        <w:instrText>cm (P</w:instrText>
      </w:r>
      <w:r w:rsidR="009F41A0" w:rsidRPr="007F12AB">
        <w:rPr>
          <w:lang w:val="en-US"/>
        </w:rPr>
        <w:instrText> </w:instrText>
      </w:r>
      <w:r w:rsidR="009F41A0" w:rsidRPr="007F12AB">
        <w:rPr>
          <w:rFonts w:ascii="Book Antiqua" w:hAnsi="Book Antiqua" w:cs="Arial"/>
          <w:lang w:val="en-US"/>
        </w:rPr>
        <w:instrText>=</w:instrText>
      </w:r>
      <w:r w:rsidR="009F41A0" w:rsidRPr="007F12AB">
        <w:rPr>
          <w:lang w:val="en-US"/>
        </w:rPr>
        <w:instrText> </w:instrText>
      </w:r>
      <w:r w:rsidR="009F41A0" w:rsidRPr="007F12AB">
        <w:rPr>
          <w:rFonts w:ascii="Book Antiqua" w:hAnsi="Book Antiqua" w:cs="Arial"/>
          <w:lang w:val="en-US"/>
        </w:rPr>
        <w:instrText>0.003), respectively.  Conclusions: ESG is effective in achieving weight loss with minimal adverse events. This approach may provide a cost-effective outpatient procedure to add to the steadily growing armamentarium available for treatment of this significant epidemic.","author":[{"dropping-particle":"","family":"Sharaiha","given":"Reem Z.","non-dropping-particle":"","parse-names":false,"suffix":""},{"dropping-particle":"","family":"Kedia","given":"Prashant","non-dropping-particle":"","parse-names":false,"suffix":""},{"dropping-particle":"","family":"Kumta","given":"Nikhil","non-dropping-particle":"","parse-names":false,"suffix":""},{"dropping-particle":"","family":"DeFilippis","given":"Ersilia M.","non-dropping-particle":"","parse-names":false,"suffix":""},{"dropping-particle":"","family":"Gaidhane","given":"Monica","non-dropping-particle":"","parse-names":false,"suffix":""},{"dropping-particle":"","family":"Shukla","given":"Alpana","non-dropping-particle":"","parse-names":false,"suffix":""},{"dropping-particle":"","family":"Aronne","given":"Louis J.","non-dropping-particle":"","parse-names":false,"suffix":""},{"dropping-particle":"","family":"Kahaleh","given":"Michel","non-dropping-particle":"","parse-names":false,"suffix":""}],"container-title":"Endoscopy","id":"ITEM-2","issue":"2","issued":{"date-parts":[["2015"]]},"page":"164-166","title":"Initial experience with endoscopic sleeve gastroplasty: technical success and reproducibility in the bariatric population","type":"article-journal","volume":"47"},"uris":["http://www.mendeley.com/documents/?uuid=d7fb8a4a-5e28-4baa-a2c8-b10de05b8f4b"]},{"id":"ITEM-3","itemData":{"DOI":"10.1055/s-0034-1390766","ISSN":"1438-8812","PMID":"25380508","abstract":"BACKGROUND AND STUDY AIMS Emerging endoscopic techniques are minimally invasive and can mimic the anatomic alterations achieved by surgical sleeve gastrectomy. The objective of this study was to evaluate endoscopic sleeve gastroplasty. PATIENTS AND METHODS This was a prospective, single-center study of 20 patients who underwent flexible endoscopic suturing for endoluminal gastric volume reduction. A multidisciplinary team provided postprocedure care. Patient status and weight were recorded at baseline, and at 1, 3, and 6 months after the procedure. RESULTS There were no adverse events and all patients were discharged in less than 24 hours. Baseline mean body mass index was 38.5 kg/m(2), and mean age was 45.8 years. Initial body weight (108.5 ± 14.9 kg) was significantly reduced. Following the procedure, the mean body weight reduction was 8.2 ± 2.5 kg at 1 month (% of initial weight loss 7.6 %; P &lt; 0.05), 13.6 ± 4.8 kg at 3 months (12.4 % weight loss; P &lt; 0.05), and 19.3 ± 8.9 kg at 6 months (17.8 % weight loss; P &lt; 0.05). CONCLUSION Endoscopic sleeve gastroplasty can be effective for the treatment of patients with obesity.","author":[{"dropping-particle":"","family":"Lopez-Nava","given":"Gontrand","non-dropping-particle":"","parse-names":false,"suffix":""},{"dropping-particle":"","family":"Galvão","given":"Manoel P","non-dropping-particle":"","parse-names":false,"suffix":""},{"dropping-particle":"","family":"Bautista-Castaño","given":"Immacula","non-dropping-particle":"da","parse-names":false,"suffix":""},{"dropping-particle":"","family":"Jimenez","given":"Amaya","non-dropping-particle":"","parse-names":false,"suffix":""},{"dropping-particle":"","family":"Grado","given":"Teresa","non-dropping-particle":"De","parse-names":false,"suffix":""},{"dropping-particle":"","family":"Fernandez-Corbelle","given":"Juan Pedro","non-dropping-particle":"","parse-names":false,"suffix":""}],"container-title":"Endoscopy","id":"ITEM-3","issue":"5","issued":{"date-parts":[["2015","5"]]},"page":"449-52","title":"Endoscopic sleeve gastroplasty for the treatment of obesity.","type":"article-journal","volume":"47"},"uris":["http://www.mendeley.com/documents/?uuid=c3a4bdd3-8809-446c-ae20-feefffc05f69"]},{"id":"ITEM-4","itemData":{"DOI":"10.1590/0102-6720201600S10023","ISSN":"2317-6326","PMID":"27683786","abstract":"Background: Less invasive and complex procedures have been developed to treat obesity. The successful use of Endoscopic Sleeve Gastroplasty using OverStitch(r) (Apollo Endosurgery, Austin, Texas, USA) has been reported in the literature. Aim: Present technical details of the procedure and its surgical/ endoscopic preliminary outcome. Method: The device was used to perform plications along the greater curvature of the stomach, creating a tubulization similar to a sleeve gastrectomy. Result: A male patient with a BMI of 35.17 kg/m2 underwent the procedure, with successful achievement of four plications, and preservation of gastric fundus. The procedure was successfully performed in 50 minutes, time without bleeding or other complications. The patient presented mild abdominal pain and good acceptance of liquid diet. Conclusions: The endoscopic gastroplasty procedure was safe, with acceptable technical viability, short in duration and without early complications. Racional: Procedimentos menos invasivos e complexos têm sido desenvolvidos para o tratamento da obesidade. A gastroplastia vertical endoscópica com uso de OverStitch(r) (Apollo Endosurgery, Austin, TX, EUA) já foi relatada com sucesso na literatura. Objetivo: Apresentar detalhes técnicos do procedimento e seu resultado cirúrgico/endoscópico preliminar. Método: O equipamento foi utilizado para realizar plicaturas ao longo da grande curvatura gástrica, objetivando tubulização do estômago semelhante a gastrectomia vertical. Resultado: O método foi aplicado em paciente com IMC 35,17 kg/m2, sendo realizadas quatro plicaturas, preservando o fundo gástrico. O procedimento foi realizado com sucesso em 50 min, sem sangramento ou outras complicações. O paciente evoluiu com dor abdominal leve, e teve boa aceitação de dieta líquida. Conclusão: A realização da gastroplastia endoscópica foi segura, com viabilidade técnica aceitável e reprodutível, com curto tempo de procedimento, sem complicações precoces.","author":[{"dropping-particle":"","family":"Galvão-Neto","given":"Manoel Dos Passos","non-dropping-particle":"","parse-names":false,"suffix":""},{"dropping-particle":"","family":"Grecco","given":"Eduardo","non-dropping-particle":"","parse-names":false,"suffix":""},{"dropping-particle":"de","family":"Souza","given":"Thiago Ferreira","non-dropping-particle":"","parse-names":false,"suffix":""},{"dropping-particle":"de","family":"Quadros","given":"Luiz Gustavo","non-dropping-particle":"","parse-names":false,"suffix":""},{"dropping-particle":"","family":"Silva","given":"Lyz Bezerra","non-dropping-particle":"","parse-names":false,"suffix":""},{"dropping-particle":"","family":"Campos","given":"Josemberg Marins","non-dropping-particle":"","parse-names":false,"suffix":""}],"container-title":"Arquivos brasileiros de cirurgia digestiva : ABCD = Brazilian archives of digestive surgery","id":"ITEM-4","issue":"Suppl 1","issued":{"date-parts":[["0"]]},"page":"95-97","title":"ENDOSCOPIC SLEEVE GASTROPLASTY - MINIMALLY INVASIVE THERAPY FOR PRIMARY OBESITY TREATMENT.","type":"article-journal","volume":"29Suppl 1"},"uris":["http://www.mendeley.com/documents/?uuid=4cc9563d-a15f-4ec1-ba63-a717c9e0016e"]},{"id":"ITEM-5","itemData":{"DOI":"10.1007/s11695-018-3135-x","ISSN":"1708-0428","PMID":"29450845","abstract":"OBJECTIVE Endoscopic sleeve gastroplasty (ESG), an incisionless endoscopic bariatric procedure, has shown impressive results in case series. This study examines the reproducibility, efficacy, and safety in three centers across two countries, and identifies key determinants for procedural success. DESIGN Patients who underwent ESG between February 2016 and May 2017 at one of three centers (Australia and USA) were retrospectively analyzed. All procedures were performed on an outpatient basis using the Apollo OverStitch device (Apollo Endosurgery, Austin, TX). Primary outcomes included absolute weight loss (ΔWeight, kg), change in body mass index (∆BMI, in kg/m2), total body weight loss (TBWL, %), excess weight loss (EWL, in %), and immediate and delayed adverse events. RESULTS In total, 112 consecutive patients (male 31%, age 45.1 ± 11.7 years, baseline BMI 37.9 ± 6.7 kg/m2) underwent ESG. At 1, 3, and 6 months, Δweight was 9.0 ± 4.6 kg (TBWL 8.4 ± 4.1%), 12.9 ± 6.4 kg (TBWL 11.9 ± 4.5%), and 16.4 ± 10.7 kg (TBWL 14.9 ± 6.1%), respectively. The proportion of patients who attained greater than 10% TBWL and 25% EWL was 62.2 and 78.0% at 3 months post-ESG and 81.0 and 86.5% at 6 months post-ESG. Weight loss was similar between the three centers. Multivariable analysis showed that male sex, greater baseline body weight, and lack of prior endoscopic bariatric therapy were predictors of greater Δweight at 6 months. Three (2.7%) severe adverse events were observed. CONCLUSIONS ESG is an effective, reproducible, and safe weight loss therapy that is suitable for widespread clinical adoption.","author":[{"dropping-particle":"","family":"Sartoretto","given":"Adrian","non-dropping-particle":"","parse-names":false,"suffix":""},{"dropping-particle":"","family":"Sui","given":"Zhixian","non-dropping-particle":"","parse-names":false,"suffix":""},{"dropping-particle":"","family":"Hill","given":"Christine","non-dropping-particle":"","parse-names":false,"suffix":""},{"dropping-particle":"","family":"Dunlap","given":"Margo","non-dropping-particle":"","parse-names":false,"suffix":""},{"dropping-particle":"","family":"Rivera","given":"Angielyn R","non-dropping-particle":"","parse-names":false,"suffix":""},{"dropping-particle":"","family":"Khashab","given":"Mouen A","non-dropping-particle":"","parse-names":false,"suffix":""},{"dropping-particle":"","family":"Kalloo","given":"Anthony N","non-dropping-particle":"","parse-names":false,"suffix":""},{"dropping-particle":"","family":"Fayad","given":"Lea","non-dropping-particle":"","parse-names":false,"suffix":""},{"dropping-particle":"","family":"Cheskin","given":"Lawrence J","non-dropping-particle":"","parse-names":false,"suffix":""},{"dropping-particle":"","family":"Marinos","given":"George","non-dropping-particle":"","parse-names":false,"suffix":""},{"dropping-particle":"","family":"Wilson","given":"Erik","non-dropping-particle":"","parse-names":false,"suffix":""},{"dropping-particle":"","family":"Kumbhari","given":"Vivek","non-dropping-particle":"","parse-names":false,"suffix":""}],"container-title":"Obesity surgery","id":"ITEM-5","issue":"7","issued":{"date-parts":[["2018","7"]]},"page":"1812-1821","title":"Endoscopic Sleeve Gastroplasty (ESG) Is a Reproducible and Effective Endoscopic Bariatric Therapy Suitable for Widespread Clinical Adoption: a Large, International Multicenter Study.","type":"article-journal","volume":"28"},"uris":["http://www.mendeley.com/documents/?uuid=0acedd1d-344d-4c92-911a-a27208b4f13e"]}],"mendeley":{"formattedCitation":"&lt;sup&gt;[27,34–36,43]&lt;/sup&gt;","plainTextFormattedCitation":"[27,34–36,43]","previouslyFormattedCitation":"&lt;sup&gt;[27,34–36,43]&lt;/sup&gt;"},"properties":{"noteIndex":0},"schema":"https://github.com/citation-style-language/schema/raw/master/csl-citation.json"}</w:instrText>
      </w:r>
      <w:r w:rsidR="0004382D" w:rsidRPr="007F12AB">
        <w:rPr>
          <w:rFonts w:ascii="Book Antiqua" w:hAnsi="Book Antiqua" w:cs="Arial"/>
          <w:lang w:val="en-US"/>
        </w:rPr>
        <w:fldChar w:fldCharType="separate"/>
      </w:r>
      <w:r w:rsidR="0004382D" w:rsidRPr="007F12AB">
        <w:rPr>
          <w:rFonts w:ascii="Book Antiqua" w:hAnsi="Book Antiqua" w:cs="Arial"/>
          <w:noProof/>
          <w:vertAlign w:val="superscript"/>
          <w:lang w:val="en-US"/>
        </w:rPr>
        <w:t>[27,34</w:t>
      </w:r>
      <w:r w:rsidR="00691A1F" w:rsidRPr="007F12AB">
        <w:rPr>
          <w:rFonts w:ascii="Book Antiqua" w:hAnsi="Book Antiqua" w:cs="Arial"/>
          <w:noProof/>
          <w:vertAlign w:val="superscript"/>
          <w:lang w:val="en-US"/>
        </w:rPr>
        <w:t>-</w:t>
      </w:r>
      <w:r w:rsidR="0004382D" w:rsidRPr="007F12AB">
        <w:rPr>
          <w:rFonts w:ascii="Book Antiqua" w:hAnsi="Book Antiqua" w:cs="Arial"/>
          <w:noProof/>
          <w:vertAlign w:val="superscript"/>
          <w:lang w:val="en-US"/>
        </w:rPr>
        <w:t>36,43]</w:t>
      </w:r>
      <w:r w:rsidR="0004382D" w:rsidRPr="007F12AB">
        <w:rPr>
          <w:rFonts w:ascii="Book Antiqua" w:hAnsi="Book Antiqua" w:cs="Arial"/>
          <w:lang w:val="en-US"/>
        </w:rPr>
        <w:fldChar w:fldCharType="end"/>
      </w:r>
      <w:r w:rsidRPr="007F12AB">
        <w:rPr>
          <w:rFonts w:ascii="Book Antiqua" w:hAnsi="Book Antiqua" w:cs="Arial"/>
          <w:lang w:val="en-US"/>
        </w:rPr>
        <w:t>. A recent review</w:t>
      </w:r>
      <w:r w:rsidR="009F41A0" w:rsidRPr="007F12AB">
        <w:rPr>
          <w:rFonts w:ascii="Book Antiqua" w:hAnsi="Book Antiqua" w:cs="Arial"/>
          <w:lang w:val="en-US"/>
        </w:rPr>
        <w:fldChar w:fldCharType="begin" w:fldLock="1"/>
      </w:r>
      <w:r w:rsidR="0061250B" w:rsidRPr="007F12AB">
        <w:rPr>
          <w:rFonts w:ascii="Book Antiqua" w:hAnsi="Book Antiqua" w:cs="Arial"/>
          <w:lang w:val="en-US"/>
        </w:rPr>
        <w:instrText>ADDIN CSL_CITATION {"citationItems":[{"id":"ITEM-1","itemData":{"DOI":"10.5946/ce.2017.032","ISSN":"2234-2400","PMID":"28607328","abstract":"Obesity is a growing pandemic across the world. Dietary restrictions and behavior modifications alone have a limited benefit. Bariatric surgery, despite being the current gold standard, has limited acceptance by patients due to cost and associated morbidity. In our review, we have discussed nine original studies describing endoscopic sleeve gastroplasty (ESG). A total of 172 subjects successfully underwent ESG. Of 65 subjects with follow up data, 95.4% (62/65) had intact gastric sleeve confirmed via esophagogastroduodenoscopy or oral contrast study at the end of study specific follow up interval (the longest being 6 months). Individual studies reported a technical success rate for intact gastric sleeve from as low as 50% to as high as 100%. A statistically significant p&lt;0.05) weight loss was reported in seven of the eight studies with available data. None of the patients experienced any intra-procedure complications, and approximately 2.3% (4/172) of patients experienced major post-procedure complications; however, no mortality was reported. Majority of the studies reported relatively high incidence of minor post-procedure complications, which improved with symptomatic treatment alone. Good patient tolerance with comparable clinical efficacy in achieving and sustaining desired weight loss makes ESG an attractive option to consider among other bariatric therapies.","author":[{"dropping-particle":"","family":"Jain","given":"Deepanshu","non-dropping-particle":"","parse-names":false,"suffix":""},{"dropping-particle":"","family":"Bhandari","given":"Bharat Singh","non-dropping-particle":"","parse-names":false,"suffix":""},{"dropping-particle":"","family":"Arora","given":"Ankit","non-dropping-particle":"","parse-names":false,"suffix":""},{"dropping-particle":"","family":"Singhal","given":"Shashideep","non-dropping-particle":"","parse-names":false,"suffix":""}],"container-title":"Clinical endoscopy","id":"ITEM-1","issue":"6","issued":{"date-parts":[["2017","11"]]},"page":"552-561","title":"Endoscopic Sleeve Gastroplasty - A New Tool to Manage Obesity.","type":"article-journal","volume":"50"},"uris":["http://www.mendeley.com/documents/?uuid=9c47f2bb-dd27-405d-9f78-3d8a75d1de6a"]}],"mendeley":{"formattedCitation":"&lt;sup&gt;[42]&lt;/sup&gt;","plainTextFormattedCitation":"[42]","previouslyFormattedCitation":"&lt;sup&gt;[42]&lt;/sup&gt;"},"properties":{"noteIndex":0},"schema":"https://github.com/citation-style-language/schema/raw/master/csl-citation.json"}</w:instrText>
      </w:r>
      <w:r w:rsidR="009F41A0" w:rsidRPr="007F12AB">
        <w:rPr>
          <w:rFonts w:ascii="Book Antiqua" w:hAnsi="Book Antiqua" w:cs="Arial"/>
          <w:lang w:val="en-US"/>
        </w:rPr>
        <w:fldChar w:fldCharType="separate"/>
      </w:r>
      <w:r w:rsidR="009F41A0" w:rsidRPr="007F12AB">
        <w:rPr>
          <w:rFonts w:ascii="Book Antiqua" w:hAnsi="Book Antiqua" w:cs="Arial"/>
          <w:noProof/>
          <w:vertAlign w:val="superscript"/>
          <w:lang w:val="en-US"/>
        </w:rPr>
        <w:t>[42]</w:t>
      </w:r>
      <w:r w:rsidR="009F41A0" w:rsidRPr="007F12AB">
        <w:rPr>
          <w:rFonts w:ascii="Book Antiqua" w:hAnsi="Book Antiqua" w:cs="Arial"/>
          <w:lang w:val="en-US"/>
        </w:rPr>
        <w:fldChar w:fldCharType="end"/>
      </w:r>
      <w:r w:rsidRPr="007F12AB">
        <w:rPr>
          <w:rFonts w:ascii="Book Antiqua" w:hAnsi="Book Antiqua" w:cs="Arial"/>
          <w:lang w:val="en-US"/>
        </w:rPr>
        <w:t xml:space="preserve">, including 9 ESG studies reported a 2.3% SAE rate, including gastric leaks, </w:t>
      </w:r>
      <w:proofErr w:type="spellStart"/>
      <w:r w:rsidRPr="007F12AB">
        <w:rPr>
          <w:rFonts w:ascii="Book Antiqua" w:hAnsi="Book Antiqua" w:cs="Arial"/>
          <w:lang w:val="en-US"/>
        </w:rPr>
        <w:t>perigastric</w:t>
      </w:r>
      <w:proofErr w:type="spellEnd"/>
      <w:r w:rsidRPr="007F12AB">
        <w:rPr>
          <w:rFonts w:ascii="Book Antiqua" w:hAnsi="Book Antiqua" w:cs="Arial"/>
          <w:lang w:val="en-US"/>
        </w:rPr>
        <w:t xml:space="preserve"> fluid collections, pulmonary embolism and pneumoperitoneum with pneumothorax. In the literature there are 7 reports of gastric leaks/</w:t>
      </w:r>
      <w:proofErr w:type="spellStart"/>
      <w:r w:rsidRPr="007F12AB">
        <w:rPr>
          <w:rFonts w:ascii="Book Antiqua" w:hAnsi="Book Antiqua" w:cs="Arial"/>
          <w:lang w:val="en-US"/>
        </w:rPr>
        <w:t>perigastric</w:t>
      </w:r>
      <w:proofErr w:type="spellEnd"/>
      <w:r w:rsidRPr="007F12AB">
        <w:rPr>
          <w:rFonts w:ascii="Book Antiqua" w:hAnsi="Book Antiqua" w:cs="Arial"/>
          <w:lang w:val="en-US"/>
        </w:rPr>
        <w:t xml:space="preserve"> fluid collections and all of these cases were treated without surgical intervention</w:t>
      </w:r>
      <w:r w:rsidR="0061250B" w:rsidRPr="007F12AB">
        <w:rPr>
          <w:rFonts w:ascii="Book Antiqua" w:hAnsi="Book Antiqua" w:cs="Arial"/>
          <w:lang w:val="en-US"/>
        </w:rPr>
        <w:fldChar w:fldCharType="begin" w:fldLock="1"/>
      </w:r>
      <w:r w:rsidR="002E662A" w:rsidRPr="007F12AB">
        <w:rPr>
          <w:rFonts w:ascii="Book Antiqua" w:hAnsi="Book Antiqua" w:cs="Arial"/>
          <w:lang w:val="en-US"/>
        </w:rPr>
        <w:instrText>ADDIN CSL_CITATION {"citationItems":[{"id":"ITEM-1","itemData":{"DOI":"10.1007/s11695-017-2693-7","ISSN":"1708-0428","PMID":"28451929","abstract":"BACKGROUND Endoscopic sleeve gastroplasty (ESG) is a technique for managing mild to moderately obese patients. We aimed to evaluate the long-term outcomes, reproducibility, and predictors of weight response in a large multicenter cohort. METHODS Patients who underwent ESG between January 2013 and December 2015 in three centers were retrospectively analyzed. All procedures were performed using the Apollo OverStitch device (Apollo Endosurgery, Austin, TX). We performed per protocol (PP) and intention-to-treat (ITT) analyses, where patients lost to follow-up were considered failures. Multivariable linear and logistic regression analyses were performed. RESULTS We included 248 patients (mean age 44.5 ± 10 years, 73% female). Baseline BMI was 37.8 ± 5.6 kg/m2. At 6 and 24 months, 33 and 35 patients were lost to follow-up, respectively. At 6 and 24 months, %TBWL was 15.2 [95%CI 14.2-16.3] and 18.6 [15.7-21.5], respectively. Weight loss was similar between centers at both follow-up intervals. At 24 months, % of patients achieving ≥10% TBWL was 84.2 and 53% with PP and ITT analyses, respectively. On multivariable linear regression analysis, only %TBWL at 6 months strongly predicted %TBWL at 24 months (adjusted for age, gender, and baseline BMI, β = 1.21, p &lt; 0.001). The odds of achieving ≥10%TBWL at 24 months if a patient achieved &lt;10%TBWL at 6 months is 0.18 [0.034-0.84]. Five (2%) serious adverse events occurred. CONCLUSIONS ESG effectively induces weight loss up to 24 months in moderately obese patients. Failure to achieve adequate weight loss can be predicted early, and patients should be offered adjunctive therapies to augment it.","author":[{"dropping-particle":"","family":"Lopez-Nava","given":"Gontrand","non-dropping-particle":"","parse-names":false,"suffix":""},{"dropping-particle":"","family":"Sharaiha","given":"Reem Z","non-dropping-particle":"","parse-names":false,"suffix":""},{"dropping-particle":"","family":"Vargas","given":"Eric J","non-dropping-particle":"","parse-names":false,"suffix":""},{"dropping-particle":"","family":"Bazerbachi","given":"Fateh","non-dropping-particle":"","parse-names":false,"suffix":""},{"dropping-particle":"","family":"Manoel","given":"Galvao Neto","non-dropping-particle":"","parse-names":false,"suffix":""},{"dropping-particle":"","family":"Bautista-Castaño","given":"Inmaculada","non-dropping-particle":"","parse-names":false,"suffix":""},{"dropping-particle":"","family":"Acosta","given":"Andres","non-dropping-particle":"","parse-names":false,"suffix":""},{"dropping-particle":"","family":"Topazian","given":"Mark D","non-dropping-particle":"","parse-names":false,"suffix":""},{"dropping-particle":"","family":"Mundi","given":"Manpreet S","non-dropping-particle":"","parse-names":false,"suffix":""},{"dropping-particle":"","family":"Kumta","given":"Nikhil","non-dropping-particle":"","parse-names":false,"suffix":""},{"dropping-particle":"","family":"Kahaleh","given":"Michel","non-dropping-particle":"","parse-names":false,"suffix":""},{"dropping-particle":"","family":"Herr","given":"Andrea Marie","non-dropping-particle":"","parse-names":false,"suffix":""},{"dropping-particle":"","family":"Shukla","given":"Alpana","non-dropping-particle":"","parse-names":false,"suffix":""},{"dropping-particle":"","family":"Aronne","given":"Louis","non-dropping-particle":"","parse-names":false,"suffix":""},{"dropping-particle":"","family":"Gostout","given":"Christopher J","non-dropping-particle":"","parse-names":false,"suffix":""},{"dropping-particle":"","family":"Abu Dayyeh","given":"Barham K","non-dropping-particle":"","parse-names":false,"suffix":""}],"container-title":"Obesity surgery","id":"ITEM-1","issue":"10","issued":{"date-parts":[["2017"]]},"page":"2649-2655","title":"Endoscopic Sleeve Gastroplasty for Obesity: a Multicenter Study of 248 Patients with 24 Months Follow-Up.","type":"article-journal","volume":"27"},"uris":["http://www.mendeley.com/documents/?uuid=937982e5-8486-442c-af17-d4edb8b2a2b3"]},{"id":"ITEM-2","itemData":{"DOI":"10.1016/j.cgh.2016.12.012","ISSN":"1542-7714","PMID":"28017845","abstract":"BACKGROUND &amp; AIMS Endoscopic sleeve gastroplasty (ESG) is an incisionless, minimally invasive bariatric procedure that reduces the length and width of the gastric cavity to facilitate weight loss. We performed a prospective study to evaluate the effects of ESG on total body weight loss and obesity-related comorbidities. METHODS We collected data from 91 consecutive patients (mean age, 43.86 ± 11.26 years; 68% female) undergoing ESG from August 2013 through March 2016. All patients had a body mass index (BMI) greater than 30 kg/m2 and had failed noninvasive weight-loss measures or had a BMI greater than 40 kg/m2 and were not considered as surgical candidates or refused surgery. All procedures were performed with a cap-based flexible endoscopic suturing system to facilitate a triangular pattern of sutures to imbricate the greater curvature of the stomach. Patients were evaluated after 6 months (n = 73), 12 months (n = 53), and 24 months (n = 12) for anthropometric features (BMI, weight, waist circumference, blood pressure) and underwent serologic (hemoglobin A1c), lipid panel, serum triglycerides, and liver function tests. The primary outcomes were total body weight loss at 6, 12, and 24 months. Secondary outcomes were the effects of ESG on metabolic factors (blood pressure, diabetes, hyperlipidemia, steatohepatitis) and safety. RESULTS The patients' mean BMI before the procedure was 40.7 ± 7.0 kg/m2. Patients had lost 14.4% of their total body weight at 6 months (80% follow-up rate), 17.6% at 12 months (76% follow-up rate), and 20.9% at 24 months (66% follow-up rate) after ESG. At 12 months after ESG, patients had statistically significant reductions in levels of hemoglobin A1c (P = .01), systolic blood pressure (P = .02), waist circumference (P &lt; .001), alanine aminotransferase (P &lt; .001), and serum triglycerides (P = .02). However, there was no significant change in low-density lipoprotein after vs before ESG (P = .79). There was one serious adverse event (1.1%) (perigastric leak) that occurred that was managed non-operatively. CONCLUSIONS ESG is a minimally invasive and effective endoscopic weight loss intervention. In addition to sustained total body weight loss up to 24 months, ESG reduced markers of hypertension, diabetes, and hypertriglyceridemia.","author":[{"dropping-particle":"","family":"Sharaiha","given":"Reem Z","non-dropping-particle":"","parse-names":false,"suffix":""},{"dropping-particle":"","family":"Kumta","given":"Nikhil A","non-dropping-particle":"","parse-names":false,"suffix":""},{"dropping-particle":"","family":"Saumoy","given":"Monica","non-dropping-particle":"","parse-names":false,"suffix":""},{"dropping-particle":"","family":"Desai","given":"Amit P","non-dropping-particle":"","parse-names":false,"suffix":""},{"dropping-particle":"","family":"Sarkisian","given":"Alex M","non-dropping-particle":"","parse-names":false,"suffix":""},{"dropping-particle":"","family":"Benevenuto","given":"Andrea","non-dropping-particle":"","parse-names":false,"suffix":""},{"dropping-particle":"","family":"Tyberg","given":"Amy","non-dropping-particle":"","parse-names":false,"suffix":""},{"dropping-particle":"","family":"Kumar","given":"Rekha","non-dropping-particle":"","parse-names":false,"suffix":""},{"dropping-particle":"","family":"Igel","given":"Leon","non-dropping-particle":"","parse-names":false,"suffix":""},{"dropping-particle":"","family":"Verna","given":"Elizabeth C","non-dropping-particle":"","parse-names":false,"suffix":""},{"dropping-particle":"","family":"Schwartz","given":"Robert","non-dropping-particle":"","parse-names":false,"suffix":""},{"dropping-particle":"","family":"Frissora","given":"Christina","non-dropping-particle":"","parse-names":false,"suffix":""},{"dropping-particle":"","family":"Shukla","given":"Alpana","non-dropping-particle":"","parse-names":false,"suffix":""},{"dropping-particle":"","family":"Aronne","given":"Louis J","non-dropping-particle":"","parse-names":false,"suffix":""},{"dropping-particle":"","family":"Kahaleh","given":"Michel","non-dropping-particle":"","parse-names":false,"suffix":""}],"container-title":"Clinical gastroenterology and hepatology : the official clinical practice journal of the American Gastroenterological Association","id":"ITEM-2","issue":"4","issued":{"date-parts":[["2017","4"]]},"page":"504-510","title":"Endoscopic Sleeve Gastroplasty Significantly Reduces Body Mass Index and Metabolic Complications in Obese Patients.","type":"article-journal","volume":"15"},"uris":["http://www.mendeley.com/documents/?uuid=650f197d-82f4-4861-a411-351c3c667bbf"]},{"id":"ITEM-3","itemData":{"DOI":"10.1016/j.gie.2018.12.012","ISSN":"00165107","author":[{"dropping-particle":"","family":"Alqahtani","given":"Aayed","non-dropping-particle":"","parse-names":false,"suffix":""},{"dropping-particle":"","family":"Al-Darwish","given":"Abdullah","non-dropping-particle":"","parse-names":false,"suffix":""},{"dropping-particle":"","family":"Mahmoud","given":"Ahmed Elsayed","non-dropping-particle":"","parse-names":false,"suffix":""},{"dropping-particle":"","family":"Alqahtani","given":"Yara A.","non-dropping-particle":"","parse-names":false,"suffix":""},{"dropping-particle":"","family":"Elahmedi","given":"Mohamed","non-dropping-particle":"","parse-names":false,"suffix":""}],"container-title":"Gastrointestinal Endoscopy","id":"ITEM-3","issued":{"date-parts":[["2018","12"]]},"title":"Short-term outcomes of endoscopic sleeve gastroplasty in 1000 consecutive patients","type":"article-journal"},"uris":["http://www.mendeley.com/documents/?uuid=d3fde783-c7b5-4ada-8fdc-9d05432797a7"]},{"id":"ITEM-4","itemData":{"DOI":"10.1055/s-0042-117844","ISSN":"1438-8812","PMID":"27741534","author":[{"dropping-particle":"","family":"Barola","given":"Sindhu","non-dropping-particle":"","parse-names":false,"suffix":""},{"dropping-particle":"","family":"Agnihotri","given":"Abhishek","non-dropping-particle":"","parse-names":false,"suffix":""},{"dropping-particle":"","family":"Khashab","given":"Mouen A","non-dropping-particle":"","parse-names":false,"suffix":""},{"dropping-particle":"","family":"Kumbhari","given":"Vivek","non-dropping-particle":"","parse-names":false,"suffix":""}],"container-title":"Endoscopy","id":"ITEM-4","issue":"S 01","issued":{"date-parts":[["0"]]},"page":"E340-E341","title":"Perigastric fluid collection after endoscopic sleeve gastroplasty.","type":"article-journal","volume":"48"},"uris":["http://www.mendeley.com/documents/?uuid=b31024af-6a45-47a4-ae88-94e130482188"]}],"mendeley":{"formattedCitation":"&lt;sup&gt;[33,38,39,46]&lt;/sup&gt;","plainTextFormattedCitation":"[33,38,39,46]","previouslyFormattedCitation":"&lt;sup&gt;[33,38,39,46]&lt;/sup&gt;"},"properties":{"noteIndex":0},"schema":"https://github.com/citation-style-language/schema/raw/master/csl-citation.json"}</w:instrText>
      </w:r>
      <w:r w:rsidR="0061250B" w:rsidRPr="007F12AB">
        <w:rPr>
          <w:rFonts w:ascii="Book Antiqua" w:hAnsi="Book Antiqua" w:cs="Arial"/>
          <w:lang w:val="en-US"/>
        </w:rPr>
        <w:fldChar w:fldCharType="separate"/>
      </w:r>
      <w:r w:rsidR="0061250B" w:rsidRPr="007F12AB">
        <w:rPr>
          <w:rFonts w:ascii="Book Antiqua" w:hAnsi="Book Antiqua" w:cs="Arial"/>
          <w:noProof/>
          <w:vertAlign w:val="superscript"/>
          <w:lang w:val="en-US"/>
        </w:rPr>
        <w:t>[33,38,39,46]</w:t>
      </w:r>
      <w:r w:rsidR="0061250B" w:rsidRPr="007F12AB">
        <w:rPr>
          <w:rFonts w:ascii="Book Antiqua" w:hAnsi="Book Antiqua" w:cs="Arial"/>
          <w:lang w:val="en-US"/>
        </w:rPr>
        <w:fldChar w:fldCharType="end"/>
      </w:r>
      <w:r w:rsidRPr="007F12AB">
        <w:rPr>
          <w:rFonts w:ascii="Book Antiqua" w:hAnsi="Book Antiqua" w:cs="Arial"/>
          <w:lang w:val="en-US"/>
        </w:rPr>
        <w:t xml:space="preserve">. In general, ESG is associated with a lower rate of SAE, and no mortality, compared to surgical bariatric </w:t>
      </w:r>
      <w:r w:rsidRPr="007F12AB">
        <w:rPr>
          <w:rFonts w:ascii="Book Antiqua" w:hAnsi="Book Antiqua" w:cs="Arial"/>
          <w:lang w:val="en-US"/>
        </w:rPr>
        <w:lastRenderedPageBreak/>
        <w:t>procedures which has up to a 20% SAE rate with 0.04% mortality rate</w:t>
      </w:r>
      <w:r w:rsidR="002E662A" w:rsidRPr="007F12AB">
        <w:rPr>
          <w:rFonts w:ascii="Book Antiqua" w:hAnsi="Book Antiqua" w:cs="Arial"/>
          <w:lang w:val="en-US"/>
        </w:rPr>
        <w:fldChar w:fldCharType="begin" w:fldLock="1"/>
      </w:r>
      <w:r w:rsidR="00552061" w:rsidRPr="007F12AB">
        <w:rPr>
          <w:rFonts w:ascii="Book Antiqua" w:hAnsi="Book Antiqua" w:cs="Arial"/>
          <w:lang w:val="en-US"/>
        </w:rPr>
        <w:instrText>ADDIN CSL_CITATION {"citationItems":[{"id":"ITEM-1","itemData":{"DOI":"10.1016/j.gie.2018.11.034","ISSN":"00165107","author":[{"dropping-particle":"","family":"Baptista","given":"Alberto","non-dropping-particle":"","parse-names":false,"suffix":""},{"dropping-particle":"","family":"Moura","given":"Diogo Turiani Hourneaux","non-dropping-particle":"De","parse-names":false,"suffix":""},{"dropping-particle":"","family":"Jirapinyo","given":"Pichamol","non-dropping-particle":"","parse-names":false,"suffix":""},{"dropping-particle":"","family":"Moura","given":"Eduardo Guimarães Hourneaux","non-dropping-particle":"De","parse-names":false,"suffix":""},{"dropping-particle":"","family":"Gelrud","given":"Andres","non-dropping-particle":"","parse-names":false,"suffix":""},{"dropping-particle":"","family":"Kahaleh","given":"Michel","non-dropping-particle":"","parse-names":false,"suffix":""},{"dropping-particle":"","family":"Salinas","given":"Alberto","non-dropping-particle":"","parse-names":false,"suffix":""},{"dropping-particle":"","family":"Sabagh","given":"Luis Carlos","non-dropping-particle":"","parse-names":false,"suffix":""},{"dropping-particle":"","family":"Jaramillo","given":"Andrés O.","non-dropping-particle":"","parse-names":false,"suffix":""},{"dropping-particle":"","family":"Rincones","given":"Víctor Zambrano","non-dropping-particle":"","parse-names":false,"suffix":""},{"dropping-particle":"","family":"Doval","given":"Raul","non-dropping-particle":"","parse-names":false,"suffix":""},{"dropping-particle":"","family":"Bandel","given":"Jack William","non-dropping-particle":"","parse-names":false,"suffix":""},{"dropping-particle":"","family":"Thompson","given":"Christopher C.","non-dropping-particle":"","parse-names":false,"suffix":""}],"container-title":"Gastrointestinal Endoscopy","id":"ITEM-1","issued":{"date-parts":[["2018","12"]]},"title":"Efficacy of the cardiac septal occluder in the treatment of post-bariatric surgery leaks and fistulas","type":"article-journal"},"uris":["http://www.mendeley.com/documents/?uuid=27b24536-608e-40d5-81e7-7e6f0cd794e9"]},{"id":"ITEM-2","itemData":{"DOI":"10.1016/j.soard.2013.05.007","ISSN":"1878-7533","PMID":"23993246","abstract":"BACKGROUND The evidence regarding the effectiveness and safety of laparoscopic sleeve gastrectomy (LSG) has been mostly based on the data derived from nonrandomized studies. The objective of this study was to evaluate the outcomes of LSG and to present an up-to-date review of the available evidence based on the recent publications of new randomized, controlled trials (RCTs). METHODS PubMed, Embase, and Cochrane Central Register of Controlled Trials were searched until November 2012 for RCTs on LSG. RESULTS Fifteen RCTs, comprising a total of 1191 patients, of whom 795 had undergone LSG, were included. No patient required conversion to open surgery for LSG, laparoscopic gastric bypass (LGB), or laparoscopic adjustable gastric banding (LAGB) procedures. There were no deaths, and the complication rate was 12.1% (range 10%-13.2%) in the LSG group versus 20.9% (range 10%-26.4%) in the LGB group, and 0% in the LAGB group (only 1 RCT). The complications included leakage, bleeding, stricture, and reoperation that occurred with rates of .9%, 3.3%, 0%, and 2.1%, respectively, in the LSG group and rates of 0%, 5%, 0%, and 4%, respectively, in the LGB group. The average operating time in the LSG group was 106.5 minutes versus 132.3 minutes in the LGB group. The percentage of excess weight loss (%EWL) ranged from 49% to 81% in the LSG group, from 62.1% to 94.4% in the LGB group, and from 28.7% to 48% in the LAGB group, with a follow-up ranging from 6 months to 3 years. The type 2 diabetes mellitus (T2DM) remission rate ranged from 26.5% to 75% in the LSG group and from 42% to 93% in the LGB group. CONCLUSIONS LSG is a well-tolerated, feasible procedure with a relatively short operating time. Its effectiveness in terms of weight loss is confirmed for short-term follow-up (≤ 3 years). The role of LSG in the treatment of T2DM requires further investigation.","author":[{"dropping-particle":"","family":"Trastulli","given":"Stefano","non-dropping-particle":"","parse-names":false,"suffix":""},{"dropping-particle":"","family":"Desiderio","given":"Jacopo","non-dropping-particle":"","parse-names":false,"suffix":""},{"dropping-particle":"","family":"Guarino","given":"Salvatore","non-dropping-particle":"","parse-names":false,"suffix":""},{"dropping-particle":"","family":"Cirocchi","given":"Roberto","non-dropping-particle":"","parse-names":false,"suffix":""},{"dropping-particle":"","family":"Scalercio","given":"Vittorio","non-dropping-particle":"","parse-names":false,"suffix":""},{"dropping-particle":"","family":"Noya","given":"Giuseppe","non-dropping-particle":"","parse-names":false,"suffix":""},{"dropping-particle":"","family":"Parisi","given":"Amilcare","non-dropping-particle":"","parse-names":false,"suffix":""}],"container-title":"Surgery for obesity and related diseases : official journal of the American Society for Bariatric Surgery","id":"ITEM-2","issue":"5","issued":{"date-parts":[["0"]]},"page":"816-29","title":"Laparoscopic sleeve gastrectomy compared with other bariatric surgical procedures: a systematic review of randomized trials.","type":"article-journal","volume":"9"},"uris":["http://www.mendeley.com/documents/?uuid=fb94b619-7f26-4f70-9f6f-ac9d0d6fa158"]},{"id":"ITEM-3","itemData":{"DOI":"10.1007/s11695-018-3212-1","ISSN":"1708-0428","PMID":"29627947","abstract":"BACKGROUND Although bariatric surgery (BS) is considered safe, concern remains regarding severe post-operative adverse events and mortality. Using a national BS registry, the aim of this study was to assess the incidence, etiologies, and risk factors for mortality following BS. METHODS Prospective data from the National Registry of Bariatric Surgery in Israel (NRBS) including age, gender, BMI, comorbidities, and surgical procedure information were collected for all patients who underwent BS in Israel between June 2013 and June 2016. The primary study outcome was the 3.5-year post-BS mortality rate, obtained by cross-referencing with the Israel population registry. RESULTS Of the 28,755 patients analyzed (67.3% females, mean age 42.0 ± 12.5 years, and preoperative BMI 42.14 ± 5.21 kg/m2), 76% underwent sleeve gastrectomy (SG), 99.1% of the surgeries were performed laparoscopically, and 50.8% of the surgeries were performed in private medical centers. Overall, 95 deaths occurred during the study period (146.9/100,000 person years). The 30-day rate of post-operative mortality was 0.04% (n = 12). Male gender (HR = 1.94, 95%CI 1.16-3.25), age (HR = 1.06, 95%CI 1.04-1.09), BMI (HR = 1.08, 95%CI 1.05-1.11), and depression (HR = 2.38, 95%CI 1.25-4.52) were independently associated with an increased risk of all-cause 3.5-year mortality, while married status (HR = 0.43, 95%CI 0.26-0.71) was associated with a decreased risk. CONCLUSION Mortality after BS is low. Nevertheless, a variety of risk factors including male gender, advanced age, unmarried status, higher BMI, and preoperative depressive disorder were associated with higher mortality rates. Special attention should be given to these \"at-risk\" BS patients.","author":[{"dropping-particle":"","family":"Sakran","given":"Nasser","non-dropping-particle":"","parse-names":false,"suffix":""},{"dropping-particle":"","family":"Sherf-Dagan","given":"Shiri","non-dropping-particle":"","parse-names":false,"suffix":""},{"dropping-particle":"","family":"Blumenfeld","given":"Orit","non-dropping-particle":"","parse-names":false,"suffix":""},{"dropping-particle":"","family":"Romano-Zelekha","given":"Orly","non-dropping-particle":"","parse-names":false,"suffix":""},{"dropping-particle":"","family":"Raziel","given":"Asnat","non-dropping-particle":"","parse-names":false,"suffix":""},{"dropping-particle":"","family":"Keren","given":"Dean","non-dropping-particle":"","parse-names":false,"suffix":""},{"dropping-particle":"","family":"Raz","given":"Itamar","non-dropping-particle":"","parse-names":false,"suffix":""},{"dropping-particle":"","family":"Hershko","given":"Dan","non-dropping-particle":"","parse-names":false,"suffix":""},{"dropping-particle":"","family":"Gralnek","given":"Ian M","non-dropping-particle":"","parse-names":false,"suffix":""},{"dropping-particle":"","family":"Shohat","given":"Tamy","non-dropping-particle":"","parse-names":false,"suffix":""},{"dropping-particle":"","family":"Goitein","given":"David","non-dropping-particle":"","parse-names":false,"suffix":""}],"container-title":"Obesity surgery","id":"ITEM-3","issue":"9","issued":{"date-parts":[["2018","9"]]},"page":"2661-2669","title":"Incidence and Risk Factors for Mortality Following Bariatric Surgery: a Nationwide Registry Study.","type":"article-journal","volume":"28"},"uris":["http://www.mendeley.com/documents/?uuid=32337a88-0799-4a2b-a285-b2ad6c84211b"]}],"mendeley":{"formattedCitation":"&lt;sup&gt;[9,47,48]&lt;/sup&gt;","plainTextFormattedCitation":"[9,47,48]","previouslyFormattedCitation":"&lt;sup&gt;[9,47,48]&lt;/sup&gt;"},"properties":{"noteIndex":0},"schema":"https://github.com/citation-style-language/schema/raw/master/csl-citation.json"}</w:instrText>
      </w:r>
      <w:r w:rsidR="002E662A" w:rsidRPr="007F12AB">
        <w:rPr>
          <w:rFonts w:ascii="Book Antiqua" w:hAnsi="Book Antiqua" w:cs="Arial"/>
          <w:lang w:val="en-US"/>
        </w:rPr>
        <w:fldChar w:fldCharType="separate"/>
      </w:r>
      <w:r w:rsidR="002E662A" w:rsidRPr="007F12AB">
        <w:rPr>
          <w:rFonts w:ascii="Book Antiqua" w:hAnsi="Book Antiqua" w:cs="Arial"/>
          <w:noProof/>
          <w:vertAlign w:val="superscript"/>
          <w:lang w:val="en-US"/>
        </w:rPr>
        <w:t>[9,47,48]</w:t>
      </w:r>
      <w:r w:rsidR="002E662A" w:rsidRPr="007F12AB">
        <w:rPr>
          <w:rFonts w:ascii="Book Antiqua" w:hAnsi="Book Antiqua" w:cs="Arial"/>
          <w:lang w:val="en-US"/>
        </w:rPr>
        <w:fldChar w:fldCharType="end"/>
      </w:r>
      <w:r w:rsidR="00545767" w:rsidRPr="007F12AB">
        <w:rPr>
          <w:rFonts w:ascii="Book Antiqua" w:hAnsi="Book Antiqua" w:cs="Arial"/>
          <w:lang w:val="en-US"/>
        </w:rPr>
        <w:t xml:space="preserve"> </w:t>
      </w:r>
      <w:r w:rsidRPr="007F12AB">
        <w:rPr>
          <w:rFonts w:ascii="Book Antiqua" w:hAnsi="Book Antiqua" w:cs="Arial"/>
          <w:lang w:val="en-US"/>
        </w:rPr>
        <w:t>Additionally, the SAE rate of less than 5% achieves the threshold set by ASGE/ASMBS position paper</w:t>
      </w:r>
      <w:r w:rsidR="00552061" w:rsidRPr="007F12AB">
        <w:rPr>
          <w:rFonts w:ascii="Book Antiqua" w:hAnsi="Book Antiqua" w:cs="Arial"/>
          <w:lang w:val="en-US"/>
        </w:rPr>
        <w:fldChar w:fldCharType="begin" w:fldLock="1"/>
      </w:r>
      <w:r w:rsidR="00080FCF" w:rsidRPr="007F12AB">
        <w:rPr>
          <w:rFonts w:ascii="Book Antiqua" w:hAnsi="Book Antiqua" w:cs="Arial"/>
          <w:lang w:val="en-US"/>
        </w:rPr>
        <w:instrText>ADDIN CSL_CITATION {"citationItems":[{"id":"ITEM-1","itemData":{"DOI":"10.1016/j.soard.2011.09.008","ISSN":"1878-7533","PMID":"22082971","abstract":"The American Society for Gastrointestinal Endoscopy (ASGE) is dedicated to advancing patient care and digestive health by promoting excellence in gastrointestinal endoscopy. The American Society for Metabolic and Bariatric Surgery (ASMBS) is dedicated to improving public health and well-being by lessening the burden of the disease of obesity and related diseases. They are the largest professional societies for their respective specialties of gastrointestinal endoscopy and bariatric surgery in the world. The ASGE/ASMBS task force was developed to collaboratively address opportunities for endoscopic approaches to obesity, reflecting the strengths of our disciplines, to improve patient and societal outcomes. This white paper is intended to provide a framework for, and a pathway towards, the development, investigation, and adoption of safe and effective endoscopic bariatric therapies (EBT).","author":[{"dropping-particle":"","family":"ASGE/ASMBS Task Force on Endoscopic Bariatric Therapy","given":"","non-dropping-particle":"","parse-names":false,"suffix":""}],"container-title":"Surgery for obesity and related diseases : official journal of the American Society for Bariatric Surgery","id":"ITEM-1","issue":"6","issued":{"date-parts":[["0"]]},"page":"672-82","title":"A pathway to endoscopic bariatric therapies.","type":"article-journal","volume":"7"},"uris":["http://www.mendeley.com/documents/?uuid=2c0c63ef-4669-4ff7-89e9-9ecbc2607b1c"]},{"id":"ITEM-2","itemData":{"DOI":"10.1016/j.gie.2011.08.053","ISSN":"1097-6779","PMID":"22032311","author":[{"dropping-particle":"","family":"ASGE/ASMBS Task Force on Endoscopic Bariatric Therapy","given":"","non-dropping-particle":"","parse-names":false,"suffix":""},{"dropping-particle":"","family":"Ginsberg","given":"Gregory G","non-dropping-particle":"","parse-names":false,"suffix":""},{"dropping-particle":"","family":"Chand","given":"Bipan","non-dropping-particle":"","parse-names":false,"suffix":""},{"dropping-particle":"","family":"Cote","given":"Gregory A","non-dropping-particle":"","parse-names":false,"suffix":""},{"dropping-particle":"","family":"Dallal","given":"Ramsey M","non-dropping-particle":"","parse-names":false,"suffix":""},{"dropping-particle":"","family":"Edmundowicz","given":"Steven A","non-dropping-particle":"","parse-names":false,"suffix":""},{"dropping-particle":"","family":"Nguyen","given":"Ninh T","non-dropping-particle":"","parse-names":false,"suffix":""},{"dropping-particle":"","family":"Pryor","given":"Aurora","non-dropping-particle":"","parse-names":false,"suffix":""},{"dropping-particle":"","family":"Thompson","given":"Christopher C","non-dropping-particle":"","parse-names":false,"suffix":""}],"container-title":"Gastrointestinal endoscopy","id":"ITEM-2","issue":"5","issued":{"date-parts":[["2011","11"]]},"page":"943-53","title":"A pathway to endoscopic bariatric therapies.","type":"article-journal","volume":"74"},"uris":["http://www.mendeley.com/documents/?uuid=1db98f65-fcd6-4390-bac5-1aab2f428e57"]}],"mendeley":{"formattedCitation":"&lt;sup&gt;[24,25]&lt;/sup&gt;","plainTextFormattedCitation":"[24,25]","previouslyFormattedCitation":"&lt;sup&gt;[24,25]&lt;/sup&gt;"},"properties":{"noteIndex":0},"schema":"https://github.com/citation-style-language/schema/raw/master/csl-citation.json"}</w:instrText>
      </w:r>
      <w:r w:rsidR="00552061" w:rsidRPr="007F12AB">
        <w:rPr>
          <w:rFonts w:ascii="Book Antiqua" w:hAnsi="Book Antiqua" w:cs="Arial"/>
          <w:lang w:val="en-US"/>
        </w:rPr>
        <w:fldChar w:fldCharType="separate"/>
      </w:r>
      <w:r w:rsidR="00552061" w:rsidRPr="007F12AB">
        <w:rPr>
          <w:rFonts w:ascii="Book Antiqua" w:hAnsi="Book Antiqua" w:cs="Arial"/>
          <w:noProof/>
          <w:vertAlign w:val="superscript"/>
          <w:lang w:val="en-US"/>
        </w:rPr>
        <w:t>[24,25]</w:t>
      </w:r>
      <w:r w:rsidR="00552061" w:rsidRPr="007F12AB">
        <w:rPr>
          <w:rFonts w:ascii="Book Antiqua" w:hAnsi="Book Antiqua" w:cs="Arial"/>
          <w:lang w:val="en-US"/>
        </w:rPr>
        <w:fldChar w:fldCharType="end"/>
      </w:r>
      <w:r w:rsidRPr="007F12AB">
        <w:rPr>
          <w:rFonts w:ascii="Book Antiqua" w:hAnsi="Book Antiqua" w:cs="Arial"/>
          <w:lang w:val="en-US"/>
        </w:rPr>
        <w:t>.</w:t>
      </w:r>
    </w:p>
    <w:p w14:paraId="6A85E47B" w14:textId="007E4BAD" w:rsidR="00CB6256" w:rsidRPr="007F12AB" w:rsidRDefault="00CB6256" w:rsidP="0026431D">
      <w:pPr>
        <w:spacing w:line="360" w:lineRule="auto"/>
        <w:ind w:firstLineChars="100" w:firstLine="240"/>
        <w:jc w:val="both"/>
        <w:rPr>
          <w:rFonts w:ascii="Book Antiqua" w:hAnsi="Book Antiqua" w:cs="Arial"/>
          <w:lang w:val="en-US"/>
        </w:rPr>
      </w:pPr>
      <w:r w:rsidRPr="007F12AB">
        <w:rPr>
          <w:rFonts w:ascii="Book Antiqua" w:hAnsi="Book Antiqua" w:cs="Arial"/>
          <w:lang w:val="en-US"/>
        </w:rPr>
        <w:t>ESG studies notably demonstrate some variability in weight loss outcomes, ranging from 15% to 19% TWL at 1 year</w:t>
      </w:r>
      <w:r w:rsidR="00080FCF" w:rsidRPr="007F12AB">
        <w:rPr>
          <w:rFonts w:ascii="Book Antiqua" w:hAnsi="Book Antiqua" w:cs="Arial"/>
          <w:lang w:val="en-US"/>
        </w:rPr>
        <w:fldChar w:fldCharType="begin" w:fldLock="1"/>
      </w:r>
      <w:r w:rsidR="00F67590" w:rsidRPr="007F12AB">
        <w:rPr>
          <w:rFonts w:ascii="Book Antiqua" w:hAnsi="Book Antiqua" w:cs="Arial"/>
          <w:lang w:val="en-US"/>
        </w:rPr>
        <w:instrText>ADDIN CSL_CITATION {"citationItems":[{"id":"ITEM-1","itemData":{"DOI":"10.1016/S0016-5085(15)30597-7","ISSN":"00165085","author":[{"dropping-particle":"","family":"Kumar","given":"Nitin","non-dropping-particle":"","parse-names":false,"suffix":""},{"dropping-particle":"","family":"Lopez-Nava","given":"Gontrand","non-dropping-particle":"","parse-names":false,"suffix":""},{"dropping-particle":"","family":"Sahdala","given":"Helene Nicolle Peña","non-dropping-particle":"","parse-names":false,"suffix":""},{"dropping-particle":"","family":"Manoel","given":"Galvao Neto","non-dropping-particle":"","parse-names":false,"suffix":""},{"dropping-particle":"","family":"Sharaiha","given":"Reem Z.","non-dropping-particle":"","parse-names":false,"suffix":""},{"dropping-particle":"","family":"Wilson","given":"Erik B.","non-dropping-particle":"","parse-names":false,"suffix":""},{"dropping-particle":"","family":"Shaikh","given":"Sohail","non-dropping-particle":"","parse-names":false,"suffix":""},{"dropping-particle":"","family":"Gomez","given":"Eddie","non-dropping-particle":"","parse-names":false,"suffix":""},{"dropping-particle":"","family":"Ryan","given":"Michele B.","non-dropping-particle":"","parse-names":false,"suffix":""},{"dropping-particle":"","family":"Zundel","given":"Natan","non-dropping-particle":"","parse-names":false,"suffix":""},{"dropping-particle":"","family":"Thompson","given":"Christopher C.","non-dropping-particle":"","parse-names":false,"suffix":""}],"container-title":"Gastroenterology","id":"ITEM-1","issue":"4","issued":{"date-parts":[["2015","4"]]},"page":"S-179","title":"934 Endoscopic Sleeve Gastroplasty: Multicenter Weight Loss Results","type":"article-journal","volume":"148"},"uris":["http://www.mendeley.com/documents/?uuid=ae54217b-1b14-4092-946d-bc69aca7b2b4"]},{"id":"ITEM-2","itemData":{"DOI":"10.1016/j.gie.2018.12.012","ISSN":"00165107","author":[{"dropping-particle":"","family":"Alqahtani","given":"Aayed","non-dropping-particle":"","parse-names":false,"suffix":""},{"dropping-particle":"","family":"Al-Darwish","given":"Abdullah","non-dropping-particle":"","parse-names":false,"suffix":""},{"dropping-particle":"","family":"Mahmoud","given":"Ahmed Elsayed","non-dropping-particle":"","parse-names":false,"suffix":""},{"dropping-particle":"","family":"Alqahtani","given":"Yara A.","non-dropping-particle":"","parse-names":false,"suffix":""},{"dropping-particle":"","family":"Elahmedi","given":"Mohamed","non-dropping-particle":"","parse-names":false,"suffix":""}],"container-title":"Gastrointestinal Endoscopy","id":"ITEM-2","issued":{"date-parts":[["2018","12"]]},"title":"Short-term outcomes of endoscopic sleeve gastroplasty in 1000 consecutive patients","type":"article-journal"},"uris":["http://www.mendeley.com/documents/?uuid=d3fde783-c7b5-4ada-8fdc-9d05432797a7"]}],"mendeley":{"formattedCitation":"&lt;sup&gt;[28,39]&lt;/sup&gt;","plainTextFormattedCitation":"[28,39]","previouslyFormattedCitation":"&lt;sup&gt;[28,39]&lt;/sup&gt;"},"properties":{"noteIndex":0},"schema":"https://github.com/citation-style-language/schema/raw/master/csl-citation.json"}</w:instrText>
      </w:r>
      <w:r w:rsidR="00080FCF" w:rsidRPr="007F12AB">
        <w:rPr>
          <w:rFonts w:ascii="Book Antiqua" w:hAnsi="Book Antiqua" w:cs="Arial"/>
          <w:lang w:val="en-US"/>
        </w:rPr>
        <w:fldChar w:fldCharType="separate"/>
      </w:r>
      <w:r w:rsidR="00080FCF" w:rsidRPr="007F12AB">
        <w:rPr>
          <w:rFonts w:ascii="Book Antiqua" w:hAnsi="Book Antiqua" w:cs="Arial"/>
          <w:noProof/>
          <w:vertAlign w:val="superscript"/>
          <w:lang w:val="en-US"/>
        </w:rPr>
        <w:t>[28,39]</w:t>
      </w:r>
      <w:r w:rsidR="00080FCF" w:rsidRPr="007F12AB">
        <w:rPr>
          <w:rFonts w:ascii="Book Antiqua" w:hAnsi="Book Antiqua" w:cs="Arial"/>
          <w:lang w:val="en-US"/>
        </w:rPr>
        <w:fldChar w:fldCharType="end"/>
      </w:r>
      <w:r w:rsidRPr="007F12AB">
        <w:rPr>
          <w:rFonts w:ascii="Book Antiqua" w:hAnsi="Book Antiqua" w:cs="Arial"/>
          <w:lang w:val="en-US"/>
        </w:rPr>
        <w:t>. The reasons for this are unclear and likely multifactorial. Baseline patient characteristics, number of sutures, suture pattern, use of reinforcement sutures, post-procedure diet, concomitant weight loss medication use, intensity of life-style modification, and follow-up plan of care all may be important factors influencing these results. Number of sutures and pattern are particularly important from a financial standpoint for many centers. Using fewer sutures is less costly and reduces procedure time, which ultimately may allow broader adoption. Although there is no rigorous evidence regarding number of sutures or ideal pattern,</w:t>
      </w:r>
      <w:r w:rsidR="00691A1F" w:rsidRPr="007F12AB">
        <w:rPr>
          <w:rFonts w:ascii="Book Antiqua" w:hAnsi="Book Antiqua" w:cs="Arial"/>
          <w:lang w:val="en-US"/>
        </w:rPr>
        <w:t xml:space="preserve"> </w:t>
      </w:r>
      <w:r w:rsidRPr="007F12AB">
        <w:rPr>
          <w:rFonts w:ascii="Book Antiqua" w:hAnsi="Book Antiqua" w:cs="Arial"/>
          <w:lang w:val="en-US"/>
        </w:rPr>
        <w:t>we believe that reinforcement sutures are associated with better efficacy and should be incorporated into suture patterns when possible. Post-procedure plan of care also differs among centers with unique diet recommendations, follow-up schedules, and pharmacotherapy use, which no doubt impact clinical outcomes and likely contribute to this variability as well.</w:t>
      </w:r>
    </w:p>
    <w:p w14:paraId="755DC026" w14:textId="4169BBC9" w:rsidR="00CB6256" w:rsidRPr="007F12AB" w:rsidRDefault="00CB6256" w:rsidP="0026431D">
      <w:pPr>
        <w:spacing w:line="360" w:lineRule="auto"/>
        <w:ind w:firstLineChars="100" w:firstLine="240"/>
        <w:jc w:val="both"/>
        <w:rPr>
          <w:rFonts w:ascii="Book Antiqua" w:hAnsi="Book Antiqua" w:cs="Arial"/>
          <w:lang w:val="en-US"/>
        </w:rPr>
      </w:pPr>
      <w:r w:rsidRPr="007F12AB">
        <w:rPr>
          <w:rFonts w:ascii="Book Antiqua" w:hAnsi="Book Antiqua" w:cs="Arial"/>
          <w:lang w:val="en-US"/>
        </w:rPr>
        <w:t>In addition to ideal technique, experience level and patient characteristics required for optimal outcomes are also not well understood. Regarding recommended experience level, a multicenter study</w:t>
      </w:r>
      <w:r w:rsidR="00F67590" w:rsidRPr="007F12AB">
        <w:rPr>
          <w:rFonts w:ascii="Book Antiqua" w:hAnsi="Book Antiqua" w:cs="Arial"/>
          <w:lang w:val="en-US"/>
        </w:rPr>
        <w:fldChar w:fldCharType="begin" w:fldLock="1"/>
      </w:r>
      <w:r w:rsidR="00F67590" w:rsidRPr="007F12AB">
        <w:rPr>
          <w:rFonts w:ascii="Book Antiqua" w:hAnsi="Book Antiqua" w:cs="Arial"/>
          <w:lang w:val="en-US"/>
        </w:rPr>
        <w:instrText>ADDIN CSL_CITATION {"citationItems":[{"id":"ITEM-1","itemData":{"DOI":"10.1016/j.soard.2011.10.016","ISSN":"1878-7533","PMID":"22178565","abstract":"BACKGROUND The aim of the present pilot study was to evaluate the safety and weight loss efficacy of endoscopic transoral gastric volume reduction using an endoscopic suturing system. METHODS Patients with a body mass index (BMI) of 30-45 kg/m(2) were enrolled in the present institutional review board-approved study. Anterior to posterior gastric plications were placed in the gastric fundus and body using the suturing device. The endpoints were procedure time, adverse events, weight loss, and endoscopic findings at 1, 6, and 12 months after the procedure. The nominal P values are presented. RESULTS A total of 18 patients underwent the procedure (9 at each site). The mean age and BMI was 40 years and 38 kg/m(2), respectively. The average number of plications placed per patient was 6, and the mean procedure time was 2.1 hours (range 1.5-2.8). At 12 months of follow-up (n = 14), decreases in the mean weight (-11.0 ± 10.0 kg, P = .0006), mean BMI (-4.0 ± 3.5 kg/m(2), P = .0006), and mean waist circumference (-12.6 ± 9.5 cm, P = .0004) were observed. The mean excess weight loss at 12 months was 27.7% ± 21.9%. The proportion of patients with an EWL of ≥ 20% or ≥ 30% was 57% and 50%, respectively. The mean systolic and diastolic blood pressure decreased by 15.2 mm Hg (P = .0012) and 9.7 mm Hg (P = .0051), respectively. No device- or procedure-related serious adverse events. Endoscopy at 12 months of follow-up showed partial or complete release of plications in 13 patients. CONCLUSION Transoral gastric volume reduction procedure using the RESTORe Suturing System device proved to be safe and well tolerated. Procedural technical success was achieved for all subjects. Modest decreases in weight, BMI, and waist circumference were observed, as was a decline in the frequency of hypertension. Despite some overall positive clinical findings, the plications were not durable, and the effects of the procedure varied widely among the study participants. Additional research is needed to provide a more reproducible and durable effect.","author":[{"dropping-particle":"","family":"Brethauer","given":"Stacy A","non-dropping-particle":"","parse-names":false,"suffix":""},{"dropping-particle":"","family":"Chand","given":"Bipan","non-dropping-particle":"","parse-names":false,"suffix":""},{"dropping-particle":"","family":"Schauer","given":"Philip R","non-dropping-particle":"","parse-names":false,"suffix":""},{"dropping-particle":"","family":"Thompson","given":"Christopher C","non-dropping-particle":"","parse-names":false,"suffix":""}],"container-title":"Surgery for obesity and related diseases : official journal of the American Society for Bariatric Surgery","id":"ITEM-1","issue":"3","issued":{"date-parts":[["0"]]},"page":"296-303","title":"Transoral gastric volume reduction as intervention for weight management: 12-month follow-up of TRIM trial.","type":"article-journal","volume":"8"},"uris":["http://www.mendeley.com/documents/?uuid=582e505b-b0d1-4925-b75a-d95509da8f22"]}],"mendeley":{"formattedCitation":"&lt;sup&gt;[31]&lt;/sup&gt;","plainTextFormattedCitation":"[31]"},"properties":{"noteIndex":0},"schema":"https://github.com/citation-style-language/schema/raw/master/csl-citation.json"}</w:instrText>
      </w:r>
      <w:r w:rsidR="00F67590" w:rsidRPr="007F12AB">
        <w:rPr>
          <w:rFonts w:ascii="Book Antiqua" w:hAnsi="Book Antiqua" w:cs="Arial"/>
          <w:lang w:val="en-US"/>
        </w:rPr>
        <w:fldChar w:fldCharType="separate"/>
      </w:r>
      <w:r w:rsidR="00F67590" w:rsidRPr="007F12AB">
        <w:rPr>
          <w:rFonts w:ascii="Book Antiqua" w:hAnsi="Book Antiqua" w:cs="Arial"/>
          <w:noProof/>
          <w:vertAlign w:val="superscript"/>
          <w:lang w:val="en-US"/>
        </w:rPr>
        <w:t>[31]</w:t>
      </w:r>
      <w:r w:rsidR="00F67590" w:rsidRPr="007F12AB">
        <w:rPr>
          <w:rFonts w:ascii="Book Antiqua" w:hAnsi="Book Antiqua" w:cs="Arial"/>
          <w:lang w:val="en-US"/>
        </w:rPr>
        <w:fldChar w:fldCharType="end"/>
      </w:r>
      <w:r w:rsidR="00F67590" w:rsidRPr="007F12AB">
        <w:rPr>
          <w:rFonts w:ascii="Book Antiqua" w:hAnsi="Book Antiqua" w:cs="Arial"/>
          <w:lang w:val="en-US"/>
        </w:rPr>
        <w:t xml:space="preserve"> </w:t>
      </w:r>
      <w:r w:rsidRPr="007F12AB">
        <w:rPr>
          <w:rFonts w:ascii="Book Antiqua" w:hAnsi="Book Antiqua" w:cs="Arial"/>
          <w:lang w:val="en-US"/>
        </w:rPr>
        <w:t>showed that 34 cases were statistically significant to achieve a satisfactory %TWL, however, no formal learning curve assessment was performed. Similarly, there are little data to guide patient selection.</w:t>
      </w:r>
      <w:r w:rsidR="00691A1F" w:rsidRPr="007F12AB">
        <w:rPr>
          <w:rFonts w:ascii="Book Antiqua" w:hAnsi="Book Antiqua" w:cs="Arial"/>
          <w:lang w:val="en-US"/>
        </w:rPr>
        <w:t xml:space="preserve"> </w:t>
      </w:r>
      <w:r w:rsidRPr="007F12AB">
        <w:rPr>
          <w:rFonts w:ascii="Book Antiqua" w:hAnsi="Book Antiqua" w:cs="Arial"/>
          <w:lang w:val="en-US"/>
        </w:rPr>
        <w:t xml:space="preserve">A univariable analysis showed that younger age was significantly associated with weight loss at 1-year follow-up. Additionally, as one proposed mechanism is prolonged gastric retention, patients with underlying gastroparesis may be poorer candidates for this procedure. </w:t>
      </w:r>
    </w:p>
    <w:p w14:paraId="5DBB5AB6" w14:textId="1055DC9F" w:rsidR="00CB6256" w:rsidRPr="007F12AB" w:rsidRDefault="00CB6256" w:rsidP="0026431D">
      <w:pPr>
        <w:spacing w:line="360" w:lineRule="auto"/>
        <w:ind w:firstLineChars="100" w:firstLine="240"/>
        <w:jc w:val="both"/>
        <w:rPr>
          <w:rFonts w:ascii="Book Antiqua" w:hAnsi="Book Antiqua" w:cs="Arial"/>
          <w:lang w:val="en-US"/>
        </w:rPr>
      </w:pPr>
      <w:r w:rsidRPr="007F12AB">
        <w:rPr>
          <w:rFonts w:ascii="Book Antiqua" w:hAnsi="Book Antiqua" w:cs="Arial"/>
          <w:lang w:val="en-US"/>
        </w:rPr>
        <w:t>As this field continues to develop there are several areas that can be addressed to improve outcomes.</w:t>
      </w:r>
      <w:r w:rsidR="00691A1F" w:rsidRPr="007F12AB">
        <w:rPr>
          <w:rFonts w:ascii="Book Antiqua" w:hAnsi="Book Antiqua" w:cs="Arial"/>
          <w:lang w:val="en-US"/>
        </w:rPr>
        <w:t xml:space="preserve"> </w:t>
      </w:r>
      <w:r w:rsidRPr="007F12AB">
        <w:rPr>
          <w:rFonts w:ascii="Book Antiqua" w:hAnsi="Book Antiqua" w:cs="Arial"/>
          <w:lang w:val="en-US"/>
        </w:rPr>
        <w:t xml:space="preserve">We are already seeing procedure and device improvements to simplify technical aspects and enhance durability. Technique standardization is still needed and will likely occur when better data are </w:t>
      </w:r>
      <w:r w:rsidRPr="007F12AB">
        <w:rPr>
          <w:rFonts w:ascii="Book Antiqua" w:hAnsi="Book Antiqua" w:cs="Arial"/>
          <w:lang w:val="en-US"/>
        </w:rPr>
        <w:lastRenderedPageBreak/>
        <w:t>available. Patient selection is always an important consideration for optimizing patient outcomes. Moving towards personalized medicine, several factors are being investigated including baseline demographics, gastric motility, autonomic function, bile acid metabolism, gut hormones, genetics, and microbiome. Combination therapies also hold the promise of improved efficacy. Endoscopic device combinations, applied simultaneously or sequentially, that employ different mechanisms of action and combination with pharmacotherapies are now actively being studied. It is also time for randomized controlled trials to better address many of these questions and provide level 1A evidence to confirm satisfactory outcomes. This will also help establish best medical practices and contribute towards broader reimbursement.</w:t>
      </w:r>
      <w:r w:rsidR="00691A1F" w:rsidRPr="007F12AB">
        <w:rPr>
          <w:rFonts w:ascii="Book Antiqua" w:hAnsi="Book Antiqua" w:cs="Arial"/>
          <w:lang w:val="en-US"/>
        </w:rPr>
        <w:t xml:space="preserve"> </w:t>
      </w:r>
      <w:r w:rsidRPr="007F12AB">
        <w:rPr>
          <w:rFonts w:ascii="Book Antiqua" w:hAnsi="Book Antiqua" w:cs="Arial"/>
          <w:lang w:val="en-US"/>
        </w:rPr>
        <w:t>Finally, as use of this procedure grows, standardized training and credentialing processes will be required to ensure patient safety and maintain good clinical outcomes.</w:t>
      </w:r>
    </w:p>
    <w:p w14:paraId="0FAF8A06" w14:textId="48FD87FE" w:rsidR="00F2644D" w:rsidRPr="007F12AB" w:rsidRDefault="00CB6256" w:rsidP="0026431D">
      <w:pPr>
        <w:spacing w:line="360" w:lineRule="auto"/>
        <w:ind w:firstLineChars="100" w:firstLine="240"/>
        <w:jc w:val="both"/>
        <w:rPr>
          <w:rFonts w:ascii="Book Antiqua" w:hAnsi="Book Antiqua" w:cs="Arial"/>
          <w:lang w:val="en-US"/>
        </w:rPr>
      </w:pPr>
      <w:r w:rsidRPr="007F12AB">
        <w:rPr>
          <w:rFonts w:ascii="Book Antiqua" w:hAnsi="Book Antiqua" w:cs="Arial"/>
          <w:lang w:val="en-US"/>
        </w:rPr>
        <w:t>In summary, given the worsening obesity epidemic, there is increased demand for less invasive bariatric therapies.</w:t>
      </w:r>
      <w:r w:rsidR="00691A1F" w:rsidRPr="007F12AB">
        <w:rPr>
          <w:rFonts w:ascii="Book Antiqua" w:hAnsi="Book Antiqua" w:cs="Arial"/>
          <w:lang w:val="en-US"/>
        </w:rPr>
        <w:t xml:space="preserve"> </w:t>
      </w:r>
      <w:r w:rsidRPr="007F12AB">
        <w:rPr>
          <w:rFonts w:ascii="Book Antiqua" w:hAnsi="Book Antiqua" w:cs="Arial"/>
          <w:lang w:val="en-US"/>
        </w:rPr>
        <w:t xml:space="preserve">Considering the minimally invasive outpatient nature of ESG, the reproducibility among centers with different experience levels, and the favorable clinical outcomes in several studies, ESG could be regarded as safe and effective in light of ASGE/ASMBS thresholds of &gt; 25% EWL and ≤ 5% severe adverse events, however, there are no comparative trials to date. As this procedure is more widely adopted, high standards of care must be maintained to guarantee satisfactory clinical outcomes. </w:t>
      </w:r>
    </w:p>
    <w:p w14:paraId="5C3FA911" w14:textId="77777777" w:rsidR="00092945" w:rsidRPr="007F12AB" w:rsidRDefault="00092945" w:rsidP="0026431D">
      <w:pPr>
        <w:spacing w:line="360" w:lineRule="auto"/>
        <w:jc w:val="both"/>
        <w:rPr>
          <w:rFonts w:ascii="Book Antiqua" w:hAnsi="Book Antiqua" w:cs="Arial"/>
          <w:lang w:val="en-US"/>
        </w:rPr>
      </w:pPr>
    </w:p>
    <w:p w14:paraId="6E1EC368" w14:textId="604DE2BF" w:rsidR="0010598E" w:rsidRPr="007F12AB" w:rsidRDefault="00CB2C16" w:rsidP="0026431D">
      <w:pPr>
        <w:widowControl w:val="0"/>
        <w:autoSpaceDE w:val="0"/>
        <w:autoSpaceDN w:val="0"/>
        <w:adjustRightInd w:val="0"/>
        <w:spacing w:line="360" w:lineRule="auto"/>
        <w:jc w:val="both"/>
        <w:rPr>
          <w:rFonts w:ascii="Book Antiqua" w:hAnsi="Book Antiqua"/>
          <w:lang w:val="en-US"/>
        </w:rPr>
      </w:pPr>
      <w:r w:rsidRPr="007F12AB">
        <w:rPr>
          <w:rFonts w:ascii="Book Antiqua" w:hAnsi="Book Antiqua"/>
          <w:b/>
          <w:lang w:val="en-US"/>
        </w:rPr>
        <w:t>REFERENCES</w:t>
      </w:r>
    </w:p>
    <w:p w14:paraId="11CD64C1" w14:textId="4156F902" w:rsidR="00545767" w:rsidRPr="007F12AB" w:rsidRDefault="00545767" w:rsidP="0026431D">
      <w:pPr>
        <w:spacing w:line="360" w:lineRule="auto"/>
        <w:jc w:val="both"/>
        <w:rPr>
          <w:rFonts w:ascii="Book Antiqua" w:hAnsi="Book Antiqua"/>
          <w:lang w:eastAsia="zh-CN"/>
        </w:rPr>
      </w:pPr>
      <w:r w:rsidRPr="007F12AB">
        <w:rPr>
          <w:rFonts w:ascii="Book Antiqua" w:hAnsi="Book Antiqua"/>
        </w:rPr>
        <w:t xml:space="preserve">1 </w:t>
      </w:r>
      <w:r w:rsidR="00730F3E" w:rsidRPr="007F12AB">
        <w:rPr>
          <w:rFonts w:ascii="Book Antiqua" w:hAnsi="Book Antiqua"/>
          <w:b/>
        </w:rPr>
        <w:t>World Health Organization</w:t>
      </w:r>
      <w:r w:rsidRPr="007F12AB">
        <w:rPr>
          <w:rFonts w:ascii="Book Antiqua" w:hAnsi="Book Antiqua"/>
          <w:b/>
        </w:rPr>
        <w:t>.</w:t>
      </w:r>
      <w:r w:rsidRPr="007F12AB">
        <w:rPr>
          <w:rFonts w:ascii="Book Antiqua" w:hAnsi="Book Antiqua"/>
        </w:rPr>
        <w:t xml:space="preserve"> Obesity and overweight. 2018</w:t>
      </w:r>
      <w:r w:rsidR="00730F3E" w:rsidRPr="007F12AB">
        <w:rPr>
          <w:rFonts w:ascii="Book Antiqua" w:hAnsi="Book Antiqua"/>
        </w:rPr>
        <w:t xml:space="preserve"> </w:t>
      </w:r>
      <w:r w:rsidRPr="007F12AB">
        <w:rPr>
          <w:rFonts w:ascii="Book Antiqua" w:hAnsi="Book Antiqua"/>
        </w:rPr>
        <w:t>Available from: http://www.who.int/news-room/fact-sheets/detail/obesity-and-overweight</w:t>
      </w:r>
    </w:p>
    <w:p w14:paraId="0F9F0101" w14:textId="77777777" w:rsidR="00545767" w:rsidRPr="007F12AB" w:rsidRDefault="00545767" w:rsidP="0026431D">
      <w:pPr>
        <w:spacing w:line="360" w:lineRule="auto"/>
        <w:jc w:val="both"/>
        <w:rPr>
          <w:rFonts w:ascii="Book Antiqua" w:hAnsi="Book Antiqua"/>
        </w:rPr>
      </w:pPr>
      <w:r w:rsidRPr="007F12AB">
        <w:rPr>
          <w:rFonts w:ascii="Book Antiqua" w:hAnsi="Book Antiqua"/>
        </w:rPr>
        <w:t xml:space="preserve">2 </w:t>
      </w:r>
      <w:r w:rsidRPr="007F12AB">
        <w:rPr>
          <w:rFonts w:ascii="Book Antiqua" w:hAnsi="Book Antiqua"/>
          <w:b/>
        </w:rPr>
        <w:t>Rønningen R</w:t>
      </w:r>
      <w:r w:rsidRPr="007F12AB">
        <w:rPr>
          <w:rFonts w:ascii="Book Antiqua" w:hAnsi="Book Antiqua"/>
        </w:rPr>
        <w:t xml:space="preserve">, Wammer ACP, Grabner NH, Valderhaug TG. Associations between Lifetime Adversity and Obesity Treatment in Patients with Morbid Obesity. </w:t>
      </w:r>
      <w:r w:rsidRPr="007F12AB">
        <w:rPr>
          <w:rFonts w:ascii="Book Antiqua" w:hAnsi="Book Antiqua"/>
          <w:i/>
        </w:rPr>
        <w:t>Obes Facts</w:t>
      </w:r>
      <w:r w:rsidRPr="007F12AB">
        <w:rPr>
          <w:rFonts w:ascii="Book Antiqua" w:hAnsi="Book Antiqua"/>
        </w:rPr>
        <w:t xml:space="preserve"> 2019; </w:t>
      </w:r>
      <w:r w:rsidRPr="007F12AB">
        <w:rPr>
          <w:rFonts w:ascii="Book Antiqua" w:hAnsi="Book Antiqua"/>
          <w:b/>
        </w:rPr>
        <w:t>12</w:t>
      </w:r>
      <w:r w:rsidRPr="007F12AB">
        <w:rPr>
          <w:rFonts w:ascii="Book Antiqua" w:hAnsi="Book Antiqua"/>
        </w:rPr>
        <w:t>: 1-13 [PMID: 30654360 DOI: 10.1159/000494333]</w:t>
      </w:r>
    </w:p>
    <w:p w14:paraId="61F64260" w14:textId="77777777" w:rsidR="00545767" w:rsidRPr="007F12AB" w:rsidRDefault="00545767" w:rsidP="0026431D">
      <w:pPr>
        <w:spacing w:line="360" w:lineRule="auto"/>
        <w:jc w:val="both"/>
        <w:rPr>
          <w:rFonts w:ascii="Book Antiqua" w:hAnsi="Book Antiqua"/>
        </w:rPr>
      </w:pPr>
      <w:r w:rsidRPr="007F12AB">
        <w:rPr>
          <w:rFonts w:ascii="Book Antiqua" w:hAnsi="Book Antiqua"/>
        </w:rPr>
        <w:lastRenderedPageBreak/>
        <w:t xml:space="preserve">3 </w:t>
      </w:r>
      <w:r w:rsidRPr="007F12AB">
        <w:rPr>
          <w:rFonts w:ascii="Book Antiqua" w:hAnsi="Book Antiqua"/>
          <w:b/>
        </w:rPr>
        <w:t>Ruiz-Cota P</w:t>
      </w:r>
      <w:r w:rsidRPr="007F12AB">
        <w:rPr>
          <w:rFonts w:ascii="Book Antiqua" w:hAnsi="Book Antiqua"/>
        </w:rPr>
        <w:t xml:space="preserve">, Bacardí-Gascón M, Jiménez-Cruz A. Long-term outcomes of metabolic and bariatric surgery in adolescents with severe obesity with a follow-up of at least 5 years: A systematic review. </w:t>
      </w:r>
      <w:r w:rsidRPr="007F12AB">
        <w:rPr>
          <w:rFonts w:ascii="Book Antiqua" w:hAnsi="Book Antiqua"/>
          <w:i/>
        </w:rPr>
        <w:t>Surg Obes Relat Dis</w:t>
      </w:r>
      <w:r w:rsidRPr="007F12AB">
        <w:rPr>
          <w:rFonts w:ascii="Book Antiqua" w:hAnsi="Book Antiqua"/>
        </w:rPr>
        <w:t xml:space="preserve"> 2019; </w:t>
      </w:r>
      <w:r w:rsidRPr="007F12AB">
        <w:rPr>
          <w:rFonts w:ascii="Book Antiqua" w:hAnsi="Book Antiqua"/>
          <w:b/>
        </w:rPr>
        <w:t>15</w:t>
      </w:r>
      <w:r w:rsidRPr="007F12AB">
        <w:rPr>
          <w:rFonts w:ascii="Book Antiqua" w:hAnsi="Book Antiqua"/>
        </w:rPr>
        <w:t>: 133-144 [PMID: 30514669 DOI: 10.1016/j.soard.2018.10.016]</w:t>
      </w:r>
    </w:p>
    <w:p w14:paraId="3F5D53DD" w14:textId="6BF51EEE" w:rsidR="00545767" w:rsidRPr="007F12AB" w:rsidRDefault="00545767" w:rsidP="0026431D">
      <w:pPr>
        <w:spacing w:line="360" w:lineRule="auto"/>
        <w:jc w:val="both"/>
        <w:rPr>
          <w:rFonts w:ascii="Book Antiqua" w:hAnsi="Book Antiqua"/>
        </w:rPr>
      </w:pPr>
      <w:r w:rsidRPr="007F12AB">
        <w:rPr>
          <w:rFonts w:ascii="Book Antiqua" w:hAnsi="Book Antiqua"/>
        </w:rPr>
        <w:t xml:space="preserve">4 </w:t>
      </w:r>
      <w:r w:rsidRPr="007F12AB">
        <w:rPr>
          <w:rFonts w:ascii="Book Antiqua" w:hAnsi="Book Antiqua"/>
          <w:b/>
        </w:rPr>
        <w:t>Khosravi-Largani M,</w:t>
      </w:r>
      <w:r w:rsidRPr="007F12AB">
        <w:rPr>
          <w:rFonts w:ascii="Book Antiqua" w:hAnsi="Book Antiqua"/>
        </w:rPr>
        <w:t xml:space="preserve"> Nojomi M, Aghili R, Otaghvar HA, Tanha K, Seyedi SHS, Mottaghi A.</w:t>
      </w:r>
      <w:r w:rsidR="00730F3E" w:rsidRPr="007F12AB">
        <w:rPr>
          <w:rFonts w:ascii="Book Antiqua" w:hAnsi="Book Antiqua"/>
        </w:rPr>
        <w:t xml:space="preserve"> </w:t>
      </w:r>
      <w:r w:rsidRPr="007F12AB">
        <w:rPr>
          <w:rFonts w:ascii="Book Antiqua" w:hAnsi="Book Antiqua"/>
        </w:rPr>
        <w:t xml:space="preserve">Evaluation of all Types of Metabolic Bariatric Surgery and its Consequences: a Systematic Review and Meta-Analysis. </w:t>
      </w:r>
      <w:r w:rsidRPr="007F12AB">
        <w:rPr>
          <w:rFonts w:ascii="Book Antiqua" w:hAnsi="Book Antiqua"/>
          <w:i/>
        </w:rPr>
        <w:t>Obes Surg</w:t>
      </w:r>
      <w:r w:rsidRPr="007F12AB">
        <w:rPr>
          <w:rFonts w:ascii="Book Antiqua" w:hAnsi="Book Antiqua"/>
        </w:rPr>
        <w:t xml:space="preserve"> 2019;</w:t>
      </w:r>
      <w:r w:rsidR="00730F3E" w:rsidRPr="007F12AB">
        <w:rPr>
          <w:rFonts w:ascii="Book Antiqua" w:hAnsi="Book Antiqua"/>
        </w:rPr>
        <w:t xml:space="preserve"> </w:t>
      </w:r>
      <w:r w:rsidRPr="007F12AB">
        <w:rPr>
          <w:rFonts w:ascii="Book Antiqua" w:hAnsi="Book Antiqua"/>
          <w:b/>
        </w:rPr>
        <w:t>29</w:t>
      </w:r>
      <w:r w:rsidRPr="007F12AB">
        <w:rPr>
          <w:rFonts w:ascii="Book Antiqua" w:hAnsi="Book Antiqua"/>
        </w:rPr>
        <w:t>:</w:t>
      </w:r>
      <w:r w:rsidR="00730F3E" w:rsidRPr="007F12AB">
        <w:rPr>
          <w:rFonts w:ascii="Book Antiqua" w:hAnsi="Book Antiqua"/>
        </w:rPr>
        <w:t xml:space="preserve"> </w:t>
      </w:r>
      <w:r w:rsidRPr="007F12AB">
        <w:rPr>
          <w:rFonts w:ascii="Book Antiqua" w:hAnsi="Book Antiqua"/>
        </w:rPr>
        <w:t>651</w:t>
      </w:r>
      <w:r w:rsidR="00730F3E" w:rsidRPr="007F12AB">
        <w:rPr>
          <w:rFonts w:ascii="Book Antiqua" w:hAnsi="Book Antiqua"/>
        </w:rPr>
        <w:t>-6</w:t>
      </w:r>
      <w:r w:rsidRPr="007F12AB">
        <w:rPr>
          <w:rFonts w:ascii="Book Antiqua" w:hAnsi="Book Antiqua"/>
        </w:rPr>
        <w:t>90 [</w:t>
      </w:r>
      <w:bookmarkStart w:id="72" w:name="OLE_LINK16"/>
      <w:bookmarkStart w:id="73" w:name="OLE_LINK17"/>
      <w:r w:rsidRPr="007F12AB">
        <w:rPr>
          <w:rFonts w:ascii="Book Antiqua" w:hAnsi="Book Antiqua"/>
        </w:rPr>
        <w:t>DOI: 10.1007/s11695-018-3550-z</w:t>
      </w:r>
      <w:bookmarkEnd w:id="72"/>
      <w:bookmarkEnd w:id="73"/>
      <w:r w:rsidRPr="007F12AB">
        <w:rPr>
          <w:rFonts w:ascii="Book Antiqua" w:hAnsi="Book Antiqua"/>
        </w:rPr>
        <w:t>]</w:t>
      </w:r>
    </w:p>
    <w:p w14:paraId="7A6709D7" w14:textId="77777777" w:rsidR="00545767" w:rsidRPr="007F12AB" w:rsidRDefault="00545767" w:rsidP="0026431D">
      <w:pPr>
        <w:spacing w:line="360" w:lineRule="auto"/>
        <w:jc w:val="both"/>
        <w:rPr>
          <w:rFonts w:ascii="Book Antiqua" w:hAnsi="Book Antiqua"/>
        </w:rPr>
      </w:pPr>
      <w:r w:rsidRPr="007F12AB">
        <w:rPr>
          <w:rFonts w:ascii="Book Antiqua" w:hAnsi="Book Antiqua"/>
        </w:rPr>
        <w:t xml:space="preserve">5 </w:t>
      </w:r>
      <w:r w:rsidRPr="007F12AB">
        <w:rPr>
          <w:rFonts w:ascii="Book Antiqua" w:hAnsi="Book Antiqua"/>
          <w:b/>
        </w:rPr>
        <w:t>Barrichello S</w:t>
      </w:r>
      <w:r w:rsidRPr="007F12AB">
        <w:rPr>
          <w:rFonts w:ascii="Book Antiqua" w:hAnsi="Book Antiqua"/>
        </w:rPr>
        <w:t xml:space="preserve">, Minata MK, García Ruiz de Gordejuela A, Bernardo WM, de Souza TF, Galvão Neto M, Hourneaux de Moura DT, Santo MA, Hourneaux de Moura EG. Laparoscopic Greater Curvature Plication and Laparoscopic Sleeve Gastrectomy Treatments for Obesity: Systematic Review and Meta-Analysis of Short- and Mid-Term Results. </w:t>
      </w:r>
      <w:r w:rsidRPr="007F12AB">
        <w:rPr>
          <w:rFonts w:ascii="Book Antiqua" w:hAnsi="Book Antiqua"/>
          <w:i/>
        </w:rPr>
        <w:t>Obes Surg</w:t>
      </w:r>
      <w:r w:rsidRPr="007F12AB">
        <w:rPr>
          <w:rFonts w:ascii="Book Antiqua" w:hAnsi="Book Antiqua"/>
        </w:rPr>
        <w:t xml:space="preserve"> 2018; </w:t>
      </w:r>
      <w:r w:rsidRPr="007F12AB">
        <w:rPr>
          <w:rFonts w:ascii="Book Antiqua" w:hAnsi="Book Antiqua"/>
          <w:b/>
        </w:rPr>
        <w:t>28</w:t>
      </w:r>
      <w:r w:rsidRPr="007F12AB">
        <w:rPr>
          <w:rFonts w:ascii="Book Antiqua" w:hAnsi="Book Antiqua"/>
        </w:rPr>
        <w:t>: 3199-3212 [PMID: 29951784 DOI: 10.1007/s11695-018-3330-9]</w:t>
      </w:r>
    </w:p>
    <w:p w14:paraId="5DF18506" w14:textId="77777777" w:rsidR="00545767" w:rsidRPr="007F12AB" w:rsidRDefault="00545767" w:rsidP="0026431D">
      <w:pPr>
        <w:spacing w:line="360" w:lineRule="auto"/>
        <w:jc w:val="both"/>
        <w:rPr>
          <w:rFonts w:ascii="Book Antiqua" w:hAnsi="Book Antiqua"/>
        </w:rPr>
      </w:pPr>
      <w:r w:rsidRPr="007F12AB">
        <w:rPr>
          <w:rFonts w:ascii="Book Antiqua" w:hAnsi="Book Antiqua"/>
        </w:rPr>
        <w:t xml:space="preserve">6 </w:t>
      </w:r>
      <w:r w:rsidRPr="007F12AB">
        <w:rPr>
          <w:rFonts w:ascii="Book Antiqua" w:hAnsi="Book Antiqua"/>
          <w:b/>
        </w:rPr>
        <w:t>Longitudinal Assessment of Bariatric Surgery (LABS) Consortium.</w:t>
      </w:r>
      <w:r w:rsidRPr="007F12AB">
        <w:rPr>
          <w:rFonts w:ascii="Book Antiqua" w:hAnsi="Book Antiqua"/>
        </w:rPr>
        <w:t xml:space="preserve">, Flum DR, Belle SH, King WC, Wahed AS, Berk P, Chapman W, Pories W, Courcoulas A, McCloskey C, Mitchell J, Patterson E, Pomp A, Staten MA, Yanovski SZ, Thirlby R, Wolfe B. Perioperative safety in the longitudinal assessment of bariatric surgery. </w:t>
      </w:r>
      <w:r w:rsidRPr="007F12AB">
        <w:rPr>
          <w:rFonts w:ascii="Book Antiqua" w:hAnsi="Book Antiqua"/>
          <w:i/>
        </w:rPr>
        <w:t>N Engl J Med</w:t>
      </w:r>
      <w:r w:rsidRPr="007F12AB">
        <w:rPr>
          <w:rFonts w:ascii="Book Antiqua" w:hAnsi="Book Antiqua"/>
        </w:rPr>
        <w:t xml:space="preserve"> 2009; </w:t>
      </w:r>
      <w:r w:rsidRPr="007F12AB">
        <w:rPr>
          <w:rFonts w:ascii="Book Antiqua" w:hAnsi="Book Antiqua"/>
          <w:b/>
        </w:rPr>
        <w:t>361</w:t>
      </w:r>
      <w:r w:rsidRPr="007F12AB">
        <w:rPr>
          <w:rFonts w:ascii="Book Antiqua" w:hAnsi="Book Antiqua"/>
        </w:rPr>
        <w:t>: 445-454 [PMID: 19641201 DOI: 10.1056/NEJMoa0901836]</w:t>
      </w:r>
    </w:p>
    <w:p w14:paraId="15892434" w14:textId="77777777" w:rsidR="00545767" w:rsidRPr="007F12AB" w:rsidRDefault="00545767" w:rsidP="0026431D">
      <w:pPr>
        <w:spacing w:line="360" w:lineRule="auto"/>
        <w:jc w:val="both"/>
        <w:rPr>
          <w:rFonts w:ascii="Book Antiqua" w:hAnsi="Book Antiqua"/>
        </w:rPr>
      </w:pPr>
      <w:r w:rsidRPr="007F12AB">
        <w:rPr>
          <w:rFonts w:ascii="Book Antiqua" w:hAnsi="Book Antiqua"/>
        </w:rPr>
        <w:t xml:space="preserve">7 </w:t>
      </w:r>
      <w:r w:rsidRPr="007F12AB">
        <w:rPr>
          <w:rFonts w:ascii="Book Antiqua" w:hAnsi="Book Antiqua"/>
          <w:b/>
        </w:rPr>
        <w:t>Obeid NR</w:t>
      </w:r>
      <w:r w:rsidRPr="007F12AB">
        <w:rPr>
          <w:rFonts w:ascii="Book Antiqua" w:hAnsi="Book Antiqua"/>
        </w:rPr>
        <w:t xml:space="preserve">, Malick W, Concors SJ, Fielding GA, Kurian MS, Ren-Fielding CJ. Long-term outcomes after Roux-en-Y gastric bypass: 10- to 13-year data. </w:t>
      </w:r>
      <w:r w:rsidRPr="007F12AB">
        <w:rPr>
          <w:rFonts w:ascii="Book Antiqua" w:hAnsi="Book Antiqua"/>
          <w:i/>
        </w:rPr>
        <w:t>Surg Obes Relat Dis</w:t>
      </w:r>
      <w:r w:rsidRPr="007F12AB">
        <w:rPr>
          <w:rFonts w:ascii="Book Antiqua" w:hAnsi="Book Antiqua"/>
        </w:rPr>
        <w:t xml:space="preserve"> 2016; </w:t>
      </w:r>
      <w:r w:rsidRPr="007F12AB">
        <w:rPr>
          <w:rFonts w:ascii="Book Antiqua" w:hAnsi="Book Antiqua"/>
          <w:b/>
        </w:rPr>
        <w:t>12</w:t>
      </w:r>
      <w:r w:rsidRPr="007F12AB">
        <w:rPr>
          <w:rFonts w:ascii="Book Antiqua" w:hAnsi="Book Antiqua"/>
        </w:rPr>
        <w:t>: 11-20 [PMID: 26410537 DOI: 10.1016/j.soard.2015.04.011]</w:t>
      </w:r>
    </w:p>
    <w:p w14:paraId="493E9D61" w14:textId="2AFB42DF" w:rsidR="00545767" w:rsidRPr="007F12AB" w:rsidRDefault="00545767" w:rsidP="0026431D">
      <w:pPr>
        <w:spacing w:line="360" w:lineRule="auto"/>
        <w:jc w:val="both"/>
        <w:rPr>
          <w:rFonts w:ascii="Book Antiqua" w:hAnsi="Book Antiqua"/>
        </w:rPr>
      </w:pPr>
      <w:r w:rsidRPr="007F12AB">
        <w:rPr>
          <w:rFonts w:ascii="Book Antiqua" w:hAnsi="Book Antiqua"/>
        </w:rPr>
        <w:t xml:space="preserve">8 </w:t>
      </w:r>
      <w:r w:rsidRPr="007F12AB">
        <w:rPr>
          <w:rFonts w:ascii="Book Antiqua" w:hAnsi="Book Antiqua"/>
          <w:b/>
        </w:rPr>
        <w:t>de Moura DTH</w:t>
      </w:r>
      <w:r w:rsidRPr="007F12AB">
        <w:rPr>
          <w:rFonts w:ascii="Book Antiqua" w:hAnsi="Book Antiqua"/>
        </w:rPr>
        <w:t xml:space="preserve">, Ribeiro IB, Funari MP, Baptista A, Thompson CC, de Moura EGH. </w:t>
      </w:r>
      <w:bookmarkStart w:id="74" w:name="OLE_LINK15"/>
      <w:r w:rsidRPr="007F12AB">
        <w:rPr>
          <w:rFonts w:ascii="Book Antiqua" w:hAnsi="Book Antiqua"/>
        </w:rPr>
        <w:t>Novel use of a cardiac septal occluder to treat a chronic recalcitrant bariatric fistula after Roux-en-Y gastric bypass.</w:t>
      </w:r>
      <w:bookmarkEnd w:id="74"/>
      <w:r w:rsidRPr="007F12AB">
        <w:rPr>
          <w:rFonts w:ascii="Book Antiqua" w:hAnsi="Book Antiqua"/>
        </w:rPr>
        <w:t xml:space="preserve"> </w:t>
      </w:r>
      <w:r w:rsidRPr="007F12AB">
        <w:rPr>
          <w:rFonts w:ascii="Book Antiqua" w:hAnsi="Book Antiqua"/>
          <w:i/>
        </w:rPr>
        <w:t>Endoscopy</w:t>
      </w:r>
      <w:r w:rsidRPr="007F12AB">
        <w:rPr>
          <w:rFonts w:ascii="Book Antiqua" w:hAnsi="Book Antiqua"/>
        </w:rPr>
        <w:t xml:space="preserve"> 2019 [PMID: 30791049 DOI: 10.1055/a-0842-6287]</w:t>
      </w:r>
    </w:p>
    <w:p w14:paraId="02287ED0" w14:textId="6EC00642" w:rsidR="00545767" w:rsidRPr="007F12AB" w:rsidRDefault="00545767" w:rsidP="0026431D">
      <w:pPr>
        <w:spacing w:line="360" w:lineRule="auto"/>
        <w:jc w:val="both"/>
        <w:rPr>
          <w:rFonts w:ascii="Book Antiqua" w:hAnsi="Book Antiqua"/>
        </w:rPr>
      </w:pPr>
      <w:r w:rsidRPr="007F12AB">
        <w:rPr>
          <w:rFonts w:ascii="Book Antiqua" w:hAnsi="Book Antiqua"/>
        </w:rPr>
        <w:t xml:space="preserve">9 </w:t>
      </w:r>
      <w:r w:rsidRPr="007F12AB">
        <w:rPr>
          <w:rFonts w:ascii="Book Antiqua" w:hAnsi="Book Antiqua"/>
          <w:b/>
        </w:rPr>
        <w:t>Baptista A,</w:t>
      </w:r>
      <w:r w:rsidRPr="007F12AB">
        <w:rPr>
          <w:rFonts w:ascii="Book Antiqua" w:hAnsi="Book Antiqua"/>
        </w:rPr>
        <w:t xml:space="preserve"> De Moura DTH, Jirapinyo P, De Moura EGH, Gelrud A, Kahaleh M, Salinas A, Sabagh LC, Jaramillo AO, Rincones VZ, Doval R, Bandel JW, Thompson CC. Efficacy of the cardiac septal occluder in the treatment of post-</w:t>
      </w:r>
      <w:r w:rsidRPr="007F12AB">
        <w:rPr>
          <w:rFonts w:ascii="Book Antiqua" w:hAnsi="Book Antiqua"/>
        </w:rPr>
        <w:lastRenderedPageBreak/>
        <w:t xml:space="preserve">bariatric surgery leaks and fistulas. </w:t>
      </w:r>
      <w:r w:rsidRPr="007F12AB">
        <w:rPr>
          <w:rFonts w:ascii="Book Antiqua" w:hAnsi="Book Antiqua"/>
          <w:i/>
        </w:rPr>
        <w:t>Gastrointest Endosc</w:t>
      </w:r>
      <w:r w:rsidRPr="007F12AB">
        <w:rPr>
          <w:rFonts w:ascii="Book Antiqua" w:hAnsi="Book Antiqua"/>
        </w:rPr>
        <w:t xml:space="preserve"> 2018</w:t>
      </w:r>
      <w:r w:rsidR="00730F3E" w:rsidRPr="007F12AB">
        <w:rPr>
          <w:rFonts w:ascii="Book Antiqua" w:hAnsi="Book Antiqua"/>
        </w:rPr>
        <w:t xml:space="preserve">; </w:t>
      </w:r>
      <w:r w:rsidR="00730F3E" w:rsidRPr="007F12AB">
        <w:rPr>
          <w:rFonts w:ascii="Book Antiqua" w:hAnsi="Book Antiqua"/>
          <w:b/>
        </w:rPr>
        <w:t>89</w:t>
      </w:r>
      <w:r w:rsidR="00730F3E" w:rsidRPr="007F12AB">
        <w:rPr>
          <w:rFonts w:ascii="Book Antiqua" w:hAnsi="Book Antiqua"/>
        </w:rPr>
        <w:t xml:space="preserve">: 671-679 </w:t>
      </w:r>
      <w:r w:rsidRPr="007F12AB">
        <w:rPr>
          <w:rFonts w:ascii="Book Antiqua" w:hAnsi="Book Antiqua"/>
        </w:rPr>
        <w:t>[</w:t>
      </w:r>
      <w:bookmarkStart w:id="75" w:name="OLE_LINK14"/>
      <w:r w:rsidRPr="007F12AB">
        <w:rPr>
          <w:rFonts w:ascii="Book Antiqua" w:hAnsi="Book Antiqua"/>
        </w:rPr>
        <w:t>DOI: 10.1016/j.gie.2018.11.034</w:t>
      </w:r>
      <w:bookmarkEnd w:id="75"/>
      <w:r w:rsidRPr="007F12AB">
        <w:rPr>
          <w:rFonts w:ascii="Book Antiqua" w:hAnsi="Book Antiqua"/>
        </w:rPr>
        <w:t>]</w:t>
      </w:r>
    </w:p>
    <w:p w14:paraId="6695AC9B" w14:textId="77777777" w:rsidR="00545767" w:rsidRPr="007F12AB" w:rsidRDefault="00545767" w:rsidP="0026431D">
      <w:pPr>
        <w:spacing w:line="360" w:lineRule="auto"/>
        <w:jc w:val="both"/>
        <w:rPr>
          <w:rFonts w:ascii="Book Antiqua" w:hAnsi="Book Antiqua"/>
        </w:rPr>
      </w:pPr>
      <w:r w:rsidRPr="007F12AB">
        <w:rPr>
          <w:rFonts w:ascii="Book Antiqua" w:hAnsi="Book Antiqua"/>
        </w:rPr>
        <w:t xml:space="preserve">10 </w:t>
      </w:r>
      <w:r w:rsidRPr="007F12AB">
        <w:rPr>
          <w:rFonts w:ascii="Book Antiqua" w:hAnsi="Book Antiqua"/>
          <w:b/>
        </w:rPr>
        <w:t>de Moura DTH</w:t>
      </w:r>
      <w:r w:rsidRPr="007F12AB">
        <w:rPr>
          <w:rFonts w:ascii="Book Antiqua" w:hAnsi="Book Antiqua"/>
        </w:rPr>
        <w:t xml:space="preserve">, de Moura EGH, Neto MG, Thompson CC. To the Editor. </w:t>
      </w:r>
      <w:r w:rsidRPr="007F12AB">
        <w:rPr>
          <w:rFonts w:ascii="Book Antiqua" w:hAnsi="Book Antiqua"/>
          <w:i/>
        </w:rPr>
        <w:t>Surg Obes Relat Dis</w:t>
      </w:r>
      <w:r w:rsidRPr="007F12AB">
        <w:rPr>
          <w:rFonts w:ascii="Book Antiqua" w:hAnsi="Book Antiqua"/>
        </w:rPr>
        <w:t xml:space="preserve"> 2019; </w:t>
      </w:r>
      <w:r w:rsidRPr="007F12AB">
        <w:rPr>
          <w:rFonts w:ascii="Book Antiqua" w:hAnsi="Book Antiqua"/>
          <w:b/>
        </w:rPr>
        <w:t>15</w:t>
      </w:r>
      <w:r w:rsidRPr="007F12AB">
        <w:rPr>
          <w:rFonts w:ascii="Book Antiqua" w:hAnsi="Book Antiqua"/>
        </w:rPr>
        <w:t>: 155-157 [PMID: 30477752 DOI: 10.1016/j.soard.2018.10.006]</w:t>
      </w:r>
    </w:p>
    <w:p w14:paraId="170B953F" w14:textId="77777777" w:rsidR="00545767" w:rsidRPr="007F12AB" w:rsidRDefault="00545767" w:rsidP="0026431D">
      <w:pPr>
        <w:spacing w:line="360" w:lineRule="auto"/>
        <w:jc w:val="both"/>
        <w:rPr>
          <w:rFonts w:ascii="Book Antiqua" w:hAnsi="Book Antiqua"/>
        </w:rPr>
      </w:pPr>
      <w:r w:rsidRPr="007F12AB">
        <w:rPr>
          <w:rFonts w:ascii="Book Antiqua" w:hAnsi="Book Antiqua"/>
        </w:rPr>
        <w:t xml:space="preserve">11 </w:t>
      </w:r>
      <w:r w:rsidRPr="007F12AB">
        <w:rPr>
          <w:rFonts w:ascii="Book Antiqua" w:hAnsi="Book Antiqua"/>
          <w:b/>
        </w:rPr>
        <w:t>Haito-Chavez Y</w:t>
      </w:r>
      <w:r w:rsidRPr="007F12AB">
        <w:rPr>
          <w:rFonts w:ascii="Book Antiqua" w:hAnsi="Book Antiqua"/>
        </w:rPr>
        <w:t xml:space="preserve">, Kumbhari V, Ngamruengphong S, De Moura DT, El Zein M, Vieira M, Aguila G, Khashab MA. Septotomy: an adjunct endoscopic treatment for post-sleeve gastrectomy fistulas. </w:t>
      </w:r>
      <w:r w:rsidRPr="007F12AB">
        <w:rPr>
          <w:rFonts w:ascii="Book Antiqua" w:hAnsi="Book Antiqua"/>
          <w:i/>
        </w:rPr>
        <w:t>Gastrointest Endosc</w:t>
      </w:r>
      <w:r w:rsidRPr="007F12AB">
        <w:rPr>
          <w:rFonts w:ascii="Book Antiqua" w:hAnsi="Book Antiqua"/>
        </w:rPr>
        <w:t xml:space="preserve"> 2016; </w:t>
      </w:r>
      <w:r w:rsidRPr="007F12AB">
        <w:rPr>
          <w:rFonts w:ascii="Book Antiqua" w:hAnsi="Book Antiqua"/>
          <w:b/>
        </w:rPr>
        <w:t>83</w:t>
      </w:r>
      <w:r w:rsidRPr="007F12AB">
        <w:rPr>
          <w:rFonts w:ascii="Book Antiqua" w:hAnsi="Book Antiqua"/>
        </w:rPr>
        <w:t>: 456-457 [PMID: 26358326 DOI: 10.1016/j.gie.2015.08.065]</w:t>
      </w:r>
    </w:p>
    <w:p w14:paraId="326961B0" w14:textId="77777777" w:rsidR="00545767" w:rsidRPr="007F12AB" w:rsidRDefault="00545767" w:rsidP="0026431D">
      <w:pPr>
        <w:spacing w:line="360" w:lineRule="auto"/>
        <w:jc w:val="both"/>
        <w:rPr>
          <w:rFonts w:ascii="Book Antiqua" w:hAnsi="Book Antiqua"/>
        </w:rPr>
      </w:pPr>
      <w:r w:rsidRPr="007F12AB">
        <w:rPr>
          <w:rFonts w:ascii="Book Antiqua" w:hAnsi="Book Antiqua"/>
        </w:rPr>
        <w:t xml:space="preserve">12 </w:t>
      </w:r>
      <w:r w:rsidRPr="007F12AB">
        <w:rPr>
          <w:rFonts w:ascii="Book Antiqua" w:hAnsi="Book Antiqua"/>
          <w:b/>
        </w:rPr>
        <w:t>de Moura DTH</w:t>
      </w:r>
      <w:r w:rsidRPr="007F12AB">
        <w:rPr>
          <w:rFonts w:ascii="Book Antiqua" w:hAnsi="Book Antiqua"/>
        </w:rPr>
        <w:t xml:space="preserve">, Sachdev AH, Thompson CC. Endoscopic Full-Thickness Defects and Closure Techniques. </w:t>
      </w:r>
      <w:r w:rsidRPr="007F12AB">
        <w:rPr>
          <w:rFonts w:ascii="Book Antiqua" w:hAnsi="Book Antiqua"/>
          <w:i/>
        </w:rPr>
        <w:t>Curr Treat Options Gastroenterol</w:t>
      </w:r>
      <w:r w:rsidRPr="007F12AB">
        <w:rPr>
          <w:rFonts w:ascii="Book Antiqua" w:hAnsi="Book Antiqua"/>
        </w:rPr>
        <w:t xml:space="preserve"> 2018; </w:t>
      </w:r>
      <w:r w:rsidRPr="007F12AB">
        <w:rPr>
          <w:rFonts w:ascii="Book Antiqua" w:hAnsi="Book Antiqua"/>
          <w:b/>
        </w:rPr>
        <w:t>16</w:t>
      </w:r>
      <w:r w:rsidRPr="007F12AB">
        <w:rPr>
          <w:rFonts w:ascii="Book Antiqua" w:hAnsi="Book Antiqua"/>
        </w:rPr>
        <w:t>: 386-405 [PMID: 30382572 DOI: 10.1007/s11938-018-0199-6]</w:t>
      </w:r>
    </w:p>
    <w:p w14:paraId="0FD56193" w14:textId="77777777" w:rsidR="00545767" w:rsidRPr="007F12AB" w:rsidRDefault="00545767" w:rsidP="0026431D">
      <w:pPr>
        <w:spacing w:line="360" w:lineRule="auto"/>
        <w:jc w:val="both"/>
        <w:rPr>
          <w:rFonts w:ascii="Book Antiqua" w:hAnsi="Book Antiqua"/>
        </w:rPr>
      </w:pPr>
      <w:r w:rsidRPr="007F12AB">
        <w:rPr>
          <w:rFonts w:ascii="Book Antiqua" w:hAnsi="Book Antiqua"/>
        </w:rPr>
        <w:t xml:space="preserve">13 </w:t>
      </w:r>
      <w:r w:rsidRPr="007F12AB">
        <w:rPr>
          <w:rFonts w:ascii="Book Antiqua" w:hAnsi="Book Antiqua"/>
          <w:b/>
        </w:rPr>
        <w:t>de Moura DTH</w:t>
      </w:r>
      <w:r w:rsidRPr="007F12AB">
        <w:rPr>
          <w:rFonts w:ascii="Book Antiqua" w:hAnsi="Book Antiqua"/>
        </w:rPr>
        <w:t xml:space="preserve">, Jirapinyo P, Aihara H, Thompson CC. Endoscopic tunneled stricturotomy in the treatment of stenosis after sleeve gastrectomy. </w:t>
      </w:r>
      <w:r w:rsidRPr="007F12AB">
        <w:rPr>
          <w:rFonts w:ascii="Book Antiqua" w:hAnsi="Book Antiqua"/>
          <w:i/>
        </w:rPr>
        <w:t>VideoGIE</w:t>
      </w:r>
      <w:r w:rsidRPr="007F12AB">
        <w:rPr>
          <w:rFonts w:ascii="Book Antiqua" w:hAnsi="Book Antiqua"/>
        </w:rPr>
        <w:t xml:space="preserve"> 2018; </w:t>
      </w:r>
      <w:r w:rsidRPr="007F12AB">
        <w:rPr>
          <w:rFonts w:ascii="Book Antiqua" w:hAnsi="Book Antiqua"/>
          <w:b/>
        </w:rPr>
        <w:t>4</w:t>
      </w:r>
      <w:r w:rsidRPr="007F12AB">
        <w:rPr>
          <w:rFonts w:ascii="Book Antiqua" w:hAnsi="Book Antiqua"/>
        </w:rPr>
        <w:t>: 68-71 [PMID: 30766946 DOI: 10.1016/j.vgie.2018.09.013]</w:t>
      </w:r>
    </w:p>
    <w:p w14:paraId="080D0691" w14:textId="77777777" w:rsidR="00545767" w:rsidRPr="007F12AB" w:rsidRDefault="00545767" w:rsidP="0026431D">
      <w:pPr>
        <w:spacing w:line="360" w:lineRule="auto"/>
        <w:jc w:val="both"/>
        <w:rPr>
          <w:rFonts w:ascii="Book Antiqua" w:hAnsi="Book Antiqua"/>
        </w:rPr>
      </w:pPr>
      <w:r w:rsidRPr="007F12AB">
        <w:rPr>
          <w:rFonts w:ascii="Book Antiqua" w:hAnsi="Book Antiqua"/>
        </w:rPr>
        <w:t xml:space="preserve">14 </w:t>
      </w:r>
      <w:r w:rsidRPr="007F12AB">
        <w:rPr>
          <w:rFonts w:ascii="Book Antiqua" w:hAnsi="Book Antiqua"/>
          <w:b/>
        </w:rPr>
        <w:t>de Moura EG</w:t>
      </w:r>
      <w:r w:rsidRPr="007F12AB">
        <w:rPr>
          <w:rFonts w:ascii="Book Antiqua" w:hAnsi="Book Antiqua"/>
        </w:rPr>
        <w:t xml:space="preserve">, Galvão-Neto MP, Ramos AC, de Moura ET, Galvão TD, de Moura DT, Ferreira FC. Extreme bariatric endoscopy: stenting to reconnect the pouch to the gastrojejunostomy after a Roux-en-Y gastric bypass. </w:t>
      </w:r>
      <w:r w:rsidRPr="007F12AB">
        <w:rPr>
          <w:rFonts w:ascii="Book Antiqua" w:hAnsi="Book Antiqua"/>
          <w:i/>
        </w:rPr>
        <w:t>Surg Endosc</w:t>
      </w:r>
      <w:r w:rsidRPr="007F12AB">
        <w:rPr>
          <w:rFonts w:ascii="Book Antiqua" w:hAnsi="Book Antiqua"/>
        </w:rPr>
        <w:t xml:space="preserve"> 2012; </w:t>
      </w:r>
      <w:r w:rsidRPr="007F12AB">
        <w:rPr>
          <w:rFonts w:ascii="Book Antiqua" w:hAnsi="Book Antiqua"/>
          <w:b/>
        </w:rPr>
        <w:t>26</w:t>
      </w:r>
      <w:r w:rsidRPr="007F12AB">
        <w:rPr>
          <w:rFonts w:ascii="Book Antiqua" w:hAnsi="Book Antiqua"/>
        </w:rPr>
        <w:t>: 1481-1484 [PMID: 22179450 DOI: 10.1007/s00464-011-2060-z]</w:t>
      </w:r>
    </w:p>
    <w:p w14:paraId="76C1AB0F" w14:textId="77777777" w:rsidR="00545767" w:rsidRPr="007F12AB" w:rsidRDefault="00545767" w:rsidP="0026431D">
      <w:pPr>
        <w:spacing w:line="360" w:lineRule="auto"/>
        <w:jc w:val="both"/>
        <w:rPr>
          <w:rFonts w:ascii="Book Antiqua" w:hAnsi="Book Antiqua"/>
        </w:rPr>
      </w:pPr>
      <w:r w:rsidRPr="007F12AB">
        <w:rPr>
          <w:rFonts w:ascii="Book Antiqua" w:hAnsi="Book Antiqua"/>
        </w:rPr>
        <w:t xml:space="preserve">15 </w:t>
      </w:r>
      <w:r w:rsidRPr="007F12AB">
        <w:rPr>
          <w:rFonts w:ascii="Book Antiqua" w:hAnsi="Book Antiqua"/>
          <w:b/>
        </w:rPr>
        <w:t>Buchwald H</w:t>
      </w:r>
      <w:r w:rsidRPr="007F12AB">
        <w:rPr>
          <w:rFonts w:ascii="Book Antiqua" w:hAnsi="Book Antiqua"/>
        </w:rPr>
        <w:t xml:space="preserve">, Oien DM. Metabolic/bariatric surgery worldwide 2011. </w:t>
      </w:r>
      <w:r w:rsidRPr="007F12AB">
        <w:rPr>
          <w:rFonts w:ascii="Book Antiqua" w:hAnsi="Book Antiqua"/>
          <w:i/>
        </w:rPr>
        <w:t>Obes Surg</w:t>
      </w:r>
      <w:r w:rsidRPr="007F12AB">
        <w:rPr>
          <w:rFonts w:ascii="Book Antiqua" w:hAnsi="Book Antiqua"/>
        </w:rPr>
        <w:t xml:space="preserve"> 2013; </w:t>
      </w:r>
      <w:r w:rsidRPr="007F12AB">
        <w:rPr>
          <w:rFonts w:ascii="Book Antiqua" w:hAnsi="Book Antiqua"/>
          <w:b/>
        </w:rPr>
        <w:t>23</w:t>
      </w:r>
      <w:r w:rsidRPr="007F12AB">
        <w:rPr>
          <w:rFonts w:ascii="Book Antiqua" w:hAnsi="Book Antiqua"/>
        </w:rPr>
        <w:t>: 427-436 [PMID: 23338049 DOI: 10.1007/s11695-012-0864-0]</w:t>
      </w:r>
    </w:p>
    <w:p w14:paraId="7ECC5C1A" w14:textId="77777777" w:rsidR="00545767" w:rsidRPr="007F12AB" w:rsidRDefault="00545767" w:rsidP="0026431D">
      <w:pPr>
        <w:spacing w:line="360" w:lineRule="auto"/>
        <w:jc w:val="both"/>
        <w:rPr>
          <w:rFonts w:ascii="Book Antiqua" w:hAnsi="Book Antiqua"/>
        </w:rPr>
      </w:pPr>
      <w:r w:rsidRPr="007F12AB">
        <w:rPr>
          <w:rFonts w:ascii="Book Antiqua" w:hAnsi="Book Antiqua"/>
        </w:rPr>
        <w:t xml:space="preserve">16 </w:t>
      </w:r>
      <w:r w:rsidRPr="007F12AB">
        <w:rPr>
          <w:rFonts w:ascii="Book Antiqua" w:hAnsi="Book Antiqua"/>
          <w:b/>
        </w:rPr>
        <w:t>Madruga-Neto AC</w:t>
      </w:r>
      <w:r w:rsidRPr="007F12AB">
        <w:rPr>
          <w:rFonts w:ascii="Book Antiqua" w:hAnsi="Book Antiqua"/>
        </w:rPr>
        <w:t xml:space="preserve">, Bernardo WM, de Moura DTH, Brunaldi VO, Martins RK, Josino IR, de Moura ETH, de Souza TF, Santo MA, de Moura EGH. The Effectiveness of Endoscopic Gastroplasty for Obesity Treatment According to FDA Thresholds: Systematic Review and Meta-Analysis Based on Randomized Controlled Trials. </w:t>
      </w:r>
      <w:r w:rsidRPr="007F12AB">
        <w:rPr>
          <w:rFonts w:ascii="Book Antiqua" w:hAnsi="Book Antiqua"/>
          <w:i/>
        </w:rPr>
        <w:t>Obes Surg</w:t>
      </w:r>
      <w:r w:rsidRPr="007F12AB">
        <w:rPr>
          <w:rFonts w:ascii="Book Antiqua" w:hAnsi="Book Antiqua"/>
        </w:rPr>
        <w:t xml:space="preserve"> 2018; </w:t>
      </w:r>
      <w:r w:rsidRPr="007F12AB">
        <w:rPr>
          <w:rFonts w:ascii="Book Antiqua" w:hAnsi="Book Antiqua"/>
          <w:b/>
        </w:rPr>
        <w:t>28</w:t>
      </w:r>
      <w:r w:rsidRPr="007F12AB">
        <w:rPr>
          <w:rFonts w:ascii="Book Antiqua" w:hAnsi="Book Antiqua"/>
        </w:rPr>
        <w:t>: 2932-2940 [PMID: 29909512 DOI: 10.1007/s11695-018-3335-4]</w:t>
      </w:r>
    </w:p>
    <w:p w14:paraId="00F642D1" w14:textId="77777777" w:rsidR="00545767" w:rsidRPr="007F12AB" w:rsidRDefault="00545767" w:rsidP="0026431D">
      <w:pPr>
        <w:spacing w:line="360" w:lineRule="auto"/>
        <w:jc w:val="both"/>
        <w:rPr>
          <w:rFonts w:ascii="Book Antiqua" w:hAnsi="Book Antiqua"/>
        </w:rPr>
      </w:pPr>
      <w:r w:rsidRPr="007F12AB">
        <w:rPr>
          <w:rFonts w:ascii="Book Antiqua" w:hAnsi="Book Antiqua"/>
        </w:rPr>
        <w:t xml:space="preserve">17 </w:t>
      </w:r>
      <w:r w:rsidRPr="007F12AB">
        <w:rPr>
          <w:rFonts w:ascii="Book Antiqua" w:hAnsi="Book Antiqua"/>
          <w:b/>
        </w:rPr>
        <w:t>Vilar-Gomez E</w:t>
      </w:r>
      <w:r w:rsidRPr="007F12AB">
        <w:rPr>
          <w:rFonts w:ascii="Book Antiqua" w:hAnsi="Book Antiqua"/>
        </w:rPr>
        <w:t xml:space="preserve">, Martinez-Perez Y, Calzadilla-Bertot L, Torres-Gonzalez A, Gra-Oramas B, Gonzalez-Fabian L, Friedman SL, Diago M, Romero-Gomez M. Weight Loss Through Lifestyle Modification Significantly Reduces Features of </w:t>
      </w:r>
      <w:r w:rsidRPr="007F12AB">
        <w:rPr>
          <w:rFonts w:ascii="Book Antiqua" w:hAnsi="Book Antiqua"/>
        </w:rPr>
        <w:lastRenderedPageBreak/>
        <w:t xml:space="preserve">Nonalcoholic Steatohepatitis. </w:t>
      </w:r>
      <w:r w:rsidRPr="007F12AB">
        <w:rPr>
          <w:rFonts w:ascii="Book Antiqua" w:hAnsi="Book Antiqua"/>
          <w:i/>
        </w:rPr>
        <w:t>Gastroenterology</w:t>
      </w:r>
      <w:r w:rsidRPr="007F12AB">
        <w:rPr>
          <w:rFonts w:ascii="Book Antiqua" w:hAnsi="Book Antiqua"/>
        </w:rPr>
        <w:t xml:space="preserve"> 2015; </w:t>
      </w:r>
      <w:r w:rsidRPr="007F12AB">
        <w:rPr>
          <w:rFonts w:ascii="Book Antiqua" w:hAnsi="Book Antiqua"/>
          <w:b/>
        </w:rPr>
        <w:t>149</w:t>
      </w:r>
      <w:r w:rsidRPr="007F12AB">
        <w:rPr>
          <w:rFonts w:ascii="Book Antiqua" w:hAnsi="Book Antiqua"/>
        </w:rPr>
        <w:t>: 367-78.e5; quiz e14-5 [PMID: 25865049 DOI: 10.1053/j.gastro.2015.04.005]</w:t>
      </w:r>
    </w:p>
    <w:p w14:paraId="026DF8A9" w14:textId="77777777" w:rsidR="00545767" w:rsidRPr="007F12AB" w:rsidRDefault="00545767" w:rsidP="0026431D">
      <w:pPr>
        <w:spacing w:line="360" w:lineRule="auto"/>
        <w:jc w:val="both"/>
        <w:rPr>
          <w:rFonts w:ascii="Book Antiqua" w:hAnsi="Book Antiqua"/>
        </w:rPr>
      </w:pPr>
      <w:r w:rsidRPr="007F12AB">
        <w:rPr>
          <w:rFonts w:ascii="Book Antiqua" w:hAnsi="Book Antiqua"/>
        </w:rPr>
        <w:t xml:space="preserve">18 </w:t>
      </w:r>
      <w:r w:rsidRPr="007F12AB">
        <w:rPr>
          <w:rFonts w:ascii="Book Antiqua" w:hAnsi="Book Antiqua"/>
          <w:b/>
        </w:rPr>
        <w:t>Daniel S</w:t>
      </w:r>
      <w:r w:rsidRPr="007F12AB">
        <w:rPr>
          <w:rFonts w:ascii="Book Antiqua" w:hAnsi="Book Antiqua"/>
        </w:rPr>
        <w:t xml:space="preserve">, Soleymani T, Garvey WT. A complications-based clinical staging of obesity to guide treatment modality and intensity. </w:t>
      </w:r>
      <w:r w:rsidRPr="007F12AB">
        <w:rPr>
          <w:rFonts w:ascii="Book Antiqua" w:hAnsi="Book Antiqua"/>
          <w:i/>
        </w:rPr>
        <w:t>Curr Opin Endocrinol Diabetes Obes</w:t>
      </w:r>
      <w:r w:rsidRPr="007F12AB">
        <w:rPr>
          <w:rFonts w:ascii="Book Antiqua" w:hAnsi="Book Antiqua"/>
        </w:rPr>
        <w:t xml:space="preserve"> 2013; </w:t>
      </w:r>
      <w:r w:rsidRPr="007F12AB">
        <w:rPr>
          <w:rFonts w:ascii="Book Antiqua" w:hAnsi="Book Antiqua"/>
          <w:b/>
        </w:rPr>
        <w:t>20</w:t>
      </w:r>
      <w:r w:rsidRPr="007F12AB">
        <w:rPr>
          <w:rFonts w:ascii="Book Antiqua" w:hAnsi="Book Antiqua"/>
        </w:rPr>
        <w:t>: 377-388 [PMID: 23974764 DOI: 10.1097/01.med.0000433067.01671.f5]</w:t>
      </w:r>
    </w:p>
    <w:p w14:paraId="4FE92FBB" w14:textId="77777777" w:rsidR="00545767" w:rsidRPr="007F12AB" w:rsidRDefault="00545767" w:rsidP="0026431D">
      <w:pPr>
        <w:spacing w:line="360" w:lineRule="auto"/>
        <w:jc w:val="both"/>
        <w:rPr>
          <w:rFonts w:ascii="Book Antiqua" w:hAnsi="Book Antiqua"/>
        </w:rPr>
      </w:pPr>
      <w:r w:rsidRPr="007F12AB">
        <w:rPr>
          <w:rFonts w:ascii="Book Antiqua" w:hAnsi="Book Antiqua"/>
        </w:rPr>
        <w:t xml:space="preserve">19 </w:t>
      </w:r>
      <w:r w:rsidRPr="007F12AB">
        <w:rPr>
          <w:rFonts w:ascii="Book Antiqua" w:hAnsi="Book Antiqua"/>
          <w:b/>
        </w:rPr>
        <w:t>Wing RR</w:t>
      </w:r>
      <w:r w:rsidRPr="007F12AB">
        <w:rPr>
          <w:rFonts w:ascii="Book Antiqua" w:hAnsi="Book Antiqua"/>
        </w:rPr>
        <w:t xml:space="preserve">, Espeland MA, Clark JM, Hazuda HP, Knowler WC, Pownall HJ, Unick J, Wadden T, Wagenknecht L; Action for Health in Diabetes (Look AHEAD) Study Group. Association of Weight Loss Maintenance and Weight Regain on 4-Year Changes in CVD Risk Factors: the Action for Health in Diabetes (Look AHEAD) Clinical Trial. </w:t>
      </w:r>
      <w:r w:rsidRPr="007F12AB">
        <w:rPr>
          <w:rFonts w:ascii="Book Antiqua" w:hAnsi="Book Antiqua"/>
          <w:i/>
        </w:rPr>
        <w:t>Diabetes Care</w:t>
      </w:r>
      <w:r w:rsidRPr="007F12AB">
        <w:rPr>
          <w:rFonts w:ascii="Book Antiqua" w:hAnsi="Book Antiqua"/>
        </w:rPr>
        <w:t xml:space="preserve"> 2016; </w:t>
      </w:r>
      <w:r w:rsidRPr="007F12AB">
        <w:rPr>
          <w:rFonts w:ascii="Book Antiqua" w:hAnsi="Book Antiqua"/>
          <w:b/>
        </w:rPr>
        <w:t>39</w:t>
      </w:r>
      <w:r w:rsidRPr="007F12AB">
        <w:rPr>
          <w:rFonts w:ascii="Book Antiqua" w:hAnsi="Book Antiqua"/>
        </w:rPr>
        <w:t>: 1345-1355 [PMID: 27271190 DOI: 10.2337/dc16-0509]</w:t>
      </w:r>
    </w:p>
    <w:p w14:paraId="3FD8F116" w14:textId="77777777" w:rsidR="00545767" w:rsidRPr="007F12AB" w:rsidRDefault="00545767" w:rsidP="0026431D">
      <w:pPr>
        <w:spacing w:line="360" w:lineRule="auto"/>
        <w:jc w:val="both"/>
        <w:rPr>
          <w:rFonts w:ascii="Book Antiqua" w:hAnsi="Book Antiqua"/>
        </w:rPr>
      </w:pPr>
      <w:r w:rsidRPr="007F12AB">
        <w:rPr>
          <w:rFonts w:ascii="Book Antiqua" w:hAnsi="Book Antiqua"/>
        </w:rPr>
        <w:t xml:space="preserve">20 </w:t>
      </w:r>
      <w:r w:rsidRPr="007F12AB">
        <w:rPr>
          <w:rFonts w:ascii="Book Antiqua" w:hAnsi="Book Antiqua"/>
          <w:b/>
        </w:rPr>
        <w:t>Moura D</w:t>
      </w:r>
      <w:r w:rsidRPr="007F12AB">
        <w:rPr>
          <w:rFonts w:ascii="Book Antiqua" w:hAnsi="Book Antiqua"/>
        </w:rPr>
        <w:t xml:space="preserve">, Oliveira J, De Moura EG, Bernardo W, Galvão Neto M, Campos J, Popov VB, Thompson C. Effectiveness of intragastric balloon for obesity: A systematic review and meta-analysis based on randomized control trials. </w:t>
      </w:r>
      <w:r w:rsidRPr="007F12AB">
        <w:rPr>
          <w:rFonts w:ascii="Book Antiqua" w:hAnsi="Book Antiqua"/>
          <w:i/>
        </w:rPr>
        <w:t>Surg Obes Relat Dis</w:t>
      </w:r>
      <w:r w:rsidRPr="007F12AB">
        <w:rPr>
          <w:rFonts w:ascii="Book Antiqua" w:hAnsi="Book Antiqua"/>
        </w:rPr>
        <w:t xml:space="preserve"> 2016; </w:t>
      </w:r>
      <w:r w:rsidRPr="007F12AB">
        <w:rPr>
          <w:rFonts w:ascii="Book Antiqua" w:hAnsi="Book Antiqua"/>
          <w:b/>
        </w:rPr>
        <w:t>12</w:t>
      </w:r>
      <w:r w:rsidRPr="007F12AB">
        <w:rPr>
          <w:rFonts w:ascii="Book Antiqua" w:hAnsi="Book Antiqua"/>
        </w:rPr>
        <w:t>: 420-429 [PMID: 26968503 DOI: 10.1016/j.soard.2015.10.077]</w:t>
      </w:r>
    </w:p>
    <w:p w14:paraId="00A5A38D" w14:textId="77777777" w:rsidR="00545767" w:rsidRPr="007F12AB" w:rsidRDefault="00545767" w:rsidP="0026431D">
      <w:pPr>
        <w:spacing w:line="360" w:lineRule="auto"/>
        <w:jc w:val="both"/>
        <w:rPr>
          <w:rFonts w:ascii="Book Antiqua" w:hAnsi="Book Antiqua"/>
        </w:rPr>
      </w:pPr>
      <w:r w:rsidRPr="007F12AB">
        <w:rPr>
          <w:rFonts w:ascii="Book Antiqua" w:hAnsi="Book Antiqua"/>
        </w:rPr>
        <w:t xml:space="preserve">21 </w:t>
      </w:r>
      <w:r w:rsidRPr="007F12AB">
        <w:rPr>
          <w:rFonts w:ascii="Book Antiqua" w:hAnsi="Book Antiqua"/>
          <w:b/>
        </w:rPr>
        <w:t>Bustamante F</w:t>
      </w:r>
      <w:r w:rsidRPr="007F12AB">
        <w:rPr>
          <w:rFonts w:ascii="Book Antiqua" w:hAnsi="Book Antiqua"/>
        </w:rPr>
        <w:t xml:space="preserve">, Brunaldi VO, Bernardo WM, de Moura DTH, de Moura ETH, Galvão M, Santo MA, de Moura EGH. Obesity Treatment with Botulinum Toxin-A Is Not Effective: a Systematic Review and Meta-Analysis. </w:t>
      </w:r>
      <w:r w:rsidRPr="007F12AB">
        <w:rPr>
          <w:rFonts w:ascii="Book Antiqua" w:hAnsi="Book Antiqua"/>
          <w:i/>
        </w:rPr>
        <w:t>Obes Surg</w:t>
      </w:r>
      <w:r w:rsidRPr="007F12AB">
        <w:rPr>
          <w:rFonts w:ascii="Book Antiqua" w:hAnsi="Book Antiqua"/>
        </w:rPr>
        <w:t xml:space="preserve"> 2017; </w:t>
      </w:r>
      <w:r w:rsidRPr="007F12AB">
        <w:rPr>
          <w:rFonts w:ascii="Book Antiqua" w:hAnsi="Book Antiqua"/>
          <w:b/>
        </w:rPr>
        <w:t>27</w:t>
      </w:r>
      <w:r w:rsidRPr="007F12AB">
        <w:rPr>
          <w:rFonts w:ascii="Book Antiqua" w:hAnsi="Book Antiqua"/>
        </w:rPr>
        <w:t>: 2716-2723 [PMID: 28812212 DOI: 10.1007/s11695-017-2857-5]</w:t>
      </w:r>
    </w:p>
    <w:p w14:paraId="6D80016E" w14:textId="77777777" w:rsidR="00545767" w:rsidRPr="007F12AB" w:rsidRDefault="00545767" w:rsidP="0026431D">
      <w:pPr>
        <w:spacing w:line="360" w:lineRule="auto"/>
        <w:jc w:val="both"/>
        <w:rPr>
          <w:rFonts w:ascii="Book Antiqua" w:hAnsi="Book Antiqua"/>
        </w:rPr>
      </w:pPr>
      <w:r w:rsidRPr="007F12AB">
        <w:rPr>
          <w:rFonts w:ascii="Book Antiqua" w:hAnsi="Book Antiqua"/>
        </w:rPr>
        <w:t xml:space="preserve">22 </w:t>
      </w:r>
      <w:r w:rsidRPr="007F12AB">
        <w:rPr>
          <w:rFonts w:ascii="Book Antiqua" w:hAnsi="Book Antiqua"/>
          <w:b/>
        </w:rPr>
        <w:t>Hourneaux De Moura DT</w:t>
      </w:r>
      <w:r w:rsidRPr="007F12AB">
        <w:rPr>
          <w:rFonts w:ascii="Book Antiqua" w:hAnsi="Book Antiqua"/>
        </w:rPr>
        <w:t xml:space="preserve">, Thompson CC. Endoscopic management of weight regain following Roux-en-Y gastric bypass. </w:t>
      </w:r>
      <w:r w:rsidRPr="007F12AB">
        <w:rPr>
          <w:rFonts w:ascii="Book Antiqua" w:hAnsi="Book Antiqua"/>
          <w:i/>
        </w:rPr>
        <w:t>Expert Rev Endocrinol Metab</w:t>
      </w:r>
      <w:r w:rsidRPr="007F12AB">
        <w:rPr>
          <w:rFonts w:ascii="Book Antiqua" w:hAnsi="Book Antiqua"/>
        </w:rPr>
        <w:t xml:space="preserve"> 2019; </w:t>
      </w:r>
      <w:r w:rsidRPr="007F12AB">
        <w:rPr>
          <w:rFonts w:ascii="Book Antiqua" w:hAnsi="Book Antiqua"/>
          <w:b/>
        </w:rPr>
        <w:t>14</w:t>
      </w:r>
      <w:r w:rsidRPr="007F12AB">
        <w:rPr>
          <w:rFonts w:ascii="Book Antiqua" w:hAnsi="Book Antiqua"/>
        </w:rPr>
        <w:t>: 97-110 [PMID: 30691326 DOI: 10.1080/17446651.2019.1571907]</w:t>
      </w:r>
    </w:p>
    <w:p w14:paraId="62C3D56B" w14:textId="77777777" w:rsidR="00545767" w:rsidRPr="007F12AB" w:rsidRDefault="00545767" w:rsidP="0026431D">
      <w:pPr>
        <w:spacing w:line="360" w:lineRule="auto"/>
        <w:jc w:val="both"/>
        <w:rPr>
          <w:rFonts w:ascii="Book Antiqua" w:hAnsi="Book Antiqua"/>
        </w:rPr>
      </w:pPr>
      <w:r w:rsidRPr="007F12AB">
        <w:rPr>
          <w:rFonts w:ascii="Book Antiqua" w:hAnsi="Book Antiqua"/>
        </w:rPr>
        <w:t xml:space="preserve">23 </w:t>
      </w:r>
      <w:r w:rsidRPr="007F12AB">
        <w:rPr>
          <w:rFonts w:ascii="Book Antiqua" w:hAnsi="Book Antiqua"/>
          <w:b/>
        </w:rPr>
        <w:t>Brunaldi VO</w:t>
      </w:r>
      <w:r w:rsidRPr="007F12AB">
        <w:rPr>
          <w:rFonts w:ascii="Book Antiqua" w:hAnsi="Book Antiqua"/>
        </w:rPr>
        <w:t xml:space="preserve">, Jirapinyo P, de Moura DTH, Okazaki O, Bernardo WM, Galvão Neto M, Campos JM, Santo MA, de Moura EGH. Endoscopic Treatment of Weight Regain Following Roux-en-Y Gastric Bypass: a Systematic Review and Meta-analysis. </w:t>
      </w:r>
      <w:r w:rsidRPr="007F12AB">
        <w:rPr>
          <w:rFonts w:ascii="Book Antiqua" w:hAnsi="Book Antiqua"/>
          <w:i/>
        </w:rPr>
        <w:t>Obes Surg</w:t>
      </w:r>
      <w:r w:rsidRPr="007F12AB">
        <w:rPr>
          <w:rFonts w:ascii="Book Antiqua" w:hAnsi="Book Antiqua"/>
        </w:rPr>
        <w:t xml:space="preserve"> 2018; </w:t>
      </w:r>
      <w:r w:rsidRPr="007F12AB">
        <w:rPr>
          <w:rFonts w:ascii="Book Antiqua" w:hAnsi="Book Antiqua"/>
          <w:b/>
        </w:rPr>
        <w:t>28</w:t>
      </w:r>
      <w:r w:rsidRPr="007F12AB">
        <w:rPr>
          <w:rFonts w:ascii="Book Antiqua" w:hAnsi="Book Antiqua"/>
        </w:rPr>
        <w:t>: 266-276 [PMID: 29082456 DOI: 10.1007/s11695-017-2986-x]</w:t>
      </w:r>
    </w:p>
    <w:p w14:paraId="0DDF4403" w14:textId="77777777" w:rsidR="00545767" w:rsidRPr="007F12AB" w:rsidRDefault="00545767" w:rsidP="0026431D">
      <w:pPr>
        <w:spacing w:line="360" w:lineRule="auto"/>
        <w:jc w:val="both"/>
        <w:rPr>
          <w:rFonts w:ascii="Book Antiqua" w:hAnsi="Book Antiqua"/>
        </w:rPr>
      </w:pPr>
      <w:r w:rsidRPr="007F12AB">
        <w:rPr>
          <w:rFonts w:ascii="Book Antiqua" w:hAnsi="Book Antiqua"/>
        </w:rPr>
        <w:lastRenderedPageBreak/>
        <w:t xml:space="preserve">24 </w:t>
      </w:r>
      <w:r w:rsidRPr="007F12AB">
        <w:rPr>
          <w:rFonts w:ascii="Book Antiqua" w:hAnsi="Book Antiqua"/>
          <w:b/>
        </w:rPr>
        <w:t>ASGE/ASMBS Task Force on Endoscopic Bariatric Therapy.</w:t>
      </w:r>
      <w:r w:rsidRPr="007F12AB">
        <w:rPr>
          <w:rFonts w:ascii="Book Antiqua" w:hAnsi="Book Antiqua"/>
        </w:rPr>
        <w:t xml:space="preserve">. A pathway to endoscopic bariatric therapies. </w:t>
      </w:r>
      <w:r w:rsidRPr="007F12AB">
        <w:rPr>
          <w:rFonts w:ascii="Book Antiqua" w:hAnsi="Book Antiqua"/>
          <w:i/>
        </w:rPr>
        <w:t>Surg Obes Relat Dis</w:t>
      </w:r>
      <w:r w:rsidRPr="007F12AB">
        <w:rPr>
          <w:rFonts w:ascii="Book Antiqua" w:hAnsi="Book Antiqua"/>
        </w:rPr>
        <w:t xml:space="preserve"> 2011; </w:t>
      </w:r>
      <w:r w:rsidRPr="007F12AB">
        <w:rPr>
          <w:rFonts w:ascii="Book Antiqua" w:hAnsi="Book Antiqua"/>
          <w:b/>
        </w:rPr>
        <w:t>7</w:t>
      </w:r>
      <w:r w:rsidRPr="007F12AB">
        <w:rPr>
          <w:rFonts w:ascii="Book Antiqua" w:hAnsi="Book Antiqua"/>
        </w:rPr>
        <w:t>: 672-682 [PMID: 22082971 DOI: 10.1016/j.soard.2011.09.008]</w:t>
      </w:r>
    </w:p>
    <w:p w14:paraId="4940EE45" w14:textId="77777777" w:rsidR="00545767" w:rsidRPr="007F12AB" w:rsidRDefault="00545767" w:rsidP="0026431D">
      <w:pPr>
        <w:spacing w:line="360" w:lineRule="auto"/>
        <w:jc w:val="both"/>
        <w:rPr>
          <w:rFonts w:ascii="Book Antiqua" w:hAnsi="Book Antiqua"/>
        </w:rPr>
      </w:pPr>
      <w:r w:rsidRPr="007F12AB">
        <w:rPr>
          <w:rFonts w:ascii="Book Antiqua" w:hAnsi="Book Antiqua"/>
        </w:rPr>
        <w:t xml:space="preserve">25 </w:t>
      </w:r>
      <w:r w:rsidRPr="007F12AB">
        <w:rPr>
          <w:rFonts w:ascii="Book Antiqua" w:hAnsi="Book Antiqua"/>
          <w:b/>
        </w:rPr>
        <w:t>ASGE/ASMBS Task Force on Endoscopic Bariatric Therapy.</w:t>
      </w:r>
      <w:r w:rsidRPr="007F12AB">
        <w:rPr>
          <w:rFonts w:ascii="Book Antiqua" w:hAnsi="Book Antiqua"/>
        </w:rPr>
        <w:t xml:space="preserve">, Ginsberg GG, Chand B, Cote GA, Dallal RM, Edmundowicz SA, Nguyen NT, Pryor A, Thompson CC. A pathway to endoscopic bariatric therapies. </w:t>
      </w:r>
      <w:r w:rsidRPr="007F12AB">
        <w:rPr>
          <w:rFonts w:ascii="Book Antiqua" w:hAnsi="Book Antiqua"/>
          <w:i/>
        </w:rPr>
        <w:t>Gastrointest Endosc</w:t>
      </w:r>
      <w:r w:rsidRPr="007F12AB">
        <w:rPr>
          <w:rFonts w:ascii="Book Antiqua" w:hAnsi="Book Antiqua"/>
        </w:rPr>
        <w:t xml:space="preserve"> 2011; </w:t>
      </w:r>
      <w:r w:rsidRPr="007F12AB">
        <w:rPr>
          <w:rFonts w:ascii="Book Antiqua" w:hAnsi="Book Antiqua"/>
          <w:b/>
        </w:rPr>
        <w:t>74</w:t>
      </w:r>
      <w:r w:rsidRPr="007F12AB">
        <w:rPr>
          <w:rFonts w:ascii="Book Antiqua" w:hAnsi="Book Antiqua"/>
        </w:rPr>
        <w:t>: 943-953 [PMID: 22032311 DOI: 10.1016/j.gie.2011.08.053]</w:t>
      </w:r>
    </w:p>
    <w:p w14:paraId="5B01BC55" w14:textId="77777777" w:rsidR="00545767" w:rsidRPr="007F12AB" w:rsidRDefault="00545767" w:rsidP="0026431D">
      <w:pPr>
        <w:spacing w:line="360" w:lineRule="auto"/>
        <w:jc w:val="both"/>
        <w:rPr>
          <w:rFonts w:ascii="Book Antiqua" w:hAnsi="Book Antiqua"/>
        </w:rPr>
      </w:pPr>
      <w:r w:rsidRPr="007F12AB">
        <w:rPr>
          <w:rFonts w:ascii="Book Antiqua" w:hAnsi="Book Antiqua"/>
        </w:rPr>
        <w:t xml:space="preserve">26 </w:t>
      </w:r>
      <w:r w:rsidRPr="007F12AB">
        <w:rPr>
          <w:rFonts w:ascii="Book Antiqua" w:hAnsi="Book Antiqua"/>
          <w:b/>
        </w:rPr>
        <w:t>ASGE Bariatric Endoscopy Task Force and ASGE Technology Committee.</w:t>
      </w:r>
      <w:r w:rsidRPr="007F12AB">
        <w:rPr>
          <w:rFonts w:ascii="Book Antiqua" w:hAnsi="Book Antiqua"/>
        </w:rPr>
        <w:t xml:space="preserve">, Abu Dayyeh BK, Kumar N, Edmundowicz SA, Jonnalagadda S, Larsen M, Sullivan S, Thompson CC, Banerjee S. ASGE Bariatric Endoscopy Task Force systematic review and meta-analysis assessing the ASGE PIVI thresholds for adopting endoscopic bariatric therapies. </w:t>
      </w:r>
      <w:r w:rsidRPr="007F12AB">
        <w:rPr>
          <w:rFonts w:ascii="Book Antiqua" w:hAnsi="Book Antiqua"/>
          <w:i/>
        </w:rPr>
        <w:t>Gastrointest Endosc</w:t>
      </w:r>
      <w:r w:rsidRPr="007F12AB">
        <w:rPr>
          <w:rFonts w:ascii="Book Antiqua" w:hAnsi="Book Antiqua"/>
        </w:rPr>
        <w:t xml:space="preserve"> 2015; </w:t>
      </w:r>
      <w:r w:rsidRPr="007F12AB">
        <w:rPr>
          <w:rFonts w:ascii="Book Antiqua" w:hAnsi="Book Antiqua"/>
          <w:b/>
        </w:rPr>
        <w:t>82</w:t>
      </w:r>
      <w:r w:rsidRPr="007F12AB">
        <w:rPr>
          <w:rFonts w:ascii="Book Antiqua" w:hAnsi="Book Antiqua"/>
        </w:rPr>
        <w:t>: 425-38.e5 [PMID: 26232362 DOI: 10.1016/j.gie.2015.03.1964]</w:t>
      </w:r>
    </w:p>
    <w:p w14:paraId="6CA2FEF7" w14:textId="77777777" w:rsidR="00545767" w:rsidRPr="007F12AB" w:rsidRDefault="00545767" w:rsidP="0026431D">
      <w:pPr>
        <w:spacing w:line="360" w:lineRule="auto"/>
        <w:jc w:val="both"/>
        <w:rPr>
          <w:rFonts w:ascii="Book Antiqua" w:hAnsi="Book Antiqua"/>
        </w:rPr>
      </w:pPr>
      <w:r w:rsidRPr="007F12AB">
        <w:rPr>
          <w:rFonts w:ascii="Book Antiqua" w:hAnsi="Book Antiqua"/>
        </w:rPr>
        <w:t xml:space="preserve">27 </w:t>
      </w:r>
      <w:r w:rsidRPr="007F12AB">
        <w:rPr>
          <w:rFonts w:ascii="Book Antiqua" w:hAnsi="Book Antiqua"/>
          <w:b/>
        </w:rPr>
        <w:t>Lopez-Nava G</w:t>
      </w:r>
      <w:r w:rsidRPr="007F12AB">
        <w:rPr>
          <w:rFonts w:ascii="Book Antiqua" w:hAnsi="Book Antiqua"/>
        </w:rPr>
        <w:t xml:space="preserve">, Galvão MP, Bautista-Castaño I, Jimenez-Baños A, Fernandez-Corbelle JP. Endoscopic Sleeve Gastroplasty: How I Do It? </w:t>
      </w:r>
      <w:r w:rsidRPr="007F12AB">
        <w:rPr>
          <w:rFonts w:ascii="Book Antiqua" w:hAnsi="Book Antiqua"/>
          <w:i/>
        </w:rPr>
        <w:t>Obes Surg</w:t>
      </w:r>
      <w:r w:rsidRPr="007F12AB">
        <w:rPr>
          <w:rFonts w:ascii="Book Antiqua" w:hAnsi="Book Antiqua"/>
        </w:rPr>
        <w:t xml:space="preserve"> 2015; </w:t>
      </w:r>
      <w:r w:rsidRPr="007F12AB">
        <w:rPr>
          <w:rFonts w:ascii="Book Antiqua" w:hAnsi="Book Antiqua"/>
          <w:b/>
        </w:rPr>
        <w:t>25</w:t>
      </w:r>
      <w:r w:rsidRPr="007F12AB">
        <w:rPr>
          <w:rFonts w:ascii="Book Antiqua" w:hAnsi="Book Antiqua"/>
        </w:rPr>
        <w:t>: 1534-1538 [PMID: 26003549 DOI: 10.1007/s11695-015-1714-7]</w:t>
      </w:r>
    </w:p>
    <w:p w14:paraId="441C2DC3" w14:textId="184945FA" w:rsidR="00545767" w:rsidRPr="007F12AB" w:rsidRDefault="00545767" w:rsidP="0026431D">
      <w:pPr>
        <w:spacing w:line="360" w:lineRule="auto"/>
        <w:jc w:val="both"/>
        <w:rPr>
          <w:rFonts w:ascii="Book Antiqua" w:hAnsi="Book Antiqua"/>
        </w:rPr>
      </w:pPr>
      <w:r w:rsidRPr="007F12AB">
        <w:rPr>
          <w:rFonts w:ascii="Book Antiqua" w:hAnsi="Book Antiqua"/>
        </w:rPr>
        <w:t xml:space="preserve">28 </w:t>
      </w:r>
      <w:r w:rsidRPr="007F12AB">
        <w:rPr>
          <w:rFonts w:ascii="Book Antiqua" w:hAnsi="Book Antiqua"/>
          <w:b/>
        </w:rPr>
        <w:t>Kumar N,</w:t>
      </w:r>
      <w:r w:rsidRPr="007F12AB">
        <w:rPr>
          <w:rFonts w:ascii="Book Antiqua" w:hAnsi="Book Antiqua"/>
        </w:rPr>
        <w:t xml:space="preserve"> Lopez-Nava G, Sahdala HNP, Manoel GN, Sharaiha RZ, Wilson EB, Shaikh S, Gomez E, Ryan MB, Zundel N, Thompson CC. </w:t>
      </w:r>
      <w:bookmarkStart w:id="76" w:name="OLE_LINK13"/>
      <w:r w:rsidRPr="007F12AB">
        <w:rPr>
          <w:rFonts w:ascii="Book Antiqua" w:hAnsi="Book Antiqua"/>
        </w:rPr>
        <w:t xml:space="preserve">934 Endoscopic Sleeve Gastroplasty: Multicenter Weight Loss Results. </w:t>
      </w:r>
      <w:r w:rsidRPr="007F12AB">
        <w:rPr>
          <w:rFonts w:ascii="Book Antiqua" w:hAnsi="Book Antiqua"/>
          <w:i/>
        </w:rPr>
        <w:t>Gastroenterology</w:t>
      </w:r>
      <w:r w:rsidRPr="007F12AB">
        <w:rPr>
          <w:rFonts w:ascii="Book Antiqua" w:hAnsi="Book Antiqua"/>
        </w:rPr>
        <w:t xml:space="preserve"> 2015;</w:t>
      </w:r>
      <w:r w:rsidR="003D680B" w:rsidRPr="007F12AB">
        <w:rPr>
          <w:rFonts w:ascii="Book Antiqua" w:hAnsi="Book Antiqua"/>
        </w:rPr>
        <w:t xml:space="preserve"> </w:t>
      </w:r>
      <w:r w:rsidRPr="007F12AB">
        <w:rPr>
          <w:rFonts w:ascii="Book Antiqua" w:hAnsi="Book Antiqua"/>
          <w:b/>
        </w:rPr>
        <w:t>148</w:t>
      </w:r>
      <w:r w:rsidRPr="007F12AB">
        <w:rPr>
          <w:rFonts w:ascii="Book Antiqua" w:hAnsi="Book Antiqua"/>
        </w:rPr>
        <w:t>:</w:t>
      </w:r>
      <w:r w:rsidR="003D680B" w:rsidRPr="007F12AB">
        <w:rPr>
          <w:rFonts w:ascii="Book Antiqua" w:hAnsi="Book Antiqua"/>
        </w:rPr>
        <w:t xml:space="preserve"> </w:t>
      </w:r>
      <w:r w:rsidRPr="007F12AB">
        <w:rPr>
          <w:rFonts w:ascii="Book Antiqua" w:hAnsi="Book Antiqua"/>
        </w:rPr>
        <w:t>S-179</w:t>
      </w:r>
      <w:bookmarkEnd w:id="76"/>
      <w:r w:rsidRPr="007F12AB">
        <w:rPr>
          <w:rFonts w:ascii="Book Antiqua" w:hAnsi="Book Antiqua"/>
        </w:rPr>
        <w:t xml:space="preserve"> [</w:t>
      </w:r>
      <w:bookmarkStart w:id="77" w:name="OLE_LINK11"/>
      <w:bookmarkStart w:id="78" w:name="OLE_LINK12"/>
      <w:r w:rsidRPr="007F12AB">
        <w:rPr>
          <w:rFonts w:ascii="Book Antiqua" w:hAnsi="Book Antiqua"/>
        </w:rPr>
        <w:t>DOI: 10.1016/S0016-5085(15)30597-7</w:t>
      </w:r>
      <w:bookmarkEnd w:id="77"/>
      <w:bookmarkEnd w:id="78"/>
      <w:r w:rsidRPr="007F12AB">
        <w:rPr>
          <w:rFonts w:ascii="Book Antiqua" w:hAnsi="Book Antiqua"/>
        </w:rPr>
        <w:t>]</w:t>
      </w:r>
    </w:p>
    <w:p w14:paraId="08145834" w14:textId="77777777" w:rsidR="00545767" w:rsidRPr="007F12AB" w:rsidRDefault="00545767" w:rsidP="0026431D">
      <w:pPr>
        <w:spacing w:line="360" w:lineRule="auto"/>
        <w:jc w:val="both"/>
        <w:rPr>
          <w:rFonts w:ascii="Book Antiqua" w:hAnsi="Book Antiqua"/>
        </w:rPr>
      </w:pPr>
      <w:r w:rsidRPr="007F12AB">
        <w:rPr>
          <w:rFonts w:ascii="Book Antiqua" w:hAnsi="Book Antiqua"/>
        </w:rPr>
        <w:t xml:space="preserve">29 </w:t>
      </w:r>
      <w:r w:rsidRPr="007F12AB">
        <w:rPr>
          <w:rFonts w:ascii="Book Antiqua" w:hAnsi="Book Antiqua"/>
          <w:b/>
        </w:rPr>
        <w:t>Fogel R</w:t>
      </w:r>
      <w:r w:rsidRPr="007F12AB">
        <w:rPr>
          <w:rFonts w:ascii="Book Antiqua" w:hAnsi="Book Antiqua"/>
        </w:rPr>
        <w:t xml:space="preserve">, De Fogel J, Bonilla Y, De La Fuente R. Clinical experience of transoral suturing for an endoluminal vertical gastroplasty: 1-year follow-up in 64 patients. </w:t>
      </w:r>
      <w:r w:rsidRPr="007F12AB">
        <w:rPr>
          <w:rFonts w:ascii="Book Antiqua" w:hAnsi="Book Antiqua"/>
          <w:i/>
        </w:rPr>
        <w:t>Gastrointest Endosc</w:t>
      </w:r>
      <w:r w:rsidRPr="007F12AB">
        <w:rPr>
          <w:rFonts w:ascii="Book Antiqua" w:hAnsi="Book Antiqua"/>
        </w:rPr>
        <w:t xml:space="preserve"> 2008; </w:t>
      </w:r>
      <w:r w:rsidRPr="007F12AB">
        <w:rPr>
          <w:rFonts w:ascii="Book Antiqua" w:hAnsi="Book Antiqua"/>
          <w:b/>
        </w:rPr>
        <w:t>68</w:t>
      </w:r>
      <w:r w:rsidRPr="007F12AB">
        <w:rPr>
          <w:rFonts w:ascii="Book Antiqua" w:hAnsi="Book Antiqua"/>
        </w:rPr>
        <w:t>: 51-58 [PMID: 18355825 DOI: 10.1016/j.gie.2007.10.061]</w:t>
      </w:r>
    </w:p>
    <w:p w14:paraId="0F886583" w14:textId="77777777" w:rsidR="00545767" w:rsidRPr="007F12AB" w:rsidRDefault="00545767" w:rsidP="0026431D">
      <w:pPr>
        <w:spacing w:line="360" w:lineRule="auto"/>
        <w:jc w:val="both"/>
        <w:rPr>
          <w:rFonts w:ascii="Book Antiqua" w:hAnsi="Book Antiqua"/>
        </w:rPr>
      </w:pPr>
      <w:r w:rsidRPr="007F12AB">
        <w:rPr>
          <w:rFonts w:ascii="Book Antiqua" w:hAnsi="Book Antiqua"/>
        </w:rPr>
        <w:t xml:space="preserve">30 </w:t>
      </w:r>
      <w:r w:rsidRPr="007F12AB">
        <w:rPr>
          <w:rFonts w:ascii="Book Antiqua" w:hAnsi="Book Antiqua"/>
          <w:b/>
        </w:rPr>
        <w:t>Brethauer SA</w:t>
      </w:r>
      <w:r w:rsidRPr="007F12AB">
        <w:rPr>
          <w:rFonts w:ascii="Book Antiqua" w:hAnsi="Book Antiqua"/>
        </w:rPr>
        <w:t xml:space="preserve">, Chand B, Schauer PR, Thompson CC. Transoral gastric volume reduction for weight management: technique and feasibility in 18 patients. </w:t>
      </w:r>
      <w:r w:rsidRPr="007F12AB">
        <w:rPr>
          <w:rFonts w:ascii="Book Antiqua" w:hAnsi="Book Antiqua"/>
          <w:i/>
        </w:rPr>
        <w:t>Surg Obes Relat Dis</w:t>
      </w:r>
      <w:r w:rsidRPr="007F12AB">
        <w:rPr>
          <w:rFonts w:ascii="Book Antiqua" w:hAnsi="Book Antiqua"/>
        </w:rPr>
        <w:t xml:space="preserve"> 2010; </w:t>
      </w:r>
      <w:r w:rsidRPr="007F12AB">
        <w:rPr>
          <w:rFonts w:ascii="Book Antiqua" w:hAnsi="Book Antiqua"/>
          <w:b/>
        </w:rPr>
        <w:t>6</w:t>
      </w:r>
      <w:r w:rsidRPr="007F12AB">
        <w:rPr>
          <w:rFonts w:ascii="Book Antiqua" w:hAnsi="Book Antiqua"/>
        </w:rPr>
        <w:t>: 689-694 [PMID: 20947451 DOI: 10.1016/j.soard.2010.07.012]</w:t>
      </w:r>
    </w:p>
    <w:p w14:paraId="7EAB02EA" w14:textId="77777777" w:rsidR="00545767" w:rsidRPr="007F12AB" w:rsidRDefault="00545767" w:rsidP="0026431D">
      <w:pPr>
        <w:spacing w:line="360" w:lineRule="auto"/>
        <w:jc w:val="both"/>
        <w:rPr>
          <w:rFonts w:ascii="Book Antiqua" w:hAnsi="Book Antiqua"/>
        </w:rPr>
      </w:pPr>
      <w:r w:rsidRPr="007F12AB">
        <w:rPr>
          <w:rFonts w:ascii="Book Antiqua" w:hAnsi="Book Antiqua"/>
        </w:rPr>
        <w:t xml:space="preserve">31 </w:t>
      </w:r>
      <w:r w:rsidRPr="007F12AB">
        <w:rPr>
          <w:rFonts w:ascii="Book Antiqua" w:hAnsi="Book Antiqua"/>
          <w:b/>
        </w:rPr>
        <w:t>Brethauer SA</w:t>
      </w:r>
      <w:r w:rsidRPr="007F12AB">
        <w:rPr>
          <w:rFonts w:ascii="Book Antiqua" w:hAnsi="Book Antiqua"/>
        </w:rPr>
        <w:t xml:space="preserve">, Chand B, Schauer PR, Thompson CC. Transoral gastric volume reduction as intervention for weight management: 12-month follow-up </w:t>
      </w:r>
      <w:r w:rsidRPr="007F12AB">
        <w:rPr>
          <w:rFonts w:ascii="Book Antiqua" w:hAnsi="Book Antiqua"/>
        </w:rPr>
        <w:lastRenderedPageBreak/>
        <w:t xml:space="preserve">of TRIM trial. </w:t>
      </w:r>
      <w:r w:rsidRPr="007F12AB">
        <w:rPr>
          <w:rFonts w:ascii="Book Antiqua" w:hAnsi="Book Antiqua"/>
          <w:i/>
        </w:rPr>
        <w:t>Surg Obes Relat Dis</w:t>
      </w:r>
      <w:r w:rsidRPr="007F12AB">
        <w:rPr>
          <w:rFonts w:ascii="Book Antiqua" w:hAnsi="Book Antiqua"/>
        </w:rPr>
        <w:t xml:space="preserve"> 2012; </w:t>
      </w:r>
      <w:r w:rsidRPr="007F12AB">
        <w:rPr>
          <w:rFonts w:ascii="Book Antiqua" w:hAnsi="Book Antiqua"/>
          <w:b/>
        </w:rPr>
        <w:t>8</w:t>
      </w:r>
      <w:r w:rsidRPr="007F12AB">
        <w:rPr>
          <w:rFonts w:ascii="Book Antiqua" w:hAnsi="Book Antiqua"/>
        </w:rPr>
        <w:t>: 296-303 [PMID: 22178565 DOI: 10.1016/j.soard.2011.10.016]</w:t>
      </w:r>
    </w:p>
    <w:p w14:paraId="019BD149" w14:textId="1C5AC507" w:rsidR="00545767" w:rsidRPr="007F12AB" w:rsidRDefault="00545767" w:rsidP="0026431D">
      <w:pPr>
        <w:spacing w:line="360" w:lineRule="auto"/>
        <w:jc w:val="both"/>
        <w:rPr>
          <w:rFonts w:ascii="Book Antiqua" w:hAnsi="Book Antiqua"/>
        </w:rPr>
      </w:pPr>
      <w:r w:rsidRPr="007F12AB">
        <w:rPr>
          <w:rFonts w:ascii="Book Antiqua" w:hAnsi="Book Antiqua"/>
        </w:rPr>
        <w:t xml:space="preserve">32 </w:t>
      </w:r>
      <w:r w:rsidRPr="007F12AB">
        <w:rPr>
          <w:rFonts w:ascii="Book Antiqua" w:hAnsi="Book Antiqua"/>
          <w:b/>
        </w:rPr>
        <w:t>Neto MG,</w:t>
      </w:r>
      <w:r w:rsidRPr="007F12AB">
        <w:rPr>
          <w:rFonts w:ascii="Book Antiqua" w:hAnsi="Book Antiqua"/>
        </w:rPr>
        <w:t xml:space="preserve"> Zundel N, Campos J, Alvarado A, Silva L, Orilaac J, Shaikh S, Gomez E, Wilson E, Thompson CC. ET010 Endoluminal greater curvature plication - A case series. </w:t>
      </w:r>
      <w:r w:rsidRPr="007F12AB">
        <w:rPr>
          <w:rFonts w:ascii="Book Antiqua" w:hAnsi="Book Antiqua"/>
          <w:i/>
        </w:rPr>
        <w:t>SAGES</w:t>
      </w:r>
      <w:r w:rsidRPr="007F12AB">
        <w:rPr>
          <w:rFonts w:ascii="Book Antiqua" w:hAnsi="Book Antiqua"/>
        </w:rPr>
        <w:t xml:space="preserve"> 2013 Available from: https://www.sages.org/meetings/annual-meeting/abstracts-archive/endoluminal-greater-curvature-plication-a-case-series/</w:t>
      </w:r>
    </w:p>
    <w:p w14:paraId="51B87DD0" w14:textId="77777777" w:rsidR="00545767" w:rsidRPr="007F12AB" w:rsidRDefault="00545767" w:rsidP="0026431D">
      <w:pPr>
        <w:spacing w:line="360" w:lineRule="auto"/>
        <w:jc w:val="both"/>
        <w:rPr>
          <w:rFonts w:ascii="Book Antiqua" w:hAnsi="Book Antiqua"/>
        </w:rPr>
      </w:pPr>
      <w:r w:rsidRPr="007F12AB">
        <w:rPr>
          <w:rFonts w:ascii="Book Antiqua" w:hAnsi="Book Antiqua"/>
        </w:rPr>
        <w:t xml:space="preserve">33 </w:t>
      </w:r>
      <w:r w:rsidRPr="007F12AB">
        <w:rPr>
          <w:rFonts w:ascii="Book Antiqua" w:hAnsi="Book Antiqua"/>
          <w:b/>
        </w:rPr>
        <w:t>Lopez-Nava G</w:t>
      </w:r>
      <w:r w:rsidRPr="007F12AB">
        <w:rPr>
          <w:rFonts w:ascii="Book Antiqua" w:hAnsi="Book Antiqua"/>
        </w:rPr>
        <w:t xml:space="preserve">, Sharaiha RZ, Vargas EJ, Bazerbachi F, Manoel GN, Bautista-Castaño I, Acosta A, Topazian MD, Mundi MS, Kumta N, Kahaleh M, Herr AM, Shukla A, Aronne L, Gostout CJ, Abu Dayyeh BK. Endoscopic Sleeve Gastroplasty for Obesity: a Multicenter Study of 248 Patients with 24 Months Follow-Up. </w:t>
      </w:r>
      <w:r w:rsidRPr="007F12AB">
        <w:rPr>
          <w:rFonts w:ascii="Book Antiqua" w:hAnsi="Book Antiqua"/>
          <w:i/>
        </w:rPr>
        <w:t>Obes Surg</w:t>
      </w:r>
      <w:r w:rsidRPr="007F12AB">
        <w:rPr>
          <w:rFonts w:ascii="Book Antiqua" w:hAnsi="Book Antiqua"/>
        </w:rPr>
        <w:t xml:space="preserve"> 2017; </w:t>
      </w:r>
      <w:r w:rsidRPr="007F12AB">
        <w:rPr>
          <w:rFonts w:ascii="Book Antiqua" w:hAnsi="Book Antiqua"/>
          <w:b/>
        </w:rPr>
        <w:t>27</w:t>
      </w:r>
      <w:r w:rsidRPr="007F12AB">
        <w:rPr>
          <w:rFonts w:ascii="Book Antiqua" w:hAnsi="Book Antiqua"/>
        </w:rPr>
        <w:t>: 2649-2655 [PMID: 28451929 DOI: 10.1007/s11695-017-2693-7]</w:t>
      </w:r>
    </w:p>
    <w:p w14:paraId="2DBF796B" w14:textId="77777777" w:rsidR="00545767" w:rsidRPr="007F12AB" w:rsidRDefault="00545767" w:rsidP="0026431D">
      <w:pPr>
        <w:spacing w:line="360" w:lineRule="auto"/>
        <w:jc w:val="both"/>
        <w:rPr>
          <w:rFonts w:ascii="Book Antiqua" w:hAnsi="Book Antiqua"/>
        </w:rPr>
      </w:pPr>
      <w:r w:rsidRPr="007F12AB">
        <w:rPr>
          <w:rFonts w:ascii="Book Antiqua" w:hAnsi="Book Antiqua"/>
        </w:rPr>
        <w:t xml:space="preserve">34 </w:t>
      </w:r>
      <w:r w:rsidRPr="007F12AB">
        <w:rPr>
          <w:rFonts w:ascii="Book Antiqua" w:hAnsi="Book Antiqua"/>
          <w:b/>
        </w:rPr>
        <w:t>Sharaiha RZ</w:t>
      </w:r>
      <w:r w:rsidRPr="007F12AB">
        <w:rPr>
          <w:rFonts w:ascii="Book Antiqua" w:hAnsi="Book Antiqua"/>
        </w:rPr>
        <w:t xml:space="preserve">, Kedia P, Kumta N, DeFilippis EM, Gaidhane M, Shukla A, Aronne LJ, Kahaleh M. Initial experience with endoscopic sleeve gastroplasty: technical success and reproducibility in the bariatric population. </w:t>
      </w:r>
      <w:r w:rsidRPr="007F12AB">
        <w:rPr>
          <w:rFonts w:ascii="Book Antiqua" w:hAnsi="Book Antiqua"/>
          <w:i/>
        </w:rPr>
        <w:t>Endoscopy</w:t>
      </w:r>
      <w:r w:rsidRPr="007F12AB">
        <w:rPr>
          <w:rFonts w:ascii="Book Antiqua" w:hAnsi="Book Antiqua"/>
        </w:rPr>
        <w:t xml:space="preserve"> 2015; </w:t>
      </w:r>
      <w:r w:rsidRPr="007F12AB">
        <w:rPr>
          <w:rFonts w:ascii="Book Antiqua" w:hAnsi="Book Antiqua"/>
          <w:b/>
        </w:rPr>
        <w:t>47</w:t>
      </w:r>
      <w:r w:rsidRPr="007F12AB">
        <w:rPr>
          <w:rFonts w:ascii="Book Antiqua" w:hAnsi="Book Antiqua"/>
        </w:rPr>
        <w:t>: 164-166 [PMID: 25380510 DOI: 10.1055/s-0034-1390773]</w:t>
      </w:r>
    </w:p>
    <w:p w14:paraId="25A1CF8B" w14:textId="77777777" w:rsidR="00545767" w:rsidRPr="007F12AB" w:rsidRDefault="00545767" w:rsidP="0026431D">
      <w:pPr>
        <w:spacing w:line="360" w:lineRule="auto"/>
        <w:jc w:val="both"/>
        <w:rPr>
          <w:rFonts w:ascii="Book Antiqua" w:hAnsi="Book Antiqua"/>
        </w:rPr>
      </w:pPr>
      <w:r w:rsidRPr="007F12AB">
        <w:rPr>
          <w:rFonts w:ascii="Book Antiqua" w:hAnsi="Book Antiqua"/>
        </w:rPr>
        <w:t xml:space="preserve">35 </w:t>
      </w:r>
      <w:r w:rsidRPr="007F12AB">
        <w:rPr>
          <w:rFonts w:ascii="Book Antiqua" w:hAnsi="Book Antiqua"/>
          <w:b/>
        </w:rPr>
        <w:t>Lopez-Nava G</w:t>
      </w:r>
      <w:r w:rsidRPr="007F12AB">
        <w:rPr>
          <w:rFonts w:ascii="Book Antiqua" w:hAnsi="Book Antiqua"/>
        </w:rPr>
        <w:t xml:space="preserve">, Galvão MP, da Bautista-Castaño I, Jimenez A, De Grado T, Fernandez-Corbelle JP. Endoscopic sleeve gastroplasty for the treatment of obesity. </w:t>
      </w:r>
      <w:r w:rsidRPr="007F12AB">
        <w:rPr>
          <w:rFonts w:ascii="Book Antiqua" w:hAnsi="Book Antiqua"/>
          <w:i/>
        </w:rPr>
        <w:t>Endoscopy</w:t>
      </w:r>
      <w:r w:rsidRPr="007F12AB">
        <w:rPr>
          <w:rFonts w:ascii="Book Antiqua" w:hAnsi="Book Antiqua"/>
        </w:rPr>
        <w:t xml:space="preserve"> 2015; </w:t>
      </w:r>
      <w:r w:rsidRPr="007F12AB">
        <w:rPr>
          <w:rFonts w:ascii="Book Antiqua" w:hAnsi="Book Antiqua"/>
          <w:b/>
        </w:rPr>
        <w:t>47</w:t>
      </w:r>
      <w:r w:rsidRPr="007F12AB">
        <w:rPr>
          <w:rFonts w:ascii="Book Antiqua" w:hAnsi="Book Antiqua"/>
        </w:rPr>
        <w:t>: 449-452 [PMID: 25380508 DOI: 10.1055/s-0034-1390766]</w:t>
      </w:r>
    </w:p>
    <w:p w14:paraId="4BA3E0E3" w14:textId="77777777" w:rsidR="00545767" w:rsidRPr="007F12AB" w:rsidRDefault="00545767" w:rsidP="0026431D">
      <w:pPr>
        <w:spacing w:line="360" w:lineRule="auto"/>
        <w:jc w:val="both"/>
        <w:rPr>
          <w:rFonts w:ascii="Book Antiqua" w:hAnsi="Book Antiqua"/>
        </w:rPr>
      </w:pPr>
      <w:r w:rsidRPr="007F12AB">
        <w:rPr>
          <w:rFonts w:ascii="Book Antiqua" w:hAnsi="Book Antiqua"/>
        </w:rPr>
        <w:t xml:space="preserve">36 </w:t>
      </w:r>
      <w:r w:rsidRPr="007F12AB">
        <w:rPr>
          <w:rFonts w:ascii="Book Antiqua" w:hAnsi="Book Antiqua"/>
          <w:b/>
        </w:rPr>
        <w:t>Galvão-Neto MD</w:t>
      </w:r>
      <w:r w:rsidRPr="007F12AB">
        <w:rPr>
          <w:rFonts w:ascii="Book Antiqua" w:hAnsi="Book Antiqua"/>
        </w:rPr>
        <w:t xml:space="preserve">, Grecco E, Souza TF, Quadros LG, Silva LB, Campos JM. ENDOSCOPIC SLEEVE GASTROPLASTY - MINIMALLY INVASIVE THERAPY FOR PRIMARY OBESITY TREATMENT. </w:t>
      </w:r>
      <w:r w:rsidRPr="007F12AB">
        <w:rPr>
          <w:rFonts w:ascii="Book Antiqua" w:hAnsi="Book Antiqua"/>
          <w:i/>
        </w:rPr>
        <w:t>Arq Bras Cir Dig</w:t>
      </w:r>
      <w:r w:rsidRPr="007F12AB">
        <w:rPr>
          <w:rFonts w:ascii="Book Antiqua" w:hAnsi="Book Antiqua"/>
        </w:rPr>
        <w:t xml:space="preserve"> 2016; </w:t>
      </w:r>
      <w:r w:rsidRPr="007F12AB">
        <w:rPr>
          <w:rFonts w:ascii="Book Antiqua" w:hAnsi="Book Antiqua"/>
          <w:b/>
        </w:rPr>
        <w:t>29Suppl 1</w:t>
      </w:r>
      <w:r w:rsidRPr="007F12AB">
        <w:rPr>
          <w:rFonts w:ascii="Book Antiqua" w:hAnsi="Book Antiqua"/>
        </w:rPr>
        <w:t>: 95-97 [PMID: 27683786 DOI: 10.1590/0102-6720201600S10023]</w:t>
      </w:r>
    </w:p>
    <w:p w14:paraId="68F732B0" w14:textId="77777777" w:rsidR="00545767" w:rsidRPr="007F12AB" w:rsidRDefault="00545767" w:rsidP="0026431D">
      <w:pPr>
        <w:spacing w:line="360" w:lineRule="auto"/>
        <w:jc w:val="both"/>
        <w:rPr>
          <w:rFonts w:ascii="Book Antiqua" w:hAnsi="Book Antiqua"/>
        </w:rPr>
      </w:pPr>
      <w:r w:rsidRPr="007F12AB">
        <w:rPr>
          <w:rFonts w:ascii="Book Antiqua" w:hAnsi="Book Antiqua"/>
        </w:rPr>
        <w:t xml:space="preserve">37 </w:t>
      </w:r>
      <w:r w:rsidRPr="007F12AB">
        <w:rPr>
          <w:rFonts w:ascii="Book Antiqua" w:hAnsi="Book Antiqua"/>
          <w:b/>
        </w:rPr>
        <w:t>Abu Dayyeh BK</w:t>
      </w:r>
      <w:r w:rsidRPr="007F12AB">
        <w:rPr>
          <w:rFonts w:ascii="Book Antiqua" w:hAnsi="Book Antiqua"/>
        </w:rPr>
        <w:t xml:space="preserve">, Acosta A, Camilleri M, Mundi MS, Rajan E, Topazian MD, Gostout CJ. Endoscopic Sleeve Gastroplasty Alters Gastric Physiology and Induces Loss of Body Weight in Obese Individuals. </w:t>
      </w:r>
      <w:r w:rsidRPr="007F12AB">
        <w:rPr>
          <w:rFonts w:ascii="Book Antiqua" w:hAnsi="Book Antiqua"/>
          <w:i/>
        </w:rPr>
        <w:t>Clin Gastroenterol Hepatol</w:t>
      </w:r>
      <w:r w:rsidRPr="007F12AB">
        <w:rPr>
          <w:rFonts w:ascii="Book Antiqua" w:hAnsi="Book Antiqua"/>
        </w:rPr>
        <w:t xml:space="preserve"> 2017; </w:t>
      </w:r>
      <w:r w:rsidRPr="007F12AB">
        <w:rPr>
          <w:rFonts w:ascii="Book Antiqua" w:hAnsi="Book Antiqua"/>
          <w:b/>
        </w:rPr>
        <w:t>15</w:t>
      </w:r>
      <w:r w:rsidRPr="007F12AB">
        <w:rPr>
          <w:rFonts w:ascii="Book Antiqua" w:hAnsi="Book Antiqua"/>
        </w:rPr>
        <w:t>: 37-43.e1 [PMID: 26748219 DOI: 10.1016/j.cgh.2015.12.030]</w:t>
      </w:r>
    </w:p>
    <w:p w14:paraId="6E607C0D" w14:textId="77777777" w:rsidR="00545767" w:rsidRPr="007F12AB" w:rsidRDefault="00545767" w:rsidP="0026431D">
      <w:pPr>
        <w:spacing w:line="360" w:lineRule="auto"/>
        <w:jc w:val="both"/>
        <w:rPr>
          <w:rFonts w:ascii="Book Antiqua" w:hAnsi="Book Antiqua"/>
        </w:rPr>
      </w:pPr>
      <w:r w:rsidRPr="007F12AB">
        <w:rPr>
          <w:rFonts w:ascii="Book Antiqua" w:hAnsi="Book Antiqua"/>
        </w:rPr>
        <w:t xml:space="preserve">38 </w:t>
      </w:r>
      <w:r w:rsidRPr="007F12AB">
        <w:rPr>
          <w:rFonts w:ascii="Book Antiqua" w:hAnsi="Book Antiqua"/>
          <w:b/>
        </w:rPr>
        <w:t>Sharaiha RZ</w:t>
      </w:r>
      <w:r w:rsidRPr="007F12AB">
        <w:rPr>
          <w:rFonts w:ascii="Book Antiqua" w:hAnsi="Book Antiqua"/>
        </w:rPr>
        <w:t xml:space="preserve">, Kumta NA, Saumoy M, Desai AP, Sarkisian AM, Benevenuto A, Tyberg A, Kumar R, Igel L, Verna EC, Schwartz R, Frissora C, Shukla A, </w:t>
      </w:r>
      <w:r w:rsidRPr="007F12AB">
        <w:rPr>
          <w:rFonts w:ascii="Book Antiqua" w:hAnsi="Book Antiqua"/>
        </w:rPr>
        <w:lastRenderedPageBreak/>
        <w:t xml:space="preserve">Aronne LJ, Kahaleh M. Endoscopic Sleeve Gastroplasty Significantly Reduces Body Mass Index and Metabolic Complications in Obese Patients. </w:t>
      </w:r>
      <w:r w:rsidRPr="007F12AB">
        <w:rPr>
          <w:rFonts w:ascii="Book Antiqua" w:hAnsi="Book Antiqua"/>
          <w:i/>
        </w:rPr>
        <w:t>Clin Gastroenterol Hepatol</w:t>
      </w:r>
      <w:r w:rsidRPr="007F12AB">
        <w:rPr>
          <w:rFonts w:ascii="Book Antiqua" w:hAnsi="Book Antiqua"/>
        </w:rPr>
        <w:t xml:space="preserve"> 2017; </w:t>
      </w:r>
      <w:r w:rsidRPr="007F12AB">
        <w:rPr>
          <w:rFonts w:ascii="Book Antiqua" w:hAnsi="Book Antiqua"/>
          <w:b/>
        </w:rPr>
        <w:t>15</w:t>
      </w:r>
      <w:r w:rsidRPr="007F12AB">
        <w:rPr>
          <w:rFonts w:ascii="Book Antiqua" w:hAnsi="Book Antiqua"/>
        </w:rPr>
        <w:t>: 504-510 [PMID: 28017845 DOI: 10.1016/j.cgh.2016.12.012]</w:t>
      </w:r>
    </w:p>
    <w:p w14:paraId="0683F111" w14:textId="0EE81E68" w:rsidR="00545767" w:rsidRPr="007F12AB" w:rsidRDefault="00545767" w:rsidP="0026431D">
      <w:pPr>
        <w:spacing w:line="360" w:lineRule="auto"/>
        <w:jc w:val="both"/>
        <w:rPr>
          <w:rFonts w:ascii="Book Antiqua" w:hAnsi="Book Antiqua"/>
        </w:rPr>
      </w:pPr>
      <w:r w:rsidRPr="007F12AB">
        <w:rPr>
          <w:rFonts w:ascii="Book Antiqua" w:hAnsi="Book Antiqua"/>
        </w:rPr>
        <w:t xml:space="preserve">39 </w:t>
      </w:r>
      <w:r w:rsidRPr="007F12AB">
        <w:rPr>
          <w:rFonts w:ascii="Book Antiqua" w:hAnsi="Book Antiqua"/>
          <w:b/>
        </w:rPr>
        <w:t>Alqahtani A,</w:t>
      </w:r>
      <w:r w:rsidR="003D680B" w:rsidRPr="007F12AB">
        <w:rPr>
          <w:rFonts w:ascii="Book Antiqua" w:hAnsi="Book Antiqua"/>
        </w:rPr>
        <w:t xml:space="preserve"> </w:t>
      </w:r>
      <w:r w:rsidRPr="007F12AB">
        <w:rPr>
          <w:rFonts w:ascii="Book Antiqua" w:hAnsi="Book Antiqua"/>
        </w:rPr>
        <w:t xml:space="preserve">Al-Darwish A, Mahmoud AE, Alqahtani YA, Elahmedi M. Short-term outcomes of endoscopic sleeve gastroplasty in 1000 consecutive patients. </w:t>
      </w:r>
      <w:r w:rsidRPr="007F12AB">
        <w:rPr>
          <w:rFonts w:ascii="Book Antiqua" w:hAnsi="Book Antiqua"/>
          <w:i/>
        </w:rPr>
        <w:t>Gastrointest Endosc</w:t>
      </w:r>
      <w:r w:rsidRPr="007F12AB">
        <w:rPr>
          <w:rFonts w:ascii="Book Antiqua" w:hAnsi="Book Antiqua"/>
        </w:rPr>
        <w:t xml:space="preserve"> 2018</w:t>
      </w:r>
      <w:r w:rsidR="003D680B" w:rsidRPr="007F12AB">
        <w:rPr>
          <w:rFonts w:ascii="Book Antiqua" w:hAnsi="Book Antiqua"/>
        </w:rPr>
        <w:t xml:space="preserve"> </w:t>
      </w:r>
      <w:r w:rsidRPr="007F12AB">
        <w:rPr>
          <w:rFonts w:ascii="Book Antiqua" w:hAnsi="Book Antiqua"/>
        </w:rPr>
        <w:t>[</w:t>
      </w:r>
      <w:bookmarkStart w:id="79" w:name="OLE_LINK10"/>
      <w:r w:rsidRPr="007F12AB">
        <w:rPr>
          <w:rFonts w:ascii="Book Antiqua" w:hAnsi="Book Antiqua"/>
        </w:rPr>
        <w:t>DOI: 10.1016/j.gie.2018.12.012</w:t>
      </w:r>
      <w:bookmarkEnd w:id="79"/>
      <w:r w:rsidRPr="007F12AB">
        <w:rPr>
          <w:rFonts w:ascii="Book Antiqua" w:hAnsi="Book Antiqua"/>
        </w:rPr>
        <w:t>]</w:t>
      </w:r>
    </w:p>
    <w:p w14:paraId="0EC3D3D9" w14:textId="77777777" w:rsidR="00545767" w:rsidRPr="007F12AB" w:rsidRDefault="00545767" w:rsidP="0026431D">
      <w:pPr>
        <w:spacing w:line="360" w:lineRule="auto"/>
        <w:jc w:val="both"/>
        <w:rPr>
          <w:rFonts w:ascii="Book Antiqua" w:hAnsi="Book Antiqua"/>
        </w:rPr>
      </w:pPr>
      <w:r w:rsidRPr="007F12AB">
        <w:rPr>
          <w:rFonts w:ascii="Book Antiqua" w:hAnsi="Book Antiqua"/>
        </w:rPr>
        <w:t xml:space="preserve">40 </w:t>
      </w:r>
      <w:r w:rsidRPr="007F12AB">
        <w:rPr>
          <w:rFonts w:ascii="Book Antiqua" w:hAnsi="Book Antiqua"/>
          <w:b/>
        </w:rPr>
        <w:t>Kumar N</w:t>
      </w:r>
      <w:r w:rsidRPr="007F12AB">
        <w:rPr>
          <w:rFonts w:ascii="Book Antiqua" w:hAnsi="Book Antiqua"/>
        </w:rPr>
        <w:t xml:space="preserve">, Abu Dayyeh BK, Lopez-Nava Breviere G, Galvao Neto MP, Sahdala NP, Shaikh SN, Hawes RH, Gostout CJ, Goenka MK, Orillac JR, Alvarado A, Jirapinyo P, Zundel N, Thompson CC. Endoscopic sutured gastroplasty: procedure evolution from first-in-man cases through current technique. </w:t>
      </w:r>
      <w:r w:rsidRPr="007F12AB">
        <w:rPr>
          <w:rFonts w:ascii="Book Antiqua" w:hAnsi="Book Antiqua"/>
          <w:i/>
        </w:rPr>
        <w:t>Surg Endosc</w:t>
      </w:r>
      <w:r w:rsidRPr="007F12AB">
        <w:rPr>
          <w:rFonts w:ascii="Book Antiqua" w:hAnsi="Book Antiqua"/>
        </w:rPr>
        <w:t xml:space="preserve"> 2018; </w:t>
      </w:r>
      <w:r w:rsidRPr="007F12AB">
        <w:rPr>
          <w:rFonts w:ascii="Book Antiqua" w:hAnsi="Book Antiqua"/>
          <w:b/>
        </w:rPr>
        <w:t>32</w:t>
      </w:r>
      <w:r w:rsidRPr="007F12AB">
        <w:rPr>
          <w:rFonts w:ascii="Book Antiqua" w:hAnsi="Book Antiqua"/>
        </w:rPr>
        <w:t>: 2159-2164 [PMID: 29075966 DOI: 10.1007/s00464-017-5869-2]</w:t>
      </w:r>
    </w:p>
    <w:p w14:paraId="09A2E7EE" w14:textId="05B790DD" w:rsidR="00545767" w:rsidRPr="007F12AB" w:rsidRDefault="00545767" w:rsidP="0026431D">
      <w:pPr>
        <w:spacing w:line="360" w:lineRule="auto"/>
        <w:jc w:val="both"/>
        <w:rPr>
          <w:rFonts w:ascii="Book Antiqua" w:hAnsi="Book Antiqua"/>
        </w:rPr>
      </w:pPr>
      <w:r w:rsidRPr="007F12AB">
        <w:rPr>
          <w:rFonts w:ascii="Book Antiqua" w:hAnsi="Book Antiqua"/>
        </w:rPr>
        <w:t xml:space="preserve">41 </w:t>
      </w:r>
      <w:r w:rsidRPr="007F12AB">
        <w:rPr>
          <w:rFonts w:ascii="Book Antiqua" w:hAnsi="Book Antiqua"/>
          <w:b/>
        </w:rPr>
        <w:t>Graus Morales J,</w:t>
      </w:r>
      <w:r w:rsidRPr="007F12AB">
        <w:rPr>
          <w:rFonts w:ascii="Book Antiqua" w:hAnsi="Book Antiqua"/>
        </w:rPr>
        <w:t xml:space="preserve"> Crespo Pérez L, Marques A, Marín Arribas B, Bravo Arribas R, Ramo E, Escalada C, Arribas C, Himpens J. Modified endoscopic gastroplasty for the treatment of obesity. </w:t>
      </w:r>
      <w:r w:rsidRPr="007F12AB">
        <w:rPr>
          <w:rFonts w:ascii="Book Antiqua" w:hAnsi="Book Antiqua"/>
          <w:i/>
        </w:rPr>
        <w:t>Surg Endosc</w:t>
      </w:r>
      <w:r w:rsidRPr="007F12AB">
        <w:rPr>
          <w:rFonts w:ascii="Book Antiqua" w:hAnsi="Book Antiqua"/>
        </w:rPr>
        <w:t xml:space="preserve"> 2018;</w:t>
      </w:r>
      <w:r w:rsidR="003D680B" w:rsidRPr="007F12AB">
        <w:rPr>
          <w:rFonts w:ascii="Book Antiqua" w:hAnsi="Book Antiqua"/>
        </w:rPr>
        <w:t xml:space="preserve"> </w:t>
      </w:r>
      <w:r w:rsidRPr="007F12AB">
        <w:rPr>
          <w:rFonts w:ascii="Book Antiqua" w:hAnsi="Book Antiqua"/>
          <w:b/>
        </w:rPr>
        <w:t>32</w:t>
      </w:r>
      <w:r w:rsidRPr="007F12AB">
        <w:rPr>
          <w:rFonts w:ascii="Book Antiqua" w:hAnsi="Book Antiqua"/>
        </w:rPr>
        <w:t>:</w:t>
      </w:r>
      <w:r w:rsidR="003D680B" w:rsidRPr="007F12AB">
        <w:rPr>
          <w:rFonts w:ascii="Book Antiqua" w:hAnsi="Book Antiqua"/>
        </w:rPr>
        <w:t xml:space="preserve"> </w:t>
      </w:r>
      <w:r w:rsidRPr="007F12AB">
        <w:rPr>
          <w:rFonts w:ascii="Book Antiqua" w:hAnsi="Book Antiqua"/>
        </w:rPr>
        <w:t>3936</w:t>
      </w:r>
      <w:r w:rsidR="003D680B" w:rsidRPr="007F12AB">
        <w:rPr>
          <w:rFonts w:ascii="Book Antiqua" w:hAnsi="Book Antiqua"/>
        </w:rPr>
        <w:t>-39</w:t>
      </w:r>
      <w:r w:rsidRPr="007F12AB">
        <w:rPr>
          <w:rFonts w:ascii="Book Antiqua" w:hAnsi="Book Antiqua"/>
        </w:rPr>
        <w:t>42 [</w:t>
      </w:r>
      <w:bookmarkStart w:id="80" w:name="OLE_LINK8"/>
      <w:bookmarkStart w:id="81" w:name="OLE_LINK9"/>
      <w:r w:rsidRPr="007F12AB">
        <w:rPr>
          <w:rFonts w:ascii="Book Antiqua" w:hAnsi="Book Antiqua"/>
        </w:rPr>
        <w:t>DOI: 10.1007/s00464-018-6133-0</w:t>
      </w:r>
      <w:bookmarkEnd w:id="80"/>
      <w:bookmarkEnd w:id="81"/>
      <w:r w:rsidRPr="007F12AB">
        <w:rPr>
          <w:rFonts w:ascii="Book Antiqua" w:hAnsi="Book Antiqua"/>
        </w:rPr>
        <w:t>]</w:t>
      </w:r>
    </w:p>
    <w:p w14:paraId="49A83C80" w14:textId="77777777" w:rsidR="00545767" w:rsidRPr="007F12AB" w:rsidRDefault="00545767" w:rsidP="0026431D">
      <w:pPr>
        <w:spacing w:line="360" w:lineRule="auto"/>
        <w:jc w:val="both"/>
        <w:rPr>
          <w:rFonts w:ascii="Book Antiqua" w:hAnsi="Book Antiqua"/>
        </w:rPr>
      </w:pPr>
      <w:r w:rsidRPr="007F12AB">
        <w:rPr>
          <w:rFonts w:ascii="Book Antiqua" w:hAnsi="Book Antiqua"/>
        </w:rPr>
        <w:t xml:space="preserve">42 </w:t>
      </w:r>
      <w:r w:rsidRPr="007F12AB">
        <w:rPr>
          <w:rFonts w:ascii="Book Antiqua" w:hAnsi="Book Antiqua"/>
          <w:b/>
        </w:rPr>
        <w:t>Jain D</w:t>
      </w:r>
      <w:r w:rsidRPr="007F12AB">
        <w:rPr>
          <w:rFonts w:ascii="Book Antiqua" w:hAnsi="Book Antiqua"/>
        </w:rPr>
        <w:t xml:space="preserve">, Bhandari BS, Arora A, Singhal S. Endoscopic Sleeve Gastroplasty - A New Tool to Manage Obesity. </w:t>
      </w:r>
      <w:r w:rsidRPr="007F12AB">
        <w:rPr>
          <w:rFonts w:ascii="Book Antiqua" w:hAnsi="Book Antiqua"/>
          <w:i/>
        </w:rPr>
        <w:t>Clin Endosc</w:t>
      </w:r>
      <w:r w:rsidRPr="007F12AB">
        <w:rPr>
          <w:rFonts w:ascii="Book Antiqua" w:hAnsi="Book Antiqua"/>
        </w:rPr>
        <w:t xml:space="preserve"> 2017; </w:t>
      </w:r>
      <w:r w:rsidRPr="007F12AB">
        <w:rPr>
          <w:rFonts w:ascii="Book Antiqua" w:hAnsi="Book Antiqua"/>
          <w:b/>
        </w:rPr>
        <w:t>50</w:t>
      </w:r>
      <w:r w:rsidRPr="007F12AB">
        <w:rPr>
          <w:rFonts w:ascii="Book Antiqua" w:hAnsi="Book Antiqua"/>
        </w:rPr>
        <w:t>: 552-561 [PMID: 28607328 DOI: 10.5946/ce.2017.032]</w:t>
      </w:r>
    </w:p>
    <w:p w14:paraId="5625C654" w14:textId="77777777" w:rsidR="00545767" w:rsidRPr="007F12AB" w:rsidRDefault="00545767" w:rsidP="0026431D">
      <w:pPr>
        <w:spacing w:line="360" w:lineRule="auto"/>
        <w:jc w:val="both"/>
        <w:rPr>
          <w:rFonts w:ascii="Book Antiqua" w:hAnsi="Book Antiqua"/>
        </w:rPr>
      </w:pPr>
      <w:r w:rsidRPr="007F12AB">
        <w:rPr>
          <w:rFonts w:ascii="Book Antiqua" w:hAnsi="Book Antiqua"/>
        </w:rPr>
        <w:t xml:space="preserve">43 </w:t>
      </w:r>
      <w:r w:rsidRPr="007F12AB">
        <w:rPr>
          <w:rFonts w:ascii="Book Antiqua" w:hAnsi="Book Antiqua"/>
          <w:b/>
        </w:rPr>
        <w:t>Sartoretto A</w:t>
      </w:r>
      <w:r w:rsidRPr="007F12AB">
        <w:rPr>
          <w:rFonts w:ascii="Book Antiqua" w:hAnsi="Book Antiqua"/>
        </w:rPr>
        <w:t xml:space="preserve">, Sui Z, Hill C, Dunlap M, Rivera AR, Khashab MA, Kalloo AN, Fayad L, Cheskin LJ, Marinos G, Wilson E, Kumbhari V. Endoscopic Sleeve Gastroplasty (ESG) Is a Reproducible and Effective Endoscopic Bariatric Therapy Suitable for Widespread Clinical Adoption: a Large, International Multicenter Study. </w:t>
      </w:r>
      <w:r w:rsidRPr="007F12AB">
        <w:rPr>
          <w:rFonts w:ascii="Book Antiqua" w:hAnsi="Book Antiqua"/>
          <w:i/>
        </w:rPr>
        <w:t>Obes Surg</w:t>
      </w:r>
      <w:r w:rsidRPr="007F12AB">
        <w:rPr>
          <w:rFonts w:ascii="Book Antiqua" w:hAnsi="Book Antiqua"/>
        </w:rPr>
        <w:t xml:space="preserve"> 2018; </w:t>
      </w:r>
      <w:r w:rsidRPr="007F12AB">
        <w:rPr>
          <w:rFonts w:ascii="Book Antiqua" w:hAnsi="Book Antiqua"/>
          <w:b/>
        </w:rPr>
        <w:t>28</w:t>
      </w:r>
      <w:r w:rsidRPr="007F12AB">
        <w:rPr>
          <w:rFonts w:ascii="Book Antiqua" w:hAnsi="Book Antiqua"/>
        </w:rPr>
        <w:t>: 1812-1821 [PMID: 29450845 DOI: 10.1007/s11695-018-3135-x]</w:t>
      </w:r>
    </w:p>
    <w:p w14:paraId="02365777" w14:textId="409BA47B" w:rsidR="00545767" w:rsidRPr="007F12AB" w:rsidRDefault="00545767" w:rsidP="0026431D">
      <w:pPr>
        <w:spacing w:line="360" w:lineRule="auto"/>
        <w:jc w:val="both"/>
        <w:rPr>
          <w:rFonts w:ascii="Book Antiqua" w:hAnsi="Book Antiqua"/>
        </w:rPr>
      </w:pPr>
      <w:r w:rsidRPr="007F12AB">
        <w:rPr>
          <w:rFonts w:ascii="Book Antiqua" w:hAnsi="Book Antiqua"/>
        </w:rPr>
        <w:t xml:space="preserve">44 </w:t>
      </w:r>
      <w:r w:rsidRPr="007F12AB">
        <w:rPr>
          <w:rFonts w:ascii="Book Antiqua" w:hAnsi="Book Antiqua"/>
          <w:b/>
        </w:rPr>
        <w:t>Lopez-nava G,</w:t>
      </w:r>
      <w:r w:rsidRPr="007F12AB">
        <w:rPr>
          <w:rFonts w:ascii="Book Antiqua" w:hAnsi="Book Antiqua"/>
        </w:rPr>
        <w:t xml:space="preserve"> Galvão MP, Bautista-castaño I, Fernandez-corbelle JP, Trell M, Lopez N. Endoscopic sleeve gastroplasty for obesity treatment: two years of experience.</w:t>
      </w:r>
      <w:r w:rsidR="003D680B" w:rsidRPr="007F12AB">
        <w:rPr>
          <w:rFonts w:ascii="Book Antiqua" w:hAnsi="Book Antiqua"/>
        </w:rPr>
        <w:t xml:space="preserve"> </w:t>
      </w:r>
      <w:r w:rsidR="003D680B" w:rsidRPr="007F12AB">
        <w:rPr>
          <w:rFonts w:ascii="Book Antiqua" w:hAnsi="Book Antiqua"/>
          <w:i/>
        </w:rPr>
        <w:t>ABCD</w:t>
      </w:r>
      <w:r w:rsidR="003D680B" w:rsidRPr="007F12AB">
        <w:rPr>
          <w:rFonts w:ascii="Book Antiqua" w:hAnsi="Book Antiqua"/>
        </w:rPr>
        <w:t xml:space="preserve"> </w:t>
      </w:r>
      <w:r w:rsidRPr="007F12AB">
        <w:rPr>
          <w:rFonts w:ascii="Book Antiqua" w:hAnsi="Book Antiqua"/>
          <w:i/>
        </w:rPr>
        <w:t>Arq Bras Cir Dig</w:t>
      </w:r>
      <w:r w:rsidRPr="007F12AB">
        <w:rPr>
          <w:rFonts w:ascii="Book Antiqua" w:hAnsi="Book Antiqua"/>
        </w:rPr>
        <w:t xml:space="preserve"> 2017;</w:t>
      </w:r>
      <w:r w:rsidR="003D680B" w:rsidRPr="007F12AB">
        <w:rPr>
          <w:rFonts w:ascii="Book Antiqua" w:hAnsi="Book Antiqua"/>
        </w:rPr>
        <w:t xml:space="preserve"> </w:t>
      </w:r>
      <w:r w:rsidRPr="007F12AB">
        <w:rPr>
          <w:rFonts w:ascii="Book Antiqua" w:hAnsi="Book Antiqua"/>
          <w:b/>
        </w:rPr>
        <w:t>30</w:t>
      </w:r>
      <w:r w:rsidRPr="007F12AB">
        <w:rPr>
          <w:rFonts w:ascii="Book Antiqua" w:hAnsi="Book Antiqua"/>
        </w:rPr>
        <w:t>:</w:t>
      </w:r>
      <w:r w:rsidR="003D680B" w:rsidRPr="007F12AB">
        <w:rPr>
          <w:rFonts w:ascii="Book Antiqua" w:hAnsi="Book Antiqua"/>
        </w:rPr>
        <w:t xml:space="preserve"> </w:t>
      </w:r>
      <w:r w:rsidRPr="007F12AB">
        <w:rPr>
          <w:rFonts w:ascii="Book Antiqua" w:hAnsi="Book Antiqua"/>
        </w:rPr>
        <w:t>18–20 [</w:t>
      </w:r>
      <w:bookmarkStart w:id="82" w:name="OLE_LINK7"/>
      <w:r w:rsidRPr="007F12AB">
        <w:rPr>
          <w:rFonts w:ascii="Book Antiqua" w:hAnsi="Book Antiqua"/>
        </w:rPr>
        <w:t>DOI: 10.1590/0102-6720201700010006</w:t>
      </w:r>
      <w:bookmarkEnd w:id="82"/>
      <w:r w:rsidRPr="007F12AB">
        <w:rPr>
          <w:rFonts w:ascii="Book Antiqua" w:hAnsi="Book Antiqua"/>
        </w:rPr>
        <w:t>]</w:t>
      </w:r>
    </w:p>
    <w:p w14:paraId="79C626A0" w14:textId="77777777" w:rsidR="00545767" w:rsidRPr="007F12AB" w:rsidRDefault="00545767" w:rsidP="0026431D">
      <w:pPr>
        <w:spacing w:line="360" w:lineRule="auto"/>
        <w:jc w:val="both"/>
        <w:rPr>
          <w:rFonts w:ascii="Book Antiqua" w:hAnsi="Book Antiqua"/>
        </w:rPr>
      </w:pPr>
      <w:r w:rsidRPr="007F12AB">
        <w:rPr>
          <w:rFonts w:ascii="Book Antiqua" w:hAnsi="Book Antiqua"/>
        </w:rPr>
        <w:lastRenderedPageBreak/>
        <w:t xml:space="preserve">45 </w:t>
      </w:r>
      <w:r w:rsidRPr="007F12AB">
        <w:rPr>
          <w:rFonts w:ascii="Book Antiqua" w:hAnsi="Book Antiqua"/>
          <w:b/>
        </w:rPr>
        <w:t>Saumoy M</w:t>
      </w:r>
      <w:r w:rsidRPr="007F12AB">
        <w:rPr>
          <w:rFonts w:ascii="Book Antiqua" w:hAnsi="Book Antiqua"/>
        </w:rPr>
        <w:t xml:space="preserve">, Schneider Y, Zhou XK, Shukla A, Kahaleh M, Aronne L, Sharaiha RZ. A single-operator learning curve analysis for the endoscopic sleeve gastroplasty. </w:t>
      </w:r>
      <w:r w:rsidRPr="007F12AB">
        <w:rPr>
          <w:rFonts w:ascii="Book Antiqua" w:hAnsi="Book Antiqua"/>
          <w:i/>
        </w:rPr>
        <w:t>Gastrointest Endosc</w:t>
      </w:r>
      <w:r w:rsidRPr="007F12AB">
        <w:rPr>
          <w:rFonts w:ascii="Book Antiqua" w:hAnsi="Book Antiqua"/>
        </w:rPr>
        <w:t xml:space="preserve"> 2018; </w:t>
      </w:r>
      <w:r w:rsidRPr="007F12AB">
        <w:rPr>
          <w:rFonts w:ascii="Book Antiqua" w:hAnsi="Book Antiqua"/>
          <w:b/>
        </w:rPr>
        <w:t>87</w:t>
      </w:r>
      <w:r w:rsidRPr="007F12AB">
        <w:rPr>
          <w:rFonts w:ascii="Book Antiqua" w:hAnsi="Book Antiqua"/>
        </w:rPr>
        <w:t>: 442-447 [PMID: 28843586 DOI: 10.1016/j.gie.2017.08.014]</w:t>
      </w:r>
    </w:p>
    <w:p w14:paraId="41C4C362" w14:textId="77777777" w:rsidR="00545767" w:rsidRPr="007F12AB" w:rsidRDefault="00545767" w:rsidP="0026431D">
      <w:pPr>
        <w:spacing w:line="360" w:lineRule="auto"/>
        <w:jc w:val="both"/>
        <w:rPr>
          <w:rFonts w:ascii="Book Antiqua" w:hAnsi="Book Antiqua"/>
        </w:rPr>
      </w:pPr>
      <w:r w:rsidRPr="007F12AB">
        <w:rPr>
          <w:rFonts w:ascii="Book Antiqua" w:hAnsi="Book Antiqua"/>
        </w:rPr>
        <w:t xml:space="preserve">46 </w:t>
      </w:r>
      <w:r w:rsidRPr="007F12AB">
        <w:rPr>
          <w:rFonts w:ascii="Book Antiqua" w:hAnsi="Book Antiqua"/>
          <w:b/>
        </w:rPr>
        <w:t>Barola S</w:t>
      </w:r>
      <w:r w:rsidRPr="007F12AB">
        <w:rPr>
          <w:rFonts w:ascii="Book Antiqua" w:hAnsi="Book Antiqua"/>
        </w:rPr>
        <w:t xml:space="preserve">, Agnihotri A, Khashab MA, Kumbhari V. Perigastric fluid collection after endoscopic sleeve gastroplasty. </w:t>
      </w:r>
      <w:r w:rsidRPr="007F12AB">
        <w:rPr>
          <w:rFonts w:ascii="Book Antiqua" w:hAnsi="Book Antiqua"/>
          <w:i/>
        </w:rPr>
        <w:t>Endoscopy</w:t>
      </w:r>
      <w:r w:rsidRPr="007F12AB">
        <w:rPr>
          <w:rFonts w:ascii="Book Antiqua" w:hAnsi="Book Antiqua"/>
        </w:rPr>
        <w:t xml:space="preserve"> 2016; </w:t>
      </w:r>
      <w:r w:rsidRPr="007F12AB">
        <w:rPr>
          <w:rFonts w:ascii="Book Antiqua" w:hAnsi="Book Antiqua"/>
          <w:b/>
        </w:rPr>
        <w:t>48</w:t>
      </w:r>
      <w:r w:rsidRPr="007F12AB">
        <w:rPr>
          <w:rFonts w:ascii="Book Antiqua" w:hAnsi="Book Antiqua"/>
        </w:rPr>
        <w:t>: E340-E341 [PMID: 27741534 DOI: 10.1055/s-0042-117844]</w:t>
      </w:r>
    </w:p>
    <w:p w14:paraId="34886FBA" w14:textId="77777777" w:rsidR="00545767" w:rsidRPr="007F12AB" w:rsidRDefault="00545767" w:rsidP="0026431D">
      <w:pPr>
        <w:spacing w:line="360" w:lineRule="auto"/>
        <w:jc w:val="both"/>
        <w:rPr>
          <w:rFonts w:ascii="Book Antiqua" w:hAnsi="Book Antiqua"/>
        </w:rPr>
      </w:pPr>
      <w:r w:rsidRPr="007F12AB">
        <w:rPr>
          <w:rFonts w:ascii="Book Antiqua" w:hAnsi="Book Antiqua"/>
        </w:rPr>
        <w:t xml:space="preserve">47 </w:t>
      </w:r>
      <w:r w:rsidRPr="007F12AB">
        <w:rPr>
          <w:rFonts w:ascii="Book Antiqua" w:hAnsi="Book Antiqua"/>
          <w:b/>
        </w:rPr>
        <w:t>Trastulli S</w:t>
      </w:r>
      <w:r w:rsidRPr="007F12AB">
        <w:rPr>
          <w:rFonts w:ascii="Book Antiqua" w:hAnsi="Book Antiqua"/>
        </w:rPr>
        <w:t xml:space="preserve">, Desiderio J, Guarino S, Cirocchi R, Scalercio V, Noya G, Parisi A. Laparoscopic sleeve gastrectomy compared with other bariatric surgical procedures: a systematic review of randomized trials. </w:t>
      </w:r>
      <w:r w:rsidRPr="007F12AB">
        <w:rPr>
          <w:rFonts w:ascii="Book Antiqua" w:hAnsi="Book Antiqua"/>
          <w:i/>
        </w:rPr>
        <w:t>Surg Obes Relat Dis</w:t>
      </w:r>
      <w:r w:rsidRPr="007F12AB">
        <w:rPr>
          <w:rFonts w:ascii="Book Antiqua" w:hAnsi="Book Antiqua"/>
        </w:rPr>
        <w:t xml:space="preserve"> 2013; </w:t>
      </w:r>
      <w:r w:rsidRPr="007F12AB">
        <w:rPr>
          <w:rFonts w:ascii="Book Antiqua" w:hAnsi="Book Antiqua"/>
          <w:b/>
        </w:rPr>
        <w:t>9</w:t>
      </w:r>
      <w:r w:rsidRPr="007F12AB">
        <w:rPr>
          <w:rFonts w:ascii="Book Antiqua" w:hAnsi="Book Antiqua"/>
        </w:rPr>
        <w:t>: 816-829 [PMID: 23993246 DOI: 10.1016/j.soard.2013.05.007]</w:t>
      </w:r>
    </w:p>
    <w:p w14:paraId="71330656" w14:textId="77777777" w:rsidR="00545767" w:rsidRPr="007F12AB" w:rsidRDefault="00545767" w:rsidP="0026431D">
      <w:pPr>
        <w:spacing w:line="360" w:lineRule="auto"/>
        <w:jc w:val="both"/>
        <w:rPr>
          <w:rFonts w:ascii="Book Antiqua" w:hAnsi="Book Antiqua"/>
        </w:rPr>
      </w:pPr>
      <w:r w:rsidRPr="007F12AB">
        <w:rPr>
          <w:rFonts w:ascii="Book Antiqua" w:hAnsi="Book Antiqua"/>
        </w:rPr>
        <w:t xml:space="preserve">48 </w:t>
      </w:r>
      <w:r w:rsidRPr="007F12AB">
        <w:rPr>
          <w:rFonts w:ascii="Book Antiqua" w:hAnsi="Book Antiqua"/>
          <w:b/>
        </w:rPr>
        <w:t>Sakran N</w:t>
      </w:r>
      <w:r w:rsidRPr="007F12AB">
        <w:rPr>
          <w:rFonts w:ascii="Book Antiqua" w:hAnsi="Book Antiqua"/>
        </w:rPr>
        <w:t xml:space="preserve">, Sherf-Dagan S, Blumenfeld O, Romano-Zelekha O, Raziel A, Keren D, Raz I, Hershko D, Gralnek IM, Shohat T, Goitein D. Incidence and Risk Factors for Mortality Following Bariatric Surgery: a Nationwide Registry Study. </w:t>
      </w:r>
      <w:r w:rsidRPr="007F12AB">
        <w:rPr>
          <w:rFonts w:ascii="Book Antiqua" w:hAnsi="Book Antiqua"/>
          <w:i/>
        </w:rPr>
        <w:t>Obes Surg</w:t>
      </w:r>
      <w:r w:rsidRPr="007F12AB">
        <w:rPr>
          <w:rFonts w:ascii="Book Antiqua" w:hAnsi="Book Antiqua"/>
        </w:rPr>
        <w:t xml:space="preserve"> 2018; </w:t>
      </w:r>
      <w:r w:rsidRPr="007F12AB">
        <w:rPr>
          <w:rFonts w:ascii="Book Antiqua" w:hAnsi="Book Antiqua"/>
          <w:b/>
        </w:rPr>
        <w:t>28</w:t>
      </w:r>
      <w:r w:rsidRPr="007F12AB">
        <w:rPr>
          <w:rFonts w:ascii="Book Antiqua" w:hAnsi="Book Antiqua"/>
        </w:rPr>
        <w:t>: 2661-2669 [PMID: 29627947 DOI: 10.1007/s11695-018-3212-1]</w:t>
      </w:r>
    </w:p>
    <w:p w14:paraId="5AAE7E6E" w14:textId="0F2822D8" w:rsidR="0010598E" w:rsidRPr="007F12AB" w:rsidRDefault="0010598E" w:rsidP="0026431D">
      <w:pPr>
        <w:widowControl w:val="0"/>
        <w:autoSpaceDE w:val="0"/>
        <w:autoSpaceDN w:val="0"/>
        <w:adjustRightInd w:val="0"/>
        <w:spacing w:line="360" w:lineRule="auto"/>
        <w:ind w:left="640" w:hanging="640"/>
        <w:jc w:val="both"/>
        <w:rPr>
          <w:rFonts w:ascii="Book Antiqua" w:hAnsi="Book Antiqua"/>
          <w:lang w:val="en-US"/>
        </w:rPr>
      </w:pPr>
    </w:p>
    <w:p w14:paraId="4F3A3EB5" w14:textId="56979EA6" w:rsidR="00DF06E9" w:rsidRPr="007F12AB" w:rsidRDefault="00DF06E9" w:rsidP="0026431D">
      <w:pPr>
        <w:suppressAutoHyphens/>
        <w:spacing w:line="360" w:lineRule="auto"/>
        <w:ind w:right="120"/>
        <w:jc w:val="right"/>
        <w:rPr>
          <w:rFonts w:ascii="Book Antiqua" w:hAnsi="Book Antiqua" w:cs="Mangal"/>
          <w:b/>
          <w:bCs/>
          <w:kern w:val="2"/>
          <w:lang w:val="it-IT" w:eastAsia="en-US" w:bidi="hi-IN"/>
        </w:rPr>
      </w:pPr>
      <w:bookmarkStart w:id="83" w:name="OLE_LINK480"/>
      <w:bookmarkStart w:id="84" w:name="OLE_LINK502"/>
      <w:bookmarkStart w:id="85" w:name="OLE_LINK1021"/>
      <w:bookmarkStart w:id="86" w:name="OLE_LINK1022"/>
      <w:bookmarkStart w:id="87" w:name="OLE_LINK1023"/>
      <w:bookmarkStart w:id="88" w:name="OLE_LINK1064"/>
      <w:bookmarkStart w:id="89" w:name="OLE_LINK1065"/>
      <w:bookmarkStart w:id="90" w:name="OLE_LINK1156"/>
      <w:bookmarkStart w:id="91" w:name="OLE_LINK1157"/>
      <w:bookmarkStart w:id="92" w:name="OLE_LINK1158"/>
      <w:bookmarkStart w:id="93" w:name="OLE_LINK1159"/>
      <w:bookmarkStart w:id="94" w:name="OLE_LINK1185"/>
      <w:bookmarkStart w:id="95" w:name="OLE_LINK958"/>
      <w:bookmarkStart w:id="96" w:name="OLE_LINK959"/>
      <w:bookmarkStart w:id="97" w:name="OLE_LINK962"/>
      <w:bookmarkStart w:id="98" w:name="OLE_LINK1127"/>
      <w:bookmarkStart w:id="99" w:name="OLE_LINK945"/>
      <w:bookmarkStart w:id="100" w:name="OLE_LINK946"/>
      <w:bookmarkStart w:id="101" w:name="OLE_LINK947"/>
      <w:bookmarkStart w:id="102" w:name="OLE_LINK987"/>
      <w:bookmarkStart w:id="103" w:name="OLE_LINK1035"/>
      <w:bookmarkStart w:id="104" w:name="OLE_LINK1036"/>
      <w:bookmarkStart w:id="105" w:name="OLE_LINK1038"/>
      <w:bookmarkStart w:id="106" w:name="OLE_LINK1039"/>
      <w:bookmarkStart w:id="107" w:name="OLE_LINK1040"/>
      <w:bookmarkStart w:id="108" w:name="OLE_LINK1041"/>
      <w:bookmarkStart w:id="109" w:name="OLE_LINK1042"/>
      <w:bookmarkStart w:id="110" w:name="OLE_LINK1043"/>
      <w:bookmarkStart w:id="111" w:name="OLE_LINK1044"/>
      <w:bookmarkStart w:id="112" w:name="OLE_LINK1071"/>
      <w:bookmarkStart w:id="113" w:name="OLE_LINK1072"/>
      <w:bookmarkStart w:id="114" w:name="OLE_LINK968"/>
      <w:bookmarkStart w:id="115" w:name="OLE_LINK1260"/>
      <w:bookmarkStart w:id="116" w:name="OLE_LINK1261"/>
      <w:bookmarkStart w:id="117" w:name="OLE_LINK1264"/>
      <w:bookmarkStart w:id="118" w:name="OLE_LINK1265"/>
      <w:bookmarkStart w:id="119" w:name="OLE_LINK1266"/>
      <w:bookmarkStart w:id="120" w:name="OLE_LINK1282"/>
      <w:bookmarkStart w:id="121" w:name="OLE_LINK1800"/>
      <w:bookmarkStart w:id="122" w:name="OLE_LINK1801"/>
      <w:bookmarkStart w:id="123" w:name="OLE_LINK1802"/>
      <w:bookmarkStart w:id="124" w:name="OLE_LINK1803"/>
      <w:bookmarkStart w:id="125" w:name="OLE_LINK1843"/>
      <w:bookmarkStart w:id="126" w:name="OLE_LINK1844"/>
      <w:bookmarkStart w:id="127" w:name="OLE_LINK1845"/>
      <w:bookmarkStart w:id="128" w:name="OLE_LINK1636"/>
      <w:bookmarkStart w:id="129" w:name="OLE_LINK1755"/>
      <w:bookmarkStart w:id="130" w:name="OLE_LINK1806"/>
      <w:bookmarkStart w:id="131" w:name="OLE_LINK1807"/>
      <w:bookmarkStart w:id="132" w:name="OLE_LINK1811"/>
      <w:bookmarkStart w:id="133" w:name="OLE_LINK1812"/>
      <w:bookmarkStart w:id="134" w:name="OLE_LINK1813"/>
      <w:bookmarkStart w:id="135" w:name="OLE_LINK1962"/>
      <w:bookmarkStart w:id="136" w:name="OLE_LINK1963"/>
      <w:bookmarkStart w:id="137" w:name="OLE_LINK1964"/>
      <w:bookmarkStart w:id="138" w:name="OLE_LINK2162"/>
      <w:bookmarkStart w:id="139" w:name="OLE_LINK2198"/>
      <w:bookmarkStart w:id="140" w:name="OLE_LINK2199"/>
      <w:bookmarkStart w:id="141" w:name="OLE_LINK2200"/>
      <w:bookmarkStart w:id="142" w:name="OLE_LINK2090"/>
      <w:r w:rsidRPr="007F12AB">
        <w:rPr>
          <w:rFonts w:ascii="Book Antiqua" w:eastAsia="Lucida Sans Unicode" w:hAnsi="Book Antiqua" w:cs="Arial"/>
          <w:b/>
          <w:noProof/>
          <w:kern w:val="2"/>
          <w:lang w:val="it-IT" w:eastAsia="hi-IN" w:bidi="hi-IN"/>
        </w:rPr>
        <w:t>P-Reviewer</w:t>
      </w:r>
      <w:r w:rsidRPr="007F12AB">
        <w:rPr>
          <w:rFonts w:ascii="Book Antiqua" w:hAnsi="Book Antiqua" w:cs="Arial"/>
          <w:b/>
          <w:noProof/>
          <w:kern w:val="2"/>
          <w:lang w:val="it-IT" w:bidi="hi-IN"/>
        </w:rPr>
        <w:t>:</w:t>
      </w:r>
      <w:r w:rsidRPr="007F12AB">
        <w:rPr>
          <w:rFonts w:ascii="Book Antiqua" w:hAnsi="Book Antiqua" w:cs="Arial"/>
          <w:noProof/>
          <w:kern w:val="2"/>
          <w:lang w:val="it-IT" w:bidi="hi-IN"/>
        </w:rPr>
        <w:t xml:space="preserve"> </w:t>
      </w:r>
      <w:r w:rsidRPr="007F12AB">
        <w:rPr>
          <w:rFonts w:ascii="Book Antiqua" w:hAnsi="Book Antiqua"/>
        </w:rPr>
        <w:t>Isik A, Lee SC</w:t>
      </w:r>
      <w:r w:rsidRPr="007F12AB">
        <w:rPr>
          <w:rFonts w:ascii="Book Antiqua" w:hAnsi="Book Antiqua" w:cs="Mangal"/>
          <w:bCs/>
          <w:kern w:val="2"/>
          <w:lang w:val="it-IT" w:bidi="hi-IN"/>
        </w:rPr>
        <w:t xml:space="preserve"> </w:t>
      </w:r>
      <w:r w:rsidRPr="007F12AB">
        <w:rPr>
          <w:rFonts w:ascii="Book Antiqua" w:eastAsia="Lucida Sans Unicode" w:hAnsi="Book Antiqua" w:cs="Mangal"/>
          <w:b/>
          <w:bCs/>
          <w:kern w:val="2"/>
          <w:lang w:val="it-IT" w:eastAsia="hi-IN" w:bidi="hi-IN"/>
        </w:rPr>
        <w:t>S-Editor</w:t>
      </w:r>
      <w:r w:rsidRPr="007F12AB">
        <w:rPr>
          <w:rFonts w:ascii="Book Antiqua" w:hAnsi="Book Antiqua" w:cs="Mangal"/>
          <w:b/>
          <w:bCs/>
          <w:kern w:val="2"/>
          <w:lang w:val="it-IT" w:bidi="hi-IN"/>
        </w:rPr>
        <w:t>:</w:t>
      </w:r>
      <w:r w:rsidRPr="007F12AB">
        <w:rPr>
          <w:rFonts w:ascii="Book Antiqua" w:eastAsia="Lucida Sans Unicode" w:hAnsi="Book Antiqua" w:cs="Mangal"/>
          <w:bCs/>
          <w:kern w:val="2"/>
          <w:lang w:val="it-IT" w:eastAsia="hi-IN" w:bidi="hi-IN"/>
        </w:rPr>
        <w:t xml:space="preserve"> </w:t>
      </w:r>
      <w:r w:rsidRPr="007F12AB">
        <w:rPr>
          <w:rFonts w:ascii="Book Antiqua" w:hAnsi="Book Antiqua" w:cs="Mangal"/>
          <w:bCs/>
          <w:kern w:val="2"/>
          <w:lang w:val="it-IT" w:bidi="hi-IN"/>
        </w:rPr>
        <w:t>Dou Y</w:t>
      </w:r>
      <w:r w:rsidRPr="007F12AB">
        <w:rPr>
          <w:rFonts w:ascii="Book Antiqua" w:eastAsia="Lucida Sans Unicode" w:hAnsi="Book Antiqua" w:cs="Mangal"/>
          <w:b/>
          <w:bCs/>
          <w:kern w:val="2"/>
          <w:lang w:val="it-IT" w:eastAsia="hi-IN" w:bidi="hi-IN"/>
        </w:rPr>
        <w:t xml:space="preserve"> L-Editor</w:t>
      </w:r>
      <w:r w:rsidRPr="007F12AB">
        <w:rPr>
          <w:rFonts w:ascii="Book Antiqua" w:hAnsi="Book Antiqua" w:cs="Mangal"/>
          <w:b/>
          <w:bCs/>
          <w:kern w:val="2"/>
          <w:lang w:val="it-IT" w:bidi="hi-IN"/>
        </w:rPr>
        <w:t>:</w:t>
      </w:r>
      <w:r w:rsidR="00C30070">
        <w:rPr>
          <w:rFonts w:ascii="Book Antiqua" w:eastAsia="宋体" w:hAnsi="Book Antiqua" w:cs="Mangal" w:hint="eastAsia"/>
          <w:b/>
          <w:bCs/>
          <w:kern w:val="2"/>
          <w:lang w:val="it-IT" w:eastAsia="zh-CN" w:bidi="hi-IN"/>
        </w:rPr>
        <w:t xml:space="preserve"> </w:t>
      </w:r>
      <w:bookmarkStart w:id="143" w:name="_GoBack"/>
      <w:bookmarkEnd w:id="143"/>
      <w:r w:rsidR="00C30070" w:rsidRPr="00C30070">
        <w:rPr>
          <w:rFonts w:ascii="Book Antiqua" w:eastAsia="宋体" w:hAnsi="Book Antiqua" w:cs="Mangal" w:hint="eastAsia"/>
          <w:bCs/>
          <w:kern w:val="2"/>
          <w:lang w:val="it-IT" w:eastAsia="zh-CN" w:bidi="hi-IN"/>
        </w:rPr>
        <w:t>A</w:t>
      </w:r>
      <w:r w:rsidRPr="007F12AB">
        <w:rPr>
          <w:rFonts w:ascii="Book Antiqua" w:eastAsia="Lucida Sans Unicode" w:hAnsi="Book Antiqua" w:cs="Mangal"/>
          <w:b/>
          <w:bCs/>
          <w:kern w:val="2"/>
          <w:lang w:val="it-IT" w:eastAsia="hi-IN" w:bidi="hi-IN"/>
        </w:rPr>
        <w:t xml:space="preserve"> E-Editor</w:t>
      </w:r>
      <w:r w:rsidRPr="007F12AB">
        <w:rPr>
          <w:rFonts w:ascii="Book Antiqua" w:hAnsi="Book Antiqua" w:cs="Mangal"/>
          <w:b/>
          <w:bCs/>
          <w:kern w:val="2"/>
          <w:lang w:val="it-IT" w:bidi="hi-IN"/>
        </w:rPr>
        <w:t>:</w:t>
      </w:r>
      <w:r w:rsidR="00C30070" w:rsidRPr="00C30070">
        <w:t xml:space="preserve"> </w:t>
      </w:r>
      <w:r w:rsidR="00C30070" w:rsidRPr="00C30070">
        <w:rPr>
          <w:rFonts w:ascii="Book Antiqua" w:hAnsi="Book Antiqua" w:cs="Mangal"/>
          <w:bCs/>
          <w:kern w:val="2"/>
          <w:lang w:val="it-IT" w:bidi="hi-IN"/>
        </w:rPr>
        <w:t>Xing YX</w:t>
      </w:r>
    </w:p>
    <w:p w14:paraId="08848EF5" w14:textId="77777777" w:rsidR="00DF06E9" w:rsidRPr="007F12AB" w:rsidRDefault="00DF06E9" w:rsidP="0026431D">
      <w:pPr>
        <w:suppressAutoHyphens/>
        <w:spacing w:line="360" w:lineRule="auto"/>
        <w:ind w:right="120"/>
        <w:jc w:val="both"/>
        <w:rPr>
          <w:rFonts w:ascii="Book Antiqua" w:hAnsi="Book Antiqua" w:cs="Mangal"/>
          <w:b/>
          <w:bCs/>
          <w:kern w:val="2"/>
          <w:lang w:val="it-IT" w:bidi="hi-IN"/>
        </w:rPr>
      </w:pPr>
    </w:p>
    <w:p w14:paraId="606D0161" w14:textId="3B2FF399" w:rsidR="00DF06E9" w:rsidRPr="007F12AB" w:rsidRDefault="00DF06E9" w:rsidP="0026431D">
      <w:pPr>
        <w:shd w:val="clear" w:color="auto" w:fill="FFFFFF"/>
        <w:snapToGrid w:val="0"/>
        <w:spacing w:line="360" w:lineRule="auto"/>
        <w:jc w:val="both"/>
        <w:rPr>
          <w:rFonts w:ascii="Book Antiqua" w:hAnsi="Book Antiqua" w:cs="Helvetica"/>
          <w:b/>
          <w:lang w:val="en-US"/>
        </w:rPr>
      </w:pPr>
      <w:r w:rsidRPr="007F12AB">
        <w:rPr>
          <w:rFonts w:ascii="Book Antiqua" w:hAnsi="Book Antiqua" w:cs="Helvetica"/>
          <w:b/>
        </w:rPr>
        <w:t xml:space="preserve">Specialty type: </w:t>
      </w:r>
      <w:r w:rsidR="00816AD2" w:rsidRPr="007F12AB">
        <w:rPr>
          <w:rFonts w:ascii="Book Antiqua" w:eastAsia="微软雅黑" w:hAnsi="Book Antiqua" w:cs="宋体"/>
        </w:rPr>
        <w:t>Gastroenterology and hepatology</w:t>
      </w:r>
    </w:p>
    <w:p w14:paraId="50DABECE" w14:textId="4F61284B" w:rsidR="00DF06E9" w:rsidRPr="007F12AB" w:rsidRDefault="00DF06E9" w:rsidP="0026431D">
      <w:pPr>
        <w:shd w:val="clear" w:color="auto" w:fill="FFFFFF"/>
        <w:snapToGrid w:val="0"/>
        <w:spacing w:line="360" w:lineRule="auto"/>
        <w:jc w:val="both"/>
        <w:rPr>
          <w:rFonts w:ascii="Book Antiqua" w:hAnsi="Book Antiqua" w:cs="Helvetica"/>
          <w:b/>
        </w:rPr>
      </w:pPr>
      <w:r w:rsidRPr="007F12AB">
        <w:rPr>
          <w:rFonts w:ascii="Book Antiqua" w:hAnsi="Book Antiqua" w:cs="Helvetica"/>
          <w:b/>
        </w:rPr>
        <w:t xml:space="preserve">Country of origin: </w:t>
      </w:r>
      <w:r w:rsidRPr="007F12AB">
        <w:rPr>
          <w:rFonts w:ascii="Book Antiqua" w:hAnsi="Book Antiqua" w:cs="Helvetica"/>
          <w:lang w:eastAsia="zh-CN"/>
        </w:rPr>
        <w:t>United States</w:t>
      </w:r>
    </w:p>
    <w:p w14:paraId="72D6B322" w14:textId="77777777" w:rsidR="00DF06E9" w:rsidRPr="007F12AB" w:rsidRDefault="00DF06E9" w:rsidP="0026431D">
      <w:pPr>
        <w:shd w:val="clear" w:color="auto" w:fill="FFFFFF"/>
        <w:snapToGrid w:val="0"/>
        <w:spacing w:line="360" w:lineRule="auto"/>
        <w:jc w:val="both"/>
        <w:rPr>
          <w:rFonts w:ascii="Book Antiqua" w:hAnsi="Book Antiqua" w:cs="Helvetica"/>
          <w:b/>
        </w:rPr>
      </w:pPr>
      <w:r w:rsidRPr="007F12AB">
        <w:rPr>
          <w:rFonts w:ascii="Book Antiqua" w:hAnsi="Book Antiqua" w:cs="Helvetica"/>
          <w:b/>
        </w:rPr>
        <w:t>Peer-review report classification</w:t>
      </w:r>
    </w:p>
    <w:p w14:paraId="31A31870" w14:textId="3C9A36C3" w:rsidR="00DF06E9" w:rsidRPr="007F12AB" w:rsidRDefault="00DF06E9" w:rsidP="0026431D">
      <w:pPr>
        <w:shd w:val="clear" w:color="auto" w:fill="FFFFFF"/>
        <w:snapToGrid w:val="0"/>
        <w:spacing w:line="360" w:lineRule="auto"/>
        <w:jc w:val="both"/>
        <w:rPr>
          <w:rFonts w:ascii="Book Antiqua" w:hAnsi="Book Antiqua" w:cs="Helvetica"/>
          <w:lang w:eastAsia="zh-CN"/>
        </w:rPr>
      </w:pPr>
      <w:r w:rsidRPr="007F12AB">
        <w:rPr>
          <w:rFonts w:ascii="Book Antiqua" w:hAnsi="Book Antiqua" w:cs="Helvetica"/>
        </w:rPr>
        <w:t xml:space="preserve">Grade A (Excellent): </w:t>
      </w:r>
      <w:r w:rsidRPr="007F12AB">
        <w:rPr>
          <w:rFonts w:ascii="Book Antiqua" w:hAnsi="Book Antiqua" w:cs="Helvetica"/>
          <w:lang w:eastAsia="zh-CN"/>
        </w:rPr>
        <w:t>A</w:t>
      </w:r>
    </w:p>
    <w:p w14:paraId="58ED488B" w14:textId="6E677367" w:rsidR="00DF06E9" w:rsidRPr="007F12AB" w:rsidRDefault="00DF06E9" w:rsidP="0026431D">
      <w:pPr>
        <w:shd w:val="clear" w:color="auto" w:fill="FFFFFF"/>
        <w:snapToGrid w:val="0"/>
        <w:spacing w:line="360" w:lineRule="auto"/>
        <w:jc w:val="both"/>
        <w:rPr>
          <w:rFonts w:ascii="Book Antiqua" w:hAnsi="Book Antiqua" w:cs="Helvetica"/>
          <w:lang w:eastAsia="zh-CN"/>
        </w:rPr>
      </w:pPr>
      <w:r w:rsidRPr="007F12AB">
        <w:rPr>
          <w:rFonts w:ascii="Book Antiqua" w:hAnsi="Book Antiqua" w:cs="Helvetica"/>
        </w:rPr>
        <w:t xml:space="preserve">Grade B (Very good): </w:t>
      </w:r>
      <w:r w:rsidRPr="007F12AB">
        <w:rPr>
          <w:rFonts w:ascii="Book Antiqua" w:hAnsi="Book Antiqua" w:cs="Helvetica"/>
          <w:lang w:eastAsia="zh-CN"/>
        </w:rPr>
        <w:t>B</w:t>
      </w:r>
    </w:p>
    <w:p w14:paraId="2204DDC1" w14:textId="77777777" w:rsidR="00DF06E9" w:rsidRPr="007F12AB" w:rsidRDefault="00DF06E9" w:rsidP="0026431D">
      <w:pPr>
        <w:shd w:val="clear" w:color="auto" w:fill="FFFFFF"/>
        <w:snapToGrid w:val="0"/>
        <w:spacing w:line="360" w:lineRule="auto"/>
        <w:jc w:val="both"/>
        <w:rPr>
          <w:rFonts w:ascii="Book Antiqua" w:hAnsi="Book Antiqua" w:cs="Helvetica"/>
          <w:lang w:eastAsia="zh-CN"/>
        </w:rPr>
      </w:pPr>
      <w:r w:rsidRPr="007F12AB">
        <w:rPr>
          <w:rFonts w:ascii="Book Antiqua" w:hAnsi="Book Antiqua" w:cs="Helvetica"/>
        </w:rPr>
        <w:t xml:space="preserve">Grade C (Good): </w:t>
      </w:r>
      <w:r w:rsidRPr="007F12AB">
        <w:rPr>
          <w:rFonts w:ascii="Book Antiqua" w:hAnsi="Book Antiqua" w:cs="Helvetica"/>
          <w:lang w:eastAsia="zh-CN"/>
        </w:rPr>
        <w:t>0</w:t>
      </w:r>
    </w:p>
    <w:p w14:paraId="2FBC061D" w14:textId="6B35B308" w:rsidR="00DF06E9" w:rsidRPr="007F12AB" w:rsidRDefault="00DF06E9" w:rsidP="0026431D">
      <w:pPr>
        <w:shd w:val="clear" w:color="auto" w:fill="FFFFFF"/>
        <w:snapToGrid w:val="0"/>
        <w:spacing w:line="360" w:lineRule="auto"/>
        <w:jc w:val="both"/>
        <w:rPr>
          <w:rFonts w:ascii="Book Antiqua" w:hAnsi="Book Antiqua" w:cs="Helvetica"/>
          <w:lang w:eastAsia="zh-CN"/>
        </w:rPr>
      </w:pPr>
      <w:r w:rsidRPr="007F12AB">
        <w:rPr>
          <w:rFonts w:ascii="Book Antiqua" w:hAnsi="Book Antiqua" w:cs="Helvetica"/>
        </w:rPr>
        <w:t xml:space="preserve">Grade D (Fair): </w:t>
      </w:r>
      <w:bookmarkEnd w:id="83"/>
      <w:bookmarkEnd w:id="84"/>
      <w:r w:rsidRPr="007F12AB">
        <w:rPr>
          <w:rFonts w:ascii="Book Antiqua" w:hAnsi="Book Antiqua" w:cs="Helvetica"/>
          <w:lang w:eastAsia="zh-CN"/>
        </w:rPr>
        <w:t>0</w:t>
      </w:r>
    </w:p>
    <w:p w14:paraId="5B434792" w14:textId="6A1C15EB" w:rsidR="00DF06E9" w:rsidRPr="0026431D" w:rsidRDefault="00DF06E9" w:rsidP="0026431D">
      <w:pPr>
        <w:shd w:val="clear" w:color="auto" w:fill="FFFFFF"/>
        <w:snapToGrid w:val="0"/>
        <w:spacing w:line="360" w:lineRule="auto"/>
        <w:jc w:val="both"/>
        <w:rPr>
          <w:rFonts w:ascii="Book Antiqua" w:hAnsi="Book Antiqua" w:cs="Helvetica"/>
          <w:lang w:eastAsia="zh-CN"/>
        </w:rPr>
      </w:pPr>
      <w:r w:rsidRPr="007F12AB">
        <w:rPr>
          <w:rFonts w:ascii="Book Antiqua" w:hAnsi="Book Antiqua" w:cs="Helvetica"/>
        </w:rPr>
        <w:t xml:space="preserve">Grade E (Poor): </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7F12AB">
        <w:rPr>
          <w:rFonts w:ascii="Book Antiqua" w:hAnsi="Book Antiqua" w:cs="Helvetica"/>
          <w:lang w:eastAsia="zh-CN"/>
        </w:rPr>
        <w:t>0</w:t>
      </w:r>
    </w:p>
    <w:p w14:paraId="02BB22E6" w14:textId="3C9736C2" w:rsidR="000B1DF9" w:rsidRPr="0026431D" w:rsidRDefault="000B1DF9" w:rsidP="0026431D">
      <w:pPr>
        <w:widowControl w:val="0"/>
        <w:autoSpaceDE w:val="0"/>
        <w:autoSpaceDN w:val="0"/>
        <w:adjustRightInd w:val="0"/>
        <w:spacing w:line="360" w:lineRule="auto"/>
        <w:jc w:val="both"/>
        <w:rPr>
          <w:rFonts w:ascii="Book Antiqua" w:hAnsi="Book Antiqua"/>
          <w:lang w:val="en-US"/>
        </w:rPr>
      </w:pPr>
    </w:p>
    <w:sectPr w:rsidR="000B1DF9" w:rsidRPr="0026431D" w:rsidSect="00E13B2D">
      <w:footerReference w:type="even" r:id="rId9"/>
      <w:footerReference w:type="default" r:id="rId10"/>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C2740" w14:textId="77777777" w:rsidR="003D4AB7" w:rsidRDefault="003D4AB7" w:rsidP="001D2AD8">
      <w:r>
        <w:separator/>
      </w:r>
    </w:p>
  </w:endnote>
  <w:endnote w:type="continuationSeparator" w:id="0">
    <w:p w14:paraId="06B0F41D" w14:textId="77777777" w:rsidR="003D4AB7" w:rsidRDefault="003D4AB7" w:rsidP="001D2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panose1 w:val="020F0302020204030204"/>
    <w:charset w:val="00"/>
    <w:family w:val="swiss"/>
    <w:pitch w:val="variable"/>
    <w:sig w:usb0="00000001" w:usb1="4000207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TimesNewRomanPS-BoldItalicMT">
    <w:charset w:val="00"/>
    <w:family w:val="roman"/>
    <w:pitch w:val="variable"/>
    <w:sig w:usb0="E0000AFF" w:usb1="00007843" w:usb2="00000001" w:usb3="00000000" w:csb0="000001BF" w:csb1="00000000"/>
  </w:font>
  <w:font w:name="Segoe UI">
    <w:panose1 w:val="020B0502040204020203"/>
    <w:charset w:val="00"/>
    <w:family w:val="swiss"/>
    <w:pitch w:val="variable"/>
    <w:sig w:usb0="E00022FF" w:usb1="C000205B" w:usb2="00000009" w:usb3="00000000" w:csb0="000001DF" w:csb1="00000000"/>
  </w:font>
  <w:font w:name="BookAntiqua">
    <w:altName w:val="Microsoft JhengHei"/>
    <w:panose1 w:val="00000000000000000000"/>
    <w:charset w:val="80"/>
    <w:family w:val="auto"/>
    <w:notTrueType/>
    <w:pitch w:val="default"/>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微软雅黑">
    <w:altName w:val="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770930118"/>
      <w:docPartObj>
        <w:docPartGallery w:val="Page Numbers (Bottom of Page)"/>
        <w:docPartUnique/>
      </w:docPartObj>
    </w:sdtPr>
    <w:sdtEndPr>
      <w:rPr>
        <w:rStyle w:val="ad"/>
      </w:rPr>
    </w:sdtEndPr>
    <w:sdtContent>
      <w:p w14:paraId="64D86E98" w14:textId="4A3EA9CB" w:rsidR="002E662A" w:rsidRDefault="002E662A" w:rsidP="005F4A40">
        <w:pPr>
          <w:pStyle w:val="ac"/>
          <w:framePr w:wrap="none" w:vAnchor="text" w:hAnchor="margin" w:xAlign="right" w:y="1"/>
          <w:rPr>
            <w:rStyle w:val="ad"/>
          </w:rPr>
        </w:pPr>
        <w:r>
          <w:rPr>
            <w:rStyle w:val="ad"/>
          </w:rPr>
          <w:fldChar w:fldCharType="begin"/>
        </w:r>
        <w:r>
          <w:rPr>
            <w:rStyle w:val="ad"/>
          </w:rPr>
          <w:instrText xml:space="preserve"> PAGE </w:instrText>
        </w:r>
        <w:r>
          <w:rPr>
            <w:rStyle w:val="ad"/>
          </w:rPr>
          <w:fldChar w:fldCharType="end"/>
        </w:r>
      </w:p>
    </w:sdtContent>
  </w:sdt>
  <w:p w14:paraId="21AF8044" w14:textId="77777777" w:rsidR="002E662A" w:rsidRDefault="002E662A" w:rsidP="004D43BF">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069722422"/>
      <w:docPartObj>
        <w:docPartGallery w:val="Page Numbers (Bottom of Page)"/>
        <w:docPartUnique/>
      </w:docPartObj>
    </w:sdtPr>
    <w:sdtEndPr>
      <w:rPr>
        <w:rStyle w:val="ad"/>
      </w:rPr>
    </w:sdtEndPr>
    <w:sdtContent>
      <w:p w14:paraId="2ACFB2F3" w14:textId="77DA2AED" w:rsidR="002E662A" w:rsidRDefault="002E662A" w:rsidP="005F4A40">
        <w:pPr>
          <w:pStyle w:val="ac"/>
          <w:framePr w:wrap="none" w:vAnchor="text" w:hAnchor="margin" w:xAlign="right" w:y="1"/>
          <w:rPr>
            <w:rStyle w:val="ad"/>
          </w:rPr>
        </w:pPr>
        <w:r>
          <w:rPr>
            <w:rStyle w:val="ad"/>
          </w:rPr>
          <w:fldChar w:fldCharType="begin"/>
        </w:r>
        <w:r>
          <w:rPr>
            <w:rStyle w:val="ad"/>
          </w:rPr>
          <w:instrText xml:space="preserve"> PAGE </w:instrText>
        </w:r>
        <w:r>
          <w:rPr>
            <w:rStyle w:val="ad"/>
          </w:rPr>
          <w:fldChar w:fldCharType="separate"/>
        </w:r>
        <w:r w:rsidR="00C30070">
          <w:rPr>
            <w:rStyle w:val="ad"/>
            <w:noProof/>
          </w:rPr>
          <w:t>18</w:t>
        </w:r>
        <w:r>
          <w:rPr>
            <w:rStyle w:val="ad"/>
          </w:rPr>
          <w:fldChar w:fldCharType="end"/>
        </w:r>
      </w:p>
    </w:sdtContent>
  </w:sdt>
  <w:p w14:paraId="17336C55" w14:textId="77777777" w:rsidR="002E662A" w:rsidRDefault="002E662A" w:rsidP="004D43BF">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C7416" w14:textId="77777777" w:rsidR="003D4AB7" w:rsidRDefault="003D4AB7" w:rsidP="001D2AD8">
      <w:r>
        <w:separator/>
      </w:r>
    </w:p>
  </w:footnote>
  <w:footnote w:type="continuationSeparator" w:id="0">
    <w:p w14:paraId="439FF21B" w14:textId="77777777" w:rsidR="003D4AB7" w:rsidRDefault="003D4AB7" w:rsidP="001D2A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565"/>
    <w:multiLevelType w:val="hybridMultilevel"/>
    <w:tmpl w:val="E702D9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FC82889"/>
    <w:multiLevelType w:val="hybridMultilevel"/>
    <w:tmpl w:val="31249E3C"/>
    <w:lvl w:ilvl="0" w:tplc="924E329C">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C1F006E"/>
    <w:multiLevelType w:val="hybridMultilevel"/>
    <w:tmpl w:val="274264C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0A639F9"/>
    <w:multiLevelType w:val="hybridMultilevel"/>
    <w:tmpl w:val="77E03E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2095D44"/>
    <w:multiLevelType w:val="hybridMultilevel"/>
    <w:tmpl w:val="755A93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B411AEE"/>
    <w:multiLevelType w:val="multilevel"/>
    <w:tmpl w:val="99803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7C1C4E"/>
    <w:multiLevelType w:val="multilevel"/>
    <w:tmpl w:val="25FC9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146FF3"/>
    <w:multiLevelType w:val="hybridMultilevel"/>
    <w:tmpl w:val="2B2ED650"/>
    <w:lvl w:ilvl="0" w:tplc="924E329C">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C084065"/>
    <w:multiLevelType w:val="hybridMultilevel"/>
    <w:tmpl w:val="54E2E9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1353F00"/>
    <w:multiLevelType w:val="hybridMultilevel"/>
    <w:tmpl w:val="453A0E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3777BF9"/>
    <w:multiLevelType w:val="hybridMultilevel"/>
    <w:tmpl w:val="BFA4B0E0"/>
    <w:lvl w:ilvl="0" w:tplc="B9F8DEAA">
      <w:numFmt w:val="bullet"/>
      <w:lvlText w:val="•"/>
      <w:lvlJc w:val="left"/>
      <w:pPr>
        <w:ind w:left="740" w:hanging="380"/>
      </w:pPr>
      <w:rPr>
        <w:rFonts w:ascii="Calibri" w:eastAsia="Arial"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47500946"/>
    <w:multiLevelType w:val="hybridMultilevel"/>
    <w:tmpl w:val="AFCA83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92717B2"/>
    <w:multiLevelType w:val="hybridMultilevel"/>
    <w:tmpl w:val="E3D27C5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E461C6B"/>
    <w:multiLevelType w:val="hybridMultilevel"/>
    <w:tmpl w:val="F8B6E3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2140196"/>
    <w:multiLevelType w:val="hybridMultilevel"/>
    <w:tmpl w:val="F57066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8FB3ADA"/>
    <w:multiLevelType w:val="hybridMultilevel"/>
    <w:tmpl w:val="0FE884D6"/>
    <w:lvl w:ilvl="0" w:tplc="924E329C">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6E2D7DEE"/>
    <w:multiLevelType w:val="hybridMultilevel"/>
    <w:tmpl w:val="E3FCF5CC"/>
    <w:lvl w:ilvl="0" w:tplc="924E329C">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7A265DD0"/>
    <w:multiLevelType w:val="multilevel"/>
    <w:tmpl w:val="9FEA7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14"/>
  </w:num>
  <w:num w:numId="4">
    <w:abstractNumId w:val="12"/>
  </w:num>
  <w:num w:numId="5">
    <w:abstractNumId w:val="0"/>
  </w:num>
  <w:num w:numId="6">
    <w:abstractNumId w:val="8"/>
  </w:num>
  <w:num w:numId="7">
    <w:abstractNumId w:val="3"/>
  </w:num>
  <w:num w:numId="8">
    <w:abstractNumId w:val="4"/>
  </w:num>
  <w:num w:numId="9">
    <w:abstractNumId w:val="1"/>
  </w:num>
  <w:num w:numId="10">
    <w:abstractNumId w:val="16"/>
  </w:num>
  <w:num w:numId="11">
    <w:abstractNumId w:val="7"/>
  </w:num>
  <w:num w:numId="12">
    <w:abstractNumId w:val="17"/>
  </w:num>
  <w:num w:numId="13">
    <w:abstractNumId w:val="2"/>
  </w:num>
  <w:num w:numId="14">
    <w:abstractNumId w:val="13"/>
  </w:num>
  <w:num w:numId="15">
    <w:abstractNumId w:val="10"/>
  </w:num>
  <w:num w:numId="16">
    <w:abstractNumId w:val="18"/>
  </w:num>
  <w:num w:numId="17">
    <w:abstractNumId w:val="5"/>
  </w:num>
  <w:num w:numId="18">
    <w:abstractNumId w:val="6"/>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530"/>
    <w:rsid w:val="0000134C"/>
    <w:rsid w:val="00004509"/>
    <w:rsid w:val="00007290"/>
    <w:rsid w:val="00012474"/>
    <w:rsid w:val="00016C4A"/>
    <w:rsid w:val="00017558"/>
    <w:rsid w:val="0002664D"/>
    <w:rsid w:val="00031A13"/>
    <w:rsid w:val="00033B74"/>
    <w:rsid w:val="00037BAF"/>
    <w:rsid w:val="00041274"/>
    <w:rsid w:val="0004227D"/>
    <w:rsid w:val="00042C40"/>
    <w:rsid w:val="0004382D"/>
    <w:rsid w:val="000452B8"/>
    <w:rsid w:val="00050BD2"/>
    <w:rsid w:val="0005135E"/>
    <w:rsid w:val="00051F79"/>
    <w:rsid w:val="000575D2"/>
    <w:rsid w:val="000642E7"/>
    <w:rsid w:val="00064AC3"/>
    <w:rsid w:val="00065BD2"/>
    <w:rsid w:val="00066330"/>
    <w:rsid w:val="00070532"/>
    <w:rsid w:val="00070CA5"/>
    <w:rsid w:val="0007732E"/>
    <w:rsid w:val="00080FCF"/>
    <w:rsid w:val="0008511A"/>
    <w:rsid w:val="00086987"/>
    <w:rsid w:val="0009147E"/>
    <w:rsid w:val="00092945"/>
    <w:rsid w:val="00094693"/>
    <w:rsid w:val="00097C6C"/>
    <w:rsid w:val="000A0D71"/>
    <w:rsid w:val="000B1DF9"/>
    <w:rsid w:val="000B216C"/>
    <w:rsid w:val="000B5F71"/>
    <w:rsid w:val="000B61CC"/>
    <w:rsid w:val="000B6473"/>
    <w:rsid w:val="000B689D"/>
    <w:rsid w:val="000C62B3"/>
    <w:rsid w:val="000D35E2"/>
    <w:rsid w:val="000D481B"/>
    <w:rsid w:val="000D6F10"/>
    <w:rsid w:val="000E0136"/>
    <w:rsid w:val="000E0BAE"/>
    <w:rsid w:val="000E2310"/>
    <w:rsid w:val="000E6BFF"/>
    <w:rsid w:val="000F279A"/>
    <w:rsid w:val="00100EBB"/>
    <w:rsid w:val="0010598E"/>
    <w:rsid w:val="00105BBD"/>
    <w:rsid w:val="001102E7"/>
    <w:rsid w:val="00117228"/>
    <w:rsid w:val="00117A94"/>
    <w:rsid w:val="00120CF9"/>
    <w:rsid w:val="00120FA9"/>
    <w:rsid w:val="00122A6C"/>
    <w:rsid w:val="001312C9"/>
    <w:rsid w:val="00133E7C"/>
    <w:rsid w:val="001402DC"/>
    <w:rsid w:val="0014078D"/>
    <w:rsid w:val="00146A74"/>
    <w:rsid w:val="0015041D"/>
    <w:rsid w:val="00152F41"/>
    <w:rsid w:val="00153199"/>
    <w:rsid w:val="001676A6"/>
    <w:rsid w:val="00170A2E"/>
    <w:rsid w:val="001738FB"/>
    <w:rsid w:val="00174623"/>
    <w:rsid w:val="00174D34"/>
    <w:rsid w:val="00183D1C"/>
    <w:rsid w:val="00185494"/>
    <w:rsid w:val="00192EE0"/>
    <w:rsid w:val="00194ED5"/>
    <w:rsid w:val="001A37BF"/>
    <w:rsid w:val="001A53B3"/>
    <w:rsid w:val="001A77F8"/>
    <w:rsid w:val="001C164C"/>
    <w:rsid w:val="001C21CF"/>
    <w:rsid w:val="001C2A57"/>
    <w:rsid w:val="001C44C7"/>
    <w:rsid w:val="001D2AD8"/>
    <w:rsid w:val="001D55DD"/>
    <w:rsid w:val="001D568A"/>
    <w:rsid w:val="001D73F1"/>
    <w:rsid w:val="001E07F6"/>
    <w:rsid w:val="001E1F38"/>
    <w:rsid w:val="001E369D"/>
    <w:rsid w:val="001E69F7"/>
    <w:rsid w:val="0020234E"/>
    <w:rsid w:val="00204167"/>
    <w:rsid w:val="00214429"/>
    <w:rsid w:val="00214DBC"/>
    <w:rsid w:val="0021570C"/>
    <w:rsid w:val="00220530"/>
    <w:rsid w:val="00220A6A"/>
    <w:rsid w:val="00223BC3"/>
    <w:rsid w:val="00224174"/>
    <w:rsid w:val="002263E4"/>
    <w:rsid w:val="00232C21"/>
    <w:rsid w:val="00232DD0"/>
    <w:rsid w:val="00233FC7"/>
    <w:rsid w:val="00240779"/>
    <w:rsid w:val="00244940"/>
    <w:rsid w:val="00246974"/>
    <w:rsid w:val="00251AB3"/>
    <w:rsid w:val="00251C55"/>
    <w:rsid w:val="00251F55"/>
    <w:rsid w:val="002525C5"/>
    <w:rsid w:val="00253CC3"/>
    <w:rsid w:val="00255AC1"/>
    <w:rsid w:val="0026431D"/>
    <w:rsid w:val="00264FA8"/>
    <w:rsid w:val="002677C6"/>
    <w:rsid w:val="00275622"/>
    <w:rsid w:val="00280430"/>
    <w:rsid w:val="002837EE"/>
    <w:rsid w:val="00283E36"/>
    <w:rsid w:val="002909CC"/>
    <w:rsid w:val="00296019"/>
    <w:rsid w:val="002A4C58"/>
    <w:rsid w:val="002A4DCC"/>
    <w:rsid w:val="002B0258"/>
    <w:rsid w:val="002B26B1"/>
    <w:rsid w:val="002B30BF"/>
    <w:rsid w:val="002B3AA3"/>
    <w:rsid w:val="002B6A8A"/>
    <w:rsid w:val="002C2BD8"/>
    <w:rsid w:val="002C5967"/>
    <w:rsid w:val="002C5A14"/>
    <w:rsid w:val="002C6727"/>
    <w:rsid w:val="002C6CE8"/>
    <w:rsid w:val="002D10A3"/>
    <w:rsid w:val="002D2001"/>
    <w:rsid w:val="002D5FFB"/>
    <w:rsid w:val="002E2434"/>
    <w:rsid w:val="002E662A"/>
    <w:rsid w:val="002E7235"/>
    <w:rsid w:val="002E7A36"/>
    <w:rsid w:val="002F6C90"/>
    <w:rsid w:val="00301363"/>
    <w:rsid w:val="00303AA5"/>
    <w:rsid w:val="0030410B"/>
    <w:rsid w:val="00304DAE"/>
    <w:rsid w:val="00305892"/>
    <w:rsid w:val="00312C02"/>
    <w:rsid w:val="003213E6"/>
    <w:rsid w:val="00322D1B"/>
    <w:rsid w:val="0032480D"/>
    <w:rsid w:val="00326784"/>
    <w:rsid w:val="00327A23"/>
    <w:rsid w:val="003311A4"/>
    <w:rsid w:val="003335FA"/>
    <w:rsid w:val="00340F9E"/>
    <w:rsid w:val="0034303D"/>
    <w:rsid w:val="00353376"/>
    <w:rsid w:val="003559AD"/>
    <w:rsid w:val="00360AC3"/>
    <w:rsid w:val="00361596"/>
    <w:rsid w:val="00364125"/>
    <w:rsid w:val="00375F05"/>
    <w:rsid w:val="00380E29"/>
    <w:rsid w:val="00382CCF"/>
    <w:rsid w:val="00387991"/>
    <w:rsid w:val="0039060B"/>
    <w:rsid w:val="00391103"/>
    <w:rsid w:val="00397A5F"/>
    <w:rsid w:val="003A21E8"/>
    <w:rsid w:val="003A6A27"/>
    <w:rsid w:val="003B25F6"/>
    <w:rsid w:val="003B6768"/>
    <w:rsid w:val="003B73CA"/>
    <w:rsid w:val="003C78F5"/>
    <w:rsid w:val="003C7ADA"/>
    <w:rsid w:val="003D04AB"/>
    <w:rsid w:val="003D0933"/>
    <w:rsid w:val="003D0946"/>
    <w:rsid w:val="003D4AB7"/>
    <w:rsid w:val="003D680B"/>
    <w:rsid w:val="003E3D42"/>
    <w:rsid w:val="003E605B"/>
    <w:rsid w:val="003F005B"/>
    <w:rsid w:val="00412109"/>
    <w:rsid w:val="00414F28"/>
    <w:rsid w:val="00416EB6"/>
    <w:rsid w:val="004248B7"/>
    <w:rsid w:val="00425755"/>
    <w:rsid w:val="004306DC"/>
    <w:rsid w:val="00432AD0"/>
    <w:rsid w:val="00432BC5"/>
    <w:rsid w:val="004339A1"/>
    <w:rsid w:val="00434AC8"/>
    <w:rsid w:val="004361C7"/>
    <w:rsid w:val="00436CE3"/>
    <w:rsid w:val="00437D47"/>
    <w:rsid w:val="00445D42"/>
    <w:rsid w:val="004463BA"/>
    <w:rsid w:val="0044672B"/>
    <w:rsid w:val="00447C95"/>
    <w:rsid w:val="0045093A"/>
    <w:rsid w:val="004535AF"/>
    <w:rsid w:val="0045614B"/>
    <w:rsid w:val="00456D9D"/>
    <w:rsid w:val="0046074E"/>
    <w:rsid w:val="00464D5B"/>
    <w:rsid w:val="00465362"/>
    <w:rsid w:val="00465882"/>
    <w:rsid w:val="004670B6"/>
    <w:rsid w:val="00477C97"/>
    <w:rsid w:val="0048103F"/>
    <w:rsid w:val="00484C46"/>
    <w:rsid w:val="00485C99"/>
    <w:rsid w:val="00491712"/>
    <w:rsid w:val="00493ECD"/>
    <w:rsid w:val="004A5F44"/>
    <w:rsid w:val="004A650E"/>
    <w:rsid w:val="004A7CA4"/>
    <w:rsid w:val="004B2FD1"/>
    <w:rsid w:val="004B38E3"/>
    <w:rsid w:val="004B4BE6"/>
    <w:rsid w:val="004B6478"/>
    <w:rsid w:val="004C2E07"/>
    <w:rsid w:val="004C4447"/>
    <w:rsid w:val="004C5F3A"/>
    <w:rsid w:val="004C64E6"/>
    <w:rsid w:val="004C6ADE"/>
    <w:rsid w:val="004D1D7D"/>
    <w:rsid w:val="004D43BF"/>
    <w:rsid w:val="004D5457"/>
    <w:rsid w:val="004D65EE"/>
    <w:rsid w:val="004E3379"/>
    <w:rsid w:val="004E5A4A"/>
    <w:rsid w:val="004F24C7"/>
    <w:rsid w:val="004F70B3"/>
    <w:rsid w:val="00501934"/>
    <w:rsid w:val="00505440"/>
    <w:rsid w:val="005072E6"/>
    <w:rsid w:val="005110BA"/>
    <w:rsid w:val="005120A2"/>
    <w:rsid w:val="00513907"/>
    <w:rsid w:val="00514ACC"/>
    <w:rsid w:val="00516195"/>
    <w:rsid w:val="00516774"/>
    <w:rsid w:val="005242A4"/>
    <w:rsid w:val="00530483"/>
    <w:rsid w:val="005324F7"/>
    <w:rsid w:val="00540CE0"/>
    <w:rsid w:val="0054149D"/>
    <w:rsid w:val="00543895"/>
    <w:rsid w:val="00545767"/>
    <w:rsid w:val="00550401"/>
    <w:rsid w:val="005517B0"/>
    <w:rsid w:val="00552061"/>
    <w:rsid w:val="00553279"/>
    <w:rsid w:val="0055333A"/>
    <w:rsid w:val="0055353D"/>
    <w:rsid w:val="005602FC"/>
    <w:rsid w:val="00560526"/>
    <w:rsid w:val="0056115A"/>
    <w:rsid w:val="00563A0E"/>
    <w:rsid w:val="00570C38"/>
    <w:rsid w:val="005716FC"/>
    <w:rsid w:val="00573906"/>
    <w:rsid w:val="00577E5C"/>
    <w:rsid w:val="00581106"/>
    <w:rsid w:val="0058236F"/>
    <w:rsid w:val="005876BF"/>
    <w:rsid w:val="005922D9"/>
    <w:rsid w:val="005931EB"/>
    <w:rsid w:val="005A4018"/>
    <w:rsid w:val="005B502D"/>
    <w:rsid w:val="005C0C1B"/>
    <w:rsid w:val="005C16C5"/>
    <w:rsid w:val="005C1F8B"/>
    <w:rsid w:val="005C67CF"/>
    <w:rsid w:val="005D529A"/>
    <w:rsid w:val="005E1B17"/>
    <w:rsid w:val="005E3D6D"/>
    <w:rsid w:val="005E6366"/>
    <w:rsid w:val="005F31C3"/>
    <w:rsid w:val="005F4A40"/>
    <w:rsid w:val="005F5347"/>
    <w:rsid w:val="006018EC"/>
    <w:rsid w:val="0061143C"/>
    <w:rsid w:val="00611488"/>
    <w:rsid w:val="00611A70"/>
    <w:rsid w:val="0061250B"/>
    <w:rsid w:val="006240B2"/>
    <w:rsid w:val="006303A4"/>
    <w:rsid w:val="006366CB"/>
    <w:rsid w:val="006442BC"/>
    <w:rsid w:val="0064708C"/>
    <w:rsid w:val="006505E7"/>
    <w:rsid w:val="00652ADA"/>
    <w:rsid w:val="00656794"/>
    <w:rsid w:val="00657978"/>
    <w:rsid w:val="00665C9E"/>
    <w:rsid w:val="00671888"/>
    <w:rsid w:val="0067262C"/>
    <w:rsid w:val="00674B9F"/>
    <w:rsid w:val="00677471"/>
    <w:rsid w:val="00681F05"/>
    <w:rsid w:val="00683F5F"/>
    <w:rsid w:val="00684948"/>
    <w:rsid w:val="0068541B"/>
    <w:rsid w:val="00686367"/>
    <w:rsid w:val="00690400"/>
    <w:rsid w:val="0069115D"/>
    <w:rsid w:val="00691A1F"/>
    <w:rsid w:val="00697F2B"/>
    <w:rsid w:val="006A2794"/>
    <w:rsid w:val="006A635A"/>
    <w:rsid w:val="006A7BD6"/>
    <w:rsid w:val="006B072B"/>
    <w:rsid w:val="006B1123"/>
    <w:rsid w:val="006B4D09"/>
    <w:rsid w:val="006B72E4"/>
    <w:rsid w:val="006C0C0E"/>
    <w:rsid w:val="006C166B"/>
    <w:rsid w:val="006C1850"/>
    <w:rsid w:val="006C4922"/>
    <w:rsid w:val="006C5B50"/>
    <w:rsid w:val="006D0EF3"/>
    <w:rsid w:val="006D1BB0"/>
    <w:rsid w:val="006D1EEE"/>
    <w:rsid w:val="006D2986"/>
    <w:rsid w:val="006D4050"/>
    <w:rsid w:val="006D441A"/>
    <w:rsid w:val="006D4D05"/>
    <w:rsid w:val="006D5413"/>
    <w:rsid w:val="006D62E4"/>
    <w:rsid w:val="006D68DA"/>
    <w:rsid w:val="006E1540"/>
    <w:rsid w:val="006E17ED"/>
    <w:rsid w:val="006E3842"/>
    <w:rsid w:val="006E5EBF"/>
    <w:rsid w:val="006E6378"/>
    <w:rsid w:val="006E6A96"/>
    <w:rsid w:val="006F0E05"/>
    <w:rsid w:val="006F53DB"/>
    <w:rsid w:val="006F6F44"/>
    <w:rsid w:val="0070319F"/>
    <w:rsid w:val="0070648E"/>
    <w:rsid w:val="00712C56"/>
    <w:rsid w:val="007237E8"/>
    <w:rsid w:val="00730F3E"/>
    <w:rsid w:val="00740777"/>
    <w:rsid w:val="00741C72"/>
    <w:rsid w:val="00742706"/>
    <w:rsid w:val="00742CB7"/>
    <w:rsid w:val="0074485D"/>
    <w:rsid w:val="00751D25"/>
    <w:rsid w:val="00754149"/>
    <w:rsid w:val="00755F1E"/>
    <w:rsid w:val="00756E59"/>
    <w:rsid w:val="0075707D"/>
    <w:rsid w:val="00757A40"/>
    <w:rsid w:val="00767B28"/>
    <w:rsid w:val="00775349"/>
    <w:rsid w:val="007805DB"/>
    <w:rsid w:val="007834BF"/>
    <w:rsid w:val="00784754"/>
    <w:rsid w:val="007848D0"/>
    <w:rsid w:val="0079184A"/>
    <w:rsid w:val="00793D2F"/>
    <w:rsid w:val="00796DF2"/>
    <w:rsid w:val="007A4083"/>
    <w:rsid w:val="007A41F9"/>
    <w:rsid w:val="007A60A8"/>
    <w:rsid w:val="007B4E04"/>
    <w:rsid w:val="007B62AA"/>
    <w:rsid w:val="007C2AF7"/>
    <w:rsid w:val="007C3401"/>
    <w:rsid w:val="007C383F"/>
    <w:rsid w:val="007C7532"/>
    <w:rsid w:val="007D04A2"/>
    <w:rsid w:val="007E04CA"/>
    <w:rsid w:val="007E3193"/>
    <w:rsid w:val="007E5597"/>
    <w:rsid w:val="007E6DDD"/>
    <w:rsid w:val="007E73AA"/>
    <w:rsid w:val="007F0447"/>
    <w:rsid w:val="007F12AB"/>
    <w:rsid w:val="007F25BF"/>
    <w:rsid w:val="007F25F3"/>
    <w:rsid w:val="007F35E9"/>
    <w:rsid w:val="007F3E87"/>
    <w:rsid w:val="007F6974"/>
    <w:rsid w:val="0080205A"/>
    <w:rsid w:val="008029CA"/>
    <w:rsid w:val="008075A7"/>
    <w:rsid w:val="00811014"/>
    <w:rsid w:val="0081375C"/>
    <w:rsid w:val="00816A8E"/>
    <w:rsid w:val="00816AD2"/>
    <w:rsid w:val="008201F7"/>
    <w:rsid w:val="0082151F"/>
    <w:rsid w:val="00822D70"/>
    <w:rsid w:val="00823B5E"/>
    <w:rsid w:val="0083350B"/>
    <w:rsid w:val="00833C39"/>
    <w:rsid w:val="00834336"/>
    <w:rsid w:val="0084150C"/>
    <w:rsid w:val="00846F74"/>
    <w:rsid w:val="00850B0F"/>
    <w:rsid w:val="00860C28"/>
    <w:rsid w:val="00863ECB"/>
    <w:rsid w:val="00865EFA"/>
    <w:rsid w:val="00867581"/>
    <w:rsid w:val="008705D3"/>
    <w:rsid w:val="0087373D"/>
    <w:rsid w:val="00874BAB"/>
    <w:rsid w:val="00881B2E"/>
    <w:rsid w:val="008865A2"/>
    <w:rsid w:val="00892C08"/>
    <w:rsid w:val="008966DF"/>
    <w:rsid w:val="008A161C"/>
    <w:rsid w:val="008A16F3"/>
    <w:rsid w:val="008A2E78"/>
    <w:rsid w:val="008C1D9E"/>
    <w:rsid w:val="008C26A1"/>
    <w:rsid w:val="008C2DBC"/>
    <w:rsid w:val="008C403C"/>
    <w:rsid w:val="008D1E3D"/>
    <w:rsid w:val="008D24F6"/>
    <w:rsid w:val="008D5A54"/>
    <w:rsid w:val="008D7DA5"/>
    <w:rsid w:val="008E062A"/>
    <w:rsid w:val="008E1E53"/>
    <w:rsid w:val="008E7C52"/>
    <w:rsid w:val="009041E1"/>
    <w:rsid w:val="00904D01"/>
    <w:rsid w:val="009115D2"/>
    <w:rsid w:val="0091384E"/>
    <w:rsid w:val="00913896"/>
    <w:rsid w:val="00914984"/>
    <w:rsid w:val="0091523A"/>
    <w:rsid w:val="00917842"/>
    <w:rsid w:val="009208EE"/>
    <w:rsid w:val="00920E3C"/>
    <w:rsid w:val="00923B22"/>
    <w:rsid w:val="00926FEF"/>
    <w:rsid w:val="009319AF"/>
    <w:rsid w:val="00934947"/>
    <w:rsid w:val="0093544A"/>
    <w:rsid w:val="00935EAF"/>
    <w:rsid w:val="00937D1C"/>
    <w:rsid w:val="009475F7"/>
    <w:rsid w:val="00951402"/>
    <w:rsid w:val="0095361D"/>
    <w:rsid w:val="00953BBA"/>
    <w:rsid w:val="00955CAA"/>
    <w:rsid w:val="00962FD8"/>
    <w:rsid w:val="00964C69"/>
    <w:rsid w:val="009705F0"/>
    <w:rsid w:val="00973809"/>
    <w:rsid w:val="00973D2D"/>
    <w:rsid w:val="00975121"/>
    <w:rsid w:val="00975999"/>
    <w:rsid w:val="00975D06"/>
    <w:rsid w:val="009760E2"/>
    <w:rsid w:val="00977AFE"/>
    <w:rsid w:val="00983713"/>
    <w:rsid w:val="0098434B"/>
    <w:rsid w:val="00990265"/>
    <w:rsid w:val="0099378D"/>
    <w:rsid w:val="009939F3"/>
    <w:rsid w:val="00995AC9"/>
    <w:rsid w:val="00997190"/>
    <w:rsid w:val="009A3429"/>
    <w:rsid w:val="009A46C0"/>
    <w:rsid w:val="009A4A8C"/>
    <w:rsid w:val="009B2D78"/>
    <w:rsid w:val="009B5D09"/>
    <w:rsid w:val="009B71DD"/>
    <w:rsid w:val="009B747A"/>
    <w:rsid w:val="009C03CC"/>
    <w:rsid w:val="009C21C9"/>
    <w:rsid w:val="009C2580"/>
    <w:rsid w:val="009C29F2"/>
    <w:rsid w:val="009D5BFA"/>
    <w:rsid w:val="009E077E"/>
    <w:rsid w:val="009E1D8D"/>
    <w:rsid w:val="009E5789"/>
    <w:rsid w:val="009E6385"/>
    <w:rsid w:val="009E6C52"/>
    <w:rsid w:val="009E6E42"/>
    <w:rsid w:val="009F41A0"/>
    <w:rsid w:val="009F4D2F"/>
    <w:rsid w:val="009F6D96"/>
    <w:rsid w:val="00A02B9B"/>
    <w:rsid w:val="00A053DF"/>
    <w:rsid w:val="00A15ECC"/>
    <w:rsid w:val="00A17CAC"/>
    <w:rsid w:val="00A21BD9"/>
    <w:rsid w:val="00A224E1"/>
    <w:rsid w:val="00A22F83"/>
    <w:rsid w:val="00A246A7"/>
    <w:rsid w:val="00A27D30"/>
    <w:rsid w:val="00A30347"/>
    <w:rsid w:val="00A31584"/>
    <w:rsid w:val="00A40CA6"/>
    <w:rsid w:val="00A42BCD"/>
    <w:rsid w:val="00A46D16"/>
    <w:rsid w:val="00A51017"/>
    <w:rsid w:val="00A52CC5"/>
    <w:rsid w:val="00A571E2"/>
    <w:rsid w:val="00A62794"/>
    <w:rsid w:val="00A637CD"/>
    <w:rsid w:val="00A708B8"/>
    <w:rsid w:val="00A717F8"/>
    <w:rsid w:val="00A71CFB"/>
    <w:rsid w:val="00A75806"/>
    <w:rsid w:val="00A83AEE"/>
    <w:rsid w:val="00A843CC"/>
    <w:rsid w:val="00A855A8"/>
    <w:rsid w:val="00A8607F"/>
    <w:rsid w:val="00A87CC4"/>
    <w:rsid w:val="00A94D84"/>
    <w:rsid w:val="00AA31DB"/>
    <w:rsid w:val="00AB0F4C"/>
    <w:rsid w:val="00AB4F70"/>
    <w:rsid w:val="00AC4788"/>
    <w:rsid w:val="00AC696F"/>
    <w:rsid w:val="00AD1040"/>
    <w:rsid w:val="00AD3AA5"/>
    <w:rsid w:val="00AD6D2E"/>
    <w:rsid w:val="00AF2F98"/>
    <w:rsid w:val="00AF6C19"/>
    <w:rsid w:val="00AF7B23"/>
    <w:rsid w:val="00B0552F"/>
    <w:rsid w:val="00B10392"/>
    <w:rsid w:val="00B11BF2"/>
    <w:rsid w:val="00B123DE"/>
    <w:rsid w:val="00B1368C"/>
    <w:rsid w:val="00B15DDB"/>
    <w:rsid w:val="00B16F11"/>
    <w:rsid w:val="00B22D21"/>
    <w:rsid w:val="00B248EF"/>
    <w:rsid w:val="00B253E9"/>
    <w:rsid w:val="00B25F70"/>
    <w:rsid w:val="00B3010C"/>
    <w:rsid w:val="00B369D4"/>
    <w:rsid w:val="00B452DF"/>
    <w:rsid w:val="00B55371"/>
    <w:rsid w:val="00B70EF9"/>
    <w:rsid w:val="00B74892"/>
    <w:rsid w:val="00B81860"/>
    <w:rsid w:val="00B83E96"/>
    <w:rsid w:val="00B8485E"/>
    <w:rsid w:val="00B87A52"/>
    <w:rsid w:val="00B92156"/>
    <w:rsid w:val="00B92371"/>
    <w:rsid w:val="00B95BBF"/>
    <w:rsid w:val="00B95C09"/>
    <w:rsid w:val="00BA616E"/>
    <w:rsid w:val="00BB0AC5"/>
    <w:rsid w:val="00BB5786"/>
    <w:rsid w:val="00BB5BE6"/>
    <w:rsid w:val="00BB6D48"/>
    <w:rsid w:val="00BC08FB"/>
    <w:rsid w:val="00BD4167"/>
    <w:rsid w:val="00BD6158"/>
    <w:rsid w:val="00BD6EE3"/>
    <w:rsid w:val="00BE254E"/>
    <w:rsid w:val="00BE5D5D"/>
    <w:rsid w:val="00BE7E9F"/>
    <w:rsid w:val="00BF152A"/>
    <w:rsid w:val="00BF3AE0"/>
    <w:rsid w:val="00BF40B2"/>
    <w:rsid w:val="00BF4294"/>
    <w:rsid w:val="00BF5372"/>
    <w:rsid w:val="00C0706B"/>
    <w:rsid w:val="00C07AB2"/>
    <w:rsid w:val="00C14C2F"/>
    <w:rsid w:val="00C16371"/>
    <w:rsid w:val="00C16E2D"/>
    <w:rsid w:val="00C258EC"/>
    <w:rsid w:val="00C27B8A"/>
    <w:rsid w:val="00C30070"/>
    <w:rsid w:val="00C30110"/>
    <w:rsid w:val="00C30685"/>
    <w:rsid w:val="00C318DE"/>
    <w:rsid w:val="00C32BB5"/>
    <w:rsid w:val="00C33B6E"/>
    <w:rsid w:val="00C512D9"/>
    <w:rsid w:val="00C52A50"/>
    <w:rsid w:val="00C53521"/>
    <w:rsid w:val="00C54418"/>
    <w:rsid w:val="00C6024B"/>
    <w:rsid w:val="00C61F32"/>
    <w:rsid w:val="00C62689"/>
    <w:rsid w:val="00C66153"/>
    <w:rsid w:val="00C67299"/>
    <w:rsid w:val="00C67BC8"/>
    <w:rsid w:val="00C74253"/>
    <w:rsid w:val="00C74D99"/>
    <w:rsid w:val="00C8192D"/>
    <w:rsid w:val="00C8270E"/>
    <w:rsid w:val="00C87E47"/>
    <w:rsid w:val="00C9197A"/>
    <w:rsid w:val="00C93C7A"/>
    <w:rsid w:val="00CA2C7D"/>
    <w:rsid w:val="00CA4456"/>
    <w:rsid w:val="00CA7BD2"/>
    <w:rsid w:val="00CB2C16"/>
    <w:rsid w:val="00CB456E"/>
    <w:rsid w:val="00CB6256"/>
    <w:rsid w:val="00CB75F5"/>
    <w:rsid w:val="00CC24C9"/>
    <w:rsid w:val="00CC4321"/>
    <w:rsid w:val="00CC5FED"/>
    <w:rsid w:val="00CC6B25"/>
    <w:rsid w:val="00CC774F"/>
    <w:rsid w:val="00CD168A"/>
    <w:rsid w:val="00CD291D"/>
    <w:rsid w:val="00CD393E"/>
    <w:rsid w:val="00CD5775"/>
    <w:rsid w:val="00CF25BC"/>
    <w:rsid w:val="00CF6B06"/>
    <w:rsid w:val="00D00600"/>
    <w:rsid w:val="00D031BC"/>
    <w:rsid w:val="00D053E2"/>
    <w:rsid w:val="00D1178D"/>
    <w:rsid w:val="00D12998"/>
    <w:rsid w:val="00D134FE"/>
    <w:rsid w:val="00D23C41"/>
    <w:rsid w:val="00D2439D"/>
    <w:rsid w:val="00D2502E"/>
    <w:rsid w:val="00D2616C"/>
    <w:rsid w:val="00D27D42"/>
    <w:rsid w:val="00D32FB2"/>
    <w:rsid w:val="00D35E09"/>
    <w:rsid w:val="00D4184F"/>
    <w:rsid w:val="00D42D84"/>
    <w:rsid w:val="00D45738"/>
    <w:rsid w:val="00D51290"/>
    <w:rsid w:val="00D525E6"/>
    <w:rsid w:val="00D5373F"/>
    <w:rsid w:val="00D60C82"/>
    <w:rsid w:val="00D637DF"/>
    <w:rsid w:val="00D66335"/>
    <w:rsid w:val="00D67AA0"/>
    <w:rsid w:val="00D7155C"/>
    <w:rsid w:val="00D71569"/>
    <w:rsid w:val="00D741DF"/>
    <w:rsid w:val="00D807F2"/>
    <w:rsid w:val="00D85578"/>
    <w:rsid w:val="00D867D7"/>
    <w:rsid w:val="00D870FE"/>
    <w:rsid w:val="00D93CB7"/>
    <w:rsid w:val="00D97C40"/>
    <w:rsid w:val="00D97D38"/>
    <w:rsid w:val="00DA3DDE"/>
    <w:rsid w:val="00DA575C"/>
    <w:rsid w:val="00DA60A8"/>
    <w:rsid w:val="00DB232A"/>
    <w:rsid w:val="00DB3AE1"/>
    <w:rsid w:val="00DB772B"/>
    <w:rsid w:val="00DC04F7"/>
    <w:rsid w:val="00DC43C5"/>
    <w:rsid w:val="00DC4C02"/>
    <w:rsid w:val="00DC50BE"/>
    <w:rsid w:val="00DC5FB8"/>
    <w:rsid w:val="00DC60ED"/>
    <w:rsid w:val="00DD403D"/>
    <w:rsid w:val="00DD4E29"/>
    <w:rsid w:val="00DE1FE2"/>
    <w:rsid w:val="00DE3842"/>
    <w:rsid w:val="00DE49BB"/>
    <w:rsid w:val="00DE4DF3"/>
    <w:rsid w:val="00DE7068"/>
    <w:rsid w:val="00DE76F7"/>
    <w:rsid w:val="00DF06E9"/>
    <w:rsid w:val="00DF6106"/>
    <w:rsid w:val="00E02ABA"/>
    <w:rsid w:val="00E05377"/>
    <w:rsid w:val="00E05B27"/>
    <w:rsid w:val="00E068C3"/>
    <w:rsid w:val="00E07062"/>
    <w:rsid w:val="00E10BBB"/>
    <w:rsid w:val="00E1163E"/>
    <w:rsid w:val="00E1255F"/>
    <w:rsid w:val="00E13B2D"/>
    <w:rsid w:val="00E17A37"/>
    <w:rsid w:val="00E218B8"/>
    <w:rsid w:val="00E307D1"/>
    <w:rsid w:val="00E37119"/>
    <w:rsid w:val="00E420AA"/>
    <w:rsid w:val="00E42C7D"/>
    <w:rsid w:val="00E441CB"/>
    <w:rsid w:val="00E44653"/>
    <w:rsid w:val="00E56764"/>
    <w:rsid w:val="00E57D06"/>
    <w:rsid w:val="00E71644"/>
    <w:rsid w:val="00E722A8"/>
    <w:rsid w:val="00E72B78"/>
    <w:rsid w:val="00E736B6"/>
    <w:rsid w:val="00E80ADE"/>
    <w:rsid w:val="00E85198"/>
    <w:rsid w:val="00E8521A"/>
    <w:rsid w:val="00E86956"/>
    <w:rsid w:val="00E906B8"/>
    <w:rsid w:val="00E91099"/>
    <w:rsid w:val="00E95EBB"/>
    <w:rsid w:val="00EA3DD1"/>
    <w:rsid w:val="00EA533E"/>
    <w:rsid w:val="00EA7FD7"/>
    <w:rsid w:val="00EB1AFC"/>
    <w:rsid w:val="00EB2530"/>
    <w:rsid w:val="00EB4658"/>
    <w:rsid w:val="00EC3ED2"/>
    <w:rsid w:val="00EC480E"/>
    <w:rsid w:val="00EC74F0"/>
    <w:rsid w:val="00ED15E5"/>
    <w:rsid w:val="00ED26A5"/>
    <w:rsid w:val="00ED3E84"/>
    <w:rsid w:val="00ED54D0"/>
    <w:rsid w:val="00EE114A"/>
    <w:rsid w:val="00EE1BC6"/>
    <w:rsid w:val="00F00538"/>
    <w:rsid w:val="00F07B59"/>
    <w:rsid w:val="00F13B4C"/>
    <w:rsid w:val="00F168F6"/>
    <w:rsid w:val="00F23BA5"/>
    <w:rsid w:val="00F24D4A"/>
    <w:rsid w:val="00F25BA8"/>
    <w:rsid w:val="00F25E92"/>
    <w:rsid w:val="00F25F54"/>
    <w:rsid w:val="00F2644D"/>
    <w:rsid w:val="00F3017F"/>
    <w:rsid w:val="00F31669"/>
    <w:rsid w:val="00F31D48"/>
    <w:rsid w:val="00F32CFA"/>
    <w:rsid w:val="00F3314B"/>
    <w:rsid w:val="00F361A8"/>
    <w:rsid w:val="00F4025A"/>
    <w:rsid w:val="00F42A28"/>
    <w:rsid w:val="00F42B11"/>
    <w:rsid w:val="00F44C5A"/>
    <w:rsid w:val="00F45243"/>
    <w:rsid w:val="00F531CB"/>
    <w:rsid w:val="00F61488"/>
    <w:rsid w:val="00F63605"/>
    <w:rsid w:val="00F67590"/>
    <w:rsid w:val="00F74E25"/>
    <w:rsid w:val="00F90745"/>
    <w:rsid w:val="00F9112D"/>
    <w:rsid w:val="00F94649"/>
    <w:rsid w:val="00FA0BB8"/>
    <w:rsid w:val="00FA48B6"/>
    <w:rsid w:val="00FA7335"/>
    <w:rsid w:val="00FB2AE2"/>
    <w:rsid w:val="00FC1414"/>
    <w:rsid w:val="00FC26D7"/>
    <w:rsid w:val="00FC4123"/>
    <w:rsid w:val="00FD029B"/>
    <w:rsid w:val="00FD16C7"/>
    <w:rsid w:val="00FD3E52"/>
    <w:rsid w:val="00FD465A"/>
    <w:rsid w:val="00FD6CC0"/>
    <w:rsid w:val="00FE205A"/>
    <w:rsid w:val="00FE3847"/>
    <w:rsid w:val="00FE43B4"/>
    <w:rsid w:val="00FF2749"/>
    <w:rsid w:val="00FF461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BC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E53"/>
    <w:rPr>
      <w:rFonts w:ascii="Times New Roman" w:eastAsia="Times New Roman" w:hAnsi="Times New Roman" w:cs="Times New Roman"/>
      <w:lang w:eastAsia="pt-BR"/>
    </w:rPr>
  </w:style>
  <w:style w:type="paragraph" w:styleId="1">
    <w:name w:val="heading 1"/>
    <w:basedOn w:val="a"/>
    <w:next w:val="a"/>
    <w:link w:val="1Char"/>
    <w:uiPriority w:val="9"/>
    <w:qFormat/>
    <w:rsid w:val="00ED54D0"/>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2">
    <w:name w:val="heading 2"/>
    <w:basedOn w:val="a"/>
    <w:next w:val="a"/>
    <w:link w:val="2Char"/>
    <w:uiPriority w:val="9"/>
    <w:unhideWhenUsed/>
    <w:qFormat/>
    <w:rsid w:val="006D1EEE"/>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3">
    <w:name w:val="heading 3"/>
    <w:basedOn w:val="a"/>
    <w:next w:val="a"/>
    <w:link w:val="3Char"/>
    <w:uiPriority w:val="9"/>
    <w:unhideWhenUsed/>
    <w:qFormat/>
    <w:rsid w:val="00170A2E"/>
    <w:pPr>
      <w:keepNext/>
      <w:keepLines/>
      <w:spacing w:before="40"/>
      <w:outlineLvl w:val="2"/>
    </w:pPr>
    <w:rPr>
      <w:rFonts w:asciiTheme="majorHAnsi" w:eastAsiaTheme="majorEastAsia" w:hAnsiTheme="majorHAnsi" w:cstheme="majorBidi"/>
      <w:color w:val="1F3763" w:themeColor="accent1" w:themeShade="7F"/>
      <w:lang w:eastAsia="en-US"/>
    </w:rPr>
  </w:style>
  <w:style w:type="paragraph" w:styleId="4">
    <w:name w:val="heading 4"/>
    <w:basedOn w:val="a"/>
    <w:next w:val="a"/>
    <w:link w:val="4Char"/>
    <w:uiPriority w:val="9"/>
    <w:unhideWhenUsed/>
    <w:qFormat/>
    <w:rsid w:val="00170A2E"/>
    <w:pPr>
      <w:keepNext/>
      <w:keepLines/>
      <w:spacing w:before="40"/>
      <w:outlineLvl w:val="3"/>
    </w:pPr>
    <w:rPr>
      <w:rFonts w:asciiTheme="majorHAnsi" w:eastAsiaTheme="majorEastAsia" w:hAnsiTheme="majorHAnsi" w:cstheme="majorBidi"/>
      <w:i/>
      <w:iCs/>
      <w:color w:val="2F5496"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D1EEE"/>
    <w:rPr>
      <w:rFonts w:asciiTheme="majorHAnsi" w:eastAsiaTheme="majorEastAsia" w:hAnsiTheme="majorHAnsi" w:cstheme="majorBidi"/>
      <w:color w:val="2F5496" w:themeColor="accent1" w:themeShade="BF"/>
      <w:sz w:val="26"/>
      <w:szCs w:val="26"/>
    </w:rPr>
  </w:style>
  <w:style w:type="paragraph" w:styleId="a3">
    <w:name w:val="List Paragraph"/>
    <w:basedOn w:val="a"/>
    <w:uiPriority w:val="34"/>
    <w:qFormat/>
    <w:rsid w:val="00ED54D0"/>
    <w:pPr>
      <w:ind w:left="720"/>
      <w:contextualSpacing/>
    </w:pPr>
    <w:rPr>
      <w:rFonts w:asciiTheme="minorHAnsi" w:eastAsiaTheme="minorHAnsi" w:hAnsiTheme="minorHAnsi" w:cstheme="minorBidi"/>
      <w:lang w:eastAsia="en-US"/>
    </w:rPr>
  </w:style>
  <w:style w:type="character" w:customStyle="1" w:styleId="1Char">
    <w:name w:val="标题 1 Char"/>
    <w:basedOn w:val="a0"/>
    <w:link w:val="1"/>
    <w:uiPriority w:val="9"/>
    <w:rsid w:val="00ED54D0"/>
    <w:rPr>
      <w:rFonts w:asciiTheme="majorHAnsi" w:eastAsiaTheme="majorEastAsia" w:hAnsiTheme="majorHAnsi" w:cstheme="majorBidi"/>
      <w:color w:val="2F5496" w:themeColor="accent1" w:themeShade="BF"/>
      <w:sz w:val="32"/>
      <w:szCs w:val="32"/>
    </w:rPr>
  </w:style>
  <w:style w:type="paragraph" w:customStyle="1" w:styleId="p1">
    <w:name w:val="p1"/>
    <w:basedOn w:val="a"/>
    <w:rsid w:val="00304DAE"/>
    <w:rPr>
      <w:rFonts w:ascii="Helvetica" w:eastAsiaTheme="minorHAnsi" w:hAnsi="Helvetica"/>
      <w:sz w:val="15"/>
      <w:szCs w:val="15"/>
    </w:rPr>
  </w:style>
  <w:style w:type="character" w:customStyle="1" w:styleId="apple-converted-space">
    <w:name w:val="apple-converted-space"/>
    <w:basedOn w:val="a0"/>
    <w:rsid w:val="00304DAE"/>
  </w:style>
  <w:style w:type="character" w:customStyle="1" w:styleId="3Char">
    <w:name w:val="标题 3 Char"/>
    <w:basedOn w:val="a0"/>
    <w:link w:val="3"/>
    <w:uiPriority w:val="9"/>
    <w:rsid w:val="00170A2E"/>
    <w:rPr>
      <w:rFonts w:asciiTheme="majorHAnsi" w:eastAsiaTheme="majorEastAsia" w:hAnsiTheme="majorHAnsi" w:cstheme="majorBidi"/>
      <w:color w:val="1F3763" w:themeColor="accent1" w:themeShade="7F"/>
    </w:rPr>
  </w:style>
  <w:style w:type="character" w:customStyle="1" w:styleId="4Char">
    <w:name w:val="标题 4 Char"/>
    <w:basedOn w:val="a0"/>
    <w:link w:val="4"/>
    <w:uiPriority w:val="9"/>
    <w:rsid w:val="00170A2E"/>
    <w:rPr>
      <w:rFonts w:asciiTheme="majorHAnsi" w:eastAsiaTheme="majorEastAsia" w:hAnsiTheme="majorHAnsi" w:cstheme="majorBidi"/>
      <w:i/>
      <w:iCs/>
      <w:color w:val="2F5496" w:themeColor="accent1" w:themeShade="BF"/>
    </w:rPr>
  </w:style>
  <w:style w:type="character" w:styleId="a4">
    <w:name w:val="Hyperlink"/>
    <w:basedOn w:val="a0"/>
    <w:uiPriority w:val="99"/>
    <w:unhideWhenUsed/>
    <w:rsid w:val="00D66335"/>
    <w:rPr>
      <w:color w:val="0563C1" w:themeColor="hyperlink"/>
      <w:u w:val="single"/>
    </w:rPr>
  </w:style>
  <w:style w:type="character" w:customStyle="1" w:styleId="MenoPendente1">
    <w:name w:val="Menção Pendente1"/>
    <w:basedOn w:val="a0"/>
    <w:uiPriority w:val="99"/>
    <w:rsid w:val="00D66335"/>
    <w:rPr>
      <w:color w:val="808080"/>
      <w:shd w:val="clear" w:color="auto" w:fill="E6E6E6"/>
    </w:rPr>
  </w:style>
  <w:style w:type="paragraph" w:styleId="a5">
    <w:name w:val="Body Text"/>
    <w:basedOn w:val="a"/>
    <w:link w:val="Char"/>
    <w:uiPriority w:val="1"/>
    <w:qFormat/>
    <w:rsid w:val="00671888"/>
    <w:pPr>
      <w:widowControl w:val="0"/>
      <w:autoSpaceDE w:val="0"/>
      <w:autoSpaceDN w:val="0"/>
    </w:pPr>
    <w:rPr>
      <w:rFonts w:ascii="Arial" w:eastAsia="Arial" w:hAnsi="Arial" w:cs="Arial"/>
      <w:sz w:val="19"/>
      <w:szCs w:val="19"/>
      <w:lang w:val="en-US" w:eastAsia="en-US"/>
    </w:rPr>
  </w:style>
  <w:style w:type="character" w:customStyle="1" w:styleId="Char">
    <w:name w:val="正文文本 Char"/>
    <w:basedOn w:val="a0"/>
    <w:link w:val="a5"/>
    <w:uiPriority w:val="1"/>
    <w:rsid w:val="00671888"/>
    <w:rPr>
      <w:rFonts w:ascii="Arial" w:eastAsia="Arial" w:hAnsi="Arial" w:cs="Arial"/>
      <w:sz w:val="19"/>
      <w:szCs w:val="19"/>
      <w:lang w:val="en-US"/>
    </w:rPr>
  </w:style>
  <w:style w:type="paragraph" w:customStyle="1" w:styleId="Padro">
    <w:name w:val="Padrão"/>
    <w:rsid w:val="0054149D"/>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pt-BR"/>
    </w:rPr>
  </w:style>
  <w:style w:type="character" w:styleId="a6">
    <w:name w:val="annotation reference"/>
    <w:basedOn w:val="a0"/>
    <w:uiPriority w:val="99"/>
    <w:unhideWhenUsed/>
    <w:rsid w:val="001312C9"/>
    <w:rPr>
      <w:sz w:val="16"/>
      <w:szCs w:val="16"/>
    </w:rPr>
  </w:style>
  <w:style w:type="paragraph" w:styleId="a7">
    <w:name w:val="annotation text"/>
    <w:basedOn w:val="a"/>
    <w:link w:val="Char0"/>
    <w:uiPriority w:val="99"/>
    <w:unhideWhenUsed/>
    <w:qFormat/>
    <w:rsid w:val="001312C9"/>
    <w:rPr>
      <w:sz w:val="20"/>
      <w:szCs w:val="20"/>
    </w:rPr>
  </w:style>
  <w:style w:type="character" w:customStyle="1" w:styleId="Char0">
    <w:name w:val="批注文字 Char"/>
    <w:basedOn w:val="a0"/>
    <w:link w:val="a7"/>
    <w:uiPriority w:val="99"/>
    <w:semiHidden/>
    <w:rsid w:val="001312C9"/>
    <w:rPr>
      <w:rFonts w:ascii="Times New Roman" w:eastAsia="Times New Roman" w:hAnsi="Times New Roman" w:cs="Times New Roman"/>
      <w:sz w:val="20"/>
      <w:szCs w:val="20"/>
      <w:lang w:eastAsia="pt-BR"/>
    </w:rPr>
  </w:style>
  <w:style w:type="paragraph" w:styleId="a8">
    <w:name w:val="Balloon Text"/>
    <w:basedOn w:val="a"/>
    <w:link w:val="Char1"/>
    <w:uiPriority w:val="99"/>
    <w:semiHidden/>
    <w:unhideWhenUsed/>
    <w:rsid w:val="001312C9"/>
    <w:rPr>
      <w:sz w:val="18"/>
      <w:szCs w:val="18"/>
    </w:rPr>
  </w:style>
  <w:style w:type="character" w:customStyle="1" w:styleId="Char1">
    <w:name w:val="批注框文本 Char"/>
    <w:basedOn w:val="a0"/>
    <w:link w:val="a8"/>
    <w:uiPriority w:val="99"/>
    <w:semiHidden/>
    <w:rsid w:val="001312C9"/>
    <w:rPr>
      <w:rFonts w:ascii="Times New Roman" w:hAnsi="Times New Roman" w:cs="Times New Roman"/>
      <w:sz w:val="18"/>
      <w:szCs w:val="18"/>
    </w:rPr>
  </w:style>
  <w:style w:type="table" w:styleId="a9">
    <w:name w:val="Table Grid"/>
    <w:basedOn w:val="a1"/>
    <w:uiPriority w:val="39"/>
    <w:rsid w:val="00953B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1">
    <w:name w:val="Grid Table 5 Dark Accent 1"/>
    <w:basedOn w:val="a1"/>
    <w:uiPriority w:val="50"/>
    <w:rsid w:val="00953BBA"/>
    <w:tblPr>
      <w:tblStyleRowBandSize w:val="1"/>
      <w:tblStyleColBandSize w:val="1"/>
      <w:tblInd w:w="0" w:type="dxa"/>
      <w:tblBorders>
        <w:top w:val="single" w:sz="4" w:space="0" w:color="C7EDCC" w:themeColor="background1"/>
        <w:left w:val="single" w:sz="4" w:space="0" w:color="C7EDCC" w:themeColor="background1"/>
        <w:bottom w:val="single" w:sz="4" w:space="0" w:color="C7EDCC" w:themeColor="background1"/>
        <w:right w:val="single" w:sz="4" w:space="0" w:color="C7EDCC" w:themeColor="background1"/>
        <w:insideH w:val="single" w:sz="4" w:space="0" w:color="C7EDCC" w:themeColor="background1"/>
        <w:insideV w:val="single" w:sz="4" w:space="0" w:color="C7EDCC"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C7EDCC" w:themeColor="background1"/>
      </w:rPr>
      <w:tblPr/>
      <w:tcPr>
        <w:tcBorders>
          <w:top w:val="single" w:sz="4" w:space="0" w:color="C7EDCC" w:themeColor="background1"/>
          <w:left w:val="single" w:sz="4" w:space="0" w:color="C7EDCC" w:themeColor="background1"/>
          <w:right w:val="single" w:sz="4" w:space="0" w:color="C7EDCC" w:themeColor="background1"/>
          <w:insideH w:val="nil"/>
          <w:insideV w:val="nil"/>
        </w:tcBorders>
        <w:shd w:val="clear" w:color="auto" w:fill="4472C4" w:themeFill="accent1"/>
      </w:tcPr>
    </w:tblStylePr>
    <w:tblStylePr w:type="lastRow">
      <w:rPr>
        <w:b/>
        <w:bCs/>
        <w:color w:val="C7EDCC" w:themeColor="background1"/>
      </w:rPr>
      <w:tblPr/>
      <w:tcPr>
        <w:tcBorders>
          <w:left w:val="single" w:sz="4" w:space="0" w:color="C7EDCC" w:themeColor="background1"/>
          <w:bottom w:val="single" w:sz="4" w:space="0" w:color="C7EDCC" w:themeColor="background1"/>
          <w:right w:val="single" w:sz="4" w:space="0" w:color="C7EDCC" w:themeColor="background1"/>
          <w:insideH w:val="nil"/>
          <w:insideV w:val="nil"/>
        </w:tcBorders>
        <w:shd w:val="clear" w:color="auto" w:fill="4472C4" w:themeFill="accent1"/>
      </w:tcPr>
    </w:tblStylePr>
    <w:tblStylePr w:type="firstCol">
      <w:rPr>
        <w:b/>
        <w:bCs/>
        <w:color w:val="C7EDCC" w:themeColor="background1"/>
      </w:rPr>
      <w:tblPr/>
      <w:tcPr>
        <w:tcBorders>
          <w:top w:val="single" w:sz="4" w:space="0" w:color="C7EDCC" w:themeColor="background1"/>
          <w:left w:val="single" w:sz="4" w:space="0" w:color="C7EDCC" w:themeColor="background1"/>
          <w:bottom w:val="single" w:sz="4" w:space="0" w:color="C7EDCC" w:themeColor="background1"/>
          <w:insideV w:val="nil"/>
        </w:tcBorders>
        <w:shd w:val="clear" w:color="auto" w:fill="4472C4" w:themeFill="accent1"/>
      </w:tcPr>
    </w:tblStylePr>
    <w:tblStylePr w:type="lastCol">
      <w:rPr>
        <w:b/>
        <w:bCs/>
        <w:color w:val="C7EDCC" w:themeColor="background1"/>
      </w:rPr>
      <w:tblPr/>
      <w:tcPr>
        <w:tcBorders>
          <w:top w:val="single" w:sz="4" w:space="0" w:color="C7EDCC" w:themeColor="background1"/>
          <w:bottom w:val="single" w:sz="4" w:space="0" w:color="C7EDCC" w:themeColor="background1"/>
          <w:right w:val="single" w:sz="4" w:space="0" w:color="C7EDCC"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GridTable5DarkAccent3">
    <w:name w:val="Grid Table 5 Dark Accent 3"/>
    <w:basedOn w:val="a1"/>
    <w:uiPriority w:val="50"/>
    <w:rsid w:val="00953BBA"/>
    <w:tblPr>
      <w:tblStyleRowBandSize w:val="1"/>
      <w:tblStyleColBandSize w:val="1"/>
      <w:tblInd w:w="0" w:type="dxa"/>
      <w:tblBorders>
        <w:top w:val="single" w:sz="4" w:space="0" w:color="C7EDCC" w:themeColor="background1"/>
        <w:left w:val="single" w:sz="4" w:space="0" w:color="C7EDCC" w:themeColor="background1"/>
        <w:bottom w:val="single" w:sz="4" w:space="0" w:color="C7EDCC" w:themeColor="background1"/>
        <w:right w:val="single" w:sz="4" w:space="0" w:color="C7EDCC" w:themeColor="background1"/>
        <w:insideH w:val="single" w:sz="4" w:space="0" w:color="C7EDCC" w:themeColor="background1"/>
        <w:insideV w:val="single" w:sz="4" w:space="0" w:color="C7EDCC"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C7EDCC" w:themeColor="background1"/>
      </w:rPr>
      <w:tblPr/>
      <w:tcPr>
        <w:tcBorders>
          <w:top w:val="single" w:sz="4" w:space="0" w:color="C7EDCC" w:themeColor="background1"/>
          <w:left w:val="single" w:sz="4" w:space="0" w:color="C7EDCC" w:themeColor="background1"/>
          <w:right w:val="single" w:sz="4" w:space="0" w:color="C7EDCC" w:themeColor="background1"/>
          <w:insideH w:val="nil"/>
          <w:insideV w:val="nil"/>
        </w:tcBorders>
        <w:shd w:val="clear" w:color="auto" w:fill="A5A5A5" w:themeFill="accent3"/>
      </w:tcPr>
    </w:tblStylePr>
    <w:tblStylePr w:type="lastRow">
      <w:rPr>
        <w:b/>
        <w:bCs/>
        <w:color w:val="C7EDCC" w:themeColor="background1"/>
      </w:rPr>
      <w:tblPr/>
      <w:tcPr>
        <w:tcBorders>
          <w:left w:val="single" w:sz="4" w:space="0" w:color="C7EDCC" w:themeColor="background1"/>
          <w:bottom w:val="single" w:sz="4" w:space="0" w:color="C7EDCC" w:themeColor="background1"/>
          <w:right w:val="single" w:sz="4" w:space="0" w:color="C7EDCC" w:themeColor="background1"/>
          <w:insideH w:val="nil"/>
          <w:insideV w:val="nil"/>
        </w:tcBorders>
        <w:shd w:val="clear" w:color="auto" w:fill="A5A5A5" w:themeFill="accent3"/>
      </w:tcPr>
    </w:tblStylePr>
    <w:tblStylePr w:type="firstCol">
      <w:rPr>
        <w:b/>
        <w:bCs/>
        <w:color w:val="C7EDCC" w:themeColor="background1"/>
      </w:rPr>
      <w:tblPr/>
      <w:tcPr>
        <w:tcBorders>
          <w:top w:val="single" w:sz="4" w:space="0" w:color="C7EDCC" w:themeColor="background1"/>
          <w:left w:val="single" w:sz="4" w:space="0" w:color="C7EDCC" w:themeColor="background1"/>
          <w:bottom w:val="single" w:sz="4" w:space="0" w:color="C7EDCC" w:themeColor="background1"/>
          <w:insideV w:val="nil"/>
        </w:tcBorders>
        <w:shd w:val="clear" w:color="auto" w:fill="A5A5A5" w:themeFill="accent3"/>
      </w:tcPr>
    </w:tblStylePr>
    <w:tblStylePr w:type="lastCol">
      <w:rPr>
        <w:b/>
        <w:bCs/>
        <w:color w:val="C7EDCC" w:themeColor="background1"/>
      </w:rPr>
      <w:tblPr/>
      <w:tcPr>
        <w:tcBorders>
          <w:top w:val="single" w:sz="4" w:space="0" w:color="C7EDCC" w:themeColor="background1"/>
          <w:bottom w:val="single" w:sz="4" w:space="0" w:color="C7EDCC" w:themeColor="background1"/>
          <w:right w:val="single" w:sz="4" w:space="0" w:color="C7EDCC"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ListTable2Accent1">
    <w:name w:val="List Table 2 Accent 1"/>
    <w:basedOn w:val="a1"/>
    <w:uiPriority w:val="47"/>
    <w:rsid w:val="00953BBA"/>
    <w:tblPr>
      <w:tblStyleRowBandSize w:val="1"/>
      <w:tblStyleColBandSize w:val="1"/>
      <w:tblInd w:w="0" w:type="dxa"/>
      <w:tblBorders>
        <w:top w:val="single" w:sz="4" w:space="0" w:color="8EAADB" w:themeColor="accent1" w:themeTint="99"/>
        <w:bottom w:val="single" w:sz="4" w:space="0" w:color="8EAADB" w:themeColor="accent1" w:themeTint="99"/>
        <w:insideH w:val="single" w:sz="4" w:space="0" w:color="8EAADB"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2">
    <w:name w:val="List Table 2"/>
    <w:basedOn w:val="a1"/>
    <w:uiPriority w:val="47"/>
    <w:rsid w:val="00953BBA"/>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
    <w:name w:val="List Table 4"/>
    <w:basedOn w:val="a1"/>
    <w:uiPriority w:val="49"/>
    <w:rsid w:val="00953BBA"/>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C7EDC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3">
    <w:name w:val="List Table 7 Colorful Accent 3"/>
    <w:basedOn w:val="a1"/>
    <w:uiPriority w:val="52"/>
    <w:rsid w:val="00953BBA"/>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C7EDCC"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C7EDC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C7EDCC"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C7EDCC"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1">
    <w:name w:val="Grid Table 4 Accent 1"/>
    <w:basedOn w:val="a1"/>
    <w:uiPriority w:val="49"/>
    <w:rsid w:val="00953BBA"/>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C7EDCC"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3Accent5">
    <w:name w:val="Grid Table 3 Accent 5"/>
    <w:basedOn w:val="a1"/>
    <w:uiPriority w:val="48"/>
    <w:rsid w:val="00953BBA"/>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C7EDCC" w:themeFill="background1"/>
      </w:tcPr>
    </w:tblStylePr>
    <w:tblStylePr w:type="lastRow">
      <w:rPr>
        <w:b/>
        <w:bCs/>
      </w:rPr>
      <w:tblPr/>
      <w:tcPr>
        <w:tcBorders>
          <w:left w:val="nil"/>
          <w:bottom w:val="nil"/>
          <w:right w:val="nil"/>
          <w:insideH w:val="nil"/>
          <w:insideV w:val="nil"/>
        </w:tcBorders>
        <w:shd w:val="clear" w:color="auto" w:fill="C7EDCC" w:themeFill="background1"/>
      </w:tcPr>
    </w:tblStylePr>
    <w:tblStylePr w:type="firstCol">
      <w:pPr>
        <w:jc w:val="right"/>
      </w:pPr>
      <w:rPr>
        <w:i/>
        <w:iCs/>
      </w:rPr>
      <w:tblPr/>
      <w:tcPr>
        <w:tcBorders>
          <w:top w:val="nil"/>
          <w:left w:val="nil"/>
          <w:bottom w:val="nil"/>
          <w:insideH w:val="nil"/>
          <w:insideV w:val="nil"/>
        </w:tcBorders>
        <w:shd w:val="clear" w:color="auto" w:fill="C7EDCC" w:themeFill="background1"/>
      </w:tcPr>
    </w:tblStylePr>
    <w:tblStylePr w:type="lastCol">
      <w:rPr>
        <w:i/>
        <w:iCs/>
      </w:rPr>
      <w:tblPr/>
      <w:tcPr>
        <w:tcBorders>
          <w:top w:val="nil"/>
          <w:bottom w:val="nil"/>
          <w:right w:val="nil"/>
          <w:insideH w:val="nil"/>
          <w:insideV w:val="nil"/>
        </w:tcBorders>
        <w:shd w:val="clear" w:color="auto" w:fill="C7EDCC"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PlainTable1">
    <w:name w:val="Plain Table 1"/>
    <w:basedOn w:val="a1"/>
    <w:uiPriority w:val="41"/>
    <w:rsid w:val="00953BBA"/>
    <w:tblPr>
      <w:tblStyleRowBandSize w:val="1"/>
      <w:tblStyleColBandSize w:val="1"/>
      <w:tblInd w:w="0" w:type="dxa"/>
      <w:tblBorders>
        <w:top w:val="single" w:sz="4" w:space="0" w:color="74D280" w:themeColor="background1" w:themeShade="BF"/>
        <w:left w:val="single" w:sz="4" w:space="0" w:color="74D280" w:themeColor="background1" w:themeShade="BF"/>
        <w:bottom w:val="single" w:sz="4" w:space="0" w:color="74D280" w:themeColor="background1" w:themeShade="BF"/>
        <w:right w:val="single" w:sz="4" w:space="0" w:color="74D280" w:themeColor="background1" w:themeShade="BF"/>
        <w:insideH w:val="single" w:sz="4" w:space="0" w:color="74D280" w:themeColor="background1" w:themeShade="BF"/>
        <w:insideV w:val="single" w:sz="4" w:space="0" w:color="74D280"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74D280" w:themeColor="background1" w:themeShade="BF"/>
        </w:tcBorders>
      </w:tcPr>
    </w:tblStylePr>
    <w:tblStylePr w:type="firstCol">
      <w:rPr>
        <w:b/>
        <w:bCs/>
      </w:rPr>
    </w:tblStylePr>
    <w:tblStylePr w:type="lastCol">
      <w:rPr>
        <w:b/>
        <w:bCs/>
      </w:rPr>
    </w:tblStylePr>
    <w:tblStylePr w:type="band1Vert">
      <w:tblPr/>
      <w:tcPr>
        <w:shd w:val="clear" w:color="auto" w:fill="B6E7BC" w:themeFill="background1" w:themeFillShade="F2"/>
      </w:tcPr>
    </w:tblStylePr>
    <w:tblStylePr w:type="band1Horz">
      <w:tblPr/>
      <w:tcPr>
        <w:shd w:val="clear" w:color="auto" w:fill="B6E7BC" w:themeFill="background1" w:themeFillShade="F2"/>
      </w:tcPr>
    </w:tblStylePr>
  </w:style>
  <w:style w:type="table" w:customStyle="1" w:styleId="GridTableLight">
    <w:name w:val="Grid Table Light"/>
    <w:basedOn w:val="a1"/>
    <w:uiPriority w:val="40"/>
    <w:rsid w:val="00953BBA"/>
    <w:tblPr>
      <w:tblInd w:w="0" w:type="dxa"/>
      <w:tblBorders>
        <w:top w:val="single" w:sz="4" w:space="0" w:color="74D280" w:themeColor="background1" w:themeShade="BF"/>
        <w:left w:val="single" w:sz="4" w:space="0" w:color="74D280" w:themeColor="background1" w:themeShade="BF"/>
        <w:bottom w:val="single" w:sz="4" w:space="0" w:color="74D280" w:themeColor="background1" w:themeShade="BF"/>
        <w:right w:val="single" w:sz="4" w:space="0" w:color="74D280" w:themeColor="background1" w:themeShade="BF"/>
        <w:insideH w:val="single" w:sz="4" w:space="0" w:color="74D280" w:themeColor="background1" w:themeShade="BF"/>
        <w:insideV w:val="single" w:sz="4" w:space="0" w:color="74D280" w:themeColor="background1" w:themeShade="BF"/>
      </w:tblBorders>
      <w:tblCellMar>
        <w:top w:w="0" w:type="dxa"/>
        <w:left w:w="108" w:type="dxa"/>
        <w:bottom w:w="0" w:type="dxa"/>
        <w:right w:w="108" w:type="dxa"/>
      </w:tblCellMar>
    </w:tblPr>
  </w:style>
  <w:style w:type="table" w:customStyle="1" w:styleId="PlainTable3">
    <w:name w:val="Plain Table 3"/>
    <w:basedOn w:val="a1"/>
    <w:uiPriority w:val="43"/>
    <w:rsid w:val="00953BBA"/>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B6E7BC" w:themeFill="background1" w:themeFillShade="F2"/>
      </w:tcPr>
    </w:tblStylePr>
    <w:tblStylePr w:type="band1Horz">
      <w:tblPr/>
      <w:tcPr>
        <w:shd w:val="clear" w:color="auto" w:fill="B6E7BC"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a1"/>
    <w:uiPriority w:val="45"/>
    <w:rsid w:val="00953BBA"/>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C7EDC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C7EDC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C7EDC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C7EDCC" w:themeFill="background1"/>
      </w:tcPr>
    </w:tblStylePr>
    <w:tblStylePr w:type="band1Vert">
      <w:tblPr/>
      <w:tcPr>
        <w:shd w:val="clear" w:color="auto" w:fill="B6E7BC" w:themeFill="background1" w:themeFillShade="F2"/>
      </w:tcPr>
    </w:tblStylePr>
    <w:tblStylePr w:type="band1Horz">
      <w:tblPr/>
      <w:tcPr>
        <w:shd w:val="clear" w:color="auto" w:fill="B6E7BC"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a1"/>
    <w:uiPriority w:val="46"/>
    <w:rsid w:val="00953BBA"/>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a1"/>
    <w:uiPriority w:val="46"/>
    <w:rsid w:val="00953BBA"/>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leNormal1">
    <w:name w:val="Table Normal1"/>
    <w:uiPriority w:val="2"/>
    <w:semiHidden/>
    <w:unhideWhenUsed/>
    <w:qFormat/>
    <w:rsid w:val="0045614B"/>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5614B"/>
    <w:pPr>
      <w:widowControl w:val="0"/>
      <w:autoSpaceDE w:val="0"/>
      <w:autoSpaceDN w:val="0"/>
      <w:spacing w:line="160" w:lineRule="exact"/>
    </w:pPr>
    <w:rPr>
      <w:rFonts w:ascii="Arial" w:eastAsia="Arial" w:hAnsi="Arial" w:cs="Arial"/>
      <w:sz w:val="22"/>
      <w:szCs w:val="22"/>
      <w:lang w:val="en-US" w:eastAsia="en-US"/>
    </w:rPr>
  </w:style>
  <w:style w:type="character" w:customStyle="1" w:styleId="Nenhum">
    <w:name w:val="Nenhum"/>
    <w:rsid w:val="00505440"/>
  </w:style>
  <w:style w:type="paragraph" w:styleId="aa">
    <w:name w:val="footnote text"/>
    <w:basedOn w:val="a"/>
    <w:link w:val="Char2"/>
    <w:uiPriority w:val="99"/>
    <w:semiHidden/>
    <w:unhideWhenUsed/>
    <w:rsid w:val="001D2AD8"/>
    <w:rPr>
      <w:rFonts w:asciiTheme="minorHAnsi" w:eastAsiaTheme="minorHAnsi" w:hAnsiTheme="minorHAnsi" w:cstheme="minorBidi"/>
      <w:sz w:val="20"/>
      <w:szCs w:val="20"/>
      <w:lang w:eastAsia="en-US"/>
    </w:rPr>
  </w:style>
  <w:style w:type="character" w:customStyle="1" w:styleId="Char2">
    <w:name w:val="脚注文本 Char"/>
    <w:basedOn w:val="a0"/>
    <w:link w:val="aa"/>
    <w:uiPriority w:val="99"/>
    <w:semiHidden/>
    <w:rsid w:val="001D2AD8"/>
    <w:rPr>
      <w:sz w:val="20"/>
      <w:szCs w:val="20"/>
    </w:rPr>
  </w:style>
  <w:style w:type="character" w:styleId="ab">
    <w:name w:val="footnote reference"/>
    <w:basedOn w:val="a0"/>
    <w:uiPriority w:val="99"/>
    <w:semiHidden/>
    <w:unhideWhenUsed/>
    <w:rsid w:val="001D2AD8"/>
    <w:rPr>
      <w:vertAlign w:val="superscript"/>
    </w:rPr>
  </w:style>
  <w:style w:type="paragraph" w:styleId="ac">
    <w:name w:val="footer"/>
    <w:basedOn w:val="a"/>
    <w:link w:val="Char3"/>
    <w:uiPriority w:val="99"/>
    <w:unhideWhenUsed/>
    <w:rsid w:val="004D43BF"/>
    <w:pPr>
      <w:tabs>
        <w:tab w:val="center" w:pos="4252"/>
        <w:tab w:val="right" w:pos="8504"/>
      </w:tabs>
    </w:pPr>
    <w:rPr>
      <w:rFonts w:asciiTheme="minorHAnsi" w:eastAsiaTheme="minorHAnsi" w:hAnsiTheme="minorHAnsi" w:cstheme="minorBidi"/>
      <w:lang w:eastAsia="en-US"/>
    </w:rPr>
  </w:style>
  <w:style w:type="character" w:customStyle="1" w:styleId="Char3">
    <w:name w:val="页脚 Char"/>
    <w:basedOn w:val="a0"/>
    <w:link w:val="ac"/>
    <w:uiPriority w:val="99"/>
    <w:rsid w:val="004D43BF"/>
  </w:style>
  <w:style w:type="character" w:styleId="ad">
    <w:name w:val="page number"/>
    <w:basedOn w:val="a0"/>
    <w:uiPriority w:val="99"/>
    <w:semiHidden/>
    <w:unhideWhenUsed/>
    <w:rsid w:val="004D43BF"/>
  </w:style>
  <w:style w:type="character" w:customStyle="1" w:styleId="highlight">
    <w:name w:val="highlight"/>
    <w:basedOn w:val="a0"/>
    <w:rsid w:val="00975999"/>
  </w:style>
  <w:style w:type="character" w:customStyle="1" w:styleId="UnresolvedMention">
    <w:name w:val="Unresolved Mention"/>
    <w:basedOn w:val="a0"/>
    <w:uiPriority w:val="99"/>
    <w:rsid w:val="00975999"/>
    <w:rPr>
      <w:color w:val="605E5C"/>
      <w:shd w:val="clear" w:color="auto" w:fill="E1DFDD"/>
    </w:rPr>
  </w:style>
  <w:style w:type="character" w:styleId="HTML">
    <w:name w:val="HTML Cite"/>
    <w:basedOn w:val="a0"/>
    <w:uiPriority w:val="99"/>
    <w:semiHidden/>
    <w:unhideWhenUsed/>
    <w:rsid w:val="007237E8"/>
    <w:rPr>
      <w:i/>
      <w:iCs/>
    </w:rPr>
  </w:style>
  <w:style w:type="character" w:styleId="ae">
    <w:name w:val="FollowedHyperlink"/>
    <w:basedOn w:val="a0"/>
    <w:uiPriority w:val="99"/>
    <w:semiHidden/>
    <w:unhideWhenUsed/>
    <w:rsid w:val="00436CE3"/>
    <w:rPr>
      <w:color w:val="954F72" w:themeColor="followedHyperlink"/>
      <w:u w:val="single"/>
    </w:rPr>
  </w:style>
  <w:style w:type="paragraph" w:styleId="af">
    <w:name w:val="Normal (Web)"/>
    <w:basedOn w:val="a"/>
    <w:uiPriority w:val="99"/>
    <w:semiHidden/>
    <w:unhideWhenUsed/>
    <w:rsid w:val="004E3379"/>
    <w:pPr>
      <w:spacing w:before="100" w:beforeAutospacing="1" w:after="100" w:afterAutospacing="1"/>
    </w:pPr>
  </w:style>
  <w:style w:type="paragraph" w:customStyle="1" w:styleId="Default">
    <w:name w:val="Default"/>
    <w:rsid w:val="004E3379"/>
    <w:pPr>
      <w:autoSpaceDE w:val="0"/>
      <w:autoSpaceDN w:val="0"/>
      <w:adjustRightInd w:val="0"/>
    </w:pPr>
    <w:rPr>
      <w:rFonts w:ascii="Times New Roman" w:hAnsi="Times New Roman" w:cs="Times New Roman"/>
      <w:color w:val="000000"/>
    </w:rPr>
  </w:style>
  <w:style w:type="character" w:customStyle="1" w:styleId="A13">
    <w:name w:val="A13"/>
    <w:uiPriority w:val="99"/>
    <w:rsid w:val="004E3379"/>
    <w:rPr>
      <w:color w:val="211D1E"/>
      <w:sz w:val="14"/>
      <w:szCs w:val="14"/>
    </w:rPr>
  </w:style>
  <w:style w:type="paragraph" w:customStyle="1" w:styleId="nova-e-listitem">
    <w:name w:val="nova-e-list__item"/>
    <w:basedOn w:val="a"/>
    <w:rsid w:val="004E3379"/>
    <w:pPr>
      <w:spacing w:before="100" w:beforeAutospacing="1" w:after="100" w:afterAutospacing="1"/>
    </w:pPr>
  </w:style>
  <w:style w:type="character" w:customStyle="1" w:styleId="ref-journal">
    <w:name w:val="ref-journal"/>
    <w:basedOn w:val="a0"/>
    <w:rsid w:val="00F2644D"/>
  </w:style>
  <w:style w:type="character" w:customStyle="1" w:styleId="ref-vol">
    <w:name w:val="ref-vol"/>
    <w:basedOn w:val="a0"/>
    <w:rsid w:val="00F2644D"/>
  </w:style>
  <w:style w:type="paragraph" w:styleId="af0">
    <w:name w:val="header"/>
    <w:basedOn w:val="a"/>
    <w:link w:val="Char4"/>
    <w:uiPriority w:val="99"/>
    <w:unhideWhenUsed/>
    <w:rsid w:val="000B1DF9"/>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f0"/>
    <w:uiPriority w:val="99"/>
    <w:rsid w:val="000B1DF9"/>
    <w:rPr>
      <w:rFonts w:ascii="Times New Roman" w:eastAsia="Times New Roman" w:hAnsi="Times New Roman" w:cs="Times New Roman"/>
      <w:sz w:val="18"/>
      <w:szCs w:val="18"/>
      <w:lang w:eastAsia="pt-BR"/>
    </w:rPr>
  </w:style>
  <w:style w:type="paragraph" w:styleId="af1">
    <w:name w:val="annotation subject"/>
    <w:basedOn w:val="a7"/>
    <w:next w:val="a7"/>
    <w:link w:val="Char5"/>
    <w:uiPriority w:val="99"/>
    <w:semiHidden/>
    <w:unhideWhenUsed/>
    <w:rsid w:val="000B1DF9"/>
    <w:rPr>
      <w:b/>
      <w:bCs/>
      <w:sz w:val="24"/>
      <w:szCs w:val="24"/>
    </w:rPr>
  </w:style>
  <w:style w:type="character" w:customStyle="1" w:styleId="Char5">
    <w:name w:val="批注主题 Char"/>
    <w:basedOn w:val="Char0"/>
    <w:link w:val="af1"/>
    <w:uiPriority w:val="99"/>
    <w:semiHidden/>
    <w:rsid w:val="000B1DF9"/>
    <w:rPr>
      <w:rFonts w:ascii="Times New Roman" w:eastAsia="Times New Roman" w:hAnsi="Times New Roman" w:cs="Times New Roman"/>
      <w:b/>
      <w:bCs/>
      <w:sz w:val="20"/>
      <w:szCs w:val="20"/>
      <w:lang w:eastAsia="pt-BR"/>
    </w:rPr>
  </w:style>
  <w:style w:type="character" w:customStyle="1" w:styleId="10">
    <w:name w:val="批注文字 字符1"/>
    <w:basedOn w:val="a0"/>
    <w:uiPriority w:val="99"/>
    <w:qFormat/>
    <w:rsid w:val="000B1DF9"/>
    <w:rPr>
      <w:rFonts w:eastAsiaTheme="minorEastAsia"/>
      <w:kern w:val="2"/>
      <w:sz w:val="21"/>
    </w:rPr>
  </w:style>
  <w:style w:type="character" w:customStyle="1" w:styleId="publisherid">
    <w:name w:val="publisherid"/>
    <w:basedOn w:val="a0"/>
    <w:rsid w:val="000B1D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E53"/>
    <w:rPr>
      <w:rFonts w:ascii="Times New Roman" w:eastAsia="Times New Roman" w:hAnsi="Times New Roman" w:cs="Times New Roman"/>
      <w:lang w:eastAsia="pt-BR"/>
    </w:rPr>
  </w:style>
  <w:style w:type="paragraph" w:styleId="1">
    <w:name w:val="heading 1"/>
    <w:basedOn w:val="a"/>
    <w:next w:val="a"/>
    <w:link w:val="1Char"/>
    <w:uiPriority w:val="9"/>
    <w:qFormat/>
    <w:rsid w:val="00ED54D0"/>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2">
    <w:name w:val="heading 2"/>
    <w:basedOn w:val="a"/>
    <w:next w:val="a"/>
    <w:link w:val="2Char"/>
    <w:uiPriority w:val="9"/>
    <w:unhideWhenUsed/>
    <w:qFormat/>
    <w:rsid w:val="006D1EEE"/>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3">
    <w:name w:val="heading 3"/>
    <w:basedOn w:val="a"/>
    <w:next w:val="a"/>
    <w:link w:val="3Char"/>
    <w:uiPriority w:val="9"/>
    <w:unhideWhenUsed/>
    <w:qFormat/>
    <w:rsid w:val="00170A2E"/>
    <w:pPr>
      <w:keepNext/>
      <w:keepLines/>
      <w:spacing w:before="40"/>
      <w:outlineLvl w:val="2"/>
    </w:pPr>
    <w:rPr>
      <w:rFonts w:asciiTheme="majorHAnsi" w:eastAsiaTheme="majorEastAsia" w:hAnsiTheme="majorHAnsi" w:cstheme="majorBidi"/>
      <w:color w:val="1F3763" w:themeColor="accent1" w:themeShade="7F"/>
      <w:lang w:eastAsia="en-US"/>
    </w:rPr>
  </w:style>
  <w:style w:type="paragraph" w:styleId="4">
    <w:name w:val="heading 4"/>
    <w:basedOn w:val="a"/>
    <w:next w:val="a"/>
    <w:link w:val="4Char"/>
    <w:uiPriority w:val="9"/>
    <w:unhideWhenUsed/>
    <w:qFormat/>
    <w:rsid w:val="00170A2E"/>
    <w:pPr>
      <w:keepNext/>
      <w:keepLines/>
      <w:spacing w:before="40"/>
      <w:outlineLvl w:val="3"/>
    </w:pPr>
    <w:rPr>
      <w:rFonts w:asciiTheme="majorHAnsi" w:eastAsiaTheme="majorEastAsia" w:hAnsiTheme="majorHAnsi" w:cstheme="majorBidi"/>
      <w:i/>
      <w:iCs/>
      <w:color w:val="2F5496"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D1EEE"/>
    <w:rPr>
      <w:rFonts w:asciiTheme="majorHAnsi" w:eastAsiaTheme="majorEastAsia" w:hAnsiTheme="majorHAnsi" w:cstheme="majorBidi"/>
      <w:color w:val="2F5496" w:themeColor="accent1" w:themeShade="BF"/>
      <w:sz w:val="26"/>
      <w:szCs w:val="26"/>
    </w:rPr>
  </w:style>
  <w:style w:type="paragraph" w:styleId="a3">
    <w:name w:val="List Paragraph"/>
    <w:basedOn w:val="a"/>
    <w:uiPriority w:val="34"/>
    <w:qFormat/>
    <w:rsid w:val="00ED54D0"/>
    <w:pPr>
      <w:ind w:left="720"/>
      <w:contextualSpacing/>
    </w:pPr>
    <w:rPr>
      <w:rFonts w:asciiTheme="minorHAnsi" w:eastAsiaTheme="minorHAnsi" w:hAnsiTheme="minorHAnsi" w:cstheme="minorBidi"/>
      <w:lang w:eastAsia="en-US"/>
    </w:rPr>
  </w:style>
  <w:style w:type="character" w:customStyle="1" w:styleId="1Char">
    <w:name w:val="标题 1 Char"/>
    <w:basedOn w:val="a0"/>
    <w:link w:val="1"/>
    <w:uiPriority w:val="9"/>
    <w:rsid w:val="00ED54D0"/>
    <w:rPr>
      <w:rFonts w:asciiTheme="majorHAnsi" w:eastAsiaTheme="majorEastAsia" w:hAnsiTheme="majorHAnsi" w:cstheme="majorBidi"/>
      <w:color w:val="2F5496" w:themeColor="accent1" w:themeShade="BF"/>
      <w:sz w:val="32"/>
      <w:szCs w:val="32"/>
    </w:rPr>
  </w:style>
  <w:style w:type="paragraph" w:customStyle="1" w:styleId="p1">
    <w:name w:val="p1"/>
    <w:basedOn w:val="a"/>
    <w:rsid w:val="00304DAE"/>
    <w:rPr>
      <w:rFonts w:ascii="Helvetica" w:eastAsiaTheme="minorHAnsi" w:hAnsi="Helvetica"/>
      <w:sz w:val="15"/>
      <w:szCs w:val="15"/>
    </w:rPr>
  </w:style>
  <w:style w:type="character" w:customStyle="1" w:styleId="apple-converted-space">
    <w:name w:val="apple-converted-space"/>
    <w:basedOn w:val="a0"/>
    <w:rsid w:val="00304DAE"/>
  </w:style>
  <w:style w:type="character" w:customStyle="1" w:styleId="3Char">
    <w:name w:val="标题 3 Char"/>
    <w:basedOn w:val="a0"/>
    <w:link w:val="3"/>
    <w:uiPriority w:val="9"/>
    <w:rsid w:val="00170A2E"/>
    <w:rPr>
      <w:rFonts w:asciiTheme="majorHAnsi" w:eastAsiaTheme="majorEastAsia" w:hAnsiTheme="majorHAnsi" w:cstheme="majorBidi"/>
      <w:color w:val="1F3763" w:themeColor="accent1" w:themeShade="7F"/>
    </w:rPr>
  </w:style>
  <w:style w:type="character" w:customStyle="1" w:styleId="4Char">
    <w:name w:val="标题 4 Char"/>
    <w:basedOn w:val="a0"/>
    <w:link w:val="4"/>
    <w:uiPriority w:val="9"/>
    <w:rsid w:val="00170A2E"/>
    <w:rPr>
      <w:rFonts w:asciiTheme="majorHAnsi" w:eastAsiaTheme="majorEastAsia" w:hAnsiTheme="majorHAnsi" w:cstheme="majorBidi"/>
      <w:i/>
      <w:iCs/>
      <w:color w:val="2F5496" w:themeColor="accent1" w:themeShade="BF"/>
    </w:rPr>
  </w:style>
  <w:style w:type="character" w:styleId="a4">
    <w:name w:val="Hyperlink"/>
    <w:basedOn w:val="a0"/>
    <w:uiPriority w:val="99"/>
    <w:unhideWhenUsed/>
    <w:rsid w:val="00D66335"/>
    <w:rPr>
      <w:color w:val="0563C1" w:themeColor="hyperlink"/>
      <w:u w:val="single"/>
    </w:rPr>
  </w:style>
  <w:style w:type="character" w:customStyle="1" w:styleId="MenoPendente1">
    <w:name w:val="Menção Pendente1"/>
    <w:basedOn w:val="a0"/>
    <w:uiPriority w:val="99"/>
    <w:rsid w:val="00D66335"/>
    <w:rPr>
      <w:color w:val="808080"/>
      <w:shd w:val="clear" w:color="auto" w:fill="E6E6E6"/>
    </w:rPr>
  </w:style>
  <w:style w:type="paragraph" w:styleId="a5">
    <w:name w:val="Body Text"/>
    <w:basedOn w:val="a"/>
    <w:link w:val="Char"/>
    <w:uiPriority w:val="1"/>
    <w:qFormat/>
    <w:rsid w:val="00671888"/>
    <w:pPr>
      <w:widowControl w:val="0"/>
      <w:autoSpaceDE w:val="0"/>
      <w:autoSpaceDN w:val="0"/>
    </w:pPr>
    <w:rPr>
      <w:rFonts w:ascii="Arial" w:eastAsia="Arial" w:hAnsi="Arial" w:cs="Arial"/>
      <w:sz w:val="19"/>
      <w:szCs w:val="19"/>
      <w:lang w:val="en-US" w:eastAsia="en-US"/>
    </w:rPr>
  </w:style>
  <w:style w:type="character" w:customStyle="1" w:styleId="Char">
    <w:name w:val="正文文本 Char"/>
    <w:basedOn w:val="a0"/>
    <w:link w:val="a5"/>
    <w:uiPriority w:val="1"/>
    <w:rsid w:val="00671888"/>
    <w:rPr>
      <w:rFonts w:ascii="Arial" w:eastAsia="Arial" w:hAnsi="Arial" w:cs="Arial"/>
      <w:sz w:val="19"/>
      <w:szCs w:val="19"/>
      <w:lang w:val="en-US"/>
    </w:rPr>
  </w:style>
  <w:style w:type="paragraph" w:customStyle="1" w:styleId="Padro">
    <w:name w:val="Padrão"/>
    <w:rsid w:val="0054149D"/>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pt-BR"/>
    </w:rPr>
  </w:style>
  <w:style w:type="character" w:styleId="a6">
    <w:name w:val="annotation reference"/>
    <w:basedOn w:val="a0"/>
    <w:uiPriority w:val="99"/>
    <w:unhideWhenUsed/>
    <w:rsid w:val="001312C9"/>
    <w:rPr>
      <w:sz w:val="16"/>
      <w:szCs w:val="16"/>
    </w:rPr>
  </w:style>
  <w:style w:type="paragraph" w:styleId="a7">
    <w:name w:val="annotation text"/>
    <w:basedOn w:val="a"/>
    <w:link w:val="Char0"/>
    <w:uiPriority w:val="99"/>
    <w:unhideWhenUsed/>
    <w:qFormat/>
    <w:rsid w:val="001312C9"/>
    <w:rPr>
      <w:sz w:val="20"/>
      <w:szCs w:val="20"/>
    </w:rPr>
  </w:style>
  <w:style w:type="character" w:customStyle="1" w:styleId="Char0">
    <w:name w:val="批注文字 Char"/>
    <w:basedOn w:val="a0"/>
    <w:link w:val="a7"/>
    <w:uiPriority w:val="99"/>
    <w:semiHidden/>
    <w:rsid w:val="001312C9"/>
    <w:rPr>
      <w:rFonts w:ascii="Times New Roman" w:eastAsia="Times New Roman" w:hAnsi="Times New Roman" w:cs="Times New Roman"/>
      <w:sz w:val="20"/>
      <w:szCs w:val="20"/>
      <w:lang w:eastAsia="pt-BR"/>
    </w:rPr>
  </w:style>
  <w:style w:type="paragraph" w:styleId="a8">
    <w:name w:val="Balloon Text"/>
    <w:basedOn w:val="a"/>
    <w:link w:val="Char1"/>
    <w:uiPriority w:val="99"/>
    <w:semiHidden/>
    <w:unhideWhenUsed/>
    <w:rsid w:val="001312C9"/>
    <w:rPr>
      <w:sz w:val="18"/>
      <w:szCs w:val="18"/>
    </w:rPr>
  </w:style>
  <w:style w:type="character" w:customStyle="1" w:styleId="Char1">
    <w:name w:val="批注框文本 Char"/>
    <w:basedOn w:val="a0"/>
    <w:link w:val="a8"/>
    <w:uiPriority w:val="99"/>
    <w:semiHidden/>
    <w:rsid w:val="001312C9"/>
    <w:rPr>
      <w:rFonts w:ascii="Times New Roman" w:hAnsi="Times New Roman" w:cs="Times New Roman"/>
      <w:sz w:val="18"/>
      <w:szCs w:val="18"/>
    </w:rPr>
  </w:style>
  <w:style w:type="table" w:styleId="a9">
    <w:name w:val="Table Grid"/>
    <w:basedOn w:val="a1"/>
    <w:uiPriority w:val="39"/>
    <w:rsid w:val="00953B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1">
    <w:name w:val="Grid Table 5 Dark Accent 1"/>
    <w:basedOn w:val="a1"/>
    <w:uiPriority w:val="50"/>
    <w:rsid w:val="00953BBA"/>
    <w:tblPr>
      <w:tblStyleRowBandSize w:val="1"/>
      <w:tblStyleColBandSize w:val="1"/>
      <w:tblInd w:w="0" w:type="dxa"/>
      <w:tblBorders>
        <w:top w:val="single" w:sz="4" w:space="0" w:color="C7EDCC" w:themeColor="background1"/>
        <w:left w:val="single" w:sz="4" w:space="0" w:color="C7EDCC" w:themeColor="background1"/>
        <w:bottom w:val="single" w:sz="4" w:space="0" w:color="C7EDCC" w:themeColor="background1"/>
        <w:right w:val="single" w:sz="4" w:space="0" w:color="C7EDCC" w:themeColor="background1"/>
        <w:insideH w:val="single" w:sz="4" w:space="0" w:color="C7EDCC" w:themeColor="background1"/>
        <w:insideV w:val="single" w:sz="4" w:space="0" w:color="C7EDCC"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C7EDCC" w:themeColor="background1"/>
      </w:rPr>
      <w:tblPr/>
      <w:tcPr>
        <w:tcBorders>
          <w:top w:val="single" w:sz="4" w:space="0" w:color="C7EDCC" w:themeColor="background1"/>
          <w:left w:val="single" w:sz="4" w:space="0" w:color="C7EDCC" w:themeColor="background1"/>
          <w:right w:val="single" w:sz="4" w:space="0" w:color="C7EDCC" w:themeColor="background1"/>
          <w:insideH w:val="nil"/>
          <w:insideV w:val="nil"/>
        </w:tcBorders>
        <w:shd w:val="clear" w:color="auto" w:fill="4472C4" w:themeFill="accent1"/>
      </w:tcPr>
    </w:tblStylePr>
    <w:tblStylePr w:type="lastRow">
      <w:rPr>
        <w:b/>
        <w:bCs/>
        <w:color w:val="C7EDCC" w:themeColor="background1"/>
      </w:rPr>
      <w:tblPr/>
      <w:tcPr>
        <w:tcBorders>
          <w:left w:val="single" w:sz="4" w:space="0" w:color="C7EDCC" w:themeColor="background1"/>
          <w:bottom w:val="single" w:sz="4" w:space="0" w:color="C7EDCC" w:themeColor="background1"/>
          <w:right w:val="single" w:sz="4" w:space="0" w:color="C7EDCC" w:themeColor="background1"/>
          <w:insideH w:val="nil"/>
          <w:insideV w:val="nil"/>
        </w:tcBorders>
        <w:shd w:val="clear" w:color="auto" w:fill="4472C4" w:themeFill="accent1"/>
      </w:tcPr>
    </w:tblStylePr>
    <w:tblStylePr w:type="firstCol">
      <w:rPr>
        <w:b/>
        <w:bCs/>
        <w:color w:val="C7EDCC" w:themeColor="background1"/>
      </w:rPr>
      <w:tblPr/>
      <w:tcPr>
        <w:tcBorders>
          <w:top w:val="single" w:sz="4" w:space="0" w:color="C7EDCC" w:themeColor="background1"/>
          <w:left w:val="single" w:sz="4" w:space="0" w:color="C7EDCC" w:themeColor="background1"/>
          <w:bottom w:val="single" w:sz="4" w:space="0" w:color="C7EDCC" w:themeColor="background1"/>
          <w:insideV w:val="nil"/>
        </w:tcBorders>
        <w:shd w:val="clear" w:color="auto" w:fill="4472C4" w:themeFill="accent1"/>
      </w:tcPr>
    </w:tblStylePr>
    <w:tblStylePr w:type="lastCol">
      <w:rPr>
        <w:b/>
        <w:bCs/>
        <w:color w:val="C7EDCC" w:themeColor="background1"/>
      </w:rPr>
      <w:tblPr/>
      <w:tcPr>
        <w:tcBorders>
          <w:top w:val="single" w:sz="4" w:space="0" w:color="C7EDCC" w:themeColor="background1"/>
          <w:bottom w:val="single" w:sz="4" w:space="0" w:color="C7EDCC" w:themeColor="background1"/>
          <w:right w:val="single" w:sz="4" w:space="0" w:color="C7EDCC"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GridTable5DarkAccent3">
    <w:name w:val="Grid Table 5 Dark Accent 3"/>
    <w:basedOn w:val="a1"/>
    <w:uiPriority w:val="50"/>
    <w:rsid w:val="00953BBA"/>
    <w:tblPr>
      <w:tblStyleRowBandSize w:val="1"/>
      <w:tblStyleColBandSize w:val="1"/>
      <w:tblInd w:w="0" w:type="dxa"/>
      <w:tblBorders>
        <w:top w:val="single" w:sz="4" w:space="0" w:color="C7EDCC" w:themeColor="background1"/>
        <w:left w:val="single" w:sz="4" w:space="0" w:color="C7EDCC" w:themeColor="background1"/>
        <w:bottom w:val="single" w:sz="4" w:space="0" w:color="C7EDCC" w:themeColor="background1"/>
        <w:right w:val="single" w:sz="4" w:space="0" w:color="C7EDCC" w:themeColor="background1"/>
        <w:insideH w:val="single" w:sz="4" w:space="0" w:color="C7EDCC" w:themeColor="background1"/>
        <w:insideV w:val="single" w:sz="4" w:space="0" w:color="C7EDCC"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C7EDCC" w:themeColor="background1"/>
      </w:rPr>
      <w:tblPr/>
      <w:tcPr>
        <w:tcBorders>
          <w:top w:val="single" w:sz="4" w:space="0" w:color="C7EDCC" w:themeColor="background1"/>
          <w:left w:val="single" w:sz="4" w:space="0" w:color="C7EDCC" w:themeColor="background1"/>
          <w:right w:val="single" w:sz="4" w:space="0" w:color="C7EDCC" w:themeColor="background1"/>
          <w:insideH w:val="nil"/>
          <w:insideV w:val="nil"/>
        </w:tcBorders>
        <w:shd w:val="clear" w:color="auto" w:fill="A5A5A5" w:themeFill="accent3"/>
      </w:tcPr>
    </w:tblStylePr>
    <w:tblStylePr w:type="lastRow">
      <w:rPr>
        <w:b/>
        <w:bCs/>
        <w:color w:val="C7EDCC" w:themeColor="background1"/>
      </w:rPr>
      <w:tblPr/>
      <w:tcPr>
        <w:tcBorders>
          <w:left w:val="single" w:sz="4" w:space="0" w:color="C7EDCC" w:themeColor="background1"/>
          <w:bottom w:val="single" w:sz="4" w:space="0" w:color="C7EDCC" w:themeColor="background1"/>
          <w:right w:val="single" w:sz="4" w:space="0" w:color="C7EDCC" w:themeColor="background1"/>
          <w:insideH w:val="nil"/>
          <w:insideV w:val="nil"/>
        </w:tcBorders>
        <w:shd w:val="clear" w:color="auto" w:fill="A5A5A5" w:themeFill="accent3"/>
      </w:tcPr>
    </w:tblStylePr>
    <w:tblStylePr w:type="firstCol">
      <w:rPr>
        <w:b/>
        <w:bCs/>
        <w:color w:val="C7EDCC" w:themeColor="background1"/>
      </w:rPr>
      <w:tblPr/>
      <w:tcPr>
        <w:tcBorders>
          <w:top w:val="single" w:sz="4" w:space="0" w:color="C7EDCC" w:themeColor="background1"/>
          <w:left w:val="single" w:sz="4" w:space="0" w:color="C7EDCC" w:themeColor="background1"/>
          <w:bottom w:val="single" w:sz="4" w:space="0" w:color="C7EDCC" w:themeColor="background1"/>
          <w:insideV w:val="nil"/>
        </w:tcBorders>
        <w:shd w:val="clear" w:color="auto" w:fill="A5A5A5" w:themeFill="accent3"/>
      </w:tcPr>
    </w:tblStylePr>
    <w:tblStylePr w:type="lastCol">
      <w:rPr>
        <w:b/>
        <w:bCs/>
        <w:color w:val="C7EDCC" w:themeColor="background1"/>
      </w:rPr>
      <w:tblPr/>
      <w:tcPr>
        <w:tcBorders>
          <w:top w:val="single" w:sz="4" w:space="0" w:color="C7EDCC" w:themeColor="background1"/>
          <w:bottom w:val="single" w:sz="4" w:space="0" w:color="C7EDCC" w:themeColor="background1"/>
          <w:right w:val="single" w:sz="4" w:space="0" w:color="C7EDCC"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ListTable2Accent1">
    <w:name w:val="List Table 2 Accent 1"/>
    <w:basedOn w:val="a1"/>
    <w:uiPriority w:val="47"/>
    <w:rsid w:val="00953BBA"/>
    <w:tblPr>
      <w:tblStyleRowBandSize w:val="1"/>
      <w:tblStyleColBandSize w:val="1"/>
      <w:tblInd w:w="0" w:type="dxa"/>
      <w:tblBorders>
        <w:top w:val="single" w:sz="4" w:space="0" w:color="8EAADB" w:themeColor="accent1" w:themeTint="99"/>
        <w:bottom w:val="single" w:sz="4" w:space="0" w:color="8EAADB" w:themeColor="accent1" w:themeTint="99"/>
        <w:insideH w:val="single" w:sz="4" w:space="0" w:color="8EAADB"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2">
    <w:name w:val="List Table 2"/>
    <w:basedOn w:val="a1"/>
    <w:uiPriority w:val="47"/>
    <w:rsid w:val="00953BBA"/>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
    <w:name w:val="List Table 4"/>
    <w:basedOn w:val="a1"/>
    <w:uiPriority w:val="49"/>
    <w:rsid w:val="00953BBA"/>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C7EDC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3">
    <w:name w:val="List Table 7 Colorful Accent 3"/>
    <w:basedOn w:val="a1"/>
    <w:uiPriority w:val="52"/>
    <w:rsid w:val="00953BBA"/>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C7EDCC"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C7EDC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C7EDCC"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C7EDCC"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1">
    <w:name w:val="Grid Table 4 Accent 1"/>
    <w:basedOn w:val="a1"/>
    <w:uiPriority w:val="49"/>
    <w:rsid w:val="00953BBA"/>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C7EDCC"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3Accent5">
    <w:name w:val="Grid Table 3 Accent 5"/>
    <w:basedOn w:val="a1"/>
    <w:uiPriority w:val="48"/>
    <w:rsid w:val="00953BBA"/>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C7EDCC" w:themeFill="background1"/>
      </w:tcPr>
    </w:tblStylePr>
    <w:tblStylePr w:type="lastRow">
      <w:rPr>
        <w:b/>
        <w:bCs/>
      </w:rPr>
      <w:tblPr/>
      <w:tcPr>
        <w:tcBorders>
          <w:left w:val="nil"/>
          <w:bottom w:val="nil"/>
          <w:right w:val="nil"/>
          <w:insideH w:val="nil"/>
          <w:insideV w:val="nil"/>
        </w:tcBorders>
        <w:shd w:val="clear" w:color="auto" w:fill="C7EDCC" w:themeFill="background1"/>
      </w:tcPr>
    </w:tblStylePr>
    <w:tblStylePr w:type="firstCol">
      <w:pPr>
        <w:jc w:val="right"/>
      </w:pPr>
      <w:rPr>
        <w:i/>
        <w:iCs/>
      </w:rPr>
      <w:tblPr/>
      <w:tcPr>
        <w:tcBorders>
          <w:top w:val="nil"/>
          <w:left w:val="nil"/>
          <w:bottom w:val="nil"/>
          <w:insideH w:val="nil"/>
          <w:insideV w:val="nil"/>
        </w:tcBorders>
        <w:shd w:val="clear" w:color="auto" w:fill="C7EDCC" w:themeFill="background1"/>
      </w:tcPr>
    </w:tblStylePr>
    <w:tblStylePr w:type="lastCol">
      <w:rPr>
        <w:i/>
        <w:iCs/>
      </w:rPr>
      <w:tblPr/>
      <w:tcPr>
        <w:tcBorders>
          <w:top w:val="nil"/>
          <w:bottom w:val="nil"/>
          <w:right w:val="nil"/>
          <w:insideH w:val="nil"/>
          <w:insideV w:val="nil"/>
        </w:tcBorders>
        <w:shd w:val="clear" w:color="auto" w:fill="C7EDCC"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PlainTable1">
    <w:name w:val="Plain Table 1"/>
    <w:basedOn w:val="a1"/>
    <w:uiPriority w:val="41"/>
    <w:rsid w:val="00953BBA"/>
    <w:tblPr>
      <w:tblStyleRowBandSize w:val="1"/>
      <w:tblStyleColBandSize w:val="1"/>
      <w:tblInd w:w="0" w:type="dxa"/>
      <w:tblBorders>
        <w:top w:val="single" w:sz="4" w:space="0" w:color="74D280" w:themeColor="background1" w:themeShade="BF"/>
        <w:left w:val="single" w:sz="4" w:space="0" w:color="74D280" w:themeColor="background1" w:themeShade="BF"/>
        <w:bottom w:val="single" w:sz="4" w:space="0" w:color="74D280" w:themeColor="background1" w:themeShade="BF"/>
        <w:right w:val="single" w:sz="4" w:space="0" w:color="74D280" w:themeColor="background1" w:themeShade="BF"/>
        <w:insideH w:val="single" w:sz="4" w:space="0" w:color="74D280" w:themeColor="background1" w:themeShade="BF"/>
        <w:insideV w:val="single" w:sz="4" w:space="0" w:color="74D280"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74D280" w:themeColor="background1" w:themeShade="BF"/>
        </w:tcBorders>
      </w:tcPr>
    </w:tblStylePr>
    <w:tblStylePr w:type="firstCol">
      <w:rPr>
        <w:b/>
        <w:bCs/>
      </w:rPr>
    </w:tblStylePr>
    <w:tblStylePr w:type="lastCol">
      <w:rPr>
        <w:b/>
        <w:bCs/>
      </w:rPr>
    </w:tblStylePr>
    <w:tblStylePr w:type="band1Vert">
      <w:tblPr/>
      <w:tcPr>
        <w:shd w:val="clear" w:color="auto" w:fill="B6E7BC" w:themeFill="background1" w:themeFillShade="F2"/>
      </w:tcPr>
    </w:tblStylePr>
    <w:tblStylePr w:type="band1Horz">
      <w:tblPr/>
      <w:tcPr>
        <w:shd w:val="clear" w:color="auto" w:fill="B6E7BC" w:themeFill="background1" w:themeFillShade="F2"/>
      </w:tcPr>
    </w:tblStylePr>
  </w:style>
  <w:style w:type="table" w:customStyle="1" w:styleId="GridTableLight">
    <w:name w:val="Grid Table Light"/>
    <w:basedOn w:val="a1"/>
    <w:uiPriority w:val="40"/>
    <w:rsid w:val="00953BBA"/>
    <w:tblPr>
      <w:tblInd w:w="0" w:type="dxa"/>
      <w:tblBorders>
        <w:top w:val="single" w:sz="4" w:space="0" w:color="74D280" w:themeColor="background1" w:themeShade="BF"/>
        <w:left w:val="single" w:sz="4" w:space="0" w:color="74D280" w:themeColor="background1" w:themeShade="BF"/>
        <w:bottom w:val="single" w:sz="4" w:space="0" w:color="74D280" w:themeColor="background1" w:themeShade="BF"/>
        <w:right w:val="single" w:sz="4" w:space="0" w:color="74D280" w:themeColor="background1" w:themeShade="BF"/>
        <w:insideH w:val="single" w:sz="4" w:space="0" w:color="74D280" w:themeColor="background1" w:themeShade="BF"/>
        <w:insideV w:val="single" w:sz="4" w:space="0" w:color="74D280" w:themeColor="background1" w:themeShade="BF"/>
      </w:tblBorders>
      <w:tblCellMar>
        <w:top w:w="0" w:type="dxa"/>
        <w:left w:w="108" w:type="dxa"/>
        <w:bottom w:w="0" w:type="dxa"/>
        <w:right w:w="108" w:type="dxa"/>
      </w:tblCellMar>
    </w:tblPr>
  </w:style>
  <w:style w:type="table" w:customStyle="1" w:styleId="PlainTable3">
    <w:name w:val="Plain Table 3"/>
    <w:basedOn w:val="a1"/>
    <w:uiPriority w:val="43"/>
    <w:rsid w:val="00953BBA"/>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B6E7BC" w:themeFill="background1" w:themeFillShade="F2"/>
      </w:tcPr>
    </w:tblStylePr>
    <w:tblStylePr w:type="band1Horz">
      <w:tblPr/>
      <w:tcPr>
        <w:shd w:val="clear" w:color="auto" w:fill="B6E7BC"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a1"/>
    <w:uiPriority w:val="45"/>
    <w:rsid w:val="00953BBA"/>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C7EDC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C7EDC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C7EDC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C7EDCC" w:themeFill="background1"/>
      </w:tcPr>
    </w:tblStylePr>
    <w:tblStylePr w:type="band1Vert">
      <w:tblPr/>
      <w:tcPr>
        <w:shd w:val="clear" w:color="auto" w:fill="B6E7BC" w:themeFill="background1" w:themeFillShade="F2"/>
      </w:tcPr>
    </w:tblStylePr>
    <w:tblStylePr w:type="band1Horz">
      <w:tblPr/>
      <w:tcPr>
        <w:shd w:val="clear" w:color="auto" w:fill="B6E7BC"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a1"/>
    <w:uiPriority w:val="46"/>
    <w:rsid w:val="00953BBA"/>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a1"/>
    <w:uiPriority w:val="46"/>
    <w:rsid w:val="00953BBA"/>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leNormal1">
    <w:name w:val="Table Normal1"/>
    <w:uiPriority w:val="2"/>
    <w:semiHidden/>
    <w:unhideWhenUsed/>
    <w:qFormat/>
    <w:rsid w:val="0045614B"/>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5614B"/>
    <w:pPr>
      <w:widowControl w:val="0"/>
      <w:autoSpaceDE w:val="0"/>
      <w:autoSpaceDN w:val="0"/>
      <w:spacing w:line="160" w:lineRule="exact"/>
    </w:pPr>
    <w:rPr>
      <w:rFonts w:ascii="Arial" w:eastAsia="Arial" w:hAnsi="Arial" w:cs="Arial"/>
      <w:sz w:val="22"/>
      <w:szCs w:val="22"/>
      <w:lang w:val="en-US" w:eastAsia="en-US"/>
    </w:rPr>
  </w:style>
  <w:style w:type="character" w:customStyle="1" w:styleId="Nenhum">
    <w:name w:val="Nenhum"/>
    <w:rsid w:val="00505440"/>
  </w:style>
  <w:style w:type="paragraph" w:styleId="aa">
    <w:name w:val="footnote text"/>
    <w:basedOn w:val="a"/>
    <w:link w:val="Char2"/>
    <w:uiPriority w:val="99"/>
    <w:semiHidden/>
    <w:unhideWhenUsed/>
    <w:rsid w:val="001D2AD8"/>
    <w:rPr>
      <w:rFonts w:asciiTheme="minorHAnsi" w:eastAsiaTheme="minorHAnsi" w:hAnsiTheme="minorHAnsi" w:cstheme="minorBidi"/>
      <w:sz w:val="20"/>
      <w:szCs w:val="20"/>
      <w:lang w:eastAsia="en-US"/>
    </w:rPr>
  </w:style>
  <w:style w:type="character" w:customStyle="1" w:styleId="Char2">
    <w:name w:val="脚注文本 Char"/>
    <w:basedOn w:val="a0"/>
    <w:link w:val="aa"/>
    <w:uiPriority w:val="99"/>
    <w:semiHidden/>
    <w:rsid w:val="001D2AD8"/>
    <w:rPr>
      <w:sz w:val="20"/>
      <w:szCs w:val="20"/>
    </w:rPr>
  </w:style>
  <w:style w:type="character" w:styleId="ab">
    <w:name w:val="footnote reference"/>
    <w:basedOn w:val="a0"/>
    <w:uiPriority w:val="99"/>
    <w:semiHidden/>
    <w:unhideWhenUsed/>
    <w:rsid w:val="001D2AD8"/>
    <w:rPr>
      <w:vertAlign w:val="superscript"/>
    </w:rPr>
  </w:style>
  <w:style w:type="paragraph" w:styleId="ac">
    <w:name w:val="footer"/>
    <w:basedOn w:val="a"/>
    <w:link w:val="Char3"/>
    <w:uiPriority w:val="99"/>
    <w:unhideWhenUsed/>
    <w:rsid w:val="004D43BF"/>
    <w:pPr>
      <w:tabs>
        <w:tab w:val="center" w:pos="4252"/>
        <w:tab w:val="right" w:pos="8504"/>
      </w:tabs>
    </w:pPr>
    <w:rPr>
      <w:rFonts w:asciiTheme="minorHAnsi" w:eastAsiaTheme="minorHAnsi" w:hAnsiTheme="minorHAnsi" w:cstheme="minorBidi"/>
      <w:lang w:eastAsia="en-US"/>
    </w:rPr>
  </w:style>
  <w:style w:type="character" w:customStyle="1" w:styleId="Char3">
    <w:name w:val="页脚 Char"/>
    <w:basedOn w:val="a0"/>
    <w:link w:val="ac"/>
    <w:uiPriority w:val="99"/>
    <w:rsid w:val="004D43BF"/>
  </w:style>
  <w:style w:type="character" w:styleId="ad">
    <w:name w:val="page number"/>
    <w:basedOn w:val="a0"/>
    <w:uiPriority w:val="99"/>
    <w:semiHidden/>
    <w:unhideWhenUsed/>
    <w:rsid w:val="004D43BF"/>
  </w:style>
  <w:style w:type="character" w:customStyle="1" w:styleId="highlight">
    <w:name w:val="highlight"/>
    <w:basedOn w:val="a0"/>
    <w:rsid w:val="00975999"/>
  </w:style>
  <w:style w:type="character" w:customStyle="1" w:styleId="UnresolvedMention">
    <w:name w:val="Unresolved Mention"/>
    <w:basedOn w:val="a0"/>
    <w:uiPriority w:val="99"/>
    <w:rsid w:val="00975999"/>
    <w:rPr>
      <w:color w:val="605E5C"/>
      <w:shd w:val="clear" w:color="auto" w:fill="E1DFDD"/>
    </w:rPr>
  </w:style>
  <w:style w:type="character" w:styleId="HTML">
    <w:name w:val="HTML Cite"/>
    <w:basedOn w:val="a0"/>
    <w:uiPriority w:val="99"/>
    <w:semiHidden/>
    <w:unhideWhenUsed/>
    <w:rsid w:val="007237E8"/>
    <w:rPr>
      <w:i/>
      <w:iCs/>
    </w:rPr>
  </w:style>
  <w:style w:type="character" w:styleId="ae">
    <w:name w:val="FollowedHyperlink"/>
    <w:basedOn w:val="a0"/>
    <w:uiPriority w:val="99"/>
    <w:semiHidden/>
    <w:unhideWhenUsed/>
    <w:rsid w:val="00436CE3"/>
    <w:rPr>
      <w:color w:val="954F72" w:themeColor="followedHyperlink"/>
      <w:u w:val="single"/>
    </w:rPr>
  </w:style>
  <w:style w:type="paragraph" w:styleId="af">
    <w:name w:val="Normal (Web)"/>
    <w:basedOn w:val="a"/>
    <w:uiPriority w:val="99"/>
    <w:semiHidden/>
    <w:unhideWhenUsed/>
    <w:rsid w:val="004E3379"/>
    <w:pPr>
      <w:spacing w:before="100" w:beforeAutospacing="1" w:after="100" w:afterAutospacing="1"/>
    </w:pPr>
  </w:style>
  <w:style w:type="paragraph" w:customStyle="1" w:styleId="Default">
    <w:name w:val="Default"/>
    <w:rsid w:val="004E3379"/>
    <w:pPr>
      <w:autoSpaceDE w:val="0"/>
      <w:autoSpaceDN w:val="0"/>
      <w:adjustRightInd w:val="0"/>
    </w:pPr>
    <w:rPr>
      <w:rFonts w:ascii="Times New Roman" w:hAnsi="Times New Roman" w:cs="Times New Roman"/>
      <w:color w:val="000000"/>
    </w:rPr>
  </w:style>
  <w:style w:type="character" w:customStyle="1" w:styleId="A13">
    <w:name w:val="A13"/>
    <w:uiPriority w:val="99"/>
    <w:rsid w:val="004E3379"/>
    <w:rPr>
      <w:color w:val="211D1E"/>
      <w:sz w:val="14"/>
      <w:szCs w:val="14"/>
    </w:rPr>
  </w:style>
  <w:style w:type="paragraph" w:customStyle="1" w:styleId="nova-e-listitem">
    <w:name w:val="nova-e-list__item"/>
    <w:basedOn w:val="a"/>
    <w:rsid w:val="004E3379"/>
    <w:pPr>
      <w:spacing w:before="100" w:beforeAutospacing="1" w:after="100" w:afterAutospacing="1"/>
    </w:pPr>
  </w:style>
  <w:style w:type="character" w:customStyle="1" w:styleId="ref-journal">
    <w:name w:val="ref-journal"/>
    <w:basedOn w:val="a0"/>
    <w:rsid w:val="00F2644D"/>
  </w:style>
  <w:style w:type="character" w:customStyle="1" w:styleId="ref-vol">
    <w:name w:val="ref-vol"/>
    <w:basedOn w:val="a0"/>
    <w:rsid w:val="00F2644D"/>
  </w:style>
  <w:style w:type="paragraph" w:styleId="af0">
    <w:name w:val="header"/>
    <w:basedOn w:val="a"/>
    <w:link w:val="Char4"/>
    <w:uiPriority w:val="99"/>
    <w:unhideWhenUsed/>
    <w:rsid w:val="000B1DF9"/>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f0"/>
    <w:uiPriority w:val="99"/>
    <w:rsid w:val="000B1DF9"/>
    <w:rPr>
      <w:rFonts w:ascii="Times New Roman" w:eastAsia="Times New Roman" w:hAnsi="Times New Roman" w:cs="Times New Roman"/>
      <w:sz w:val="18"/>
      <w:szCs w:val="18"/>
      <w:lang w:eastAsia="pt-BR"/>
    </w:rPr>
  </w:style>
  <w:style w:type="paragraph" w:styleId="af1">
    <w:name w:val="annotation subject"/>
    <w:basedOn w:val="a7"/>
    <w:next w:val="a7"/>
    <w:link w:val="Char5"/>
    <w:uiPriority w:val="99"/>
    <w:semiHidden/>
    <w:unhideWhenUsed/>
    <w:rsid w:val="000B1DF9"/>
    <w:rPr>
      <w:b/>
      <w:bCs/>
      <w:sz w:val="24"/>
      <w:szCs w:val="24"/>
    </w:rPr>
  </w:style>
  <w:style w:type="character" w:customStyle="1" w:styleId="Char5">
    <w:name w:val="批注主题 Char"/>
    <w:basedOn w:val="Char0"/>
    <w:link w:val="af1"/>
    <w:uiPriority w:val="99"/>
    <w:semiHidden/>
    <w:rsid w:val="000B1DF9"/>
    <w:rPr>
      <w:rFonts w:ascii="Times New Roman" w:eastAsia="Times New Roman" w:hAnsi="Times New Roman" w:cs="Times New Roman"/>
      <w:b/>
      <w:bCs/>
      <w:sz w:val="20"/>
      <w:szCs w:val="20"/>
      <w:lang w:eastAsia="pt-BR"/>
    </w:rPr>
  </w:style>
  <w:style w:type="character" w:customStyle="1" w:styleId="10">
    <w:name w:val="批注文字 字符1"/>
    <w:basedOn w:val="a0"/>
    <w:uiPriority w:val="99"/>
    <w:qFormat/>
    <w:rsid w:val="000B1DF9"/>
    <w:rPr>
      <w:rFonts w:eastAsiaTheme="minorEastAsia"/>
      <w:kern w:val="2"/>
      <w:sz w:val="21"/>
    </w:rPr>
  </w:style>
  <w:style w:type="character" w:customStyle="1" w:styleId="publisherid">
    <w:name w:val="publisherid"/>
    <w:basedOn w:val="a0"/>
    <w:rsid w:val="000B1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3020">
      <w:bodyDiv w:val="1"/>
      <w:marLeft w:val="0"/>
      <w:marRight w:val="0"/>
      <w:marTop w:val="0"/>
      <w:marBottom w:val="0"/>
      <w:divBdr>
        <w:top w:val="none" w:sz="0" w:space="0" w:color="auto"/>
        <w:left w:val="none" w:sz="0" w:space="0" w:color="auto"/>
        <w:bottom w:val="none" w:sz="0" w:space="0" w:color="auto"/>
        <w:right w:val="none" w:sz="0" w:space="0" w:color="auto"/>
      </w:divBdr>
      <w:divsChild>
        <w:div w:id="744955472">
          <w:marLeft w:val="0"/>
          <w:marRight w:val="0"/>
          <w:marTop w:val="0"/>
          <w:marBottom w:val="0"/>
          <w:divBdr>
            <w:top w:val="none" w:sz="0" w:space="0" w:color="auto"/>
            <w:left w:val="none" w:sz="0" w:space="0" w:color="auto"/>
            <w:bottom w:val="none" w:sz="0" w:space="0" w:color="auto"/>
            <w:right w:val="none" w:sz="0" w:space="0" w:color="auto"/>
          </w:divBdr>
        </w:div>
      </w:divsChild>
    </w:div>
    <w:div w:id="10887076">
      <w:bodyDiv w:val="1"/>
      <w:marLeft w:val="0"/>
      <w:marRight w:val="0"/>
      <w:marTop w:val="0"/>
      <w:marBottom w:val="0"/>
      <w:divBdr>
        <w:top w:val="none" w:sz="0" w:space="0" w:color="auto"/>
        <w:left w:val="none" w:sz="0" w:space="0" w:color="auto"/>
        <w:bottom w:val="none" w:sz="0" w:space="0" w:color="auto"/>
        <w:right w:val="none" w:sz="0" w:space="0" w:color="auto"/>
      </w:divBdr>
      <w:divsChild>
        <w:div w:id="2124104348">
          <w:marLeft w:val="0"/>
          <w:marRight w:val="0"/>
          <w:marTop w:val="0"/>
          <w:marBottom w:val="0"/>
          <w:divBdr>
            <w:top w:val="none" w:sz="0" w:space="0" w:color="auto"/>
            <w:left w:val="none" w:sz="0" w:space="0" w:color="auto"/>
            <w:bottom w:val="none" w:sz="0" w:space="0" w:color="auto"/>
            <w:right w:val="none" w:sz="0" w:space="0" w:color="auto"/>
          </w:divBdr>
        </w:div>
      </w:divsChild>
    </w:div>
    <w:div w:id="12652662">
      <w:bodyDiv w:val="1"/>
      <w:marLeft w:val="0"/>
      <w:marRight w:val="0"/>
      <w:marTop w:val="0"/>
      <w:marBottom w:val="0"/>
      <w:divBdr>
        <w:top w:val="none" w:sz="0" w:space="0" w:color="auto"/>
        <w:left w:val="none" w:sz="0" w:space="0" w:color="auto"/>
        <w:bottom w:val="none" w:sz="0" w:space="0" w:color="auto"/>
        <w:right w:val="none" w:sz="0" w:space="0" w:color="auto"/>
      </w:divBdr>
      <w:divsChild>
        <w:div w:id="367027691">
          <w:marLeft w:val="0"/>
          <w:marRight w:val="0"/>
          <w:marTop w:val="0"/>
          <w:marBottom w:val="0"/>
          <w:divBdr>
            <w:top w:val="none" w:sz="0" w:space="0" w:color="auto"/>
            <w:left w:val="none" w:sz="0" w:space="0" w:color="auto"/>
            <w:bottom w:val="none" w:sz="0" w:space="0" w:color="auto"/>
            <w:right w:val="none" w:sz="0" w:space="0" w:color="auto"/>
          </w:divBdr>
        </w:div>
      </w:divsChild>
    </w:div>
    <w:div w:id="27143044">
      <w:bodyDiv w:val="1"/>
      <w:marLeft w:val="0"/>
      <w:marRight w:val="0"/>
      <w:marTop w:val="0"/>
      <w:marBottom w:val="0"/>
      <w:divBdr>
        <w:top w:val="none" w:sz="0" w:space="0" w:color="auto"/>
        <w:left w:val="none" w:sz="0" w:space="0" w:color="auto"/>
        <w:bottom w:val="none" w:sz="0" w:space="0" w:color="auto"/>
        <w:right w:val="none" w:sz="0" w:space="0" w:color="auto"/>
      </w:divBdr>
      <w:divsChild>
        <w:div w:id="1190148604">
          <w:marLeft w:val="0"/>
          <w:marRight w:val="0"/>
          <w:marTop w:val="0"/>
          <w:marBottom w:val="0"/>
          <w:divBdr>
            <w:top w:val="none" w:sz="0" w:space="0" w:color="auto"/>
            <w:left w:val="none" w:sz="0" w:space="0" w:color="auto"/>
            <w:bottom w:val="none" w:sz="0" w:space="0" w:color="auto"/>
            <w:right w:val="none" w:sz="0" w:space="0" w:color="auto"/>
          </w:divBdr>
        </w:div>
      </w:divsChild>
    </w:div>
    <w:div w:id="40835455">
      <w:bodyDiv w:val="1"/>
      <w:marLeft w:val="0"/>
      <w:marRight w:val="0"/>
      <w:marTop w:val="0"/>
      <w:marBottom w:val="0"/>
      <w:divBdr>
        <w:top w:val="none" w:sz="0" w:space="0" w:color="auto"/>
        <w:left w:val="none" w:sz="0" w:space="0" w:color="auto"/>
        <w:bottom w:val="none" w:sz="0" w:space="0" w:color="auto"/>
        <w:right w:val="none" w:sz="0" w:space="0" w:color="auto"/>
      </w:divBdr>
      <w:divsChild>
        <w:div w:id="1358965076">
          <w:marLeft w:val="0"/>
          <w:marRight w:val="0"/>
          <w:marTop w:val="0"/>
          <w:marBottom w:val="0"/>
          <w:divBdr>
            <w:top w:val="none" w:sz="0" w:space="0" w:color="auto"/>
            <w:left w:val="none" w:sz="0" w:space="0" w:color="auto"/>
            <w:bottom w:val="none" w:sz="0" w:space="0" w:color="auto"/>
            <w:right w:val="none" w:sz="0" w:space="0" w:color="auto"/>
          </w:divBdr>
        </w:div>
      </w:divsChild>
    </w:div>
    <w:div w:id="47996736">
      <w:bodyDiv w:val="1"/>
      <w:marLeft w:val="0"/>
      <w:marRight w:val="0"/>
      <w:marTop w:val="0"/>
      <w:marBottom w:val="0"/>
      <w:divBdr>
        <w:top w:val="none" w:sz="0" w:space="0" w:color="auto"/>
        <w:left w:val="none" w:sz="0" w:space="0" w:color="auto"/>
        <w:bottom w:val="none" w:sz="0" w:space="0" w:color="auto"/>
        <w:right w:val="none" w:sz="0" w:space="0" w:color="auto"/>
      </w:divBdr>
    </w:div>
    <w:div w:id="66269010">
      <w:bodyDiv w:val="1"/>
      <w:marLeft w:val="0"/>
      <w:marRight w:val="0"/>
      <w:marTop w:val="0"/>
      <w:marBottom w:val="0"/>
      <w:divBdr>
        <w:top w:val="none" w:sz="0" w:space="0" w:color="auto"/>
        <w:left w:val="none" w:sz="0" w:space="0" w:color="auto"/>
        <w:bottom w:val="none" w:sz="0" w:space="0" w:color="auto"/>
        <w:right w:val="none" w:sz="0" w:space="0" w:color="auto"/>
      </w:divBdr>
    </w:div>
    <w:div w:id="68582229">
      <w:bodyDiv w:val="1"/>
      <w:marLeft w:val="0"/>
      <w:marRight w:val="0"/>
      <w:marTop w:val="0"/>
      <w:marBottom w:val="0"/>
      <w:divBdr>
        <w:top w:val="none" w:sz="0" w:space="0" w:color="auto"/>
        <w:left w:val="none" w:sz="0" w:space="0" w:color="auto"/>
        <w:bottom w:val="none" w:sz="0" w:space="0" w:color="auto"/>
        <w:right w:val="none" w:sz="0" w:space="0" w:color="auto"/>
      </w:divBdr>
      <w:divsChild>
        <w:div w:id="248000609">
          <w:marLeft w:val="0"/>
          <w:marRight w:val="0"/>
          <w:marTop w:val="0"/>
          <w:marBottom w:val="0"/>
          <w:divBdr>
            <w:top w:val="none" w:sz="0" w:space="0" w:color="auto"/>
            <w:left w:val="none" w:sz="0" w:space="0" w:color="auto"/>
            <w:bottom w:val="none" w:sz="0" w:space="0" w:color="auto"/>
            <w:right w:val="none" w:sz="0" w:space="0" w:color="auto"/>
          </w:divBdr>
        </w:div>
      </w:divsChild>
    </w:div>
    <w:div w:id="69810060">
      <w:bodyDiv w:val="1"/>
      <w:marLeft w:val="0"/>
      <w:marRight w:val="0"/>
      <w:marTop w:val="0"/>
      <w:marBottom w:val="0"/>
      <w:divBdr>
        <w:top w:val="none" w:sz="0" w:space="0" w:color="auto"/>
        <w:left w:val="none" w:sz="0" w:space="0" w:color="auto"/>
        <w:bottom w:val="none" w:sz="0" w:space="0" w:color="auto"/>
        <w:right w:val="none" w:sz="0" w:space="0" w:color="auto"/>
      </w:divBdr>
      <w:divsChild>
        <w:div w:id="807283945">
          <w:marLeft w:val="0"/>
          <w:marRight w:val="0"/>
          <w:marTop w:val="0"/>
          <w:marBottom w:val="0"/>
          <w:divBdr>
            <w:top w:val="none" w:sz="0" w:space="0" w:color="auto"/>
            <w:left w:val="none" w:sz="0" w:space="0" w:color="auto"/>
            <w:bottom w:val="none" w:sz="0" w:space="0" w:color="auto"/>
            <w:right w:val="none" w:sz="0" w:space="0" w:color="auto"/>
          </w:divBdr>
        </w:div>
      </w:divsChild>
    </w:div>
    <w:div w:id="74327282">
      <w:bodyDiv w:val="1"/>
      <w:marLeft w:val="0"/>
      <w:marRight w:val="0"/>
      <w:marTop w:val="0"/>
      <w:marBottom w:val="0"/>
      <w:divBdr>
        <w:top w:val="none" w:sz="0" w:space="0" w:color="auto"/>
        <w:left w:val="none" w:sz="0" w:space="0" w:color="auto"/>
        <w:bottom w:val="none" w:sz="0" w:space="0" w:color="auto"/>
        <w:right w:val="none" w:sz="0" w:space="0" w:color="auto"/>
      </w:divBdr>
      <w:divsChild>
        <w:div w:id="572468684">
          <w:marLeft w:val="0"/>
          <w:marRight w:val="0"/>
          <w:marTop w:val="0"/>
          <w:marBottom w:val="0"/>
          <w:divBdr>
            <w:top w:val="none" w:sz="0" w:space="0" w:color="auto"/>
            <w:left w:val="none" w:sz="0" w:space="0" w:color="auto"/>
            <w:bottom w:val="none" w:sz="0" w:space="0" w:color="auto"/>
            <w:right w:val="none" w:sz="0" w:space="0" w:color="auto"/>
          </w:divBdr>
        </w:div>
      </w:divsChild>
    </w:div>
    <w:div w:id="74712035">
      <w:bodyDiv w:val="1"/>
      <w:marLeft w:val="0"/>
      <w:marRight w:val="0"/>
      <w:marTop w:val="0"/>
      <w:marBottom w:val="0"/>
      <w:divBdr>
        <w:top w:val="none" w:sz="0" w:space="0" w:color="auto"/>
        <w:left w:val="none" w:sz="0" w:space="0" w:color="auto"/>
        <w:bottom w:val="none" w:sz="0" w:space="0" w:color="auto"/>
        <w:right w:val="none" w:sz="0" w:space="0" w:color="auto"/>
      </w:divBdr>
      <w:divsChild>
        <w:div w:id="2003926599">
          <w:marLeft w:val="0"/>
          <w:marRight w:val="0"/>
          <w:marTop w:val="0"/>
          <w:marBottom w:val="0"/>
          <w:divBdr>
            <w:top w:val="none" w:sz="0" w:space="0" w:color="auto"/>
            <w:left w:val="none" w:sz="0" w:space="0" w:color="auto"/>
            <w:bottom w:val="none" w:sz="0" w:space="0" w:color="auto"/>
            <w:right w:val="none" w:sz="0" w:space="0" w:color="auto"/>
          </w:divBdr>
        </w:div>
      </w:divsChild>
    </w:div>
    <w:div w:id="78453096">
      <w:bodyDiv w:val="1"/>
      <w:marLeft w:val="0"/>
      <w:marRight w:val="0"/>
      <w:marTop w:val="0"/>
      <w:marBottom w:val="0"/>
      <w:divBdr>
        <w:top w:val="none" w:sz="0" w:space="0" w:color="auto"/>
        <w:left w:val="none" w:sz="0" w:space="0" w:color="auto"/>
        <w:bottom w:val="none" w:sz="0" w:space="0" w:color="auto"/>
        <w:right w:val="none" w:sz="0" w:space="0" w:color="auto"/>
      </w:divBdr>
      <w:divsChild>
        <w:div w:id="534847690">
          <w:marLeft w:val="0"/>
          <w:marRight w:val="0"/>
          <w:marTop w:val="0"/>
          <w:marBottom w:val="0"/>
          <w:divBdr>
            <w:top w:val="none" w:sz="0" w:space="0" w:color="auto"/>
            <w:left w:val="none" w:sz="0" w:space="0" w:color="auto"/>
            <w:bottom w:val="none" w:sz="0" w:space="0" w:color="auto"/>
            <w:right w:val="none" w:sz="0" w:space="0" w:color="auto"/>
          </w:divBdr>
        </w:div>
      </w:divsChild>
    </w:div>
    <w:div w:id="79721257">
      <w:bodyDiv w:val="1"/>
      <w:marLeft w:val="0"/>
      <w:marRight w:val="0"/>
      <w:marTop w:val="0"/>
      <w:marBottom w:val="0"/>
      <w:divBdr>
        <w:top w:val="none" w:sz="0" w:space="0" w:color="auto"/>
        <w:left w:val="none" w:sz="0" w:space="0" w:color="auto"/>
        <w:bottom w:val="none" w:sz="0" w:space="0" w:color="auto"/>
        <w:right w:val="none" w:sz="0" w:space="0" w:color="auto"/>
      </w:divBdr>
    </w:div>
    <w:div w:id="109398169">
      <w:bodyDiv w:val="1"/>
      <w:marLeft w:val="0"/>
      <w:marRight w:val="0"/>
      <w:marTop w:val="0"/>
      <w:marBottom w:val="0"/>
      <w:divBdr>
        <w:top w:val="none" w:sz="0" w:space="0" w:color="auto"/>
        <w:left w:val="none" w:sz="0" w:space="0" w:color="auto"/>
        <w:bottom w:val="none" w:sz="0" w:space="0" w:color="auto"/>
        <w:right w:val="none" w:sz="0" w:space="0" w:color="auto"/>
      </w:divBdr>
      <w:divsChild>
        <w:div w:id="834952258">
          <w:marLeft w:val="0"/>
          <w:marRight w:val="0"/>
          <w:marTop w:val="0"/>
          <w:marBottom w:val="0"/>
          <w:divBdr>
            <w:top w:val="none" w:sz="0" w:space="0" w:color="auto"/>
            <w:left w:val="none" w:sz="0" w:space="0" w:color="auto"/>
            <w:bottom w:val="none" w:sz="0" w:space="0" w:color="auto"/>
            <w:right w:val="none" w:sz="0" w:space="0" w:color="auto"/>
          </w:divBdr>
        </w:div>
      </w:divsChild>
    </w:div>
    <w:div w:id="126242674">
      <w:bodyDiv w:val="1"/>
      <w:marLeft w:val="0"/>
      <w:marRight w:val="0"/>
      <w:marTop w:val="0"/>
      <w:marBottom w:val="0"/>
      <w:divBdr>
        <w:top w:val="none" w:sz="0" w:space="0" w:color="auto"/>
        <w:left w:val="none" w:sz="0" w:space="0" w:color="auto"/>
        <w:bottom w:val="none" w:sz="0" w:space="0" w:color="auto"/>
        <w:right w:val="none" w:sz="0" w:space="0" w:color="auto"/>
      </w:divBdr>
      <w:divsChild>
        <w:div w:id="641734364">
          <w:marLeft w:val="0"/>
          <w:marRight w:val="0"/>
          <w:marTop w:val="0"/>
          <w:marBottom w:val="0"/>
          <w:divBdr>
            <w:top w:val="none" w:sz="0" w:space="0" w:color="auto"/>
            <w:left w:val="none" w:sz="0" w:space="0" w:color="auto"/>
            <w:bottom w:val="none" w:sz="0" w:space="0" w:color="auto"/>
            <w:right w:val="none" w:sz="0" w:space="0" w:color="auto"/>
          </w:divBdr>
        </w:div>
      </w:divsChild>
    </w:div>
    <w:div w:id="132449130">
      <w:bodyDiv w:val="1"/>
      <w:marLeft w:val="0"/>
      <w:marRight w:val="0"/>
      <w:marTop w:val="0"/>
      <w:marBottom w:val="0"/>
      <w:divBdr>
        <w:top w:val="none" w:sz="0" w:space="0" w:color="auto"/>
        <w:left w:val="none" w:sz="0" w:space="0" w:color="auto"/>
        <w:bottom w:val="none" w:sz="0" w:space="0" w:color="auto"/>
        <w:right w:val="none" w:sz="0" w:space="0" w:color="auto"/>
      </w:divBdr>
      <w:divsChild>
        <w:div w:id="1242905995">
          <w:marLeft w:val="0"/>
          <w:marRight w:val="0"/>
          <w:marTop w:val="0"/>
          <w:marBottom w:val="0"/>
          <w:divBdr>
            <w:top w:val="none" w:sz="0" w:space="0" w:color="auto"/>
            <w:left w:val="none" w:sz="0" w:space="0" w:color="auto"/>
            <w:bottom w:val="none" w:sz="0" w:space="0" w:color="auto"/>
            <w:right w:val="none" w:sz="0" w:space="0" w:color="auto"/>
          </w:divBdr>
        </w:div>
      </w:divsChild>
    </w:div>
    <w:div w:id="135224902">
      <w:bodyDiv w:val="1"/>
      <w:marLeft w:val="0"/>
      <w:marRight w:val="0"/>
      <w:marTop w:val="0"/>
      <w:marBottom w:val="0"/>
      <w:divBdr>
        <w:top w:val="none" w:sz="0" w:space="0" w:color="auto"/>
        <w:left w:val="none" w:sz="0" w:space="0" w:color="auto"/>
        <w:bottom w:val="none" w:sz="0" w:space="0" w:color="auto"/>
        <w:right w:val="none" w:sz="0" w:space="0" w:color="auto"/>
      </w:divBdr>
      <w:divsChild>
        <w:div w:id="1860390197">
          <w:marLeft w:val="0"/>
          <w:marRight w:val="0"/>
          <w:marTop w:val="0"/>
          <w:marBottom w:val="0"/>
          <w:divBdr>
            <w:top w:val="none" w:sz="0" w:space="0" w:color="auto"/>
            <w:left w:val="none" w:sz="0" w:space="0" w:color="auto"/>
            <w:bottom w:val="none" w:sz="0" w:space="0" w:color="auto"/>
            <w:right w:val="none" w:sz="0" w:space="0" w:color="auto"/>
          </w:divBdr>
        </w:div>
      </w:divsChild>
    </w:div>
    <w:div w:id="147405960">
      <w:bodyDiv w:val="1"/>
      <w:marLeft w:val="0"/>
      <w:marRight w:val="0"/>
      <w:marTop w:val="0"/>
      <w:marBottom w:val="0"/>
      <w:divBdr>
        <w:top w:val="none" w:sz="0" w:space="0" w:color="auto"/>
        <w:left w:val="none" w:sz="0" w:space="0" w:color="auto"/>
        <w:bottom w:val="none" w:sz="0" w:space="0" w:color="auto"/>
        <w:right w:val="none" w:sz="0" w:space="0" w:color="auto"/>
      </w:divBdr>
    </w:div>
    <w:div w:id="147868830">
      <w:bodyDiv w:val="1"/>
      <w:marLeft w:val="0"/>
      <w:marRight w:val="0"/>
      <w:marTop w:val="0"/>
      <w:marBottom w:val="0"/>
      <w:divBdr>
        <w:top w:val="none" w:sz="0" w:space="0" w:color="auto"/>
        <w:left w:val="none" w:sz="0" w:space="0" w:color="auto"/>
        <w:bottom w:val="none" w:sz="0" w:space="0" w:color="auto"/>
        <w:right w:val="none" w:sz="0" w:space="0" w:color="auto"/>
      </w:divBdr>
      <w:divsChild>
        <w:div w:id="461968903">
          <w:marLeft w:val="0"/>
          <w:marRight w:val="0"/>
          <w:marTop w:val="0"/>
          <w:marBottom w:val="0"/>
          <w:divBdr>
            <w:top w:val="none" w:sz="0" w:space="0" w:color="auto"/>
            <w:left w:val="none" w:sz="0" w:space="0" w:color="auto"/>
            <w:bottom w:val="none" w:sz="0" w:space="0" w:color="auto"/>
            <w:right w:val="none" w:sz="0" w:space="0" w:color="auto"/>
          </w:divBdr>
        </w:div>
      </w:divsChild>
    </w:div>
    <w:div w:id="190071229">
      <w:bodyDiv w:val="1"/>
      <w:marLeft w:val="0"/>
      <w:marRight w:val="0"/>
      <w:marTop w:val="0"/>
      <w:marBottom w:val="0"/>
      <w:divBdr>
        <w:top w:val="none" w:sz="0" w:space="0" w:color="auto"/>
        <w:left w:val="none" w:sz="0" w:space="0" w:color="auto"/>
        <w:bottom w:val="none" w:sz="0" w:space="0" w:color="auto"/>
        <w:right w:val="none" w:sz="0" w:space="0" w:color="auto"/>
      </w:divBdr>
      <w:divsChild>
        <w:div w:id="345517730">
          <w:marLeft w:val="0"/>
          <w:marRight w:val="0"/>
          <w:marTop w:val="0"/>
          <w:marBottom w:val="0"/>
          <w:divBdr>
            <w:top w:val="none" w:sz="0" w:space="0" w:color="auto"/>
            <w:left w:val="none" w:sz="0" w:space="0" w:color="auto"/>
            <w:bottom w:val="none" w:sz="0" w:space="0" w:color="auto"/>
            <w:right w:val="none" w:sz="0" w:space="0" w:color="auto"/>
          </w:divBdr>
        </w:div>
      </w:divsChild>
    </w:div>
    <w:div w:id="206843272">
      <w:bodyDiv w:val="1"/>
      <w:marLeft w:val="0"/>
      <w:marRight w:val="0"/>
      <w:marTop w:val="0"/>
      <w:marBottom w:val="0"/>
      <w:divBdr>
        <w:top w:val="none" w:sz="0" w:space="0" w:color="auto"/>
        <w:left w:val="none" w:sz="0" w:space="0" w:color="auto"/>
        <w:bottom w:val="none" w:sz="0" w:space="0" w:color="auto"/>
        <w:right w:val="none" w:sz="0" w:space="0" w:color="auto"/>
      </w:divBdr>
    </w:div>
    <w:div w:id="211428587">
      <w:bodyDiv w:val="1"/>
      <w:marLeft w:val="0"/>
      <w:marRight w:val="0"/>
      <w:marTop w:val="0"/>
      <w:marBottom w:val="0"/>
      <w:divBdr>
        <w:top w:val="none" w:sz="0" w:space="0" w:color="auto"/>
        <w:left w:val="none" w:sz="0" w:space="0" w:color="auto"/>
        <w:bottom w:val="none" w:sz="0" w:space="0" w:color="auto"/>
        <w:right w:val="none" w:sz="0" w:space="0" w:color="auto"/>
      </w:divBdr>
      <w:divsChild>
        <w:div w:id="363136474">
          <w:marLeft w:val="0"/>
          <w:marRight w:val="0"/>
          <w:marTop w:val="0"/>
          <w:marBottom w:val="0"/>
          <w:divBdr>
            <w:top w:val="none" w:sz="0" w:space="0" w:color="auto"/>
            <w:left w:val="none" w:sz="0" w:space="0" w:color="auto"/>
            <w:bottom w:val="none" w:sz="0" w:space="0" w:color="auto"/>
            <w:right w:val="none" w:sz="0" w:space="0" w:color="auto"/>
          </w:divBdr>
        </w:div>
      </w:divsChild>
    </w:div>
    <w:div w:id="231892852">
      <w:bodyDiv w:val="1"/>
      <w:marLeft w:val="0"/>
      <w:marRight w:val="0"/>
      <w:marTop w:val="0"/>
      <w:marBottom w:val="0"/>
      <w:divBdr>
        <w:top w:val="none" w:sz="0" w:space="0" w:color="auto"/>
        <w:left w:val="none" w:sz="0" w:space="0" w:color="auto"/>
        <w:bottom w:val="none" w:sz="0" w:space="0" w:color="auto"/>
        <w:right w:val="none" w:sz="0" w:space="0" w:color="auto"/>
      </w:divBdr>
    </w:div>
    <w:div w:id="242301774">
      <w:bodyDiv w:val="1"/>
      <w:marLeft w:val="0"/>
      <w:marRight w:val="0"/>
      <w:marTop w:val="0"/>
      <w:marBottom w:val="0"/>
      <w:divBdr>
        <w:top w:val="none" w:sz="0" w:space="0" w:color="auto"/>
        <w:left w:val="none" w:sz="0" w:space="0" w:color="auto"/>
        <w:bottom w:val="none" w:sz="0" w:space="0" w:color="auto"/>
        <w:right w:val="none" w:sz="0" w:space="0" w:color="auto"/>
      </w:divBdr>
      <w:divsChild>
        <w:div w:id="1002899237">
          <w:marLeft w:val="0"/>
          <w:marRight w:val="0"/>
          <w:marTop w:val="0"/>
          <w:marBottom w:val="0"/>
          <w:divBdr>
            <w:top w:val="none" w:sz="0" w:space="0" w:color="auto"/>
            <w:left w:val="none" w:sz="0" w:space="0" w:color="auto"/>
            <w:bottom w:val="none" w:sz="0" w:space="0" w:color="auto"/>
            <w:right w:val="none" w:sz="0" w:space="0" w:color="auto"/>
          </w:divBdr>
        </w:div>
      </w:divsChild>
    </w:div>
    <w:div w:id="252975436">
      <w:bodyDiv w:val="1"/>
      <w:marLeft w:val="0"/>
      <w:marRight w:val="0"/>
      <w:marTop w:val="0"/>
      <w:marBottom w:val="0"/>
      <w:divBdr>
        <w:top w:val="none" w:sz="0" w:space="0" w:color="auto"/>
        <w:left w:val="none" w:sz="0" w:space="0" w:color="auto"/>
        <w:bottom w:val="none" w:sz="0" w:space="0" w:color="auto"/>
        <w:right w:val="none" w:sz="0" w:space="0" w:color="auto"/>
      </w:divBdr>
    </w:div>
    <w:div w:id="256521794">
      <w:bodyDiv w:val="1"/>
      <w:marLeft w:val="0"/>
      <w:marRight w:val="0"/>
      <w:marTop w:val="0"/>
      <w:marBottom w:val="0"/>
      <w:divBdr>
        <w:top w:val="none" w:sz="0" w:space="0" w:color="auto"/>
        <w:left w:val="none" w:sz="0" w:space="0" w:color="auto"/>
        <w:bottom w:val="none" w:sz="0" w:space="0" w:color="auto"/>
        <w:right w:val="none" w:sz="0" w:space="0" w:color="auto"/>
      </w:divBdr>
    </w:div>
    <w:div w:id="258683989">
      <w:bodyDiv w:val="1"/>
      <w:marLeft w:val="0"/>
      <w:marRight w:val="0"/>
      <w:marTop w:val="0"/>
      <w:marBottom w:val="0"/>
      <w:divBdr>
        <w:top w:val="none" w:sz="0" w:space="0" w:color="auto"/>
        <w:left w:val="none" w:sz="0" w:space="0" w:color="auto"/>
        <w:bottom w:val="none" w:sz="0" w:space="0" w:color="auto"/>
        <w:right w:val="none" w:sz="0" w:space="0" w:color="auto"/>
      </w:divBdr>
      <w:divsChild>
        <w:div w:id="1845776340">
          <w:marLeft w:val="0"/>
          <w:marRight w:val="0"/>
          <w:marTop w:val="0"/>
          <w:marBottom w:val="0"/>
          <w:divBdr>
            <w:top w:val="none" w:sz="0" w:space="0" w:color="auto"/>
            <w:left w:val="none" w:sz="0" w:space="0" w:color="auto"/>
            <w:bottom w:val="none" w:sz="0" w:space="0" w:color="auto"/>
            <w:right w:val="none" w:sz="0" w:space="0" w:color="auto"/>
          </w:divBdr>
        </w:div>
      </w:divsChild>
    </w:div>
    <w:div w:id="261378790">
      <w:bodyDiv w:val="1"/>
      <w:marLeft w:val="0"/>
      <w:marRight w:val="0"/>
      <w:marTop w:val="0"/>
      <w:marBottom w:val="0"/>
      <w:divBdr>
        <w:top w:val="none" w:sz="0" w:space="0" w:color="auto"/>
        <w:left w:val="none" w:sz="0" w:space="0" w:color="auto"/>
        <w:bottom w:val="none" w:sz="0" w:space="0" w:color="auto"/>
        <w:right w:val="none" w:sz="0" w:space="0" w:color="auto"/>
      </w:divBdr>
    </w:div>
    <w:div w:id="271858690">
      <w:bodyDiv w:val="1"/>
      <w:marLeft w:val="0"/>
      <w:marRight w:val="0"/>
      <w:marTop w:val="0"/>
      <w:marBottom w:val="0"/>
      <w:divBdr>
        <w:top w:val="none" w:sz="0" w:space="0" w:color="auto"/>
        <w:left w:val="none" w:sz="0" w:space="0" w:color="auto"/>
        <w:bottom w:val="none" w:sz="0" w:space="0" w:color="auto"/>
        <w:right w:val="none" w:sz="0" w:space="0" w:color="auto"/>
      </w:divBdr>
      <w:divsChild>
        <w:div w:id="1509326764">
          <w:marLeft w:val="0"/>
          <w:marRight w:val="0"/>
          <w:marTop w:val="0"/>
          <w:marBottom w:val="0"/>
          <w:divBdr>
            <w:top w:val="none" w:sz="0" w:space="0" w:color="auto"/>
            <w:left w:val="none" w:sz="0" w:space="0" w:color="auto"/>
            <w:bottom w:val="none" w:sz="0" w:space="0" w:color="auto"/>
            <w:right w:val="none" w:sz="0" w:space="0" w:color="auto"/>
          </w:divBdr>
        </w:div>
      </w:divsChild>
    </w:div>
    <w:div w:id="272637344">
      <w:bodyDiv w:val="1"/>
      <w:marLeft w:val="0"/>
      <w:marRight w:val="0"/>
      <w:marTop w:val="0"/>
      <w:marBottom w:val="0"/>
      <w:divBdr>
        <w:top w:val="none" w:sz="0" w:space="0" w:color="auto"/>
        <w:left w:val="none" w:sz="0" w:space="0" w:color="auto"/>
        <w:bottom w:val="none" w:sz="0" w:space="0" w:color="auto"/>
        <w:right w:val="none" w:sz="0" w:space="0" w:color="auto"/>
      </w:divBdr>
    </w:div>
    <w:div w:id="275134768">
      <w:bodyDiv w:val="1"/>
      <w:marLeft w:val="0"/>
      <w:marRight w:val="0"/>
      <w:marTop w:val="0"/>
      <w:marBottom w:val="0"/>
      <w:divBdr>
        <w:top w:val="none" w:sz="0" w:space="0" w:color="auto"/>
        <w:left w:val="none" w:sz="0" w:space="0" w:color="auto"/>
        <w:bottom w:val="none" w:sz="0" w:space="0" w:color="auto"/>
        <w:right w:val="none" w:sz="0" w:space="0" w:color="auto"/>
      </w:divBdr>
      <w:divsChild>
        <w:div w:id="1164279584">
          <w:marLeft w:val="0"/>
          <w:marRight w:val="0"/>
          <w:marTop w:val="0"/>
          <w:marBottom w:val="0"/>
          <w:divBdr>
            <w:top w:val="none" w:sz="0" w:space="0" w:color="auto"/>
            <w:left w:val="none" w:sz="0" w:space="0" w:color="auto"/>
            <w:bottom w:val="none" w:sz="0" w:space="0" w:color="auto"/>
            <w:right w:val="none" w:sz="0" w:space="0" w:color="auto"/>
          </w:divBdr>
        </w:div>
      </w:divsChild>
    </w:div>
    <w:div w:id="285157136">
      <w:bodyDiv w:val="1"/>
      <w:marLeft w:val="0"/>
      <w:marRight w:val="0"/>
      <w:marTop w:val="0"/>
      <w:marBottom w:val="0"/>
      <w:divBdr>
        <w:top w:val="none" w:sz="0" w:space="0" w:color="auto"/>
        <w:left w:val="none" w:sz="0" w:space="0" w:color="auto"/>
        <w:bottom w:val="none" w:sz="0" w:space="0" w:color="auto"/>
        <w:right w:val="none" w:sz="0" w:space="0" w:color="auto"/>
      </w:divBdr>
    </w:div>
    <w:div w:id="299463537">
      <w:bodyDiv w:val="1"/>
      <w:marLeft w:val="0"/>
      <w:marRight w:val="0"/>
      <w:marTop w:val="0"/>
      <w:marBottom w:val="0"/>
      <w:divBdr>
        <w:top w:val="none" w:sz="0" w:space="0" w:color="auto"/>
        <w:left w:val="none" w:sz="0" w:space="0" w:color="auto"/>
        <w:bottom w:val="none" w:sz="0" w:space="0" w:color="auto"/>
        <w:right w:val="none" w:sz="0" w:space="0" w:color="auto"/>
      </w:divBdr>
    </w:div>
    <w:div w:id="301497398">
      <w:bodyDiv w:val="1"/>
      <w:marLeft w:val="0"/>
      <w:marRight w:val="0"/>
      <w:marTop w:val="0"/>
      <w:marBottom w:val="0"/>
      <w:divBdr>
        <w:top w:val="none" w:sz="0" w:space="0" w:color="auto"/>
        <w:left w:val="none" w:sz="0" w:space="0" w:color="auto"/>
        <w:bottom w:val="none" w:sz="0" w:space="0" w:color="auto"/>
        <w:right w:val="none" w:sz="0" w:space="0" w:color="auto"/>
      </w:divBdr>
    </w:div>
    <w:div w:id="301734622">
      <w:bodyDiv w:val="1"/>
      <w:marLeft w:val="0"/>
      <w:marRight w:val="0"/>
      <w:marTop w:val="0"/>
      <w:marBottom w:val="0"/>
      <w:divBdr>
        <w:top w:val="none" w:sz="0" w:space="0" w:color="auto"/>
        <w:left w:val="none" w:sz="0" w:space="0" w:color="auto"/>
        <w:bottom w:val="none" w:sz="0" w:space="0" w:color="auto"/>
        <w:right w:val="none" w:sz="0" w:space="0" w:color="auto"/>
      </w:divBdr>
      <w:divsChild>
        <w:div w:id="1963070763">
          <w:marLeft w:val="0"/>
          <w:marRight w:val="0"/>
          <w:marTop w:val="0"/>
          <w:marBottom w:val="0"/>
          <w:divBdr>
            <w:top w:val="none" w:sz="0" w:space="0" w:color="auto"/>
            <w:left w:val="none" w:sz="0" w:space="0" w:color="auto"/>
            <w:bottom w:val="none" w:sz="0" w:space="0" w:color="auto"/>
            <w:right w:val="none" w:sz="0" w:space="0" w:color="auto"/>
          </w:divBdr>
        </w:div>
      </w:divsChild>
    </w:div>
    <w:div w:id="315039158">
      <w:bodyDiv w:val="1"/>
      <w:marLeft w:val="0"/>
      <w:marRight w:val="0"/>
      <w:marTop w:val="0"/>
      <w:marBottom w:val="0"/>
      <w:divBdr>
        <w:top w:val="none" w:sz="0" w:space="0" w:color="auto"/>
        <w:left w:val="none" w:sz="0" w:space="0" w:color="auto"/>
        <w:bottom w:val="none" w:sz="0" w:space="0" w:color="auto"/>
        <w:right w:val="none" w:sz="0" w:space="0" w:color="auto"/>
      </w:divBdr>
    </w:div>
    <w:div w:id="321929835">
      <w:bodyDiv w:val="1"/>
      <w:marLeft w:val="0"/>
      <w:marRight w:val="0"/>
      <w:marTop w:val="0"/>
      <w:marBottom w:val="0"/>
      <w:divBdr>
        <w:top w:val="none" w:sz="0" w:space="0" w:color="auto"/>
        <w:left w:val="none" w:sz="0" w:space="0" w:color="auto"/>
        <w:bottom w:val="none" w:sz="0" w:space="0" w:color="auto"/>
        <w:right w:val="none" w:sz="0" w:space="0" w:color="auto"/>
      </w:divBdr>
    </w:div>
    <w:div w:id="323896271">
      <w:bodyDiv w:val="1"/>
      <w:marLeft w:val="0"/>
      <w:marRight w:val="0"/>
      <w:marTop w:val="0"/>
      <w:marBottom w:val="0"/>
      <w:divBdr>
        <w:top w:val="none" w:sz="0" w:space="0" w:color="auto"/>
        <w:left w:val="none" w:sz="0" w:space="0" w:color="auto"/>
        <w:bottom w:val="none" w:sz="0" w:space="0" w:color="auto"/>
        <w:right w:val="none" w:sz="0" w:space="0" w:color="auto"/>
      </w:divBdr>
      <w:divsChild>
        <w:div w:id="317612369">
          <w:marLeft w:val="0"/>
          <w:marRight w:val="0"/>
          <w:marTop w:val="0"/>
          <w:marBottom w:val="0"/>
          <w:divBdr>
            <w:top w:val="none" w:sz="0" w:space="0" w:color="auto"/>
            <w:left w:val="none" w:sz="0" w:space="0" w:color="auto"/>
            <w:bottom w:val="none" w:sz="0" w:space="0" w:color="auto"/>
            <w:right w:val="none" w:sz="0" w:space="0" w:color="auto"/>
          </w:divBdr>
        </w:div>
      </w:divsChild>
    </w:div>
    <w:div w:id="332996451">
      <w:bodyDiv w:val="1"/>
      <w:marLeft w:val="0"/>
      <w:marRight w:val="0"/>
      <w:marTop w:val="0"/>
      <w:marBottom w:val="0"/>
      <w:divBdr>
        <w:top w:val="none" w:sz="0" w:space="0" w:color="auto"/>
        <w:left w:val="none" w:sz="0" w:space="0" w:color="auto"/>
        <w:bottom w:val="none" w:sz="0" w:space="0" w:color="auto"/>
        <w:right w:val="none" w:sz="0" w:space="0" w:color="auto"/>
      </w:divBdr>
      <w:divsChild>
        <w:div w:id="1546212729">
          <w:marLeft w:val="0"/>
          <w:marRight w:val="0"/>
          <w:marTop w:val="0"/>
          <w:marBottom w:val="0"/>
          <w:divBdr>
            <w:top w:val="none" w:sz="0" w:space="0" w:color="auto"/>
            <w:left w:val="none" w:sz="0" w:space="0" w:color="auto"/>
            <w:bottom w:val="none" w:sz="0" w:space="0" w:color="auto"/>
            <w:right w:val="none" w:sz="0" w:space="0" w:color="auto"/>
          </w:divBdr>
        </w:div>
      </w:divsChild>
    </w:div>
    <w:div w:id="356544760">
      <w:bodyDiv w:val="1"/>
      <w:marLeft w:val="0"/>
      <w:marRight w:val="0"/>
      <w:marTop w:val="0"/>
      <w:marBottom w:val="0"/>
      <w:divBdr>
        <w:top w:val="none" w:sz="0" w:space="0" w:color="auto"/>
        <w:left w:val="none" w:sz="0" w:space="0" w:color="auto"/>
        <w:bottom w:val="none" w:sz="0" w:space="0" w:color="auto"/>
        <w:right w:val="none" w:sz="0" w:space="0" w:color="auto"/>
      </w:divBdr>
      <w:divsChild>
        <w:div w:id="190723620">
          <w:marLeft w:val="0"/>
          <w:marRight w:val="0"/>
          <w:marTop w:val="0"/>
          <w:marBottom w:val="0"/>
          <w:divBdr>
            <w:top w:val="none" w:sz="0" w:space="0" w:color="auto"/>
            <w:left w:val="none" w:sz="0" w:space="0" w:color="auto"/>
            <w:bottom w:val="none" w:sz="0" w:space="0" w:color="auto"/>
            <w:right w:val="none" w:sz="0" w:space="0" w:color="auto"/>
          </w:divBdr>
        </w:div>
      </w:divsChild>
    </w:div>
    <w:div w:id="361370475">
      <w:bodyDiv w:val="1"/>
      <w:marLeft w:val="0"/>
      <w:marRight w:val="0"/>
      <w:marTop w:val="0"/>
      <w:marBottom w:val="0"/>
      <w:divBdr>
        <w:top w:val="none" w:sz="0" w:space="0" w:color="auto"/>
        <w:left w:val="none" w:sz="0" w:space="0" w:color="auto"/>
        <w:bottom w:val="none" w:sz="0" w:space="0" w:color="auto"/>
        <w:right w:val="none" w:sz="0" w:space="0" w:color="auto"/>
      </w:divBdr>
      <w:divsChild>
        <w:div w:id="618924176">
          <w:marLeft w:val="0"/>
          <w:marRight w:val="0"/>
          <w:marTop w:val="0"/>
          <w:marBottom w:val="0"/>
          <w:divBdr>
            <w:top w:val="none" w:sz="0" w:space="0" w:color="auto"/>
            <w:left w:val="none" w:sz="0" w:space="0" w:color="auto"/>
            <w:bottom w:val="none" w:sz="0" w:space="0" w:color="auto"/>
            <w:right w:val="none" w:sz="0" w:space="0" w:color="auto"/>
          </w:divBdr>
        </w:div>
      </w:divsChild>
    </w:div>
    <w:div w:id="375282213">
      <w:bodyDiv w:val="1"/>
      <w:marLeft w:val="0"/>
      <w:marRight w:val="0"/>
      <w:marTop w:val="0"/>
      <w:marBottom w:val="0"/>
      <w:divBdr>
        <w:top w:val="none" w:sz="0" w:space="0" w:color="auto"/>
        <w:left w:val="none" w:sz="0" w:space="0" w:color="auto"/>
        <w:bottom w:val="none" w:sz="0" w:space="0" w:color="auto"/>
        <w:right w:val="none" w:sz="0" w:space="0" w:color="auto"/>
      </w:divBdr>
      <w:divsChild>
        <w:div w:id="1271858744">
          <w:marLeft w:val="0"/>
          <w:marRight w:val="0"/>
          <w:marTop w:val="0"/>
          <w:marBottom w:val="0"/>
          <w:divBdr>
            <w:top w:val="none" w:sz="0" w:space="0" w:color="auto"/>
            <w:left w:val="none" w:sz="0" w:space="0" w:color="auto"/>
            <w:bottom w:val="none" w:sz="0" w:space="0" w:color="auto"/>
            <w:right w:val="none" w:sz="0" w:space="0" w:color="auto"/>
          </w:divBdr>
        </w:div>
      </w:divsChild>
    </w:div>
    <w:div w:id="383874445">
      <w:bodyDiv w:val="1"/>
      <w:marLeft w:val="0"/>
      <w:marRight w:val="0"/>
      <w:marTop w:val="0"/>
      <w:marBottom w:val="0"/>
      <w:divBdr>
        <w:top w:val="none" w:sz="0" w:space="0" w:color="auto"/>
        <w:left w:val="none" w:sz="0" w:space="0" w:color="auto"/>
        <w:bottom w:val="none" w:sz="0" w:space="0" w:color="auto"/>
        <w:right w:val="none" w:sz="0" w:space="0" w:color="auto"/>
      </w:divBdr>
    </w:div>
    <w:div w:id="390471429">
      <w:bodyDiv w:val="1"/>
      <w:marLeft w:val="0"/>
      <w:marRight w:val="0"/>
      <w:marTop w:val="0"/>
      <w:marBottom w:val="0"/>
      <w:divBdr>
        <w:top w:val="none" w:sz="0" w:space="0" w:color="auto"/>
        <w:left w:val="none" w:sz="0" w:space="0" w:color="auto"/>
        <w:bottom w:val="none" w:sz="0" w:space="0" w:color="auto"/>
        <w:right w:val="none" w:sz="0" w:space="0" w:color="auto"/>
      </w:divBdr>
    </w:div>
    <w:div w:id="410470899">
      <w:bodyDiv w:val="1"/>
      <w:marLeft w:val="0"/>
      <w:marRight w:val="0"/>
      <w:marTop w:val="0"/>
      <w:marBottom w:val="0"/>
      <w:divBdr>
        <w:top w:val="none" w:sz="0" w:space="0" w:color="auto"/>
        <w:left w:val="none" w:sz="0" w:space="0" w:color="auto"/>
        <w:bottom w:val="none" w:sz="0" w:space="0" w:color="auto"/>
        <w:right w:val="none" w:sz="0" w:space="0" w:color="auto"/>
      </w:divBdr>
    </w:div>
    <w:div w:id="419134364">
      <w:bodyDiv w:val="1"/>
      <w:marLeft w:val="0"/>
      <w:marRight w:val="0"/>
      <w:marTop w:val="0"/>
      <w:marBottom w:val="0"/>
      <w:divBdr>
        <w:top w:val="none" w:sz="0" w:space="0" w:color="auto"/>
        <w:left w:val="none" w:sz="0" w:space="0" w:color="auto"/>
        <w:bottom w:val="none" w:sz="0" w:space="0" w:color="auto"/>
        <w:right w:val="none" w:sz="0" w:space="0" w:color="auto"/>
      </w:divBdr>
    </w:div>
    <w:div w:id="422410348">
      <w:bodyDiv w:val="1"/>
      <w:marLeft w:val="0"/>
      <w:marRight w:val="0"/>
      <w:marTop w:val="0"/>
      <w:marBottom w:val="0"/>
      <w:divBdr>
        <w:top w:val="none" w:sz="0" w:space="0" w:color="auto"/>
        <w:left w:val="none" w:sz="0" w:space="0" w:color="auto"/>
        <w:bottom w:val="none" w:sz="0" w:space="0" w:color="auto"/>
        <w:right w:val="none" w:sz="0" w:space="0" w:color="auto"/>
      </w:divBdr>
    </w:div>
    <w:div w:id="439683620">
      <w:bodyDiv w:val="1"/>
      <w:marLeft w:val="0"/>
      <w:marRight w:val="0"/>
      <w:marTop w:val="0"/>
      <w:marBottom w:val="0"/>
      <w:divBdr>
        <w:top w:val="none" w:sz="0" w:space="0" w:color="auto"/>
        <w:left w:val="none" w:sz="0" w:space="0" w:color="auto"/>
        <w:bottom w:val="none" w:sz="0" w:space="0" w:color="auto"/>
        <w:right w:val="none" w:sz="0" w:space="0" w:color="auto"/>
      </w:divBdr>
    </w:div>
    <w:div w:id="449664856">
      <w:bodyDiv w:val="1"/>
      <w:marLeft w:val="0"/>
      <w:marRight w:val="0"/>
      <w:marTop w:val="0"/>
      <w:marBottom w:val="0"/>
      <w:divBdr>
        <w:top w:val="none" w:sz="0" w:space="0" w:color="auto"/>
        <w:left w:val="none" w:sz="0" w:space="0" w:color="auto"/>
        <w:bottom w:val="none" w:sz="0" w:space="0" w:color="auto"/>
        <w:right w:val="none" w:sz="0" w:space="0" w:color="auto"/>
      </w:divBdr>
    </w:div>
    <w:div w:id="451285975">
      <w:bodyDiv w:val="1"/>
      <w:marLeft w:val="0"/>
      <w:marRight w:val="0"/>
      <w:marTop w:val="0"/>
      <w:marBottom w:val="0"/>
      <w:divBdr>
        <w:top w:val="none" w:sz="0" w:space="0" w:color="auto"/>
        <w:left w:val="none" w:sz="0" w:space="0" w:color="auto"/>
        <w:bottom w:val="none" w:sz="0" w:space="0" w:color="auto"/>
        <w:right w:val="none" w:sz="0" w:space="0" w:color="auto"/>
      </w:divBdr>
    </w:div>
    <w:div w:id="463889897">
      <w:bodyDiv w:val="1"/>
      <w:marLeft w:val="0"/>
      <w:marRight w:val="0"/>
      <w:marTop w:val="0"/>
      <w:marBottom w:val="0"/>
      <w:divBdr>
        <w:top w:val="none" w:sz="0" w:space="0" w:color="auto"/>
        <w:left w:val="none" w:sz="0" w:space="0" w:color="auto"/>
        <w:bottom w:val="none" w:sz="0" w:space="0" w:color="auto"/>
        <w:right w:val="none" w:sz="0" w:space="0" w:color="auto"/>
      </w:divBdr>
      <w:divsChild>
        <w:div w:id="1248225191">
          <w:marLeft w:val="0"/>
          <w:marRight w:val="0"/>
          <w:marTop w:val="0"/>
          <w:marBottom w:val="0"/>
          <w:divBdr>
            <w:top w:val="none" w:sz="0" w:space="0" w:color="auto"/>
            <w:left w:val="none" w:sz="0" w:space="0" w:color="auto"/>
            <w:bottom w:val="none" w:sz="0" w:space="0" w:color="auto"/>
            <w:right w:val="none" w:sz="0" w:space="0" w:color="auto"/>
          </w:divBdr>
        </w:div>
      </w:divsChild>
    </w:div>
    <w:div w:id="469787041">
      <w:bodyDiv w:val="1"/>
      <w:marLeft w:val="0"/>
      <w:marRight w:val="0"/>
      <w:marTop w:val="0"/>
      <w:marBottom w:val="0"/>
      <w:divBdr>
        <w:top w:val="none" w:sz="0" w:space="0" w:color="auto"/>
        <w:left w:val="none" w:sz="0" w:space="0" w:color="auto"/>
        <w:bottom w:val="none" w:sz="0" w:space="0" w:color="auto"/>
        <w:right w:val="none" w:sz="0" w:space="0" w:color="auto"/>
      </w:divBdr>
      <w:divsChild>
        <w:div w:id="1434091353">
          <w:marLeft w:val="0"/>
          <w:marRight w:val="0"/>
          <w:marTop w:val="0"/>
          <w:marBottom w:val="0"/>
          <w:divBdr>
            <w:top w:val="none" w:sz="0" w:space="0" w:color="auto"/>
            <w:left w:val="none" w:sz="0" w:space="0" w:color="auto"/>
            <w:bottom w:val="none" w:sz="0" w:space="0" w:color="auto"/>
            <w:right w:val="none" w:sz="0" w:space="0" w:color="auto"/>
          </w:divBdr>
        </w:div>
      </w:divsChild>
    </w:div>
    <w:div w:id="480735220">
      <w:bodyDiv w:val="1"/>
      <w:marLeft w:val="0"/>
      <w:marRight w:val="0"/>
      <w:marTop w:val="0"/>
      <w:marBottom w:val="0"/>
      <w:divBdr>
        <w:top w:val="none" w:sz="0" w:space="0" w:color="auto"/>
        <w:left w:val="none" w:sz="0" w:space="0" w:color="auto"/>
        <w:bottom w:val="none" w:sz="0" w:space="0" w:color="auto"/>
        <w:right w:val="none" w:sz="0" w:space="0" w:color="auto"/>
      </w:divBdr>
    </w:div>
    <w:div w:id="495457465">
      <w:bodyDiv w:val="1"/>
      <w:marLeft w:val="0"/>
      <w:marRight w:val="0"/>
      <w:marTop w:val="0"/>
      <w:marBottom w:val="0"/>
      <w:divBdr>
        <w:top w:val="none" w:sz="0" w:space="0" w:color="auto"/>
        <w:left w:val="none" w:sz="0" w:space="0" w:color="auto"/>
        <w:bottom w:val="none" w:sz="0" w:space="0" w:color="auto"/>
        <w:right w:val="none" w:sz="0" w:space="0" w:color="auto"/>
      </w:divBdr>
      <w:divsChild>
        <w:div w:id="890581713">
          <w:marLeft w:val="0"/>
          <w:marRight w:val="0"/>
          <w:marTop w:val="0"/>
          <w:marBottom w:val="0"/>
          <w:divBdr>
            <w:top w:val="none" w:sz="0" w:space="0" w:color="auto"/>
            <w:left w:val="none" w:sz="0" w:space="0" w:color="auto"/>
            <w:bottom w:val="none" w:sz="0" w:space="0" w:color="auto"/>
            <w:right w:val="none" w:sz="0" w:space="0" w:color="auto"/>
          </w:divBdr>
        </w:div>
      </w:divsChild>
    </w:div>
    <w:div w:id="512770053">
      <w:bodyDiv w:val="1"/>
      <w:marLeft w:val="0"/>
      <w:marRight w:val="0"/>
      <w:marTop w:val="0"/>
      <w:marBottom w:val="0"/>
      <w:divBdr>
        <w:top w:val="none" w:sz="0" w:space="0" w:color="auto"/>
        <w:left w:val="none" w:sz="0" w:space="0" w:color="auto"/>
        <w:bottom w:val="none" w:sz="0" w:space="0" w:color="auto"/>
        <w:right w:val="none" w:sz="0" w:space="0" w:color="auto"/>
      </w:divBdr>
      <w:divsChild>
        <w:div w:id="185096039">
          <w:marLeft w:val="0"/>
          <w:marRight w:val="0"/>
          <w:marTop w:val="0"/>
          <w:marBottom w:val="0"/>
          <w:divBdr>
            <w:top w:val="none" w:sz="0" w:space="0" w:color="auto"/>
            <w:left w:val="none" w:sz="0" w:space="0" w:color="auto"/>
            <w:bottom w:val="none" w:sz="0" w:space="0" w:color="auto"/>
            <w:right w:val="none" w:sz="0" w:space="0" w:color="auto"/>
          </w:divBdr>
          <w:divsChild>
            <w:div w:id="1381858737">
              <w:marLeft w:val="0"/>
              <w:marRight w:val="0"/>
              <w:marTop w:val="0"/>
              <w:marBottom w:val="0"/>
              <w:divBdr>
                <w:top w:val="none" w:sz="0" w:space="0" w:color="auto"/>
                <w:left w:val="none" w:sz="0" w:space="0" w:color="auto"/>
                <w:bottom w:val="none" w:sz="0" w:space="0" w:color="auto"/>
                <w:right w:val="none" w:sz="0" w:space="0" w:color="auto"/>
              </w:divBdr>
              <w:divsChild>
                <w:div w:id="143428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96365">
      <w:bodyDiv w:val="1"/>
      <w:marLeft w:val="0"/>
      <w:marRight w:val="0"/>
      <w:marTop w:val="0"/>
      <w:marBottom w:val="0"/>
      <w:divBdr>
        <w:top w:val="none" w:sz="0" w:space="0" w:color="auto"/>
        <w:left w:val="none" w:sz="0" w:space="0" w:color="auto"/>
        <w:bottom w:val="none" w:sz="0" w:space="0" w:color="auto"/>
        <w:right w:val="none" w:sz="0" w:space="0" w:color="auto"/>
      </w:divBdr>
    </w:div>
    <w:div w:id="528879425">
      <w:bodyDiv w:val="1"/>
      <w:marLeft w:val="0"/>
      <w:marRight w:val="0"/>
      <w:marTop w:val="0"/>
      <w:marBottom w:val="0"/>
      <w:divBdr>
        <w:top w:val="none" w:sz="0" w:space="0" w:color="auto"/>
        <w:left w:val="none" w:sz="0" w:space="0" w:color="auto"/>
        <w:bottom w:val="none" w:sz="0" w:space="0" w:color="auto"/>
        <w:right w:val="none" w:sz="0" w:space="0" w:color="auto"/>
      </w:divBdr>
      <w:divsChild>
        <w:div w:id="226110334">
          <w:marLeft w:val="0"/>
          <w:marRight w:val="0"/>
          <w:marTop w:val="0"/>
          <w:marBottom w:val="0"/>
          <w:divBdr>
            <w:top w:val="none" w:sz="0" w:space="0" w:color="auto"/>
            <w:left w:val="none" w:sz="0" w:space="0" w:color="auto"/>
            <w:bottom w:val="none" w:sz="0" w:space="0" w:color="auto"/>
            <w:right w:val="none" w:sz="0" w:space="0" w:color="auto"/>
          </w:divBdr>
        </w:div>
      </w:divsChild>
    </w:div>
    <w:div w:id="530148647">
      <w:bodyDiv w:val="1"/>
      <w:marLeft w:val="0"/>
      <w:marRight w:val="0"/>
      <w:marTop w:val="0"/>
      <w:marBottom w:val="0"/>
      <w:divBdr>
        <w:top w:val="none" w:sz="0" w:space="0" w:color="auto"/>
        <w:left w:val="none" w:sz="0" w:space="0" w:color="auto"/>
        <w:bottom w:val="none" w:sz="0" w:space="0" w:color="auto"/>
        <w:right w:val="none" w:sz="0" w:space="0" w:color="auto"/>
      </w:divBdr>
    </w:div>
    <w:div w:id="539242808">
      <w:bodyDiv w:val="1"/>
      <w:marLeft w:val="0"/>
      <w:marRight w:val="0"/>
      <w:marTop w:val="0"/>
      <w:marBottom w:val="0"/>
      <w:divBdr>
        <w:top w:val="none" w:sz="0" w:space="0" w:color="auto"/>
        <w:left w:val="none" w:sz="0" w:space="0" w:color="auto"/>
        <w:bottom w:val="none" w:sz="0" w:space="0" w:color="auto"/>
        <w:right w:val="none" w:sz="0" w:space="0" w:color="auto"/>
      </w:divBdr>
      <w:divsChild>
        <w:div w:id="401025835">
          <w:marLeft w:val="0"/>
          <w:marRight w:val="0"/>
          <w:marTop w:val="0"/>
          <w:marBottom w:val="0"/>
          <w:divBdr>
            <w:top w:val="none" w:sz="0" w:space="0" w:color="auto"/>
            <w:left w:val="none" w:sz="0" w:space="0" w:color="auto"/>
            <w:bottom w:val="none" w:sz="0" w:space="0" w:color="auto"/>
            <w:right w:val="none" w:sz="0" w:space="0" w:color="auto"/>
          </w:divBdr>
        </w:div>
      </w:divsChild>
    </w:div>
    <w:div w:id="564952445">
      <w:bodyDiv w:val="1"/>
      <w:marLeft w:val="0"/>
      <w:marRight w:val="0"/>
      <w:marTop w:val="0"/>
      <w:marBottom w:val="0"/>
      <w:divBdr>
        <w:top w:val="none" w:sz="0" w:space="0" w:color="auto"/>
        <w:left w:val="none" w:sz="0" w:space="0" w:color="auto"/>
        <w:bottom w:val="none" w:sz="0" w:space="0" w:color="auto"/>
        <w:right w:val="none" w:sz="0" w:space="0" w:color="auto"/>
      </w:divBdr>
      <w:divsChild>
        <w:div w:id="510879665">
          <w:marLeft w:val="0"/>
          <w:marRight w:val="0"/>
          <w:marTop w:val="0"/>
          <w:marBottom w:val="0"/>
          <w:divBdr>
            <w:top w:val="none" w:sz="0" w:space="0" w:color="auto"/>
            <w:left w:val="none" w:sz="0" w:space="0" w:color="auto"/>
            <w:bottom w:val="none" w:sz="0" w:space="0" w:color="auto"/>
            <w:right w:val="none" w:sz="0" w:space="0" w:color="auto"/>
          </w:divBdr>
        </w:div>
      </w:divsChild>
    </w:div>
    <w:div w:id="577595847">
      <w:bodyDiv w:val="1"/>
      <w:marLeft w:val="0"/>
      <w:marRight w:val="0"/>
      <w:marTop w:val="0"/>
      <w:marBottom w:val="0"/>
      <w:divBdr>
        <w:top w:val="none" w:sz="0" w:space="0" w:color="auto"/>
        <w:left w:val="none" w:sz="0" w:space="0" w:color="auto"/>
        <w:bottom w:val="none" w:sz="0" w:space="0" w:color="auto"/>
        <w:right w:val="none" w:sz="0" w:space="0" w:color="auto"/>
      </w:divBdr>
      <w:divsChild>
        <w:div w:id="1375890037">
          <w:marLeft w:val="0"/>
          <w:marRight w:val="0"/>
          <w:marTop w:val="0"/>
          <w:marBottom w:val="0"/>
          <w:divBdr>
            <w:top w:val="none" w:sz="0" w:space="0" w:color="auto"/>
            <w:left w:val="none" w:sz="0" w:space="0" w:color="auto"/>
            <w:bottom w:val="none" w:sz="0" w:space="0" w:color="auto"/>
            <w:right w:val="none" w:sz="0" w:space="0" w:color="auto"/>
          </w:divBdr>
        </w:div>
      </w:divsChild>
    </w:div>
    <w:div w:id="581838451">
      <w:bodyDiv w:val="1"/>
      <w:marLeft w:val="0"/>
      <w:marRight w:val="0"/>
      <w:marTop w:val="0"/>
      <w:marBottom w:val="0"/>
      <w:divBdr>
        <w:top w:val="none" w:sz="0" w:space="0" w:color="auto"/>
        <w:left w:val="none" w:sz="0" w:space="0" w:color="auto"/>
        <w:bottom w:val="none" w:sz="0" w:space="0" w:color="auto"/>
        <w:right w:val="none" w:sz="0" w:space="0" w:color="auto"/>
      </w:divBdr>
      <w:divsChild>
        <w:div w:id="397821334">
          <w:marLeft w:val="0"/>
          <w:marRight w:val="0"/>
          <w:marTop w:val="0"/>
          <w:marBottom w:val="0"/>
          <w:divBdr>
            <w:top w:val="none" w:sz="0" w:space="0" w:color="auto"/>
            <w:left w:val="none" w:sz="0" w:space="0" w:color="auto"/>
            <w:bottom w:val="none" w:sz="0" w:space="0" w:color="auto"/>
            <w:right w:val="none" w:sz="0" w:space="0" w:color="auto"/>
          </w:divBdr>
        </w:div>
      </w:divsChild>
    </w:div>
    <w:div w:id="619186204">
      <w:bodyDiv w:val="1"/>
      <w:marLeft w:val="0"/>
      <w:marRight w:val="0"/>
      <w:marTop w:val="0"/>
      <w:marBottom w:val="0"/>
      <w:divBdr>
        <w:top w:val="none" w:sz="0" w:space="0" w:color="auto"/>
        <w:left w:val="none" w:sz="0" w:space="0" w:color="auto"/>
        <w:bottom w:val="none" w:sz="0" w:space="0" w:color="auto"/>
        <w:right w:val="none" w:sz="0" w:space="0" w:color="auto"/>
      </w:divBdr>
      <w:divsChild>
        <w:div w:id="1633318571">
          <w:marLeft w:val="0"/>
          <w:marRight w:val="0"/>
          <w:marTop w:val="0"/>
          <w:marBottom w:val="0"/>
          <w:divBdr>
            <w:top w:val="none" w:sz="0" w:space="0" w:color="auto"/>
            <w:left w:val="none" w:sz="0" w:space="0" w:color="auto"/>
            <w:bottom w:val="none" w:sz="0" w:space="0" w:color="auto"/>
            <w:right w:val="none" w:sz="0" w:space="0" w:color="auto"/>
          </w:divBdr>
        </w:div>
      </w:divsChild>
    </w:div>
    <w:div w:id="632717070">
      <w:bodyDiv w:val="1"/>
      <w:marLeft w:val="0"/>
      <w:marRight w:val="0"/>
      <w:marTop w:val="0"/>
      <w:marBottom w:val="0"/>
      <w:divBdr>
        <w:top w:val="none" w:sz="0" w:space="0" w:color="auto"/>
        <w:left w:val="none" w:sz="0" w:space="0" w:color="auto"/>
        <w:bottom w:val="none" w:sz="0" w:space="0" w:color="auto"/>
        <w:right w:val="none" w:sz="0" w:space="0" w:color="auto"/>
      </w:divBdr>
    </w:div>
    <w:div w:id="643703390">
      <w:bodyDiv w:val="1"/>
      <w:marLeft w:val="0"/>
      <w:marRight w:val="0"/>
      <w:marTop w:val="0"/>
      <w:marBottom w:val="0"/>
      <w:divBdr>
        <w:top w:val="none" w:sz="0" w:space="0" w:color="auto"/>
        <w:left w:val="none" w:sz="0" w:space="0" w:color="auto"/>
        <w:bottom w:val="none" w:sz="0" w:space="0" w:color="auto"/>
        <w:right w:val="none" w:sz="0" w:space="0" w:color="auto"/>
      </w:divBdr>
      <w:divsChild>
        <w:div w:id="1634360431">
          <w:marLeft w:val="0"/>
          <w:marRight w:val="0"/>
          <w:marTop w:val="0"/>
          <w:marBottom w:val="0"/>
          <w:divBdr>
            <w:top w:val="none" w:sz="0" w:space="0" w:color="auto"/>
            <w:left w:val="none" w:sz="0" w:space="0" w:color="auto"/>
            <w:bottom w:val="none" w:sz="0" w:space="0" w:color="auto"/>
            <w:right w:val="none" w:sz="0" w:space="0" w:color="auto"/>
          </w:divBdr>
        </w:div>
      </w:divsChild>
    </w:div>
    <w:div w:id="651718421">
      <w:bodyDiv w:val="1"/>
      <w:marLeft w:val="0"/>
      <w:marRight w:val="0"/>
      <w:marTop w:val="0"/>
      <w:marBottom w:val="0"/>
      <w:divBdr>
        <w:top w:val="none" w:sz="0" w:space="0" w:color="auto"/>
        <w:left w:val="none" w:sz="0" w:space="0" w:color="auto"/>
        <w:bottom w:val="none" w:sz="0" w:space="0" w:color="auto"/>
        <w:right w:val="none" w:sz="0" w:space="0" w:color="auto"/>
      </w:divBdr>
      <w:divsChild>
        <w:div w:id="2024547198">
          <w:marLeft w:val="0"/>
          <w:marRight w:val="0"/>
          <w:marTop w:val="0"/>
          <w:marBottom w:val="0"/>
          <w:divBdr>
            <w:top w:val="none" w:sz="0" w:space="0" w:color="auto"/>
            <w:left w:val="none" w:sz="0" w:space="0" w:color="auto"/>
            <w:bottom w:val="none" w:sz="0" w:space="0" w:color="auto"/>
            <w:right w:val="none" w:sz="0" w:space="0" w:color="auto"/>
          </w:divBdr>
        </w:div>
      </w:divsChild>
    </w:div>
    <w:div w:id="669333856">
      <w:bodyDiv w:val="1"/>
      <w:marLeft w:val="0"/>
      <w:marRight w:val="0"/>
      <w:marTop w:val="0"/>
      <w:marBottom w:val="0"/>
      <w:divBdr>
        <w:top w:val="none" w:sz="0" w:space="0" w:color="auto"/>
        <w:left w:val="none" w:sz="0" w:space="0" w:color="auto"/>
        <w:bottom w:val="none" w:sz="0" w:space="0" w:color="auto"/>
        <w:right w:val="none" w:sz="0" w:space="0" w:color="auto"/>
      </w:divBdr>
    </w:div>
    <w:div w:id="688918591">
      <w:bodyDiv w:val="1"/>
      <w:marLeft w:val="0"/>
      <w:marRight w:val="0"/>
      <w:marTop w:val="0"/>
      <w:marBottom w:val="0"/>
      <w:divBdr>
        <w:top w:val="none" w:sz="0" w:space="0" w:color="auto"/>
        <w:left w:val="none" w:sz="0" w:space="0" w:color="auto"/>
        <w:bottom w:val="none" w:sz="0" w:space="0" w:color="auto"/>
        <w:right w:val="none" w:sz="0" w:space="0" w:color="auto"/>
      </w:divBdr>
      <w:divsChild>
        <w:div w:id="2056856863">
          <w:marLeft w:val="0"/>
          <w:marRight w:val="0"/>
          <w:marTop w:val="0"/>
          <w:marBottom w:val="0"/>
          <w:divBdr>
            <w:top w:val="none" w:sz="0" w:space="0" w:color="auto"/>
            <w:left w:val="none" w:sz="0" w:space="0" w:color="auto"/>
            <w:bottom w:val="none" w:sz="0" w:space="0" w:color="auto"/>
            <w:right w:val="none" w:sz="0" w:space="0" w:color="auto"/>
          </w:divBdr>
        </w:div>
      </w:divsChild>
    </w:div>
    <w:div w:id="699938256">
      <w:bodyDiv w:val="1"/>
      <w:marLeft w:val="0"/>
      <w:marRight w:val="0"/>
      <w:marTop w:val="0"/>
      <w:marBottom w:val="0"/>
      <w:divBdr>
        <w:top w:val="none" w:sz="0" w:space="0" w:color="auto"/>
        <w:left w:val="none" w:sz="0" w:space="0" w:color="auto"/>
        <w:bottom w:val="none" w:sz="0" w:space="0" w:color="auto"/>
        <w:right w:val="none" w:sz="0" w:space="0" w:color="auto"/>
      </w:divBdr>
      <w:divsChild>
        <w:div w:id="337199166">
          <w:marLeft w:val="0"/>
          <w:marRight w:val="0"/>
          <w:marTop w:val="0"/>
          <w:marBottom w:val="0"/>
          <w:divBdr>
            <w:top w:val="none" w:sz="0" w:space="0" w:color="auto"/>
            <w:left w:val="none" w:sz="0" w:space="0" w:color="auto"/>
            <w:bottom w:val="none" w:sz="0" w:space="0" w:color="auto"/>
            <w:right w:val="none" w:sz="0" w:space="0" w:color="auto"/>
          </w:divBdr>
        </w:div>
      </w:divsChild>
    </w:div>
    <w:div w:id="700012590">
      <w:bodyDiv w:val="1"/>
      <w:marLeft w:val="0"/>
      <w:marRight w:val="0"/>
      <w:marTop w:val="0"/>
      <w:marBottom w:val="0"/>
      <w:divBdr>
        <w:top w:val="none" w:sz="0" w:space="0" w:color="auto"/>
        <w:left w:val="none" w:sz="0" w:space="0" w:color="auto"/>
        <w:bottom w:val="none" w:sz="0" w:space="0" w:color="auto"/>
        <w:right w:val="none" w:sz="0" w:space="0" w:color="auto"/>
      </w:divBdr>
      <w:divsChild>
        <w:div w:id="300961648">
          <w:marLeft w:val="0"/>
          <w:marRight w:val="0"/>
          <w:marTop w:val="0"/>
          <w:marBottom w:val="0"/>
          <w:divBdr>
            <w:top w:val="none" w:sz="0" w:space="0" w:color="auto"/>
            <w:left w:val="none" w:sz="0" w:space="0" w:color="auto"/>
            <w:bottom w:val="none" w:sz="0" w:space="0" w:color="auto"/>
            <w:right w:val="none" w:sz="0" w:space="0" w:color="auto"/>
          </w:divBdr>
        </w:div>
      </w:divsChild>
    </w:div>
    <w:div w:id="703870135">
      <w:bodyDiv w:val="1"/>
      <w:marLeft w:val="0"/>
      <w:marRight w:val="0"/>
      <w:marTop w:val="0"/>
      <w:marBottom w:val="0"/>
      <w:divBdr>
        <w:top w:val="none" w:sz="0" w:space="0" w:color="auto"/>
        <w:left w:val="none" w:sz="0" w:space="0" w:color="auto"/>
        <w:bottom w:val="none" w:sz="0" w:space="0" w:color="auto"/>
        <w:right w:val="none" w:sz="0" w:space="0" w:color="auto"/>
      </w:divBdr>
      <w:divsChild>
        <w:div w:id="1320889955">
          <w:marLeft w:val="0"/>
          <w:marRight w:val="0"/>
          <w:marTop w:val="0"/>
          <w:marBottom w:val="0"/>
          <w:divBdr>
            <w:top w:val="none" w:sz="0" w:space="0" w:color="auto"/>
            <w:left w:val="none" w:sz="0" w:space="0" w:color="auto"/>
            <w:bottom w:val="none" w:sz="0" w:space="0" w:color="auto"/>
            <w:right w:val="none" w:sz="0" w:space="0" w:color="auto"/>
          </w:divBdr>
        </w:div>
      </w:divsChild>
    </w:div>
    <w:div w:id="722291459">
      <w:bodyDiv w:val="1"/>
      <w:marLeft w:val="0"/>
      <w:marRight w:val="0"/>
      <w:marTop w:val="0"/>
      <w:marBottom w:val="0"/>
      <w:divBdr>
        <w:top w:val="none" w:sz="0" w:space="0" w:color="auto"/>
        <w:left w:val="none" w:sz="0" w:space="0" w:color="auto"/>
        <w:bottom w:val="none" w:sz="0" w:space="0" w:color="auto"/>
        <w:right w:val="none" w:sz="0" w:space="0" w:color="auto"/>
      </w:divBdr>
      <w:divsChild>
        <w:div w:id="174150483">
          <w:marLeft w:val="0"/>
          <w:marRight w:val="0"/>
          <w:marTop w:val="0"/>
          <w:marBottom w:val="0"/>
          <w:divBdr>
            <w:top w:val="none" w:sz="0" w:space="0" w:color="auto"/>
            <w:left w:val="none" w:sz="0" w:space="0" w:color="auto"/>
            <w:bottom w:val="none" w:sz="0" w:space="0" w:color="auto"/>
            <w:right w:val="none" w:sz="0" w:space="0" w:color="auto"/>
          </w:divBdr>
        </w:div>
      </w:divsChild>
    </w:div>
    <w:div w:id="722682911">
      <w:bodyDiv w:val="1"/>
      <w:marLeft w:val="0"/>
      <w:marRight w:val="0"/>
      <w:marTop w:val="0"/>
      <w:marBottom w:val="0"/>
      <w:divBdr>
        <w:top w:val="none" w:sz="0" w:space="0" w:color="auto"/>
        <w:left w:val="none" w:sz="0" w:space="0" w:color="auto"/>
        <w:bottom w:val="none" w:sz="0" w:space="0" w:color="auto"/>
        <w:right w:val="none" w:sz="0" w:space="0" w:color="auto"/>
      </w:divBdr>
      <w:divsChild>
        <w:div w:id="145364037">
          <w:marLeft w:val="0"/>
          <w:marRight w:val="0"/>
          <w:marTop w:val="0"/>
          <w:marBottom w:val="0"/>
          <w:divBdr>
            <w:top w:val="none" w:sz="0" w:space="0" w:color="auto"/>
            <w:left w:val="none" w:sz="0" w:space="0" w:color="auto"/>
            <w:bottom w:val="none" w:sz="0" w:space="0" w:color="auto"/>
            <w:right w:val="none" w:sz="0" w:space="0" w:color="auto"/>
          </w:divBdr>
        </w:div>
      </w:divsChild>
    </w:div>
    <w:div w:id="723142132">
      <w:bodyDiv w:val="1"/>
      <w:marLeft w:val="0"/>
      <w:marRight w:val="0"/>
      <w:marTop w:val="0"/>
      <w:marBottom w:val="0"/>
      <w:divBdr>
        <w:top w:val="none" w:sz="0" w:space="0" w:color="auto"/>
        <w:left w:val="none" w:sz="0" w:space="0" w:color="auto"/>
        <w:bottom w:val="none" w:sz="0" w:space="0" w:color="auto"/>
        <w:right w:val="none" w:sz="0" w:space="0" w:color="auto"/>
      </w:divBdr>
      <w:divsChild>
        <w:div w:id="1966547057">
          <w:marLeft w:val="0"/>
          <w:marRight w:val="0"/>
          <w:marTop w:val="0"/>
          <w:marBottom w:val="0"/>
          <w:divBdr>
            <w:top w:val="none" w:sz="0" w:space="0" w:color="auto"/>
            <w:left w:val="none" w:sz="0" w:space="0" w:color="auto"/>
            <w:bottom w:val="none" w:sz="0" w:space="0" w:color="auto"/>
            <w:right w:val="none" w:sz="0" w:space="0" w:color="auto"/>
          </w:divBdr>
        </w:div>
      </w:divsChild>
    </w:div>
    <w:div w:id="727218289">
      <w:bodyDiv w:val="1"/>
      <w:marLeft w:val="0"/>
      <w:marRight w:val="0"/>
      <w:marTop w:val="0"/>
      <w:marBottom w:val="0"/>
      <w:divBdr>
        <w:top w:val="none" w:sz="0" w:space="0" w:color="auto"/>
        <w:left w:val="none" w:sz="0" w:space="0" w:color="auto"/>
        <w:bottom w:val="none" w:sz="0" w:space="0" w:color="auto"/>
        <w:right w:val="none" w:sz="0" w:space="0" w:color="auto"/>
      </w:divBdr>
      <w:divsChild>
        <w:div w:id="2116365206">
          <w:marLeft w:val="0"/>
          <w:marRight w:val="0"/>
          <w:marTop w:val="0"/>
          <w:marBottom w:val="0"/>
          <w:divBdr>
            <w:top w:val="none" w:sz="0" w:space="0" w:color="auto"/>
            <w:left w:val="none" w:sz="0" w:space="0" w:color="auto"/>
            <w:bottom w:val="none" w:sz="0" w:space="0" w:color="auto"/>
            <w:right w:val="none" w:sz="0" w:space="0" w:color="auto"/>
          </w:divBdr>
        </w:div>
      </w:divsChild>
    </w:div>
    <w:div w:id="737441936">
      <w:bodyDiv w:val="1"/>
      <w:marLeft w:val="0"/>
      <w:marRight w:val="0"/>
      <w:marTop w:val="0"/>
      <w:marBottom w:val="0"/>
      <w:divBdr>
        <w:top w:val="none" w:sz="0" w:space="0" w:color="auto"/>
        <w:left w:val="none" w:sz="0" w:space="0" w:color="auto"/>
        <w:bottom w:val="none" w:sz="0" w:space="0" w:color="auto"/>
        <w:right w:val="none" w:sz="0" w:space="0" w:color="auto"/>
      </w:divBdr>
      <w:divsChild>
        <w:div w:id="1213421822">
          <w:marLeft w:val="0"/>
          <w:marRight w:val="0"/>
          <w:marTop w:val="0"/>
          <w:marBottom w:val="0"/>
          <w:divBdr>
            <w:top w:val="none" w:sz="0" w:space="0" w:color="auto"/>
            <w:left w:val="none" w:sz="0" w:space="0" w:color="auto"/>
            <w:bottom w:val="none" w:sz="0" w:space="0" w:color="auto"/>
            <w:right w:val="none" w:sz="0" w:space="0" w:color="auto"/>
          </w:divBdr>
        </w:div>
      </w:divsChild>
    </w:div>
    <w:div w:id="743528914">
      <w:bodyDiv w:val="1"/>
      <w:marLeft w:val="0"/>
      <w:marRight w:val="0"/>
      <w:marTop w:val="0"/>
      <w:marBottom w:val="0"/>
      <w:divBdr>
        <w:top w:val="none" w:sz="0" w:space="0" w:color="auto"/>
        <w:left w:val="none" w:sz="0" w:space="0" w:color="auto"/>
        <w:bottom w:val="none" w:sz="0" w:space="0" w:color="auto"/>
        <w:right w:val="none" w:sz="0" w:space="0" w:color="auto"/>
      </w:divBdr>
      <w:divsChild>
        <w:div w:id="789739409">
          <w:marLeft w:val="0"/>
          <w:marRight w:val="0"/>
          <w:marTop w:val="0"/>
          <w:marBottom w:val="0"/>
          <w:divBdr>
            <w:top w:val="none" w:sz="0" w:space="0" w:color="auto"/>
            <w:left w:val="none" w:sz="0" w:space="0" w:color="auto"/>
            <w:bottom w:val="none" w:sz="0" w:space="0" w:color="auto"/>
            <w:right w:val="none" w:sz="0" w:space="0" w:color="auto"/>
          </w:divBdr>
        </w:div>
      </w:divsChild>
    </w:div>
    <w:div w:id="758991177">
      <w:bodyDiv w:val="1"/>
      <w:marLeft w:val="0"/>
      <w:marRight w:val="0"/>
      <w:marTop w:val="0"/>
      <w:marBottom w:val="0"/>
      <w:divBdr>
        <w:top w:val="none" w:sz="0" w:space="0" w:color="auto"/>
        <w:left w:val="none" w:sz="0" w:space="0" w:color="auto"/>
        <w:bottom w:val="none" w:sz="0" w:space="0" w:color="auto"/>
        <w:right w:val="none" w:sz="0" w:space="0" w:color="auto"/>
      </w:divBdr>
      <w:divsChild>
        <w:div w:id="1295863968">
          <w:marLeft w:val="0"/>
          <w:marRight w:val="0"/>
          <w:marTop w:val="0"/>
          <w:marBottom w:val="0"/>
          <w:divBdr>
            <w:top w:val="none" w:sz="0" w:space="0" w:color="auto"/>
            <w:left w:val="none" w:sz="0" w:space="0" w:color="auto"/>
            <w:bottom w:val="none" w:sz="0" w:space="0" w:color="auto"/>
            <w:right w:val="none" w:sz="0" w:space="0" w:color="auto"/>
          </w:divBdr>
        </w:div>
      </w:divsChild>
    </w:div>
    <w:div w:id="761728595">
      <w:bodyDiv w:val="1"/>
      <w:marLeft w:val="0"/>
      <w:marRight w:val="0"/>
      <w:marTop w:val="0"/>
      <w:marBottom w:val="0"/>
      <w:divBdr>
        <w:top w:val="none" w:sz="0" w:space="0" w:color="auto"/>
        <w:left w:val="none" w:sz="0" w:space="0" w:color="auto"/>
        <w:bottom w:val="none" w:sz="0" w:space="0" w:color="auto"/>
        <w:right w:val="none" w:sz="0" w:space="0" w:color="auto"/>
      </w:divBdr>
    </w:div>
    <w:div w:id="772361122">
      <w:bodyDiv w:val="1"/>
      <w:marLeft w:val="0"/>
      <w:marRight w:val="0"/>
      <w:marTop w:val="0"/>
      <w:marBottom w:val="0"/>
      <w:divBdr>
        <w:top w:val="none" w:sz="0" w:space="0" w:color="auto"/>
        <w:left w:val="none" w:sz="0" w:space="0" w:color="auto"/>
        <w:bottom w:val="none" w:sz="0" w:space="0" w:color="auto"/>
        <w:right w:val="none" w:sz="0" w:space="0" w:color="auto"/>
      </w:divBdr>
    </w:div>
    <w:div w:id="780220063">
      <w:bodyDiv w:val="1"/>
      <w:marLeft w:val="0"/>
      <w:marRight w:val="0"/>
      <w:marTop w:val="0"/>
      <w:marBottom w:val="0"/>
      <w:divBdr>
        <w:top w:val="none" w:sz="0" w:space="0" w:color="auto"/>
        <w:left w:val="none" w:sz="0" w:space="0" w:color="auto"/>
        <w:bottom w:val="none" w:sz="0" w:space="0" w:color="auto"/>
        <w:right w:val="none" w:sz="0" w:space="0" w:color="auto"/>
      </w:divBdr>
      <w:divsChild>
        <w:div w:id="323707762">
          <w:marLeft w:val="0"/>
          <w:marRight w:val="0"/>
          <w:marTop w:val="0"/>
          <w:marBottom w:val="0"/>
          <w:divBdr>
            <w:top w:val="none" w:sz="0" w:space="0" w:color="auto"/>
            <w:left w:val="none" w:sz="0" w:space="0" w:color="auto"/>
            <w:bottom w:val="none" w:sz="0" w:space="0" w:color="auto"/>
            <w:right w:val="none" w:sz="0" w:space="0" w:color="auto"/>
          </w:divBdr>
        </w:div>
      </w:divsChild>
    </w:div>
    <w:div w:id="802424128">
      <w:bodyDiv w:val="1"/>
      <w:marLeft w:val="0"/>
      <w:marRight w:val="0"/>
      <w:marTop w:val="0"/>
      <w:marBottom w:val="0"/>
      <w:divBdr>
        <w:top w:val="none" w:sz="0" w:space="0" w:color="auto"/>
        <w:left w:val="none" w:sz="0" w:space="0" w:color="auto"/>
        <w:bottom w:val="none" w:sz="0" w:space="0" w:color="auto"/>
        <w:right w:val="none" w:sz="0" w:space="0" w:color="auto"/>
      </w:divBdr>
      <w:divsChild>
        <w:div w:id="1168400268">
          <w:marLeft w:val="0"/>
          <w:marRight w:val="0"/>
          <w:marTop w:val="0"/>
          <w:marBottom w:val="0"/>
          <w:divBdr>
            <w:top w:val="none" w:sz="0" w:space="0" w:color="auto"/>
            <w:left w:val="none" w:sz="0" w:space="0" w:color="auto"/>
            <w:bottom w:val="none" w:sz="0" w:space="0" w:color="auto"/>
            <w:right w:val="none" w:sz="0" w:space="0" w:color="auto"/>
          </w:divBdr>
        </w:div>
      </w:divsChild>
    </w:div>
    <w:div w:id="832262822">
      <w:bodyDiv w:val="1"/>
      <w:marLeft w:val="0"/>
      <w:marRight w:val="0"/>
      <w:marTop w:val="0"/>
      <w:marBottom w:val="0"/>
      <w:divBdr>
        <w:top w:val="none" w:sz="0" w:space="0" w:color="auto"/>
        <w:left w:val="none" w:sz="0" w:space="0" w:color="auto"/>
        <w:bottom w:val="none" w:sz="0" w:space="0" w:color="auto"/>
        <w:right w:val="none" w:sz="0" w:space="0" w:color="auto"/>
      </w:divBdr>
    </w:div>
    <w:div w:id="848374707">
      <w:bodyDiv w:val="1"/>
      <w:marLeft w:val="0"/>
      <w:marRight w:val="0"/>
      <w:marTop w:val="0"/>
      <w:marBottom w:val="0"/>
      <w:divBdr>
        <w:top w:val="none" w:sz="0" w:space="0" w:color="auto"/>
        <w:left w:val="none" w:sz="0" w:space="0" w:color="auto"/>
        <w:bottom w:val="none" w:sz="0" w:space="0" w:color="auto"/>
        <w:right w:val="none" w:sz="0" w:space="0" w:color="auto"/>
      </w:divBdr>
      <w:divsChild>
        <w:div w:id="659818634">
          <w:marLeft w:val="0"/>
          <w:marRight w:val="0"/>
          <w:marTop w:val="0"/>
          <w:marBottom w:val="0"/>
          <w:divBdr>
            <w:top w:val="none" w:sz="0" w:space="0" w:color="auto"/>
            <w:left w:val="none" w:sz="0" w:space="0" w:color="auto"/>
            <w:bottom w:val="none" w:sz="0" w:space="0" w:color="auto"/>
            <w:right w:val="none" w:sz="0" w:space="0" w:color="auto"/>
          </w:divBdr>
        </w:div>
      </w:divsChild>
    </w:div>
    <w:div w:id="850221907">
      <w:bodyDiv w:val="1"/>
      <w:marLeft w:val="0"/>
      <w:marRight w:val="0"/>
      <w:marTop w:val="0"/>
      <w:marBottom w:val="0"/>
      <w:divBdr>
        <w:top w:val="none" w:sz="0" w:space="0" w:color="auto"/>
        <w:left w:val="none" w:sz="0" w:space="0" w:color="auto"/>
        <w:bottom w:val="none" w:sz="0" w:space="0" w:color="auto"/>
        <w:right w:val="none" w:sz="0" w:space="0" w:color="auto"/>
      </w:divBdr>
    </w:div>
    <w:div w:id="893932807">
      <w:bodyDiv w:val="1"/>
      <w:marLeft w:val="0"/>
      <w:marRight w:val="0"/>
      <w:marTop w:val="0"/>
      <w:marBottom w:val="0"/>
      <w:divBdr>
        <w:top w:val="none" w:sz="0" w:space="0" w:color="auto"/>
        <w:left w:val="none" w:sz="0" w:space="0" w:color="auto"/>
        <w:bottom w:val="none" w:sz="0" w:space="0" w:color="auto"/>
        <w:right w:val="none" w:sz="0" w:space="0" w:color="auto"/>
      </w:divBdr>
      <w:divsChild>
        <w:div w:id="1653026991">
          <w:marLeft w:val="0"/>
          <w:marRight w:val="0"/>
          <w:marTop w:val="0"/>
          <w:marBottom w:val="0"/>
          <w:divBdr>
            <w:top w:val="none" w:sz="0" w:space="0" w:color="auto"/>
            <w:left w:val="none" w:sz="0" w:space="0" w:color="auto"/>
            <w:bottom w:val="none" w:sz="0" w:space="0" w:color="auto"/>
            <w:right w:val="none" w:sz="0" w:space="0" w:color="auto"/>
          </w:divBdr>
        </w:div>
      </w:divsChild>
    </w:div>
    <w:div w:id="902181850">
      <w:bodyDiv w:val="1"/>
      <w:marLeft w:val="0"/>
      <w:marRight w:val="0"/>
      <w:marTop w:val="0"/>
      <w:marBottom w:val="0"/>
      <w:divBdr>
        <w:top w:val="none" w:sz="0" w:space="0" w:color="auto"/>
        <w:left w:val="none" w:sz="0" w:space="0" w:color="auto"/>
        <w:bottom w:val="none" w:sz="0" w:space="0" w:color="auto"/>
        <w:right w:val="none" w:sz="0" w:space="0" w:color="auto"/>
      </w:divBdr>
      <w:divsChild>
        <w:div w:id="1771969322">
          <w:marLeft w:val="0"/>
          <w:marRight w:val="0"/>
          <w:marTop w:val="0"/>
          <w:marBottom w:val="0"/>
          <w:divBdr>
            <w:top w:val="none" w:sz="0" w:space="0" w:color="auto"/>
            <w:left w:val="none" w:sz="0" w:space="0" w:color="auto"/>
            <w:bottom w:val="none" w:sz="0" w:space="0" w:color="auto"/>
            <w:right w:val="none" w:sz="0" w:space="0" w:color="auto"/>
          </w:divBdr>
        </w:div>
      </w:divsChild>
    </w:div>
    <w:div w:id="905185477">
      <w:bodyDiv w:val="1"/>
      <w:marLeft w:val="0"/>
      <w:marRight w:val="0"/>
      <w:marTop w:val="0"/>
      <w:marBottom w:val="0"/>
      <w:divBdr>
        <w:top w:val="none" w:sz="0" w:space="0" w:color="auto"/>
        <w:left w:val="none" w:sz="0" w:space="0" w:color="auto"/>
        <w:bottom w:val="none" w:sz="0" w:space="0" w:color="auto"/>
        <w:right w:val="none" w:sz="0" w:space="0" w:color="auto"/>
      </w:divBdr>
      <w:divsChild>
        <w:div w:id="1322269021">
          <w:marLeft w:val="0"/>
          <w:marRight w:val="0"/>
          <w:marTop w:val="0"/>
          <w:marBottom w:val="0"/>
          <w:divBdr>
            <w:top w:val="none" w:sz="0" w:space="0" w:color="auto"/>
            <w:left w:val="none" w:sz="0" w:space="0" w:color="auto"/>
            <w:bottom w:val="none" w:sz="0" w:space="0" w:color="auto"/>
            <w:right w:val="none" w:sz="0" w:space="0" w:color="auto"/>
          </w:divBdr>
        </w:div>
      </w:divsChild>
    </w:div>
    <w:div w:id="915283834">
      <w:bodyDiv w:val="1"/>
      <w:marLeft w:val="0"/>
      <w:marRight w:val="0"/>
      <w:marTop w:val="0"/>
      <w:marBottom w:val="0"/>
      <w:divBdr>
        <w:top w:val="none" w:sz="0" w:space="0" w:color="auto"/>
        <w:left w:val="none" w:sz="0" w:space="0" w:color="auto"/>
        <w:bottom w:val="none" w:sz="0" w:space="0" w:color="auto"/>
        <w:right w:val="none" w:sz="0" w:space="0" w:color="auto"/>
      </w:divBdr>
    </w:div>
    <w:div w:id="929042582">
      <w:bodyDiv w:val="1"/>
      <w:marLeft w:val="0"/>
      <w:marRight w:val="0"/>
      <w:marTop w:val="0"/>
      <w:marBottom w:val="0"/>
      <w:divBdr>
        <w:top w:val="none" w:sz="0" w:space="0" w:color="auto"/>
        <w:left w:val="none" w:sz="0" w:space="0" w:color="auto"/>
        <w:bottom w:val="none" w:sz="0" w:space="0" w:color="auto"/>
        <w:right w:val="none" w:sz="0" w:space="0" w:color="auto"/>
      </w:divBdr>
    </w:div>
    <w:div w:id="938410507">
      <w:bodyDiv w:val="1"/>
      <w:marLeft w:val="0"/>
      <w:marRight w:val="0"/>
      <w:marTop w:val="0"/>
      <w:marBottom w:val="0"/>
      <w:divBdr>
        <w:top w:val="none" w:sz="0" w:space="0" w:color="auto"/>
        <w:left w:val="none" w:sz="0" w:space="0" w:color="auto"/>
        <w:bottom w:val="none" w:sz="0" w:space="0" w:color="auto"/>
        <w:right w:val="none" w:sz="0" w:space="0" w:color="auto"/>
      </w:divBdr>
    </w:div>
    <w:div w:id="940145849">
      <w:bodyDiv w:val="1"/>
      <w:marLeft w:val="0"/>
      <w:marRight w:val="0"/>
      <w:marTop w:val="0"/>
      <w:marBottom w:val="0"/>
      <w:divBdr>
        <w:top w:val="none" w:sz="0" w:space="0" w:color="auto"/>
        <w:left w:val="none" w:sz="0" w:space="0" w:color="auto"/>
        <w:bottom w:val="none" w:sz="0" w:space="0" w:color="auto"/>
        <w:right w:val="none" w:sz="0" w:space="0" w:color="auto"/>
      </w:divBdr>
      <w:divsChild>
        <w:div w:id="1902716345">
          <w:marLeft w:val="0"/>
          <w:marRight w:val="0"/>
          <w:marTop w:val="0"/>
          <w:marBottom w:val="0"/>
          <w:divBdr>
            <w:top w:val="none" w:sz="0" w:space="0" w:color="auto"/>
            <w:left w:val="none" w:sz="0" w:space="0" w:color="auto"/>
            <w:bottom w:val="none" w:sz="0" w:space="0" w:color="auto"/>
            <w:right w:val="none" w:sz="0" w:space="0" w:color="auto"/>
          </w:divBdr>
        </w:div>
      </w:divsChild>
    </w:div>
    <w:div w:id="948974802">
      <w:bodyDiv w:val="1"/>
      <w:marLeft w:val="0"/>
      <w:marRight w:val="0"/>
      <w:marTop w:val="0"/>
      <w:marBottom w:val="0"/>
      <w:divBdr>
        <w:top w:val="none" w:sz="0" w:space="0" w:color="auto"/>
        <w:left w:val="none" w:sz="0" w:space="0" w:color="auto"/>
        <w:bottom w:val="none" w:sz="0" w:space="0" w:color="auto"/>
        <w:right w:val="none" w:sz="0" w:space="0" w:color="auto"/>
      </w:divBdr>
      <w:divsChild>
        <w:div w:id="688484164">
          <w:marLeft w:val="0"/>
          <w:marRight w:val="0"/>
          <w:marTop w:val="0"/>
          <w:marBottom w:val="0"/>
          <w:divBdr>
            <w:top w:val="none" w:sz="0" w:space="0" w:color="auto"/>
            <w:left w:val="none" w:sz="0" w:space="0" w:color="auto"/>
            <w:bottom w:val="none" w:sz="0" w:space="0" w:color="auto"/>
            <w:right w:val="none" w:sz="0" w:space="0" w:color="auto"/>
          </w:divBdr>
        </w:div>
      </w:divsChild>
    </w:div>
    <w:div w:id="960721256">
      <w:bodyDiv w:val="1"/>
      <w:marLeft w:val="0"/>
      <w:marRight w:val="0"/>
      <w:marTop w:val="0"/>
      <w:marBottom w:val="0"/>
      <w:divBdr>
        <w:top w:val="none" w:sz="0" w:space="0" w:color="auto"/>
        <w:left w:val="none" w:sz="0" w:space="0" w:color="auto"/>
        <w:bottom w:val="none" w:sz="0" w:space="0" w:color="auto"/>
        <w:right w:val="none" w:sz="0" w:space="0" w:color="auto"/>
      </w:divBdr>
      <w:divsChild>
        <w:div w:id="2096053801">
          <w:marLeft w:val="0"/>
          <w:marRight w:val="0"/>
          <w:marTop w:val="0"/>
          <w:marBottom w:val="0"/>
          <w:divBdr>
            <w:top w:val="none" w:sz="0" w:space="0" w:color="auto"/>
            <w:left w:val="none" w:sz="0" w:space="0" w:color="auto"/>
            <w:bottom w:val="none" w:sz="0" w:space="0" w:color="auto"/>
            <w:right w:val="none" w:sz="0" w:space="0" w:color="auto"/>
          </w:divBdr>
        </w:div>
      </w:divsChild>
    </w:div>
    <w:div w:id="967056195">
      <w:bodyDiv w:val="1"/>
      <w:marLeft w:val="0"/>
      <w:marRight w:val="0"/>
      <w:marTop w:val="0"/>
      <w:marBottom w:val="0"/>
      <w:divBdr>
        <w:top w:val="none" w:sz="0" w:space="0" w:color="auto"/>
        <w:left w:val="none" w:sz="0" w:space="0" w:color="auto"/>
        <w:bottom w:val="none" w:sz="0" w:space="0" w:color="auto"/>
        <w:right w:val="none" w:sz="0" w:space="0" w:color="auto"/>
      </w:divBdr>
      <w:divsChild>
        <w:div w:id="1086462055">
          <w:marLeft w:val="0"/>
          <w:marRight w:val="0"/>
          <w:marTop w:val="0"/>
          <w:marBottom w:val="0"/>
          <w:divBdr>
            <w:top w:val="none" w:sz="0" w:space="0" w:color="auto"/>
            <w:left w:val="none" w:sz="0" w:space="0" w:color="auto"/>
            <w:bottom w:val="none" w:sz="0" w:space="0" w:color="auto"/>
            <w:right w:val="none" w:sz="0" w:space="0" w:color="auto"/>
          </w:divBdr>
        </w:div>
      </w:divsChild>
    </w:div>
    <w:div w:id="969555744">
      <w:bodyDiv w:val="1"/>
      <w:marLeft w:val="0"/>
      <w:marRight w:val="0"/>
      <w:marTop w:val="0"/>
      <w:marBottom w:val="0"/>
      <w:divBdr>
        <w:top w:val="none" w:sz="0" w:space="0" w:color="auto"/>
        <w:left w:val="none" w:sz="0" w:space="0" w:color="auto"/>
        <w:bottom w:val="none" w:sz="0" w:space="0" w:color="auto"/>
        <w:right w:val="none" w:sz="0" w:space="0" w:color="auto"/>
      </w:divBdr>
      <w:divsChild>
        <w:div w:id="1515880181">
          <w:marLeft w:val="0"/>
          <w:marRight w:val="0"/>
          <w:marTop w:val="0"/>
          <w:marBottom w:val="0"/>
          <w:divBdr>
            <w:top w:val="none" w:sz="0" w:space="0" w:color="auto"/>
            <w:left w:val="none" w:sz="0" w:space="0" w:color="auto"/>
            <w:bottom w:val="none" w:sz="0" w:space="0" w:color="auto"/>
            <w:right w:val="none" w:sz="0" w:space="0" w:color="auto"/>
          </w:divBdr>
        </w:div>
      </w:divsChild>
    </w:div>
    <w:div w:id="990520927">
      <w:bodyDiv w:val="1"/>
      <w:marLeft w:val="0"/>
      <w:marRight w:val="0"/>
      <w:marTop w:val="0"/>
      <w:marBottom w:val="0"/>
      <w:divBdr>
        <w:top w:val="none" w:sz="0" w:space="0" w:color="auto"/>
        <w:left w:val="none" w:sz="0" w:space="0" w:color="auto"/>
        <w:bottom w:val="none" w:sz="0" w:space="0" w:color="auto"/>
        <w:right w:val="none" w:sz="0" w:space="0" w:color="auto"/>
      </w:divBdr>
      <w:divsChild>
        <w:div w:id="992299615">
          <w:marLeft w:val="0"/>
          <w:marRight w:val="0"/>
          <w:marTop w:val="0"/>
          <w:marBottom w:val="0"/>
          <w:divBdr>
            <w:top w:val="none" w:sz="0" w:space="0" w:color="auto"/>
            <w:left w:val="none" w:sz="0" w:space="0" w:color="auto"/>
            <w:bottom w:val="none" w:sz="0" w:space="0" w:color="auto"/>
            <w:right w:val="none" w:sz="0" w:space="0" w:color="auto"/>
          </w:divBdr>
        </w:div>
      </w:divsChild>
    </w:div>
    <w:div w:id="1002126628">
      <w:bodyDiv w:val="1"/>
      <w:marLeft w:val="0"/>
      <w:marRight w:val="0"/>
      <w:marTop w:val="0"/>
      <w:marBottom w:val="0"/>
      <w:divBdr>
        <w:top w:val="none" w:sz="0" w:space="0" w:color="auto"/>
        <w:left w:val="none" w:sz="0" w:space="0" w:color="auto"/>
        <w:bottom w:val="none" w:sz="0" w:space="0" w:color="auto"/>
        <w:right w:val="none" w:sz="0" w:space="0" w:color="auto"/>
      </w:divBdr>
      <w:divsChild>
        <w:div w:id="1795830766">
          <w:marLeft w:val="0"/>
          <w:marRight w:val="0"/>
          <w:marTop w:val="0"/>
          <w:marBottom w:val="0"/>
          <w:divBdr>
            <w:top w:val="none" w:sz="0" w:space="0" w:color="auto"/>
            <w:left w:val="none" w:sz="0" w:space="0" w:color="auto"/>
            <w:bottom w:val="none" w:sz="0" w:space="0" w:color="auto"/>
            <w:right w:val="none" w:sz="0" w:space="0" w:color="auto"/>
          </w:divBdr>
        </w:div>
      </w:divsChild>
    </w:div>
    <w:div w:id="1002127762">
      <w:bodyDiv w:val="1"/>
      <w:marLeft w:val="0"/>
      <w:marRight w:val="0"/>
      <w:marTop w:val="0"/>
      <w:marBottom w:val="0"/>
      <w:divBdr>
        <w:top w:val="none" w:sz="0" w:space="0" w:color="auto"/>
        <w:left w:val="none" w:sz="0" w:space="0" w:color="auto"/>
        <w:bottom w:val="none" w:sz="0" w:space="0" w:color="auto"/>
        <w:right w:val="none" w:sz="0" w:space="0" w:color="auto"/>
      </w:divBdr>
      <w:divsChild>
        <w:div w:id="2130539723">
          <w:marLeft w:val="0"/>
          <w:marRight w:val="0"/>
          <w:marTop w:val="0"/>
          <w:marBottom w:val="0"/>
          <w:divBdr>
            <w:top w:val="none" w:sz="0" w:space="0" w:color="auto"/>
            <w:left w:val="none" w:sz="0" w:space="0" w:color="auto"/>
            <w:bottom w:val="none" w:sz="0" w:space="0" w:color="auto"/>
            <w:right w:val="none" w:sz="0" w:space="0" w:color="auto"/>
          </w:divBdr>
        </w:div>
      </w:divsChild>
    </w:div>
    <w:div w:id="1011302954">
      <w:bodyDiv w:val="1"/>
      <w:marLeft w:val="0"/>
      <w:marRight w:val="0"/>
      <w:marTop w:val="0"/>
      <w:marBottom w:val="0"/>
      <w:divBdr>
        <w:top w:val="none" w:sz="0" w:space="0" w:color="auto"/>
        <w:left w:val="none" w:sz="0" w:space="0" w:color="auto"/>
        <w:bottom w:val="none" w:sz="0" w:space="0" w:color="auto"/>
        <w:right w:val="none" w:sz="0" w:space="0" w:color="auto"/>
      </w:divBdr>
      <w:divsChild>
        <w:div w:id="1880240550">
          <w:marLeft w:val="0"/>
          <w:marRight w:val="0"/>
          <w:marTop w:val="0"/>
          <w:marBottom w:val="0"/>
          <w:divBdr>
            <w:top w:val="none" w:sz="0" w:space="0" w:color="auto"/>
            <w:left w:val="none" w:sz="0" w:space="0" w:color="auto"/>
            <w:bottom w:val="none" w:sz="0" w:space="0" w:color="auto"/>
            <w:right w:val="none" w:sz="0" w:space="0" w:color="auto"/>
          </w:divBdr>
        </w:div>
      </w:divsChild>
    </w:div>
    <w:div w:id="1012338255">
      <w:bodyDiv w:val="1"/>
      <w:marLeft w:val="0"/>
      <w:marRight w:val="0"/>
      <w:marTop w:val="0"/>
      <w:marBottom w:val="0"/>
      <w:divBdr>
        <w:top w:val="none" w:sz="0" w:space="0" w:color="auto"/>
        <w:left w:val="none" w:sz="0" w:space="0" w:color="auto"/>
        <w:bottom w:val="none" w:sz="0" w:space="0" w:color="auto"/>
        <w:right w:val="none" w:sz="0" w:space="0" w:color="auto"/>
      </w:divBdr>
      <w:divsChild>
        <w:div w:id="1434009783">
          <w:marLeft w:val="0"/>
          <w:marRight w:val="0"/>
          <w:marTop w:val="0"/>
          <w:marBottom w:val="0"/>
          <w:divBdr>
            <w:top w:val="none" w:sz="0" w:space="0" w:color="auto"/>
            <w:left w:val="none" w:sz="0" w:space="0" w:color="auto"/>
            <w:bottom w:val="none" w:sz="0" w:space="0" w:color="auto"/>
            <w:right w:val="none" w:sz="0" w:space="0" w:color="auto"/>
          </w:divBdr>
        </w:div>
      </w:divsChild>
    </w:div>
    <w:div w:id="1013916160">
      <w:bodyDiv w:val="1"/>
      <w:marLeft w:val="0"/>
      <w:marRight w:val="0"/>
      <w:marTop w:val="0"/>
      <w:marBottom w:val="0"/>
      <w:divBdr>
        <w:top w:val="none" w:sz="0" w:space="0" w:color="auto"/>
        <w:left w:val="none" w:sz="0" w:space="0" w:color="auto"/>
        <w:bottom w:val="none" w:sz="0" w:space="0" w:color="auto"/>
        <w:right w:val="none" w:sz="0" w:space="0" w:color="auto"/>
      </w:divBdr>
      <w:divsChild>
        <w:div w:id="876115844">
          <w:marLeft w:val="0"/>
          <w:marRight w:val="0"/>
          <w:marTop w:val="0"/>
          <w:marBottom w:val="0"/>
          <w:divBdr>
            <w:top w:val="none" w:sz="0" w:space="0" w:color="auto"/>
            <w:left w:val="none" w:sz="0" w:space="0" w:color="auto"/>
            <w:bottom w:val="none" w:sz="0" w:space="0" w:color="auto"/>
            <w:right w:val="none" w:sz="0" w:space="0" w:color="auto"/>
          </w:divBdr>
        </w:div>
      </w:divsChild>
    </w:div>
    <w:div w:id="1018233552">
      <w:bodyDiv w:val="1"/>
      <w:marLeft w:val="0"/>
      <w:marRight w:val="0"/>
      <w:marTop w:val="0"/>
      <w:marBottom w:val="0"/>
      <w:divBdr>
        <w:top w:val="none" w:sz="0" w:space="0" w:color="auto"/>
        <w:left w:val="none" w:sz="0" w:space="0" w:color="auto"/>
        <w:bottom w:val="none" w:sz="0" w:space="0" w:color="auto"/>
        <w:right w:val="none" w:sz="0" w:space="0" w:color="auto"/>
      </w:divBdr>
    </w:div>
    <w:div w:id="1034235956">
      <w:bodyDiv w:val="1"/>
      <w:marLeft w:val="0"/>
      <w:marRight w:val="0"/>
      <w:marTop w:val="0"/>
      <w:marBottom w:val="0"/>
      <w:divBdr>
        <w:top w:val="none" w:sz="0" w:space="0" w:color="auto"/>
        <w:left w:val="none" w:sz="0" w:space="0" w:color="auto"/>
        <w:bottom w:val="none" w:sz="0" w:space="0" w:color="auto"/>
        <w:right w:val="none" w:sz="0" w:space="0" w:color="auto"/>
      </w:divBdr>
    </w:div>
    <w:div w:id="1056977474">
      <w:bodyDiv w:val="1"/>
      <w:marLeft w:val="0"/>
      <w:marRight w:val="0"/>
      <w:marTop w:val="0"/>
      <w:marBottom w:val="0"/>
      <w:divBdr>
        <w:top w:val="none" w:sz="0" w:space="0" w:color="auto"/>
        <w:left w:val="none" w:sz="0" w:space="0" w:color="auto"/>
        <w:bottom w:val="none" w:sz="0" w:space="0" w:color="auto"/>
        <w:right w:val="none" w:sz="0" w:space="0" w:color="auto"/>
      </w:divBdr>
      <w:divsChild>
        <w:div w:id="1254588326">
          <w:marLeft w:val="0"/>
          <w:marRight w:val="0"/>
          <w:marTop w:val="0"/>
          <w:marBottom w:val="0"/>
          <w:divBdr>
            <w:top w:val="none" w:sz="0" w:space="0" w:color="auto"/>
            <w:left w:val="none" w:sz="0" w:space="0" w:color="auto"/>
            <w:bottom w:val="none" w:sz="0" w:space="0" w:color="auto"/>
            <w:right w:val="none" w:sz="0" w:space="0" w:color="auto"/>
          </w:divBdr>
        </w:div>
      </w:divsChild>
    </w:div>
    <w:div w:id="1068649287">
      <w:bodyDiv w:val="1"/>
      <w:marLeft w:val="0"/>
      <w:marRight w:val="0"/>
      <w:marTop w:val="0"/>
      <w:marBottom w:val="0"/>
      <w:divBdr>
        <w:top w:val="none" w:sz="0" w:space="0" w:color="auto"/>
        <w:left w:val="none" w:sz="0" w:space="0" w:color="auto"/>
        <w:bottom w:val="none" w:sz="0" w:space="0" w:color="auto"/>
        <w:right w:val="none" w:sz="0" w:space="0" w:color="auto"/>
      </w:divBdr>
    </w:div>
    <w:div w:id="1077821615">
      <w:bodyDiv w:val="1"/>
      <w:marLeft w:val="0"/>
      <w:marRight w:val="0"/>
      <w:marTop w:val="0"/>
      <w:marBottom w:val="0"/>
      <w:divBdr>
        <w:top w:val="none" w:sz="0" w:space="0" w:color="auto"/>
        <w:left w:val="none" w:sz="0" w:space="0" w:color="auto"/>
        <w:bottom w:val="none" w:sz="0" w:space="0" w:color="auto"/>
        <w:right w:val="none" w:sz="0" w:space="0" w:color="auto"/>
      </w:divBdr>
    </w:div>
    <w:div w:id="1082336832">
      <w:bodyDiv w:val="1"/>
      <w:marLeft w:val="0"/>
      <w:marRight w:val="0"/>
      <w:marTop w:val="0"/>
      <w:marBottom w:val="0"/>
      <w:divBdr>
        <w:top w:val="none" w:sz="0" w:space="0" w:color="auto"/>
        <w:left w:val="none" w:sz="0" w:space="0" w:color="auto"/>
        <w:bottom w:val="none" w:sz="0" w:space="0" w:color="auto"/>
        <w:right w:val="none" w:sz="0" w:space="0" w:color="auto"/>
      </w:divBdr>
    </w:div>
    <w:div w:id="1093628605">
      <w:bodyDiv w:val="1"/>
      <w:marLeft w:val="0"/>
      <w:marRight w:val="0"/>
      <w:marTop w:val="0"/>
      <w:marBottom w:val="0"/>
      <w:divBdr>
        <w:top w:val="none" w:sz="0" w:space="0" w:color="auto"/>
        <w:left w:val="none" w:sz="0" w:space="0" w:color="auto"/>
        <w:bottom w:val="none" w:sz="0" w:space="0" w:color="auto"/>
        <w:right w:val="none" w:sz="0" w:space="0" w:color="auto"/>
      </w:divBdr>
      <w:divsChild>
        <w:div w:id="87241757">
          <w:marLeft w:val="0"/>
          <w:marRight w:val="0"/>
          <w:marTop w:val="0"/>
          <w:marBottom w:val="0"/>
          <w:divBdr>
            <w:top w:val="none" w:sz="0" w:space="0" w:color="auto"/>
            <w:left w:val="none" w:sz="0" w:space="0" w:color="auto"/>
            <w:bottom w:val="none" w:sz="0" w:space="0" w:color="auto"/>
            <w:right w:val="none" w:sz="0" w:space="0" w:color="auto"/>
          </w:divBdr>
        </w:div>
      </w:divsChild>
    </w:div>
    <w:div w:id="1106073318">
      <w:bodyDiv w:val="1"/>
      <w:marLeft w:val="0"/>
      <w:marRight w:val="0"/>
      <w:marTop w:val="0"/>
      <w:marBottom w:val="0"/>
      <w:divBdr>
        <w:top w:val="none" w:sz="0" w:space="0" w:color="auto"/>
        <w:left w:val="none" w:sz="0" w:space="0" w:color="auto"/>
        <w:bottom w:val="none" w:sz="0" w:space="0" w:color="auto"/>
        <w:right w:val="none" w:sz="0" w:space="0" w:color="auto"/>
      </w:divBdr>
      <w:divsChild>
        <w:div w:id="1136221109">
          <w:marLeft w:val="0"/>
          <w:marRight w:val="0"/>
          <w:marTop w:val="0"/>
          <w:marBottom w:val="0"/>
          <w:divBdr>
            <w:top w:val="none" w:sz="0" w:space="0" w:color="auto"/>
            <w:left w:val="none" w:sz="0" w:space="0" w:color="auto"/>
            <w:bottom w:val="none" w:sz="0" w:space="0" w:color="auto"/>
            <w:right w:val="none" w:sz="0" w:space="0" w:color="auto"/>
          </w:divBdr>
        </w:div>
      </w:divsChild>
    </w:div>
    <w:div w:id="1120104726">
      <w:bodyDiv w:val="1"/>
      <w:marLeft w:val="0"/>
      <w:marRight w:val="0"/>
      <w:marTop w:val="0"/>
      <w:marBottom w:val="0"/>
      <w:divBdr>
        <w:top w:val="none" w:sz="0" w:space="0" w:color="auto"/>
        <w:left w:val="none" w:sz="0" w:space="0" w:color="auto"/>
        <w:bottom w:val="none" w:sz="0" w:space="0" w:color="auto"/>
        <w:right w:val="none" w:sz="0" w:space="0" w:color="auto"/>
      </w:divBdr>
    </w:div>
    <w:div w:id="1121613030">
      <w:bodyDiv w:val="1"/>
      <w:marLeft w:val="0"/>
      <w:marRight w:val="0"/>
      <w:marTop w:val="0"/>
      <w:marBottom w:val="0"/>
      <w:divBdr>
        <w:top w:val="none" w:sz="0" w:space="0" w:color="auto"/>
        <w:left w:val="none" w:sz="0" w:space="0" w:color="auto"/>
        <w:bottom w:val="none" w:sz="0" w:space="0" w:color="auto"/>
        <w:right w:val="none" w:sz="0" w:space="0" w:color="auto"/>
      </w:divBdr>
    </w:div>
    <w:div w:id="1122769847">
      <w:bodyDiv w:val="1"/>
      <w:marLeft w:val="0"/>
      <w:marRight w:val="0"/>
      <w:marTop w:val="0"/>
      <w:marBottom w:val="0"/>
      <w:divBdr>
        <w:top w:val="none" w:sz="0" w:space="0" w:color="auto"/>
        <w:left w:val="none" w:sz="0" w:space="0" w:color="auto"/>
        <w:bottom w:val="none" w:sz="0" w:space="0" w:color="auto"/>
        <w:right w:val="none" w:sz="0" w:space="0" w:color="auto"/>
      </w:divBdr>
      <w:divsChild>
        <w:div w:id="1849327290">
          <w:marLeft w:val="0"/>
          <w:marRight w:val="0"/>
          <w:marTop w:val="0"/>
          <w:marBottom w:val="0"/>
          <w:divBdr>
            <w:top w:val="none" w:sz="0" w:space="0" w:color="auto"/>
            <w:left w:val="none" w:sz="0" w:space="0" w:color="auto"/>
            <w:bottom w:val="none" w:sz="0" w:space="0" w:color="auto"/>
            <w:right w:val="none" w:sz="0" w:space="0" w:color="auto"/>
          </w:divBdr>
        </w:div>
      </w:divsChild>
    </w:div>
    <w:div w:id="1131946859">
      <w:bodyDiv w:val="1"/>
      <w:marLeft w:val="0"/>
      <w:marRight w:val="0"/>
      <w:marTop w:val="0"/>
      <w:marBottom w:val="0"/>
      <w:divBdr>
        <w:top w:val="none" w:sz="0" w:space="0" w:color="auto"/>
        <w:left w:val="none" w:sz="0" w:space="0" w:color="auto"/>
        <w:bottom w:val="none" w:sz="0" w:space="0" w:color="auto"/>
        <w:right w:val="none" w:sz="0" w:space="0" w:color="auto"/>
      </w:divBdr>
    </w:div>
    <w:div w:id="1132361408">
      <w:bodyDiv w:val="1"/>
      <w:marLeft w:val="0"/>
      <w:marRight w:val="0"/>
      <w:marTop w:val="0"/>
      <w:marBottom w:val="0"/>
      <w:divBdr>
        <w:top w:val="none" w:sz="0" w:space="0" w:color="auto"/>
        <w:left w:val="none" w:sz="0" w:space="0" w:color="auto"/>
        <w:bottom w:val="none" w:sz="0" w:space="0" w:color="auto"/>
        <w:right w:val="none" w:sz="0" w:space="0" w:color="auto"/>
      </w:divBdr>
    </w:div>
    <w:div w:id="1150515464">
      <w:bodyDiv w:val="1"/>
      <w:marLeft w:val="0"/>
      <w:marRight w:val="0"/>
      <w:marTop w:val="0"/>
      <w:marBottom w:val="0"/>
      <w:divBdr>
        <w:top w:val="none" w:sz="0" w:space="0" w:color="auto"/>
        <w:left w:val="none" w:sz="0" w:space="0" w:color="auto"/>
        <w:bottom w:val="none" w:sz="0" w:space="0" w:color="auto"/>
        <w:right w:val="none" w:sz="0" w:space="0" w:color="auto"/>
      </w:divBdr>
      <w:divsChild>
        <w:div w:id="1988699394">
          <w:marLeft w:val="0"/>
          <w:marRight w:val="0"/>
          <w:marTop w:val="0"/>
          <w:marBottom w:val="0"/>
          <w:divBdr>
            <w:top w:val="none" w:sz="0" w:space="0" w:color="auto"/>
            <w:left w:val="none" w:sz="0" w:space="0" w:color="auto"/>
            <w:bottom w:val="none" w:sz="0" w:space="0" w:color="auto"/>
            <w:right w:val="none" w:sz="0" w:space="0" w:color="auto"/>
          </w:divBdr>
        </w:div>
      </w:divsChild>
    </w:div>
    <w:div w:id="1188719816">
      <w:bodyDiv w:val="1"/>
      <w:marLeft w:val="0"/>
      <w:marRight w:val="0"/>
      <w:marTop w:val="0"/>
      <w:marBottom w:val="0"/>
      <w:divBdr>
        <w:top w:val="none" w:sz="0" w:space="0" w:color="auto"/>
        <w:left w:val="none" w:sz="0" w:space="0" w:color="auto"/>
        <w:bottom w:val="none" w:sz="0" w:space="0" w:color="auto"/>
        <w:right w:val="none" w:sz="0" w:space="0" w:color="auto"/>
      </w:divBdr>
      <w:divsChild>
        <w:div w:id="73821514">
          <w:marLeft w:val="0"/>
          <w:marRight w:val="0"/>
          <w:marTop w:val="0"/>
          <w:marBottom w:val="0"/>
          <w:divBdr>
            <w:top w:val="none" w:sz="0" w:space="0" w:color="auto"/>
            <w:left w:val="none" w:sz="0" w:space="0" w:color="auto"/>
            <w:bottom w:val="none" w:sz="0" w:space="0" w:color="auto"/>
            <w:right w:val="none" w:sz="0" w:space="0" w:color="auto"/>
          </w:divBdr>
        </w:div>
      </w:divsChild>
    </w:div>
    <w:div w:id="1196041150">
      <w:bodyDiv w:val="1"/>
      <w:marLeft w:val="0"/>
      <w:marRight w:val="0"/>
      <w:marTop w:val="0"/>
      <w:marBottom w:val="0"/>
      <w:divBdr>
        <w:top w:val="none" w:sz="0" w:space="0" w:color="auto"/>
        <w:left w:val="none" w:sz="0" w:space="0" w:color="auto"/>
        <w:bottom w:val="none" w:sz="0" w:space="0" w:color="auto"/>
        <w:right w:val="none" w:sz="0" w:space="0" w:color="auto"/>
      </w:divBdr>
    </w:div>
    <w:div w:id="1234849960">
      <w:bodyDiv w:val="1"/>
      <w:marLeft w:val="0"/>
      <w:marRight w:val="0"/>
      <w:marTop w:val="0"/>
      <w:marBottom w:val="0"/>
      <w:divBdr>
        <w:top w:val="none" w:sz="0" w:space="0" w:color="auto"/>
        <w:left w:val="none" w:sz="0" w:space="0" w:color="auto"/>
        <w:bottom w:val="none" w:sz="0" w:space="0" w:color="auto"/>
        <w:right w:val="none" w:sz="0" w:space="0" w:color="auto"/>
      </w:divBdr>
      <w:divsChild>
        <w:div w:id="896822828">
          <w:marLeft w:val="0"/>
          <w:marRight w:val="0"/>
          <w:marTop w:val="0"/>
          <w:marBottom w:val="0"/>
          <w:divBdr>
            <w:top w:val="none" w:sz="0" w:space="0" w:color="auto"/>
            <w:left w:val="none" w:sz="0" w:space="0" w:color="auto"/>
            <w:bottom w:val="none" w:sz="0" w:space="0" w:color="auto"/>
            <w:right w:val="none" w:sz="0" w:space="0" w:color="auto"/>
          </w:divBdr>
        </w:div>
      </w:divsChild>
    </w:div>
    <w:div w:id="1238129512">
      <w:bodyDiv w:val="1"/>
      <w:marLeft w:val="0"/>
      <w:marRight w:val="0"/>
      <w:marTop w:val="0"/>
      <w:marBottom w:val="0"/>
      <w:divBdr>
        <w:top w:val="none" w:sz="0" w:space="0" w:color="auto"/>
        <w:left w:val="none" w:sz="0" w:space="0" w:color="auto"/>
        <w:bottom w:val="none" w:sz="0" w:space="0" w:color="auto"/>
        <w:right w:val="none" w:sz="0" w:space="0" w:color="auto"/>
      </w:divBdr>
      <w:divsChild>
        <w:div w:id="1036275619">
          <w:marLeft w:val="0"/>
          <w:marRight w:val="0"/>
          <w:marTop w:val="0"/>
          <w:marBottom w:val="0"/>
          <w:divBdr>
            <w:top w:val="none" w:sz="0" w:space="0" w:color="auto"/>
            <w:left w:val="none" w:sz="0" w:space="0" w:color="auto"/>
            <w:bottom w:val="none" w:sz="0" w:space="0" w:color="auto"/>
            <w:right w:val="none" w:sz="0" w:space="0" w:color="auto"/>
          </w:divBdr>
        </w:div>
      </w:divsChild>
    </w:div>
    <w:div w:id="1247037232">
      <w:bodyDiv w:val="1"/>
      <w:marLeft w:val="0"/>
      <w:marRight w:val="0"/>
      <w:marTop w:val="0"/>
      <w:marBottom w:val="0"/>
      <w:divBdr>
        <w:top w:val="none" w:sz="0" w:space="0" w:color="auto"/>
        <w:left w:val="none" w:sz="0" w:space="0" w:color="auto"/>
        <w:bottom w:val="none" w:sz="0" w:space="0" w:color="auto"/>
        <w:right w:val="none" w:sz="0" w:space="0" w:color="auto"/>
      </w:divBdr>
      <w:divsChild>
        <w:div w:id="1320226705">
          <w:marLeft w:val="0"/>
          <w:marRight w:val="0"/>
          <w:marTop w:val="0"/>
          <w:marBottom w:val="0"/>
          <w:divBdr>
            <w:top w:val="none" w:sz="0" w:space="0" w:color="auto"/>
            <w:left w:val="none" w:sz="0" w:space="0" w:color="auto"/>
            <w:bottom w:val="none" w:sz="0" w:space="0" w:color="auto"/>
            <w:right w:val="none" w:sz="0" w:space="0" w:color="auto"/>
          </w:divBdr>
        </w:div>
      </w:divsChild>
    </w:div>
    <w:div w:id="1274559848">
      <w:bodyDiv w:val="1"/>
      <w:marLeft w:val="0"/>
      <w:marRight w:val="0"/>
      <w:marTop w:val="0"/>
      <w:marBottom w:val="0"/>
      <w:divBdr>
        <w:top w:val="none" w:sz="0" w:space="0" w:color="auto"/>
        <w:left w:val="none" w:sz="0" w:space="0" w:color="auto"/>
        <w:bottom w:val="none" w:sz="0" w:space="0" w:color="auto"/>
        <w:right w:val="none" w:sz="0" w:space="0" w:color="auto"/>
      </w:divBdr>
    </w:div>
    <w:div w:id="1301958893">
      <w:bodyDiv w:val="1"/>
      <w:marLeft w:val="0"/>
      <w:marRight w:val="0"/>
      <w:marTop w:val="0"/>
      <w:marBottom w:val="0"/>
      <w:divBdr>
        <w:top w:val="none" w:sz="0" w:space="0" w:color="auto"/>
        <w:left w:val="none" w:sz="0" w:space="0" w:color="auto"/>
        <w:bottom w:val="none" w:sz="0" w:space="0" w:color="auto"/>
        <w:right w:val="none" w:sz="0" w:space="0" w:color="auto"/>
      </w:divBdr>
      <w:divsChild>
        <w:div w:id="850490768">
          <w:marLeft w:val="0"/>
          <w:marRight w:val="0"/>
          <w:marTop w:val="0"/>
          <w:marBottom w:val="0"/>
          <w:divBdr>
            <w:top w:val="none" w:sz="0" w:space="0" w:color="auto"/>
            <w:left w:val="none" w:sz="0" w:space="0" w:color="auto"/>
            <w:bottom w:val="none" w:sz="0" w:space="0" w:color="auto"/>
            <w:right w:val="none" w:sz="0" w:space="0" w:color="auto"/>
          </w:divBdr>
        </w:div>
      </w:divsChild>
    </w:div>
    <w:div w:id="1310787967">
      <w:bodyDiv w:val="1"/>
      <w:marLeft w:val="0"/>
      <w:marRight w:val="0"/>
      <w:marTop w:val="0"/>
      <w:marBottom w:val="0"/>
      <w:divBdr>
        <w:top w:val="none" w:sz="0" w:space="0" w:color="auto"/>
        <w:left w:val="none" w:sz="0" w:space="0" w:color="auto"/>
        <w:bottom w:val="none" w:sz="0" w:space="0" w:color="auto"/>
        <w:right w:val="none" w:sz="0" w:space="0" w:color="auto"/>
      </w:divBdr>
      <w:divsChild>
        <w:div w:id="587887025">
          <w:marLeft w:val="0"/>
          <w:marRight w:val="0"/>
          <w:marTop w:val="0"/>
          <w:marBottom w:val="0"/>
          <w:divBdr>
            <w:top w:val="none" w:sz="0" w:space="0" w:color="auto"/>
            <w:left w:val="none" w:sz="0" w:space="0" w:color="auto"/>
            <w:bottom w:val="none" w:sz="0" w:space="0" w:color="auto"/>
            <w:right w:val="none" w:sz="0" w:space="0" w:color="auto"/>
          </w:divBdr>
        </w:div>
      </w:divsChild>
    </w:div>
    <w:div w:id="1311441232">
      <w:bodyDiv w:val="1"/>
      <w:marLeft w:val="0"/>
      <w:marRight w:val="0"/>
      <w:marTop w:val="0"/>
      <w:marBottom w:val="0"/>
      <w:divBdr>
        <w:top w:val="none" w:sz="0" w:space="0" w:color="auto"/>
        <w:left w:val="none" w:sz="0" w:space="0" w:color="auto"/>
        <w:bottom w:val="none" w:sz="0" w:space="0" w:color="auto"/>
        <w:right w:val="none" w:sz="0" w:space="0" w:color="auto"/>
      </w:divBdr>
    </w:div>
    <w:div w:id="1339118383">
      <w:bodyDiv w:val="1"/>
      <w:marLeft w:val="0"/>
      <w:marRight w:val="0"/>
      <w:marTop w:val="0"/>
      <w:marBottom w:val="0"/>
      <w:divBdr>
        <w:top w:val="none" w:sz="0" w:space="0" w:color="auto"/>
        <w:left w:val="none" w:sz="0" w:space="0" w:color="auto"/>
        <w:bottom w:val="none" w:sz="0" w:space="0" w:color="auto"/>
        <w:right w:val="none" w:sz="0" w:space="0" w:color="auto"/>
      </w:divBdr>
    </w:div>
    <w:div w:id="1356886676">
      <w:bodyDiv w:val="1"/>
      <w:marLeft w:val="0"/>
      <w:marRight w:val="0"/>
      <w:marTop w:val="0"/>
      <w:marBottom w:val="0"/>
      <w:divBdr>
        <w:top w:val="none" w:sz="0" w:space="0" w:color="auto"/>
        <w:left w:val="none" w:sz="0" w:space="0" w:color="auto"/>
        <w:bottom w:val="none" w:sz="0" w:space="0" w:color="auto"/>
        <w:right w:val="none" w:sz="0" w:space="0" w:color="auto"/>
      </w:divBdr>
    </w:div>
    <w:div w:id="1361932378">
      <w:bodyDiv w:val="1"/>
      <w:marLeft w:val="0"/>
      <w:marRight w:val="0"/>
      <w:marTop w:val="0"/>
      <w:marBottom w:val="0"/>
      <w:divBdr>
        <w:top w:val="none" w:sz="0" w:space="0" w:color="auto"/>
        <w:left w:val="none" w:sz="0" w:space="0" w:color="auto"/>
        <w:bottom w:val="none" w:sz="0" w:space="0" w:color="auto"/>
        <w:right w:val="none" w:sz="0" w:space="0" w:color="auto"/>
      </w:divBdr>
      <w:divsChild>
        <w:div w:id="2069650294">
          <w:marLeft w:val="0"/>
          <w:marRight w:val="0"/>
          <w:marTop w:val="0"/>
          <w:marBottom w:val="0"/>
          <w:divBdr>
            <w:top w:val="none" w:sz="0" w:space="0" w:color="auto"/>
            <w:left w:val="none" w:sz="0" w:space="0" w:color="auto"/>
            <w:bottom w:val="none" w:sz="0" w:space="0" w:color="auto"/>
            <w:right w:val="none" w:sz="0" w:space="0" w:color="auto"/>
          </w:divBdr>
        </w:div>
      </w:divsChild>
    </w:div>
    <w:div w:id="1364939534">
      <w:bodyDiv w:val="1"/>
      <w:marLeft w:val="0"/>
      <w:marRight w:val="0"/>
      <w:marTop w:val="0"/>
      <w:marBottom w:val="0"/>
      <w:divBdr>
        <w:top w:val="none" w:sz="0" w:space="0" w:color="auto"/>
        <w:left w:val="none" w:sz="0" w:space="0" w:color="auto"/>
        <w:bottom w:val="none" w:sz="0" w:space="0" w:color="auto"/>
        <w:right w:val="none" w:sz="0" w:space="0" w:color="auto"/>
      </w:divBdr>
      <w:divsChild>
        <w:div w:id="1985045336">
          <w:marLeft w:val="0"/>
          <w:marRight w:val="0"/>
          <w:marTop w:val="0"/>
          <w:marBottom w:val="0"/>
          <w:divBdr>
            <w:top w:val="none" w:sz="0" w:space="0" w:color="auto"/>
            <w:left w:val="none" w:sz="0" w:space="0" w:color="auto"/>
            <w:bottom w:val="none" w:sz="0" w:space="0" w:color="auto"/>
            <w:right w:val="none" w:sz="0" w:space="0" w:color="auto"/>
          </w:divBdr>
        </w:div>
      </w:divsChild>
    </w:div>
    <w:div w:id="1405180322">
      <w:bodyDiv w:val="1"/>
      <w:marLeft w:val="0"/>
      <w:marRight w:val="0"/>
      <w:marTop w:val="0"/>
      <w:marBottom w:val="0"/>
      <w:divBdr>
        <w:top w:val="none" w:sz="0" w:space="0" w:color="auto"/>
        <w:left w:val="none" w:sz="0" w:space="0" w:color="auto"/>
        <w:bottom w:val="none" w:sz="0" w:space="0" w:color="auto"/>
        <w:right w:val="none" w:sz="0" w:space="0" w:color="auto"/>
      </w:divBdr>
    </w:div>
    <w:div w:id="1416435755">
      <w:bodyDiv w:val="1"/>
      <w:marLeft w:val="0"/>
      <w:marRight w:val="0"/>
      <w:marTop w:val="0"/>
      <w:marBottom w:val="0"/>
      <w:divBdr>
        <w:top w:val="none" w:sz="0" w:space="0" w:color="auto"/>
        <w:left w:val="none" w:sz="0" w:space="0" w:color="auto"/>
        <w:bottom w:val="none" w:sz="0" w:space="0" w:color="auto"/>
        <w:right w:val="none" w:sz="0" w:space="0" w:color="auto"/>
      </w:divBdr>
      <w:divsChild>
        <w:div w:id="951715105">
          <w:marLeft w:val="0"/>
          <w:marRight w:val="0"/>
          <w:marTop w:val="0"/>
          <w:marBottom w:val="0"/>
          <w:divBdr>
            <w:top w:val="none" w:sz="0" w:space="0" w:color="auto"/>
            <w:left w:val="none" w:sz="0" w:space="0" w:color="auto"/>
            <w:bottom w:val="none" w:sz="0" w:space="0" w:color="auto"/>
            <w:right w:val="none" w:sz="0" w:space="0" w:color="auto"/>
          </w:divBdr>
        </w:div>
      </w:divsChild>
    </w:div>
    <w:div w:id="1417241259">
      <w:bodyDiv w:val="1"/>
      <w:marLeft w:val="0"/>
      <w:marRight w:val="0"/>
      <w:marTop w:val="0"/>
      <w:marBottom w:val="0"/>
      <w:divBdr>
        <w:top w:val="none" w:sz="0" w:space="0" w:color="auto"/>
        <w:left w:val="none" w:sz="0" w:space="0" w:color="auto"/>
        <w:bottom w:val="none" w:sz="0" w:space="0" w:color="auto"/>
        <w:right w:val="none" w:sz="0" w:space="0" w:color="auto"/>
      </w:divBdr>
      <w:divsChild>
        <w:div w:id="198667657">
          <w:marLeft w:val="0"/>
          <w:marRight w:val="0"/>
          <w:marTop w:val="0"/>
          <w:marBottom w:val="0"/>
          <w:divBdr>
            <w:top w:val="none" w:sz="0" w:space="0" w:color="auto"/>
            <w:left w:val="none" w:sz="0" w:space="0" w:color="auto"/>
            <w:bottom w:val="none" w:sz="0" w:space="0" w:color="auto"/>
            <w:right w:val="none" w:sz="0" w:space="0" w:color="auto"/>
          </w:divBdr>
        </w:div>
      </w:divsChild>
    </w:div>
    <w:div w:id="1436049776">
      <w:bodyDiv w:val="1"/>
      <w:marLeft w:val="0"/>
      <w:marRight w:val="0"/>
      <w:marTop w:val="0"/>
      <w:marBottom w:val="0"/>
      <w:divBdr>
        <w:top w:val="none" w:sz="0" w:space="0" w:color="auto"/>
        <w:left w:val="none" w:sz="0" w:space="0" w:color="auto"/>
        <w:bottom w:val="none" w:sz="0" w:space="0" w:color="auto"/>
        <w:right w:val="none" w:sz="0" w:space="0" w:color="auto"/>
      </w:divBdr>
    </w:div>
    <w:div w:id="1438864261">
      <w:bodyDiv w:val="1"/>
      <w:marLeft w:val="0"/>
      <w:marRight w:val="0"/>
      <w:marTop w:val="0"/>
      <w:marBottom w:val="0"/>
      <w:divBdr>
        <w:top w:val="none" w:sz="0" w:space="0" w:color="auto"/>
        <w:left w:val="none" w:sz="0" w:space="0" w:color="auto"/>
        <w:bottom w:val="none" w:sz="0" w:space="0" w:color="auto"/>
        <w:right w:val="none" w:sz="0" w:space="0" w:color="auto"/>
      </w:divBdr>
      <w:divsChild>
        <w:div w:id="1396463848">
          <w:marLeft w:val="0"/>
          <w:marRight w:val="0"/>
          <w:marTop w:val="0"/>
          <w:marBottom w:val="0"/>
          <w:divBdr>
            <w:top w:val="none" w:sz="0" w:space="0" w:color="auto"/>
            <w:left w:val="none" w:sz="0" w:space="0" w:color="auto"/>
            <w:bottom w:val="none" w:sz="0" w:space="0" w:color="auto"/>
            <w:right w:val="none" w:sz="0" w:space="0" w:color="auto"/>
          </w:divBdr>
        </w:div>
      </w:divsChild>
    </w:div>
    <w:div w:id="1456944892">
      <w:bodyDiv w:val="1"/>
      <w:marLeft w:val="0"/>
      <w:marRight w:val="0"/>
      <w:marTop w:val="0"/>
      <w:marBottom w:val="0"/>
      <w:divBdr>
        <w:top w:val="none" w:sz="0" w:space="0" w:color="auto"/>
        <w:left w:val="none" w:sz="0" w:space="0" w:color="auto"/>
        <w:bottom w:val="none" w:sz="0" w:space="0" w:color="auto"/>
        <w:right w:val="none" w:sz="0" w:space="0" w:color="auto"/>
      </w:divBdr>
    </w:div>
    <w:div w:id="1467239557">
      <w:bodyDiv w:val="1"/>
      <w:marLeft w:val="0"/>
      <w:marRight w:val="0"/>
      <w:marTop w:val="0"/>
      <w:marBottom w:val="0"/>
      <w:divBdr>
        <w:top w:val="none" w:sz="0" w:space="0" w:color="auto"/>
        <w:left w:val="none" w:sz="0" w:space="0" w:color="auto"/>
        <w:bottom w:val="none" w:sz="0" w:space="0" w:color="auto"/>
        <w:right w:val="none" w:sz="0" w:space="0" w:color="auto"/>
      </w:divBdr>
    </w:div>
    <w:div w:id="1467506517">
      <w:bodyDiv w:val="1"/>
      <w:marLeft w:val="0"/>
      <w:marRight w:val="0"/>
      <w:marTop w:val="0"/>
      <w:marBottom w:val="0"/>
      <w:divBdr>
        <w:top w:val="none" w:sz="0" w:space="0" w:color="auto"/>
        <w:left w:val="none" w:sz="0" w:space="0" w:color="auto"/>
        <w:bottom w:val="none" w:sz="0" w:space="0" w:color="auto"/>
        <w:right w:val="none" w:sz="0" w:space="0" w:color="auto"/>
      </w:divBdr>
      <w:divsChild>
        <w:div w:id="2099669215">
          <w:marLeft w:val="0"/>
          <w:marRight w:val="0"/>
          <w:marTop w:val="0"/>
          <w:marBottom w:val="0"/>
          <w:divBdr>
            <w:top w:val="none" w:sz="0" w:space="0" w:color="auto"/>
            <w:left w:val="none" w:sz="0" w:space="0" w:color="auto"/>
            <w:bottom w:val="none" w:sz="0" w:space="0" w:color="auto"/>
            <w:right w:val="none" w:sz="0" w:space="0" w:color="auto"/>
          </w:divBdr>
        </w:div>
      </w:divsChild>
    </w:div>
    <w:div w:id="1477183623">
      <w:bodyDiv w:val="1"/>
      <w:marLeft w:val="0"/>
      <w:marRight w:val="0"/>
      <w:marTop w:val="0"/>
      <w:marBottom w:val="0"/>
      <w:divBdr>
        <w:top w:val="none" w:sz="0" w:space="0" w:color="auto"/>
        <w:left w:val="none" w:sz="0" w:space="0" w:color="auto"/>
        <w:bottom w:val="none" w:sz="0" w:space="0" w:color="auto"/>
        <w:right w:val="none" w:sz="0" w:space="0" w:color="auto"/>
      </w:divBdr>
      <w:divsChild>
        <w:div w:id="1610115655">
          <w:marLeft w:val="0"/>
          <w:marRight w:val="0"/>
          <w:marTop w:val="0"/>
          <w:marBottom w:val="0"/>
          <w:divBdr>
            <w:top w:val="none" w:sz="0" w:space="0" w:color="auto"/>
            <w:left w:val="none" w:sz="0" w:space="0" w:color="auto"/>
            <w:bottom w:val="none" w:sz="0" w:space="0" w:color="auto"/>
            <w:right w:val="none" w:sz="0" w:space="0" w:color="auto"/>
          </w:divBdr>
        </w:div>
      </w:divsChild>
    </w:div>
    <w:div w:id="1498500645">
      <w:bodyDiv w:val="1"/>
      <w:marLeft w:val="0"/>
      <w:marRight w:val="0"/>
      <w:marTop w:val="0"/>
      <w:marBottom w:val="0"/>
      <w:divBdr>
        <w:top w:val="none" w:sz="0" w:space="0" w:color="auto"/>
        <w:left w:val="none" w:sz="0" w:space="0" w:color="auto"/>
        <w:bottom w:val="none" w:sz="0" w:space="0" w:color="auto"/>
        <w:right w:val="none" w:sz="0" w:space="0" w:color="auto"/>
      </w:divBdr>
    </w:div>
    <w:div w:id="1508717519">
      <w:bodyDiv w:val="1"/>
      <w:marLeft w:val="0"/>
      <w:marRight w:val="0"/>
      <w:marTop w:val="0"/>
      <w:marBottom w:val="0"/>
      <w:divBdr>
        <w:top w:val="none" w:sz="0" w:space="0" w:color="auto"/>
        <w:left w:val="none" w:sz="0" w:space="0" w:color="auto"/>
        <w:bottom w:val="none" w:sz="0" w:space="0" w:color="auto"/>
        <w:right w:val="none" w:sz="0" w:space="0" w:color="auto"/>
      </w:divBdr>
    </w:div>
    <w:div w:id="1508982052">
      <w:bodyDiv w:val="1"/>
      <w:marLeft w:val="0"/>
      <w:marRight w:val="0"/>
      <w:marTop w:val="0"/>
      <w:marBottom w:val="0"/>
      <w:divBdr>
        <w:top w:val="none" w:sz="0" w:space="0" w:color="auto"/>
        <w:left w:val="none" w:sz="0" w:space="0" w:color="auto"/>
        <w:bottom w:val="none" w:sz="0" w:space="0" w:color="auto"/>
        <w:right w:val="none" w:sz="0" w:space="0" w:color="auto"/>
      </w:divBdr>
    </w:div>
    <w:div w:id="1511217200">
      <w:bodyDiv w:val="1"/>
      <w:marLeft w:val="0"/>
      <w:marRight w:val="0"/>
      <w:marTop w:val="0"/>
      <w:marBottom w:val="0"/>
      <w:divBdr>
        <w:top w:val="none" w:sz="0" w:space="0" w:color="auto"/>
        <w:left w:val="none" w:sz="0" w:space="0" w:color="auto"/>
        <w:bottom w:val="none" w:sz="0" w:space="0" w:color="auto"/>
        <w:right w:val="none" w:sz="0" w:space="0" w:color="auto"/>
      </w:divBdr>
      <w:divsChild>
        <w:div w:id="734165019">
          <w:marLeft w:val="0"/>
          <w:marRight w:val="0"/>
          <w:marTop w:val="0"/>
          <w:marBottom w:val="0"/>
          <w:divBdr>
            <w:top w:val="none" w:sz="0" w:space="0" w:color="auto"/>
            <w:left w:val="none" w:sz="0" w:space="0" w:color="auto"/>
            <w:bottom w:val="none" w:sz="0" w:space="0" w:color="auto"/>
            <w:right w:val="none" w:sz="0" w:space="0" w:color="auto"/>
          </w:divBdr>
        </w:div>
      </w:divsChild>
    </w:div>
    <w:div w:id="1558471352">
      <w:bodyDiv w:val="1"/>
      <w:marLeft w:val="0"/>
      <w:marRight w:val="0"/>
      <w:marTop w:val="0"/>
      <w:marBottom w:val="0"/>
      <w:divBdr>
        <w:top w:val="none" w:sz="0" w:space="0" w:color="auto"/>
        <w:left w:val="none" w:sz="0" w:space="0" w:color="auto"/>
        <w:bottom w:val="none" w:sz="0" w:space="0" w:color="auto"/>
        <w:right w:val="none" w:sz="0" w:space="0" w:color="auto"/>
      </w:divBdr>
    </w:div>
    <w:div w:id="1559125487">
      <w:bodyDiv w:val="1"/>
      <w:marLeft w:val="0"/>
      <w:marRight w:val="0"/>
      <w:marTop w:val="0"/>
      <w:marBottom w:val="0"/>
      <w:divBdr>
        <w:top w:val="none" w:sz="0" w:space="0" w:color="auto"/>
        <w:left w:val="none" w:sz="0" w:space="0" w:color="auto"/>
        <w:bottom w:val="none" w:sz="0" w:space="0" w:color="auto"/>
        <w:right w:val="none" w:sz="0" w:space="0" w:color="auto"/>
      </w:divBdr>
      <w:divsChild>
        <w:div w:id="1691031856">
          <w:marLeft w:val="0"/>
          <w:marRight w:val="0"/>
          <w:marTop w:val="0"/>
          <w:marBottom w:val="0"/>
          <w:divBdr>
            <w:top w:val="none" w:sz="0" w:space="0" w:color="auto"/>
            <w:left w:val="none" w:sz="0" w:space="0" w:color="auto"/>
            <w:bottom w:val="none" w:sz="0" w:space="0" w:color="auto"/>
            <w:right w:val="none" w:sz="0" w:space="0" w:color="auto"/>
          </w:divBdr>
        </w:div>
      </w:divsChild>
    </w:div>
    <w:div w:id="1565949111">
      <w:bodyDiv w:val="1"/>
      <w:marLeft w:val="0"/>
      <w:marRight w:val="0"/>
      <w:marTop w:val="0"/>
      <w:marBottom w:val="0"/>
      <w:divBdr>
        <w:top w:val="none" w:sz="0" w:space="0" w:color="auto"/>
        <w:left w:val="none" w:sz="0" w:space="0" w:color="auto"/>
        <w:bottom w:val="none" w:sz="0" w:space="0" w:color="auto"/>
        <w:right w:val="none" w:sz="0" w:space="0" w:color="auto"/>
      </w:divBdr>
    </w:div>
    <w:div w:id="1566836998">
      <w:bodyDiv w:val="1"/>
      <w:marLeft w:val="0"/>
      <w:marRight w:val="0"/>
      <w:marTop w:val="0"/>
      <w:marBottom w:val="0"/>
      <w:divBdr>
        <w:top w:val="none" w:sz="0" w:space="0" w:color="auto"/>
        <w:left w:val="none" w:sz="0" w:space="0" w:color="auto"/>
        <w:bottom w:val="none" w:sz="0" w:space="0" w:color="auto"/>
        <w:right w:val="none" w:sz="0" w:space="0" w:color="auto"/>
      </w:divBdr>
      <w:divsChild>
        <w:div w:id="1658458679">
          <w:marLeft w:val="0"/>
          <w:marRight w:val="0"/>
          <w:marTop w:val="0"/>
          <w:marBottom w:val="0"/>
          <w:divBdr>
            <w:top w:val="none" w:sz="0" w:space="0" w:color="auto"/>
            <w:left w:val="none" w:sz="0" w:space="0" w:color="auto"/>
            <w:bottom w:val="none" w:sz="0" w:space="0" w:color="auto"/>
            <w:right w:val="none" w:sz="0" w:space="0" w:color="auto"/>
          </w:divBdr>
        </w:div>
      </w:divsChild>
    </w:div>
    <w:div w:id="1575894072">
      <w:bodyDiv w:val="1"/>
      <w:marLeft w:val="0"/>
      <w:marRight w:val="0"/>
      <w:marTop w:val="0"/>
      <w:marBottom w:val="0"/>
      <w:divBdr>
        <w:top w:val="none" w:sz="0" w:space="0" w:color="auto"/>
        <w:left w:val="none" w:sz="0" w:space="0" w:color="auto"/>
        <w:bottom w:val="none" w:sz="0" w:space="0" w:color="auto"/>
        <w:right w:val="none" w:sz="0" w:space="0" w:color="auto"/>
      </w:divBdr>
      <w:divsChild>
        <w:div w:id="750542490">
          <w:marLeft w:val="0"/>
          <w:marRight w:val="0"/>
          <w:marTop w:val="0"/>
          <w:marBottom w:val="0"/>
          <w:divBdr>
            <w:top w:val="none" w:sz="0" w:space="0" w:color="auto"/>
            <w:left w:val="none" w:sz="0" w:space="0" w:color="auto"/>
            <w:bottom w:val="none" w:sz="0" w:space="0" w:color="auto"/>
            <w:right w:val="none" w:sz="0" w:space="0" w:color="auto"/>
          </w:divBdr>
        </w:div>
      </w:divsChild>
    </w:div>
    <w:div w:id="1585526162">
      <w:bodyDiv w:val="1"/>
      <w:marLeft w:val="0"/>
      <w:marRight w:val="0"/>
      <w:marTop w:val="0"/>
      <w:marBottom w:val="0"/>
      <w:divBdr>
        <w:top w:val="none" w:sz="0" w:space="0" w:color="auto"/>
        <w:left w:val="none" w:sz="0" w:space="0" w:color="auto"/>
        <w:bottom w:val="none" w:sz="0" w:space="0" w:color="auto"/>
        <w:right w:val="none" w:sz="0" w:space="0" w:color="auto"/>
      </w:divBdr>
      <w:divsChild>
        <w:div w:id="1116025472">
          <w:marLeft w:val="0"/>
          <w:marRight w:val="0"/>
          <w:marTop w:val="0"/>
          <w:marBottom w:val="0"/>
          <w:divBdr>
            <w:top w:val="none" w:sz="0" w:space="0" w:color="auto"/>
            <w:left w:val="none" w:sz="0" w:space="0" w:color="auto"/>
            <w:bottom w:val="none" w:sz="0" w:space="0" w:color="auto"/>
            <w:right w:val="none" w:sz="0" w:space="0" w:color="auto"/>
          </w:divBdr>
        </w:div>
      </w:divsChild>
    </w:div>
    <w:div w:id="1597320172">
      <w:bodyDiv w:val="1"/>
      <w:marLeft w:val="0"/>
      <w:marRight w:val="0"/>
      <w:marTop w:val="0"/>
      <w:marBottom w:val="0"/>
      <w:divBdr>
        <w:top w:val="none" w:sz="0" w:space="0" w:color="auto"/>
        <w:left w:val="none" w:sz="0" w:space="0" w:color="auto"/>
        <w:bottom w:val="none" w:sz="0" w:space="0" w:color="auto"/>
        <w:right w:val="none" w:sz="0" w:space="0" w:color="auto"/>
      </w:divBdr>
      <w:divsChild>
        <w:div w:id="729887630">
          <w:marLeft w:val="0"/>
          <w:marRight w:val="0"/>
          <w:marTop w:val="0"/>
          <w:marBottom w:val="0"/>
          <w:divBdr>
            <w:top w:val="none" w:sz="0" w:space="0" w:color="auto"/>
            <w:left w:val="none" w:sz="0" w:space="0" w:color="auto"/>
            <w:bottom w:val="none" w:sz="0" w:space="0" w:color="auto"/>
            <w:right w:val="none" w:sz="0" w:space="0" w:color="auto"/>
          </w:divBdr>
        </w:div>
      </w:divsChild>
    </w:div>
    <w:div w:id="1598060269">
      <w:bodyDiv w:val="1"/>
      <w:marLeft w:val="0"/>
      <w:marRight w:val="0"/>
      <w:marTop w:val="0"/>
      <w:marBottom w:val="0"/>
      <w:divBdr>
        <w:top w:val="none" w:sz="0" w:space="0" w:color="auto"/>
        <w:left w:val="none" w:sz="0" w:space="0" w:color="auto"/>
        <w:bottom w:val="none" w:sz="0" w:space="0" w:color="auto"/>
        <w:right w:val="none" w:sz="0" w:space="0" w:color="auto"/>
      </w:divBdr>
      <w:divsChild>
        <w:div w:id="2110618228">
          <w:marLeft w:val="0"/>
          <w:marRight w:val="0"/>
          <w:marTop w:val="0"/>
          <w:marBottom w:val="0"/>
          <w:divBdr>
            <w:top w:val="none" w:sz="0" w:space="0" w:color="auto"/>
            <w:left w:val="none" w:sz="0" w:space="0" w:color="auto"/>
            <w:bottom w:val="none" w:sz="0" w:space="0" w:color="auto"/>
            <w:right w:val="none" w:sz="0" w:space="0" w:color="auto"/>
          </w:divBdr>
        </w:div>
      </w:divsChild>
    </w:div>
    <w:div w:id="1642495481">
      <w:bodyDiv w:val="1"/>
      <w:marLeft w:val="0"/>
      <w:marRight w:val="0"/>
      <w:marTop w:val="0"/>
      <w:marBottom w:val="0"/>
      <w:divBdr>
        <w:top w:val="none" w:sz="0" w:space="0" w:color="auto"/>
        <w:left w:val="none" w:sz="0" w:space="0" w:color="auto"/>
        <w:bottom w:val="none" w:sz="0" w:space="0" w:color="auto"/>
        <w:right w:val="none" w:sz="0" w:space="0" w:color="auto"/>
      </w:divBdr>
    </w:div>
    <w:div w:id="1650093101">
      <w:bodyDiv w:val="1"/>
      <w:marLeft w:val="0"/>
      <w:marRight w:val="0"/>
      <w:marTop w:val="0"/>
      <w:marBottom w:val="0"/>
      <w:divBdr>
        <w:top w:val="none" w:sz="0" w:space="0" w:color="auto"/>
        <w:left w:val="none" w:sz="0" w:space="0" w:color="auto"/>
        <w:bottom w:val="none" w:sz="0" w:space="0" w:color="auto"/>
        <w:right w:val="none" w:sz="0" w:space="0" w:color="auto"/>
      </w:divBdr>
    </w:div>
    <w:div w:id="1666738451">
      <w:bodyDiv w:val="1"/>
      <w:marLeft w:val="0"/>
      <w:marRight w:val="0"/>
      <w:marTop w:val="0"/>
      <w:marBottom w:val="0"/>
      <w:divBdr>
        <w:top w:val="none" w:sz="0" w:space="0" w:color="auto"/>
        <w:left w:val="none" w:sz="0" w:space="0" w:color="auto"/>
        <w:bottom w:val="none" w:sz="0" w:space="0" w:color="auto"/>
        <w:right w:val="none" w:sz="0" w:space="0" w:color="auto"/>
      </w:divBdr>
      <w:divsChild>
        <w:div w:id="15666940">
          <w:marLeft w:val="0"/>
          <w:marRight w:val="0"/>
          <w:marTop w:val="0"/>
          <w:marBottom w:val="0"/>
          <w:divBdr>
            <w:top w:val="none" w:sz="0" w:space="0" w:color="auto"/>
            <w:left w:val="none" w:sz="0" w:space="0" w:color="auto"/>
            <w:bottom w:val="none" w:sz="0" w:space="0" w:color="auto"/>
            <w:right w:val="none" w:sz="0" w:space="0" w:color="auto"/>
          </w:divBdr>
        </w:div>
      </w:divsChild>
    </w:div>
    <w:div w:id="1674449824">
      <w:bodyDiv w:val="1"/>
      <w:marLeft w:val="0"/>
      <w:marRight w:val="0"/>
      <w:marTop w:val="0"/>
      <w:marBottom w:val="0"/>
      <w:divBdr>
        <w:top w:val="none" w:sz="0" w:space="0" w:color="auto"/>
        <w:left w:val="none" w:sz="0" w:space="0" w:color="auto"/>
        <w:bottom w:val="none" w:sz="0" w:space="0" w:color="auto"/>
        <w:right w:val="none" w:sz="0" w:space="0" w:color="auto"/>
      </w:divBdr>
      <w:divsChild>
        <w:div w:id="1457482632">
          <w:marLeft w:val="0"/>
          <w:marRight w:val="0"/>
          <w:marTop w:val="0"/>
          <w:marBottom w:val="0"/>
          <w:divBdr>
            <w:top w:val="none" w:sz="0" w:space="0" w:color="auto"/>
            <w:left w:val="none" w:sz="0" w:space="0" w:color="auto"/>
            <w:bottom w:val="none" w:sz="0" w:space="0" w:color="auto"/>
            <w:right w:val="none" w:sz="0" w:space="0" w:color="auto"/>
          </w:divBdr>
        </w:div>
      </w:divsChild>
    </w:div>
    <w:div w:id="1681277675">
      <w:bodyDiv w:val="1"/>
      <w:marLeft w:val="0"/>
      <w:marRight w:val="0"/>
      <w:marTop w:val="0"/>
      <w:marBottom w:val="0"/>
      <w:divBdr>
        <w:top w:val="none" w:sz="0" w:space="0" w:color="auto"/>
        <w:left w:val="none" w:sz="0" w:space="0" w:color="auto"/>
        <w:bottom w:val="none" w:sz="0" w:space="0" w:color="auto"/>
        <w:right w:val="none" w:sz="0" w:space="0" w:color="auto"/>
      </w:divBdr>
      <w:divsChild>
        <w:div w:id="1805729352">
          <w:marLeft w:val="0"/>
          <w:marRight w:val="0"/>
          <w:marTop w:val="0"/>
          <w:marBottom w:val="0"/>
          <w:divBdr>
            <w:top w:val="none" w:sz="0" w:space="0" w:color="auto"/>
            <w:left w:val="none" w:sz="0" w:space="0" w:color="auto"/>
            <w:bottom w:val="none" w:sz="0" w:space="0" w:color="auto"/>
            <w:right w:val="none" w:sz="0" w:space="0" w:color="auto"/>
          </w:divBdr>
        </w:div>
      </w:divsChild>
    </w:div>
    <w:div w:id="1713769533">
      <w:bodyDiv w:val="1"/>
      <w:marLeft w:val="0"/>
      <w:marRight w:val="0"/>
      <w:marTop w:val="0"/>
      <w:marBottom w:val="0"/>
      <w:divBdr>
        <w:top w:val="none" w:sz="0" w:space="0" w:color="auto"/>
        <w:left w:val="none" w:sz="0" w:space="0" w:color="auto"/>
        <w:bottom w:val="none" w:sz="0" w:space="0" w:color="auto"/>
        <w:right w:val="none" w:sz="0" w:space="0" w:color="auto"/>
      </w:divBdr>
    </w:div>
    <w:div w:id="1731925592">
      <w:bodyDiv w:val="1"/>
      <w:marLeft w:val="0"/>
      <w:marRight w:val="0"/>
      <w:marTop w:val="0"/>
      <w:marBottom w:val="0"/>
      <w:divBdr>
        <w:top w:val="none" w:sz="0" w:space="0" w:color="auto"/>
        <w:left w:val="none" w:sz="0" w:space="0" w:color="auto"/>
        <w:bottom w:val="none" w:sz="0" w:space="0" w:color="auto"/>
        <w:right w:val="none" w:sz="0" w:space="0" w:color="auto"/>
      </w:divBdr>
      <w:divsChild>
        <w:div w:id="735737774">
          <w:marLeft w:val="0"/>
          <w:marRight w:val="0"/>
          <w:marTop w:val="0"/>
          <w:marBottom w:val="0"/>
          <w:divBdr>
            <w:top w:val="none" w:sz="0" w:space="0" w:color="auto"/>
            <w:left w:val="none" w:sz="0" w:space="0" w:color="auto"/>
            <w:bottom w:val="none" w:sz="0" w:space="0" w:color="auto"/>
            <w:right w:val="none" w:sz="0" w:space="0" w:color="auto"/>
          </w:divBdr>
        </w:div>
      </w:divsChild>
    </w:div>
    <w:div w:id="1735200532">
      <w:bodyDiv w:val="1"/>
      <w:marLeft w:val="0"/>
      <w:marRight w:val="0"/>
      <w:marTop w:val="0"/>
      <w:marBottom w:val="0"/>
      <w:divBdr>
        <w:top w:val="none" w:sz="0" w:space="0" w:color="auto"/>
        <w:left w:val="none" w:sz="0" w:space="0" w:color="auto"/>
        <w:bottom w:val="none" w:sz="0" w:space="0" w:color="auto"/>
        <w:right w:val="none" w:sz="0" w:space="0" w:color="auto"/>
      </w:divBdr>
      <w:divsChild>
        <w:div w:id="33580922">
          <w:marLeft w:val="0"/>
          <w:marRight w:val="0"/>
          <w:marTop w:val="0"/>
          <w:marBottom w:val="0"/>
          <w:divBdr>
            <w:top w:val="none" w:sz="0" w:space="0" w:color="auto"/>
            <w:left w:val="none" w:sz="0" w:space="0" w:color="auto"/>
            <w:bottom w:val="none" w:sz="0" w:space="0" w:color="auto"/>
            <w:right w:val="none" w:sz="0" w:space="0" w:color="auto"/>
          </w:divBdr>
        </w:div>
      </w:divsChild>
    </w:div>
    <w:div w:id="1745100211">
      <w:bodyDiv w:val="1"/>
      <w:marLeft w:val="0"/>
      <w:marRight w:val="0"/>
      <w:marTop w:val="0"/>
      <w:marBottom w:val="0"/>
      <w:divBdr>
        <w:top w:val="none" w:sz="0" w:space="0" w:color="auto"/>
        <w:left w:val="none" w:sz="0" w:space="0" w:color="auto"/>
        <w:bottom w:val="none" w:sz="0" w:space="0" w:color="auto"/>
        <w:right w:val="none" w:sz="0" w:space="0" w:color="auto"/>
      </w:divBdr>
      <w:divsChild>
        <w:div w:id="69281063">
          <w:marLeft w:val="0"/>
          <w:marRight w:val="0"/>
          <w:marTop w:val="0"/>
          <w:marBottom w:val="0"/>
          <w:divBdr>
            <w:top w:val="none" w:sz="0" w:space="0" w:color="auto"/>
            <w:left w:val="none" w:sz="0" w:space="0" w:color="auto"/>
            <w:bottom w:val="none" w:sz="0" w:space="0" w:color="auto"/>
            <w:right w:val="none" w:sz="0" w:space="0" w:color="auto"/>
          </w:divBdr>
        </w:div>
      </w:divsChild>
    </w:div>
    <w:div w:id="1761639442">
      <w:bodyDiv w:val="1"/>
      <w:marLeft w:val="0"/>
      <w:marRight w:val="0"/>
      <w:marTop w:val="0"/>
      <w:marBottom w:val="0"/>
      <w:divBdr>
        <w:top w:val="none" w:sz="0" w:space="0" w:color="auto"/>
        <w:left w:val="none" w:sz="0" w:space="0" w:color="auto"/>
        <w:bottom w:val="none" w:sz="0" w:space="0" w:color="auto"/>
        <w:right w:val="none" w:sz="0" w:space="0" w:color="auto"/>
      </w:divBdr>
    </w:div>
    <w:div w:id="1784225338">
      <w:bodyDiv w:val="1"/>
      <w:marLeft w:val="0"/>
      <w:marRight w:val="0"/>
      <w:marTop w:val="0"/>
      <w:marBottom w:val="0"/>
      <w:divBdr>
        <w:top w:val="none" w:sz="0" w:space="0" w:color="auto"/>
        <w:left w:val="none" w:sz="0" w:space="0" w:color="auto"/>
        <w:bottom w:val="none" w:sz="0" w:space="0" w:color="auto"/>
        <w:right w:val="none" w:sz="0" w:space="0" w:color="auto"/>
      </w:divBdr>
      <w:divsChild>
        <w:div w:id="2094469567">
          <w:marLeft w:val="0"/>
          <w:marRight w:val="0"/>
          <w:marTop w:val="0"/>
          <w:marBottom w:val="0"/>
          <w:divBdr>
            <w:top w:val="none" w:sz="0" w:space="0" w:color="auto"/>
            <w:left w:val="none" w:sz="0" w:space="0" w:color="auto"/>
            <w:bottom w:val="none" w:sz="0" w:space="0" w:color="auto"/>
            <w:right w:val="none" w:sz="0" w:space="0" w:color="auto"/>
          </w:divBdr>
        </w:div>
      </w:divsChild>
    </w:div>
    <w:div w:id="1800879388">
      <w:bodyDiv w:val="1"/>
      <w:marLeft w:val="0"/>
      <w:marRight w:val="0"/>
      <w:marTop w:val="0"/>
      <w:marBottom w:val="0"/>
      <w:divBdr>
        <w:top w:val="none" w:sz="0" w:space="0" w:color="auto"/>
        <w:left w:val="none" w:sz="0" w:space="0" w:color="auto"/>
        <w:bottom w:val="none" w:sz="0" w:space="0" w:color="auto"/>
        <w:right w:val="none" w:sz="0" w:space="0" w:color="auto"/>
      </w:divBdr>
      <w:divsChild>
        <w:div w:id="937717517">
          <w:marLeft w:val="0"/>
          <w:marRight w:val="0"/>
          <w:marTop w:val="0"/>
          <w:marBottom w:val="0"/>
          <w:divBdr>
            <w:top w:val="none" w:sz="0" w:space="0" w:color="auto"/>
            <w:left w:val="none" w:sz="0" w:space="0" w:color="auto"/>
            <w:bottom w:val="none" w:sz="0" w:space="0" w:color="auto"/>
            <w:right w:val="none" w:sz="0" w:space="0" w:color="auto"/>
          </w:divBdr>
        </w:div>
      </w:divsChild>
    </w:div>
    <w:div w:id="1841772926">
      <w:bodyDiv w:val="1"/>
      <w:marLeft w:val="0"/>
      <w:marRight w:val="0"/>
      <w:marTop w:val="0"/>
      <w:marBottom w:val="0"/>
      <w:divBdr>
        <w:top w:val="none" w:sz="0" w:space="0" w:color="auto"/>
        <w:left w:val="none" w:sz="0" w:space="0" w:color="auto"/>
        <w:bottom w:val="none" w:sz="0" w:space="0" w:color="auto"/>
        <w:right w:val="none" w:sz="0" w:space="0" w:color="auto"/>
      </w:divBdr>
      <w:divsChild>
        <w:div w:id="1685788486">
          <w:marLeft w:val="0"/>
          <w:marRight w:val="0"/>
          <w:marTop w:val="0"/>
          <w:marBottom w:val="0"/>
          <w:divBdr>
            <w:top w:val="none" w:sz="0" w:space="0" w:color="auto"/>
            <w:left w:val="none" w:sz="0" w:space="0" w:color="auto"/>
            <w:bottom w:val="none" w:sz="0" w:space="0" w:color="auto"/>
            <w:right w:val="none" w:sz="0" w:space="0" w:color="auto"/>
          </w:divBdr>
        </w:div>
      </w:divsChild>
    </w:div>
    <w:div w:id="1862233087">
      <w:bodyDiv w:val="1"/>
      <w:marLeft w:val="0"/>
      <w:marRight w:val="0"/>
      <w:marTop w:val="0"/>
      <w:marBottom w:val="0"/>
      <w:divBdr>
        <w:top w:val="none" w:sz="0" w:space="0" w:color="auto"/>
        <w:left w:val="none" w:sz="0" w:space="0" w:color="auto"/>
        <w:bottom w:val="none" w:sz="0" w:space="0" w:color="auto"/>
        <w:right w:val="none" w:sz="0" w:space="0" w:color="auto"/>
      </w:divBdr>
      <w:divsChild>
        <w:div w:id="36661965">
          <w:marLeft w:val="0"/>
          <w:marRight w:val="0"/>
          <w:marTop w:val="0"/>
          <w:marBottom w:val="0"/>
          <w:divBdr>
            <w:top w:val="none" w:sz="0" w:space="0" w:color="auto"/>
            <w:left w:val="none" w:sz="0" w:space="0" w:color="auto"/>
            <w:bottom w:val="none" w:sz="0" w:space="0" w:color="auto"/>
            <w:right w:val="none" w:sz="0" w:space="0" w:color="auto"/>
          </w:divBdr>
        </w:div>
      </w:divsChild>
    </w:div>
    <w:div w:id="1879076352">
      <w:bodyDiv w:val="1"/>
      <w:marLeft w:val="0"/>
      <w:marRight w:val="0"/>
      <w:marTop w:val="0"/>
      <w:marBottom w:val="0"/>
      <w:divBdr>
        <w:top w:val="none" w:sz="0" w:space="0" w:color="auto"/>
        <w:left w:val="none" w:sz="0" w:space="0" w:color="auto"/>
        <w:bottom w:val="none" w:sz="0" w:space="0" w:color="auto"/>
        <w:right w:val="none" w:sz="0" w:space="0" w:color="auto"/>
      </w:divBdr>
    </w:div>
    <w:div w:id="1902279621">
      <w:bodyDiv w:val="1"/>
      <w:marLeft w:val="0"/>
      <w:marRight w:val="0"/>
      <w:marTop w:val="0"/>
      <w:marBottom w:val="0"/>
      <w:divBdr>
        <w:top w:val="none" w:sz="0" w:space="0" w:color="auto"/>
        <w:left w:val="none" w:sz="0" w:space="0" w:color="auto"/>
        <w:bottom w:val="none" w:sz="0" w:space="0" w:color="auto"/>
        <w:right w:val="none" w:sz="0" w:space="0" w:color="auto"/>
      </w:divBdr>
      <w:divsChild>
        <w:div w:id="1406997725">
          <w:marLeft w:val="0"/>
          <w:marRight w:val="0"/>
          <w:marTop w:val="0"/>
          <w:marBottom w:val="0"/>
          <w:divBdr>
            <w:top w:val="none" w:sz="0" w:space="0" w:color="auto"/>
            <w:left w:val="none" w:sz="0" w:space="0" w:color="auto"/>
            <w:bottom w:val="none" w:sz="0" w:space="0" w:color="auto"/>
            <w:right w:val="none" w:sz="0" w:space="0" w:color="auto"/>
          </w:divBdr>
        </w:div>
      </w:divsChild>
    </w:div>
    <w:div w:id="1919822868">
      <w:bodyDiv w:val="1"/>
      <w:marLeft w:val="0"/>
      <w:marRight w:val="0"/>
      <w:marTop w:val="0"/>
      <w:marBottom w:val="0"/>
      <w:divBdr>
        <w:top w:val="none" w:sz="0" w:space="0" w:color="auto"/>
        <w:left w:val="none" w:sz="0" w:space="0" w:color="auto"/>
        <w:bottom w:val="none" w:sz="0" w:space="0" w:color="auto"/>
        <w:right w:val="none" w:sz="0" w:space="0" w:color="auto"/>
      </w:divBdr>
    </w:div>
    <w:div w:id="1929347011">
      <w:bodyDiv w:val="1"/>
      <w:marLeft w:val="0"/>
      <w:marRight w:val="0"/>
      <w:marTop w:val="0"/>
      <w:marBottom w:val="0"/>
      <w:divBdr>
        <w:top w:val="none" w:sz="0" w:space="0" w:color="auto"/>
        <w:left w:val="none" w:sz="0" w:space="0" w:color="auto"/>
        <w:bottom w:val="none" w:sz="0" w:space="0" w:color="auto"/>
        <w:right w:val="none" w:sz="0" w:space="0" w:color="auto"/>
      </w:divBdr>
    </w:div>
    <w:div w:id="1938361461">
      <w:bodyDiv w:val="1"/>
      <w:marLeft w:val="0"/>
      <w:marRight w:val="0"/>
      <w:marTop w:val="0"/>
      <w:marBottom w:val="0"/>
      <w:divBdr>
        <w:top w:val="none" w:sz="0" w:space="0" w:color="auto"/>
        <w:left w:val="none" w:sz="0" w:space="0" w:color="auto"/>
        <w:bottom w:val="none" w:sz="0" w:space="0" w:color="auto"/>
        <w:right w:val="none" w:sz="0" w:space="0" w:color="auto"/>
      </w:divBdr>
    </w:div>
    <w:div w:id="1974403900">
      <w:bodyDiv w:val="1"/>
      <w:marLeft w:val="0"/>
      <w:marRight w:val="0"/>
      <w:marTop w:val="0"/>
      <w:marBottom w:val="0"/>
      <w:divBdr>
        <w:top w:val="none" w:sz="0" w:space="0" w:color="auto"/>
        <w:left w:val="none" w:sz="0" w:space="0" w:color="auto"/>
        <w:bottom w:val="none" w:sz="0" w:space="0" w:color="auto"/>
        <w:right w:val="none" w:sz="0" w:space="0" w:color="auto"/>
      </w:divBdr>
    </w:div>
    <w:div w:id="1983540149">
      <w:bodyDiv w:val="1"/>
      <w:marLeft w:val="0"/>
      <w:marRight w:val="0"/>
      <w:marTop w:val="0"/>
      <w:marBottom w:val="0"/>
      <w:divBdr>
        <w:top w:val="none" w:sz="0" w:space="0" w:color="auto"/>
        <w:left w:val="none" w:sz="0" w:space="0" w:color="auto"/>
        <w:bottom w:val="none" w:sz="0" w:space="0" w:color="auto"/>
        <w:right w:val="none" w:sz="0" w:space="0" w:color="auto"/>
      </w:divBdr>
      <w:divsChild>
        <w:div w:id="1816216777">
          <w:marLeft w:val="0"/>
          <w:marRight w:val="0"/>
          <w:marTop w:val="0"/>
          <w:marBottom w:val="0"/>
          <w:divBdr>
            <w:top w:val="none" w:sz="0" w:space="0" w:color="auto"/>
            <w:left w:val="none" w:sz="0" w:space="0" w:color="auto"/>
            <w:bottom w:val="none" w:sz="0" w:space="0" w:color="auto"/>
            <w:right w:val="none" w:sz="0" w:space="0" w:color="auto"/>
          </w:divBdr>
        </w:div>
      </w:divsChild>
    </w:div>
    <w:div w:id="1992246942">
      <w:bodyDiv w:val="1"/>
      <w:marLeft w:val="0"/>
      <w:marRight w:val="0"/>
      <w:marTop w:val="0"/>
      <w:marBottom w:val="0"/>
      <w:divBdr>
        <w:top w:val="none" w:sz="0" w:space="0" w:color="auto"/>
        <w:left w:val="none" w:sz="0" w:space="0" w:color="auto"/>
        <w:bottom w:val="none" w:sz="0" w:space="0" w:color="auto"/>
        <w:right w:val="none" w:sz="0" w:space="0" w:color="auto"/>
      </w:divBdr>
    </w:div>
    <w:div w:id="2018386526">
      <w:bodyDiv w:val="1"/>
      <w:marLeft w:val="0"/>
      <w:marRight w:val="0"/>
      <w:marTop w:val="0"/>
      <w:marBottom w:val="0"/>
      <w:divBdr>
        <w:top w:val="none" w:sz="0" w:space="0" w:color="auto"/>
        <w:left w:val="none" w:sz="0" w:space="0" w:color="auto"/>
        <w:bottom w:val="none" w:sz="0" w:space="0" w:color="auto"/>
        <w:right w:val="none" w:sz="0" w:space="0" w:color="auto"/>
      </w:divBdr>
      <w:divsChild>
        <w:div w:id="112943447">
          <w:marLeft w:val="0"/>
          <w:marRight w:val="0"/>
          <w:marTop w:val="0"/>
          <w:marBottom w:val="0"/>
          <w:divBdr>
            <w:top w:val="none" w:sz="0" w:space="0" w:color="auto"/>
            <w:left w:val="none" w:sz="0" w:space="0" w:color="auto"/>
            <w:bottom w:val="none" w:sz="0" w:space="0" w:color="auto"/>
            <w:right w:val="none" w:sz="0" w:space="0" w:color="auto"/>
          </w:divBdr>
        </w:div>
      </w:divsChild>
    </w:div>
    <w:div w:id="2022704604">
      <w:bodyDiv w:val="1"/>
      <w:marLeft w:val="0"/>
      <w:marRight w:val="0"/>
      <w:marTop w:val="0"/>
      <w:marBottom w:val="0"/>
      <w:divBdr>
        <w:top w:val="none" w:sz="0" w:space="0" w:color="auto"/>
        <w:left w:val="none" w:sz="0" w:space="0" w:color="auto"/>
        <w:bottom w:val="none" w:sz="0" w:space="0" w:color="auto"/>
        <w:right w:val="none" w:sz="0" w:space="0" w:color="auto"/>
      </w:divBdr>
      <w:divsChild>
        <w:div w:id="886717364">
          <w:marLeft w:val="0"/>
          <w:marRight w:val="0"/>
          <w:marTop w:val="0"/>
          <w:marBottom w:val="0"/>
          <w:divBdr>
            <w:top w:val="none" w:sz="0" w:space="0" w:color="auto"/>
            <w:left w:val="none" w:sz="0" w:space="0" w:color="auto"/>
            <w:bottom w:val="none" w:sz="0" w:space="0" w:color="auto"/>
            <w:right w:val="none" w:sz="0" w:space="0" w:color="auto"/>
          </w:divBdr>
        </w:div>
      </w:divsChild>
    </w:div>
    <w:div w:id="2028287272">
      <w:bodyDiv w:val="1"/>
      <w:marLeft w:val="0"/>
      <w:marRight w:val="0"/>
      <w:marTop w:val="0"/>
      <w:marBottom w:val="0"/>
      <w:divBdr>
        <w:top w:val="none" w:sz="0" w:space="0" w:color="auto"/>
        <w:left w:val="none" w:sz="0" w:space="0" w:color="auto"/>
        <w:bottom w:val="none" w:sz="0" w:space="0" w:color="auto"/>
        <w:right w:val="none" w:sz="0" w:space="0" w:color="auto"/>
      </w:divBdr>
      <w:divsChild>
        <w:div w:id="1224944483">
          <w:marLeft w:val="0"/>
          <w:marRight w:val="0"/>
          <w:marTop w:val="0"/>
          <w:marBottom w:val="0"/>
          <w:divBdr>
            <w:top w:val="none" w:sz="0" w:space="0" w:color="auto"/>
            <w:left w:val="none" w:sz="0" w:space="0" w:color="auto"/>
            <w:bottom w:val="none" w:sz="0" w:space="0" w:color="auto"/>
            <w:right w:val="none" w:sz="0" w:space="0" w:color="auto"/>
          </w:divBdr>
        </w:div>
      </w:divsChild>
    </w:div>
    <w:div w:id="2065639356">
      <w:bodyDiv w:val="1"/>
      <w:marLeft w:val="0"/>
      <w:marRight w:val="0"/>
      <w:marTop w:val="0"/>
      <w:marBottom w:val="0"/>
      <w:divBdr>
        <w:top w:val="none" w:sz="0" w:space="0" w:color="auto"/>
        <w:left w:val="none" w:sz="0" w:space="0" w:color="auto"/>
        <w:bottom w:val="none" w:sz="0" w:space="0" w:color="auto"/>
        <w:right w:val="none" w:sz="0" w:space="0" w:color="auto"/>
      </w:divBdr>
      <w:divsChild>
        <w:div w:id="1519195361">
          <w:marLeft w:val="0"/>
          <w:marRight w:val="0"/>
          <w:marTop w:val="0"/>
          <w:marBottom w:val="0"/>
          <w:divBdr>
            <w:top w:val="none" w:sz="0" w:space="0" w:color="auto"/>
            <w:left w:val="none" w:sz="0" w:space="0" w:color="auto"/>
            <w:bottom w:val="none" w:sz="0" w:space="0" w:color="auto"/>
            <w:right w:val="none" w:sz="0" w:space="0" w:color="auto"/>
          </w:divBdr>
        </w:div>
      </w:divsChild>
    </w:div>
    <w:div w:id="2078168326">
      <w:bodyDiv w:val="1"/>
      <w:marLeft w:val="0"/>
      <w:marRight w:val="0"/>
      <w:marTop w:val="0"/>
      <w:marBottom w:val="0"/>
      <w:divBdr>
        <w:top w:val="none" w:sz="0" w:space="0" w:color="auto"/>
        <w:left w:val="none" w:sz="0" w:space="0" w:color="auto"/>
        <w:bottom w:val="none" w:sz="0" w:space="0" w:color="auto"/>
        <w:right w:val="none" w:sz="0" w:space="0" w:color="auto"/>
      </w:divBdr>
    </w:div>
    <w:div w:id="2078628386">
      <w:bodyDiv w:val="1"/>
      <w:marLeft w:val="0"/>
      <w:marRight w:val="0"/>
      <w:marTop w:val="0"/>
      <w:marBottom w:val="0"/>
      <w:divBdr>
        <w:top w:val="none" w:sz="0" w:space="0" w:color="auto"/>
        <w:left w:val="none" w:sz="0" w:space="0" w:color="auto"/>
        <w:bottom w:val="none" w:sz="0" w:space="0" w:color="auto"/>
        <w:right w:val="none" w:sz="0" w:space="0" w:color="auto"/>
      </w:divBdr>
      <w:divsChild>
        <w:div w:id="1764568437">
          <w:marLeft w:val="0"/>
          <w:marRight w:val="0"/>
          <w:marTop w:val="0"/>
          <w:marBottom w:val="0"/>
          <w:divBdr>
            <w:top w:val="none" w:sz="0" w:space="0" w:color="auto"/>
            <w:left w:val="none" w:sz="0" w:space="0" w:color="auto"/>
            <w:bottom w:val="none" w:sz="0" w:space="0" w:color="auto"/>
            <w:right w:val="none" w:sz="0" w:space="0" w:color="auto"/>
          </w:divBdr>
        </w:div>
      </w:divsChild>
    </w:div>
    <w:div w:id="2081367241">
      <w:bodyDiv w:val="1"/>
      <w:marLeft w:val="0"/>
      <w:marRight w:val="0"/>
      <w:marTop w:val="0"/>
      <w:marBottom w:val="0"/>
      <w:divBdr>
        <w:top w:val="none" w:sz="0" w:space="0" w:color="auto"/>
        <w:left w:val="none" w:sz="0" w:space="0" w:color="auto"/>
        <w:bottom w:val="none" w:sz="0" w:space="0" w:color="auto"/>
        <w:right w:val="none" w:sz="0" w:space="0" w:color="auto"/>
      </w:divBdr>
    </w:div>
    <w:div w:id="2082367401">
      <w:bodyDiv w:val="1"/>
      <w:marLeft w:val="0"/>
      <w:marRight w:val="0"/>
      <w:marTop w:val="0"/>
      <w:marBottom w:val="0"/>
      <w:divBdr>
        <w:top w:val="none" w:sz="0" w:space="0" w:color="auto"/>
        <w:left w:val="none" w:sz="0" w:space="0" w:color="auto"/>
        <w:bottom w:val="none" w:sz="0" w:space="0" w:color="auto"/>
        <w:right w:val="none" w:sz="0" w:space="0" w:color="auto"/>
      </w:divBdr>
    </w:div>
    <w:div w:id="2096366181">
      <w:bodyDiv w:val="1"/>
      <w:marLeft w:val="0"/>
      <w:marRight w:val="0"/>
      <w:marTop w:val="0"/>
      <w:marBottom w:val="0"/>
      <w:divBdr>
        <w:top w:val="none" w:sz="0" w:space="0" w:color="auto"/>
        <w:left w:val="none" w:sz="0" w:space="0" w:color="auto"/>
        <w:bottom w:val="none" w:sz="0" w:space="0" w:color="auto"/>
        <w:right w:val="none" w:sz="0" w:space="0" w:color="auto"/>
      </w:divBdr>
      <w:divsChild>
        <w:div w:id="554439357">
          <w:marLeft w:val="0"/>
          <w:marRight w:val="0"/>
          <w:marTop w:val="0"/>
          <w:marBottom w:val="0"/>
          <w:divBdr>
            <w:top w:val="none" w:sz="0" w:space="0" w:color="auto"/>
            <w:left w:val="none" w:sz="0" w:space="0" w:color="auto"/>
            <w:bottom w:val="none" w:sz="0" w:space="0" w:color="auto"/>
            <w:right w:val="none" w:sz="0" w:space="0" w:color="auto"/>
          </w:divBdr>
        </w:div>
      </w:divsChild>
    </w:div>
    <w:div w:id="2099790835">
      <w:bodyDiv w:val="1"/>
      <w:marLeft w:val="0"/>
      <w:marRight w:val="0"/>
      <w:marTop w:val="0"/>
      <w:marBottom w:val="0"/>
      <w:divBdr>
        <w:top w:val="none" w:sz="0" w:space="0" w:color="auto"/>
        <w:left w:val="none" w:sz="0" w:space="0" w:color="auto"/>
        <w:bottom w:val="none" w:sz="0" w:space="0" w:color="auto"/>
        <w:right w:val="none" w:sz="0" w:space="0" w:color="auto"/>
      </w:divBdr>
      <w:divsChild>
        <w:div w:id="293876716">
          <w:marLeft w:val="0"/>
          <w:marRight w:val="0"/>
          <w:marTop w:val="0"/>
          <w:marBottom w:val="0"/>
          <w:divBdr>
            <w:top w:val="none" w:sz="0" w:space="0" w:color="auto"/>
            <w:left w:val="none" w:sz="0" w:space="0" w:color="auto"/>
            <w:bottom w:val="none" w:sz="0" w:space="0" w:color="auto"/>
            <w:right w:val="none" w:sz="0" w:space="0" w:color="auto"/>
          </w:divBdr>
        </w:div>
      </w:divsChild>
    </w:div>
    <w:div w:id="2128695223">
      <w:bodyDiv w:val="1"/>
      <w:marLeft w:val="0"/>
      <w:marRight w:val="0"/>
      <w:marTop w:val="0"/>
      <w:marBottom w:val="0"/>
      <w:divBdr>
        <w:top w:val="none" w:sz="0" w:space="0" w:color="auto"/>
        <w:left w:val="none" w:sz="0" w:space="0" w:color="auto"/>
        <w:bottom w:val="none" w:sz="0" w:space="0" w:color="auto"/>
        <w:right w:val="none" w:sz="0" w:space="0" w:color="auto"/>
      </w:divBdr>
      <w:divsChild>
        <w:div w:id="666858941">
          <w:marLeft w:val="0"/>
          <w:marRight w:val="0"/>
          <w:marTop w:val="0"/>
          <w:marBottom w:val="0"/>
          <w:divBdr>
            <w:top w:val="none" w:sz="0" w:space="0" w:color="auto"/>
            <w:left w:val="none" w:sz="0" w:space="0" w:color="auto"/>
            <w:bottom w:val="none" w:sz="0" w:space="0" w:color="auto"/>
            <w:right w:val="none" w:sz="0" w:space="0" w:color="auto"/>
          </w:divBdr>
        </w:div>
      </w:divsChild>
    </w:div>
    <w:div w:id="2137483251">
      <w:bodyDiv w:val="1"/>
      <w:marLeft w:val="0"/>
      <w:marRight w:val="0"/>
      <w:marTop w:val="0"/>
      <w:marBottom w:val="0"/>
      <w:divBdr>
        <w:top w:val="none" w:sz="0" w:space="0" w:color="auto"/>
        <w:left w:val="none" w:sz="0" w:space="0" w:color="auto"/>
        <w:bottom w:val="none" w:sz="0" w:space="0" w:color="auto"/>
        <w:right w:val="none" w:sz="0" w:space="0" w:color="auto"/>
      </w:divBdr>
      <w:divsChild>
        <w:div w:id="1011838043">
          <w:marLeft w:val="0"/>
          <w:marRight w:val="0"/>
          <w:marTop w:val="0"/>
          <w:marBottom w:val="0"/>
          <w:divBdr>
            <w:top w:val="none" w:sz="0" w:space="0" w:color="auto"/>
            <w:left w:val="none" w:sz="0" w:space="0" w:color="auto"/>
            <w:bottom w:val="none" w:sz="0" w:space="0" w:color="auto"/>
            <w:right w:val="none" w:sz="0" w:space="0" w:color="auto"/>
          </w:divBdr>
        </w:div>
      </w:divsChild>
    </w:div>
    <w:div w:id="2138448862">
      <w:bodyDiv w:val="1"/>
      <w:marLeft w:val="0"/>
      <w:marRight w:val="0"/>
      <w:marTop w:val="0"/>
      <w:marBottom w:val="0"/>
      <w:divBdr>
        <w:top w:val="none" w:sz="0" w:space="0" w:color="auto"/>
        <w:left w:val="none" w:sz="0" w:space="0" w:color="auto"/>
        <w:bottom w:val="none" w:sz="0" w:space="0" w:color="auto"/>
        <w:right w:val="none" w:sz="0" w:space="0" w:color="auto"/>
      </w:divBdr>
    </w:div>
    <w:div w:id="2138645821">
      <w:bodyDiv w:val="1"/>
      <w:marLeft w:val="0"/>
      <w:marRight w:val="0"/>
      <w:marTop w:val="0"/>
      <w:marBottom w:val="0"/>
      <w:divBdr>
        <w:top w:val="none" w:sz="0" w:space="0" w:color="auto"/>
        <w:left w:val="none" w:sz="0" w:space="0" w:color="auto"/>
        <w:bottom w:val="none" w:sz="0" w:space="0" w:color="auto"/>
        <w:right w:val="none" w:sz="0" w:space="0" w:color="auto"/>
      </w:divBdr>
      <w:divsChild>
        <w:div w:id="2007782963">
          <w:marLeft w:val="0"/>
          <w:marRight w:val="0"/>
          <w:marTop w:val="0"/>
          <w:marBottom w:val="0"/>
          <w:divBdr>
            <w:top w:val="none" w:sz="0" w:space="0" w:color="auto"/>
            <w:left w:val="none" w:sz="0" w:space="0" w:color="auto"/>
            <w:bottom w:val="none" w:sz="0" w:space="0" w:color="auto"/>
            <w:right w:val="none" w:sz="0" w:space="0" w:color="auto"/>
          </w:divBdr>
        </w:div>
      </w:divsChild>
    </w:div>
    <w:div w:id="2140416853">
      <w:bodyDiv w:val="1"/>
      <w:marLeft w:val="0"/>
      <w:marRight w:val="0"/>
      <w:marTop w:val="0"/>
      <w:marBottom w:val="0"/>
      <w:divBdr>
        <w:top w:val="none" w:sz="0" w:space="0" w:color="auto"/>
        <w:left w:val="none" w:sz="0" w:space="0" w:color="auto"/>
        <w:bottom w:val="none" w:sz="0" w:space="0" w:color="auto"/>
        <w:right w:val="none" w:sz="0" w:space="0" w:color="auto"/>
      </w:divBdr>
      <w:divsChild>
        <w:div w:id="1348365276">
          <w:marLeft w:val="0"/>
          <w:marRight w:val="0"/>
          <w:marTop w:val="0"/>
          <w:marBottom w:val="0"/>
          <w:divBdr>
            <w:top w:val="none" w:sz="0" w:space="0" w:color="auto"/>
            <w:left w:val="none" w:sz="0" w:space="0" w:color="auto"/>
            <w:bottom w:val="none" w:sz="0" w:space="0" w:color="auto"/>
            <w:right w:val="none" w:sz="0" w:space="0" w:color="auto"/>
          </w:divBdr>
        </w:div>
      </w:divsChild>
    </w:div>
    <w:div w:id="2143112247">
      <w:bodyDiv w:val="1"/>
      <w:marLeft w:val="0"/>
      <w:marRight w:val="0"/>
      <w:marTop w:val="0"/>
      <w:marBottom w:val="0"/>
      <w:divBdr>
        <w:top w:val="none" w:sz="0" w:space="0" w:color="auto"/>
        <w:left w:val="none" w:sz="0" w:space="0" w:color="auto"/>
        <w:bottom w:val="none" w:sz="0" w:space="0" w:color="auto"/>
        <w:right w:val="none" w:sz="0" w:space="0" w:color="auto"/>
      </w:divBdr>
      <w:divsChild>
        <w:div w:id="106721897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Classificação por Título"/>
</file>

<file path=customXml/itemProps1.xml><?xml version="1.0" encoding="utf-8"?>
<ds:datastoreItem xmlns:ds="http://schemas.openxmlformats.org/officeDocument/2006/customXml" ds:itemID="{A2AC68C7-D672-471B-84BB-D28B2AF90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44480</Words>
  <Characters>253541</Characters>
  <Application>Microsoft Office Word</Application>
  <DocSecurity>0</DocSecurity>
  <Lines>2112</Lines>
  <Paragraphs>594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user</cp:lastModifiedBy>
  <cp:revision>4</cp:revision>
  <dcterms:created xsi:type="dcterms:W3CDTF">2019-04-19T01:17:00Z</dcterms:created>
  <dcterms:modified xsi:type="dcterms:W3CDTF">2019-05-16T08:44:00Z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vt:lpwstr>
  </property>
  <property fmtid="{D5CDD505-2E9C-101B-9397-08002B2CF9AE}" pid="4" name="Mendeley Recent Style Id 1_1">
    <vt:lpwstr>http://www.zotero.org/styles/chicago-fullnote-bibliography</vt:lpwstr>
  </property>
  <property fmtid="{D5CDD505-2E9C-101B-9397-08002B2CF9AE}" pid="5" name="Mendeley Recent Style Name 1_1">
    <vt:lpwstr>Chicago Manual of Style 17th edition (full note)</vt:lpwstr>
  </property>
  <property fmtid="{D5CDD505-2E9C-101B-9397-08002B2CF9AE}" pid="6" name="Mendeley Recent Style Id 2_1">
    <vt:lpwstr>http://www.zotero.org/styles/endoscopy</vt:lpwstr>
  </property>
  <property fmtid="{D5CDD505-2E9C-101B-9397-08002B2CF9AE}" pid="7" name="Mendeley Recent Style Name 2_1">
    <vt:lpwstr>Endoscopy</vt:lpwstr>
  </property>
  <property fmtid="{D5CDD505-2E9C-101B-9397-08002B2CF9AE}" pid="8" name="Mendeley Recent Style Id 3_1">
    <vt:lpwstr>http://www.zotero.org/styles/nature</vt:lpwstr>
  </property>
  <property fmtid="{D5CDD505-2E9C-101B-9397-08002B2CF9AE}" pid="9" name="Mendeley Recent Style Name 3_1">
    <vt:lpwstr>Nature</vt:lpwstr>
  </property>
  <property fmtid="{D5CDD505-2E9C-101B-9397-08002B2CF9AE}" pid="10" name="Mendeley Recent Style Id 4_1">
    <vt:lpwstr>http://www.zotero.org/styles/nature-no-et-al</vt:lpwstr>
  </property>
  <property fmtid="{D5CDD505-2E9C-101B-9397-08002B2CF9AE}" pid="11" name="Mendeley Recent Style Name 4_1">
    <vt:lpwstr>Nature (no "et al.")</vt:lpwstr>
  </property>
  <property fmtid="{D5CDD505-2E9C-101B-9397-08002B2CF9AE}" pid="12" name="Mendeley Recent Style Id 5_1">
    <vt:lpwstr>http://www.zotero.org/styles/nature-publishing-group-vancouver</vt:lpwstr>
  </property>
  <property fmtid="{D5CDD505-2E9C-101B-9397-08002B2CF9AE}" pid="13" name="Mendeley Recent Style Name 5_1">
    <vt:lpwstr>Nature Publishing Group - Vancouver</vt:lpwstr>
  </property>
  <property fmtid="{D5CDD505-2E9C-101B-9397-08002B2CF9AE}" pid="14" name="Mendeley Recent Style Id 6_1">
    <vt:lpwstr>http://www.zotero.org/styles/surgical-endoscopy</vt:lpwstr>
  </property>
  <property fmtid="{D5CDD505-2E9C-101B-9397-08002B2CF9AE}" pid="15" name="Mendeley Recent Style Name 6_1">
    <vt:lpwstr>Surgical Endoscopy</vt:lpwstr>
  </property>
  <property fmtid="{D5CDD505-2E9C-101B-9397-08002B2CF9AE}" pid="16" name="Mendeley Recent Style Id 7_1">
    <vt:lpwstr>http://www.zotero.org/styles/vancouver</vt:lpwstr>
  </property>
  <property fmtid="{D5CDD505-2E9C-101B-9397-08002B2CF9AE}" pid="17" name="Mendeley Recent Style Name 7_1">
    <vt:lpwstr>Vancouver</vt:lpwstr>
  </property>
  <property fmtid="{D5CDD505-2E9C-101B-9397-08002B2CF9AE}" pid="18" name="Mendeley Recent Style Id 8_1">
    <vt:lpwstr>http://www.zotero.org/styles/world-journal-of-gastroenterology</vt:lpwstr>
  </property>
  <property fmtid="{D5CDD505-2E9C-101B-9397-08002B2CF9AE}" pid="19" name="Mendeley Recent Style Name 8_1">
    <vt:lpwstr>World Journal of Gastroenterology</vt:lpwstr>
  </property>
  <property fmtid="{D5CDD505-2E9C-101B-9397-08002B2CF9AE}" pid="20" name="Mendeley Recent Style Id 9_1">
    <vt:lpwstr>http://www.zotero.org/styles/world-journal-of-surgical-oncology</vt:lpwstr>
  </property>
  <property fmtid="{D5CDD505-2E9C-101B-9397-08002B2CF9AE}" pid="21" name="Mendeley Recent Style Name 9_1">
    <vt:lpwstr>World Journal of Surgical Oncology</vt:lpwstr>
  </property>
  <property fmtid="{D5CDD505-2E9C-101B-9397-08002B2CF9AE}" pid="22" name="Mendeley Document_1">
    <vt:lpwstr>True</vt:lpwstr>
  </property>
  <property fmtid="{D5CDD505-2E9C-101B-9397-08002B2CF9AE}" pid="23" name="Mendeley Unique User Id_1">
    <vt:lpwstr>8939e676-c892-3e2d-9991-ddd80c921c92</vt:lpwstr>
  </property>
  <property fmtid="{D5CDD505-2E9C-101B-9397-08002B2CF9AE}" pid="24" name="Mendeley Citation Style_1">
    <vt:lpwstr>http://www.zotero.org/styles/world-journal-of-gastroenterology</vt:lpwstr>
  </property>
</Properties>
</file>